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23" w:rsidRDefault="006E3323" w:rsidP="006E3323">
      <w:pPr>
        <w:adjustRightInd w:val="0"/>
        <w:snapToGrid w:val="0"/>
        <w:spacing w:line="360" w:lineRule="auto"/>
        <w:jc w:val="center"/>
        <w:outlineLvl w:val="0"/>
        <w:rPr>
          <w:rFonts w:ascii="黑体" w:eastAsia="黑体" w:hAnsi="黑体" w:hint="eastAsia"/>
          <w:color w:val="000000"/>
          <w:sz w:val="72"/>
          <w:szCs w:val="72"/>
        </w:rPr>
      </w:pPr>
      <w:bookmarkStart w:id="0" w:name="YS040100"/>
      <w:bookmarkStart w:id="1" w:name="_Toc15396475"/>
      <w:bookmarkStart w:id="2" w:name="_Toc15377193"/>
      <w:bookmarkStart w:id="3" w:name="_Toc15378441"/>
      <w:bookmarkStart w:id="4" w:name="_Toc15377425"/>
      <w:bookmarkStart w:id="5" w:name="_Toc15396597"/>
    </w:p>
    <w:p w:rsidR="006E3323" w:rsidRDefault="006E3323" w:rsidP="006E3323">
      <w:pPr>
        <w:adjustRightInd w:val="0"/>
        <w:snapToGrid w:val="0"/>
        <w:spacing w:line="360" w:lineRule="auto"/>
        <w:jc w:val="center"/>
        <w:outlineLvl w:val="0"/>
        <w:rPr>
          <w:rFonts w:ascii="黑体" w:eastAsia="黑体" w:hAnsi="黑体" w:hint="eastAsia"/>
          <w:color w:val="000000"/>
          <w:sz w:val="72"/>
          <w:szCs w:val="72"/>
        </w:rPr>
      </w:pPr>
    </w:p>
    <w:p w:rsidR="006E3323" w:rsidRDefault="006E3323" w:rsidP="006E3323">
      <w:pPr>
        <w:adjustRightInd w:val="0"/>
        <w:snapToGrid w:val="0"/>
        <w:spacing w:line="360" w:lineRule="auto"/>
        <w:jc w:val="center"/>
        <w:outlineLvl w:val="0"/>
        <w:rPr>
          <w:rFonts w:ascii="黑体" w:eastAsia="黑体" w:hAnsi="黑体" w:hint="eastAsia"/>
          <w:color w:val="000000"/>
          <w:sz w:val="72"/>
          <w:szCs w:val="72"/>
        </w:rPr>
      </w:pPr>
    </w:p>
    <w:p w:rsidR="006E3323" w:rsidRDefault="006E3323" w:rsidP="006E3323">
      <w:pPr>
        <w:adjustRightInd w:val="0"/>
        <w:snapToGrid w:val="0"/>
        <w:spacing w:line="360" w:lineRule="auto"/>
        <w:jc w:val="center"/>
        <w:outlineLvl w:val="0"/>
        <w:rPr>
          <w:rFonts w:ascii="方正小标宋简体" w:eastAsia="方正小标宋简体" w:hAnsi="宋体"/>
          <w:color w:val="000000"/>
          <w:sz w:val="72"/>
          <w:szCs w:val="72"/>
        </w:rPr>
      </w:pPr>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6E3323" w:rsidRDefault="006E3323" w:rsidP="006E3323">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r>
        <w:rPr>
          <w:rFonts w:ascii="方正小标宋简体" w:eastAsia="方正小标宋简体" w:hAnsi="宋体" w:hint="eastAsia"/>
          <w:color w:val="000000"/>
          <w:sz w:val="72"/>
          <w:szCs w:val="72"/>
        </w:rPr>
        <w:t>广汉市人民法院部门决算</w:t>
      </w:r>
      <w:bookmarkEnd w:id="6"/>
      <w:bookmarkEnd w:id="7"/>
      <w:bookmarkEnd w:id="8"/>
      <w:bookmarkEnd w:id="9"/>
      <w:bookmarkEnd w:id="10"/>
      <w:bookmarkEnd w:id="11"/>
    </w:p>
    <w:p w:rsidR="006E3323" w:rsidRDefault="006E3323">
      <w:pPr>
        <w:widowControl/>
        <w:jc w:val="left"/>
        <w:rPr>
          <w:rFonts w:ascii="方正小标宋简体" w:eastAsia="方正小标宋简体" w:hAnsi="宋体"/>
          <w:color w:val="000000"/>
          <w:sz w:val="72"/>
          <w:szCs w:val="72"/>
        </w:rPr>
      </w:pPr>
      <w:r>
        <w:rPr>
          <w:rFonts w:ascii="方正小标宋简体" w:eastAsia="方正小标宋简体" w:hAnsi="宋体"/>
          <w:color w:val="000000"/>
          <w:sz w:val="72"/>
          <w:szCs w:val="72"/>
        </w:rPr>
        <w:br w:type="page"/>
      </w:r>
    </w:p>
    <w:p w:rsidR="006E3323" w:rsidRDefault="006E3323" w:rsidP="006E3323">
      <w:pPr>
        <w:adjustRightInd w:val="0"/>
        <w:snapToGrid w:val="0"/>
        <w:spacing w:line="360" w:lineRule="auto"/>
        <w:jc w:val="center"/>
        <w:outlineLvl w:val="0"/>
        <w:rPr>
          <w:rFonts w:ascii="方正小标宋简体" w:eastAsia="方正小标宋简体" w:hAnsi="宋体"/>
          <w:color w:val="000000"/>
          <w:sz w:val="72"/>
          <w:szCs w:val="72"/>
        </w:rPr>
      </w:pPr>
    </w:p>
    <w:p w:rsidR="00000485" w:rsidRDefault="00000485">
      <w:pPr>
        <w:widowControl/>
        <w:jc w:val="left"/>
        <w:rPr>
          <w:rFonts w:ascii="黑体" w:eastAsia="黑体" w:hAnsi="Times New Roman" w:cs="黑体"/>
          <w:color w:val="000000"/>
        </w:rPr>
      </w:pPr>
    </w:p>
    <w:p w:rsidR="003877C3" w:rsidRDefault="003877C3" w:rsidP="003877C3">
      <w:pPr>
        <w:jc w:val="center"/>
        <w:rPr>
          <w:rFonts w:ascii="黑体" w:eastAsia="黑体" w:hAnsi="Times New Roman" w:cs="黑体"/>
          <w:color w:val="000000"/>
        </w:rPr>
      </w:pPr>
    </w:p>
    <w:p w:rsidR="003877C3" w:rsidRPr="000847CF" w:rsidRDefault="000847CF" w:rsidP="000847CF">
      <w:pPr>
        <w:snapToGrid w:val="0"/>
        <w:jc w:val="center"/>
        <w:rPr>
          <w:rFonts w:ascii="宋体" w:hAnsi="宋体"/>
          <w:b/>
          <w:sz w:val="44"/>
          <w:szCs w:val="44"/>
        </w:rPr>
      </w:pPr>
      <w:r w:rsidRPr="003A6034">
        <w:rPr>
          <w:rFonts w:ascii="宋体" w:hAnsi="宋体" w:hint="eastAsia"/>
          <w:b/>
          <w:sz w:val="44"/>
          <w:szCs w:val="44"/>
        </w:rPr>
        <w:t>广汉市人民法院</w:t>
      </w:r>
    </w:p>
    <w:bookmarkEnd w:id="0"/>
    <w:p w:rsidR="003877C3" w:rsidRPr="000847CF" w:rsidRDefault="003877C3" w:rsidP="000847CF">
      <w:pPr>
        <w:snapToGrid w:val="0"/>
        <w:jc w:val="center"/>
        <w:rPr>
          <w:rFonts w:ascii="宋体" w:hAnsi="宋体"/>
          <w:b/>
          <w:sz w:val="44"/>
          <w:szCs w:val="44"/>
        </w:rPr>
      </w:pPr>
      <w:r w:rsidRPr="000847CF">
        <w:rPr>
          <w:rFonts w:ascii="宋体" w:hAnsi="宋体" w:hint="eastAsia"/>
          <w:b/>
          <w:sz w:val="44"/>
          <w:szCs w:val="44"/>
        </w:rPr>
        <w:t>201</w:t>
      </w:r>
      <w:r w:rsidR="003670E9">
        <w:rPr>
          <w:rFonts w:ascii="宋体" w:hAnsi="宋体" w:hint="eastAsia"/>
          <w:b/>
          <w:sz w:val="44"/>
          <w:szCs w:val="44"/>
        </w:rPr>
        <w:t>9</w:t>
      </w:r>
      <w:r w:rsidRPr="000847CF">
        <w:rPr>
          <w:rFonts w:ascii="宋体" w:hAnsi="宋体" w:hint="eastAsia"/>
          <w:b/>
          <w:sz w:val="44"/>
          <w:szCs w:val="44"/>
        </w:rPr>
        <w:t>年度部门决算报表填报说明</w:t>
      </w:r>
    </w:p>
    <w:p w:rsidR="003877C3" w:rsidRPr="003877C3" w:rsidRDefault="003877C3" w:rsidP="004E7B4E">
      <w:pPr>
        <w:rPr>
          <w:rFonts w:ascii="仿宋_GB2312" w:eastAsia="仿宋_GB2312" w:hAnsi="华文中宋" w:cs="黑体"/>
          <w:color w:val="000000"/>
          <w:sz w:val="32"/>
          <w:szCs w:val="32"/>
        </w:rPr>
      </w:pPr>
    </w:p>
    <w:p w:rsidR="003670E9" w:rsidRDefault="003670E9" w:rsidP="003670E9">
      <w:pPr>
        <w:snapToGrid w:val="0"/>
        <w:spacing w:line="520" w:lineRule="exact"/>
        <w:ind w:firstLineChars="200" w:firstLine="640"/>
        <w:rPr>
          <w:rFonts w:ascii="黑体" w:eastAsia="黑体" w:hAnsi="黑体"/>
          <w:sz w:val="32"/>
          <w:szCs w:val="32"/>
        </w:rPr>
      </w:pPr>
      <w:bookmarkStart w:id="12" w:name="YS060101"/>
      <w:r>
        <w:rPr>
          <w:rFonts w:ascii="黑体" w:eastAsia="黑体" w:hAnsi="黑体" w:hint="eastAsia"/>
          <w:sz w:val="32"/>
          <w:szCs w:val="32"/>
        </w:rPr>
        <w:t>一、部门情况</w:t>
      </w:r>
    </w:p>
    <w:bookmarkEnd w:id="12"/>
    <w:p w:rsidR="003670E9" w:rsidRDefault="003670E9" w:rsidP="00000485">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（一）基本情况。</w:t>
      </w:r>
    </w:p>
    <w:p w:rsidR="003670E9" w:rsidRDefault="003670E9" w:rsidP="003670E9">
      <w:pPr>
        <w:snapToGrid w:val="0"/>
        <w:spacing w:line="520" w:lineRule="exact"/>
        <w:ind w:firstLineChars="200" w:firstLine="672"/>
        <w:rPr>
          <w:rFonts w:ascii="仿宋_GB2312" w:eastAsia="仿宋_GB2312" w:hAnsi="仿宋"/>
          <w:sz w:val="32"/>
          <w:szCs w:val="32"/>
        </w:rPr>
      </w:pPr>
      <w:r>
        <w:rPr>
          <w:rFonts w:ascii="仿宋_GB2312" w:eastAsia="仿宋_GB2312" w:hAnsi="仿宋" w:hint="eastAsia"/>
          <w:sz w:val="32"/>
          <w:szCs w:val="32"/>
        </w:rPr>
        <w:t>1．主要职能。</w:t>
      </w:r>
    </w:p>
    <w:p w:rsidR="003670E9" w:rsidRPr="003670E9" w:rsidRDefault="003670E9" w:rsidP="003670E9">
      <w:pPr>
        <w:pStyle w:val="a8"/>
        <w:shd w:val="clear" w:color="auto" w:fill="FFFFFF"/>
        <w:spacing w:before="0" w:beforeAutospacing="0" w:after="0" w:afterAutospacing="0"/>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（1）</w:t>
      </w:r>
      <w:r w:rsidRPr="003670E9">
        <w:rPr>
          <w:rFonts w:ascii="仿宋_GB2312" w:eastAsia="仿宋_GB2312" w:hAnsi="仿宋" w:cs="Calibri" w:hint="eastAsia"/>
          <w:kern w:val="2"/>
          <w:sz w:val="32"/>
          <w:szCs w:val="32"/>
        </w:rPr>
        <w:t>依法审判由广汉市人民法院管辖的刑事、民事、行政等第一审案件。</w:t>
      </w:r>
    </w:p>
    <w:p w:rsidR="003670E9" w:rsidRPr="003670E9" w:rsidRDefault="003670E9" w:rsidP="003670E9">
      <w:pPr>
        <w:pStyle w:val="a8"/>
        <w:shd w:val="clear" w:color="auto" w:fill="FFFFFF"/>
        <w:spacing w:before="0" w:beforeAutospacing="0" w:after="0" w:afterAutospacing="0"/>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（2）</w:t>
      </w:r>
      <w:r w:rsidRPr="003670E9">
        <w:rPr>
          <w:rFonts w:ascii="仿宋_GB2312" w:eastAsia="仿宋_GB2312" w:hAnsi="仿宋" w:cs="Calibri" w:hint="eastAsia"/>
          <w:kern w:val="2"/>
          <w:sz w:val="32"/>
          <w:szCs w:val="32"/>
        </w:rPr>
        <w:t>负责审理上级人民法院指定管辖和指令再审的案件。</w:t>
      </w:r>
    </w:p>
    <w:p w:rsidR="003670E9" w:rsidRPr="003670E9" w:rsidRDefault="003670E9" w:rsidP="003670E9">
      <w:pPr>
        <w:pStyle w:val="a8"/>
        <w:shd w:val="clear" w:color="auto" w:fill="FFFFFF"/>
        <w:spacing w:before="0" w:beforeAutospacing="0" w:after="0" w:afterAutospacing="0"/>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（3）</w:t>
      </w:r>
      <w:r w:rsidRPr="003670E9">
        <w:rPr>
          <w:rFonts w:ascii="仿宋_GB2312" w:eastAsia="仿宋_GB2312" w:hAnsi="仿宋" w:cs="Calibri" w:hint="eastAsia"/>
          <w:kern w:val="2"/>
          <w:sz w:val="32"/>
          <w:szCs w:val="32"/>
        </w:rPr>
        <w:t>依法行使司法执行权和司法决定权。</w:t>
      </w:r>
    </w:p>
    <w:p w:rsidR="003670E9" w:rsidRPr="003670E9" w:rsidRDefault="003670E9" w:rsidP="003670E9">
      <w:pPr>
        <w:pStyle w:val="a8"/>
        <w:shd w:val="clear" w:color="auto" w:fill="FFFFFF"/>
        <w:spacing w:before="0" w:beforeAutospacing="0" w:after="0" w:afterAutospacing="0"/>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（4）</w:t>
      </w:r>
      <w:r w:rsidRPr="003670E9">
        <w:rPr>
          <w:rFonts w:ascii="仿宋_GB2312" w:eastAsia="仿宋_GB2312" w:hAnsi="仿宋" w:cs="Calibri" w:hint="eastAsia"/>
          <w:kern w:val="2"/>
          <w:sz w:val="32"/>
          <w:szCs w:val="32"/>
        </w:rPr>
        <w:t>负责审理本院的各类申诉和申请再审案件。</w:t>
      </w:r>
    </w:p>
    <w:p w:rsidR="003670E9" w:rsidRPr="003670E9" w:rsidRDefault="003670E9" w:rsidP="003670E9">
      <w:pPr>
        <w:pStyle w:val="a8"/>
        <w:shd w:val="clear" w:color="auto" w:fill="FFFFFF"/>
        <w:spacing w:before="0" w:beforeAutospacing="0" w:after="0" w:afterAutospacing="0"/>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（5）</w:t>
      </w:r>
      <w:r w:rsidRPr="003670E9">
        <w:rPr>
          <w:rFonts w:ascii="仿宋_GB2312" w:eastAsia="仿宋_GB2312" w:hAnsi="仿宋" w:cs="Calibri" w:hint="eastAsia"/>
          <w:kern w:val="2"/>
          <w:sz w:val="32"/>
          <w:szCs w:val="32"/>
        </w:rPr>
        <w:t>针对案件审理中发现的问题提出司法建议；参与社会治安的综合治理。</w:t>
      </w:r>
    </w:p>
    <w:p w:rsidR="003670E9" w:rsidRPr="003670E9" w:rsidRDefault="003670E9" w:rsidP="003670E9">
      <w:pPr>
        <w:pStyle w:val="a8"/>
        <w:shd w:val="clear" w:color="auto" w:fill="FFFFFF"/>
        <w:spacing w:before="0" w:beforeAutospacing="0" w:after="0" w:afterAutospacing="0"/>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（6）</w:t>
      </w:r>
      <w:r w:rsidRPr="003670E9">
        <w:rPr>
          <w:rFonts w:ascii="仿宋_GB2312" w:eastAsia="仿宋_GB2312" w:hAnsi="仿宋" w:cs="Calibri" w:hint="eastAsia"/>
          <w:kern w:val="2"/>
          <w:sz w:val="32"/>
          <w:szCs w:val="32"/>
        </w:rPr>
        <w:t>总结法院审判工作经验，向上级法院请示有关适用法律政策方面的问题。</w:t>
      </w:r>
    </w:p>
    <w:p w:rsidR="003670E9" w:rsidRPr="003670E9" w:rsidRDefault="003670E9" w:rsidP="003670E9">
      <w:pPr>
        <w:pStyle w:val="a8"/>
        <w:shd w:val="clear" w:color="auto" w:fill="FFFFFF"/>
        <w:spacing w:before="0" w:beforeAutospacing="0" w:after="0" w:afterAutospacing="0"/>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（7）</w:t>
      </w:r>
      <w:r w:rsidRPr="003670E9">
        <w:rPr>
          <w:rFonts w:ascii="仿宋_GB2312" w:eastAsia="仿宋_GB2312" w:hAnsi="仿宋" w:cs="Calibri" w:hint="eastAsia"/>
          <w:kern w:val="2"/>
          <w:sz w:val="32"/>
          <w:szCs w:val="32"/>
        </w:rPr>
        <w:t>负责本院的思想政治工作和队伍建设；协助组织、人事部门管理本院机构编制工作；负责本院法官、</w:t>
      </w:r>
      <w:r w:rsidRPr="003670E9">
        <w:rPr>
          <w:rFonts w:ascii="仿宋_GB2312" w:eastAsia="仿宋_GB2312" w:hAnsi="仿宋" w:cs="Calibri" w:hint="eastAsia"/>
          <w:kern w:val="2"/>
          <w:sz w:val="32"/>
          <w:szCs w:val="32"/>
        </w:rPr>
        <w:lastRenderedPageBreak/>
        <w:t>法警、书记员及其他工作人员的管理并做好法官等级评定、法警警衔评授的上报工作。</w:t>
      </w:r>
    </w:p>
    <w:p w:rsidR="003670E9" w:rsidRPr="003670E9" w:rsidRDefault="003670E9" w:rsidP="003670E9">
      <w:pPr>
        <w:pStyle w:val="a8"/>
        <w:shd w:val="clear" w:color="auto" w:fill="FFFFFF"/>
        <w:spacing w:before="0" w:beforeAutospacing="0" w:after="0" w:afterAutospacing="0"/>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（8）</w:t>
      </w:r>
      <w:r w:rsidRPr="003670E9">
        <w:rPr>
          <w:rFonts w:ascii="仿宋_GB2312" w:eastAsia="仿宋_GB2312" w:hAnsi="仿宋" w:cs="Calibri" w:hint="eastAsia"/>
          <w:kern w:val="2"/>
          <w:sz w:val="32"/>
          <w:szCs w:val="32"/>
        </w:rPr>
        <w:t>监督本院全体干警的执法执纪情况，进行法制宣传和廉政教育。</w:t>
      </w:r>
    </w:p>
    <w:p w:rsidR="003670E9" w:rsidRPr="003670E9" w:rsidRDefault="003670E9" w:rsidP="003670E9">
      <w:pPr>
        <w:pStyle w:val="a8"/>
        <w:shd w:val="clear" w:color="auto" w:fill="FFFFFF"/>
        <w:spacing w:before="0" w:beforeAutospacing="0" w:after="0" w:afterAutospacing="0"/>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（9）</w:t>
      </w:r>
      <w:r w:rsidRPr="003670E9">
        <w:rPr>
          <w:rFonts w:ascii="仿宋_GB2312" w:eastAsia="仿宋_GB2312" w:hAnsi="仿宋" w:cs="Calibri" w:hint="eastAsia"/>
          <w:kern w:val="2"/>
          <w:sz w:val="32"/>
          <w:szCs w:val="32"/>
        </w:rPr>
        <w:t>承办其它应由本院负责的工作 。</w:t>
      </w:r>
    </w:p>
    <w:p w:rsidR="003670E9" w:rsidRDefault="003670E9" w:rsidP="003670E9">
      <w:pPr>
        <w:snapToGrid w:val="0"/>
        <w:spacing w:line="520" w:lineRule="exact"/>
        <w:ind w:firstLineChars="200" w:firstLine="672"/>
        <w:rPr>
          <w:rFonts w:ascii="仿宋_GB2312" w:eastAsia="仿宋_GB2312" w:hAnsi="仿宋"/>
          <w:sz w:val="32"/>
          <w:szCs w:val="32"/>
        </w:rPr>
      </w:pPr>
      <w:r>
        <w:rPr>
          <w:rFonts w:ascii="仿宋_GB2312" w:eastAsia="仿宋_GB2312" w:hAnsi="仿宋" w:hint="eastAsia"/>
          <w:sz w:val="32"/>
          <w:szCs w:val="32"/>
        </w:rPr>
        <w:t>2．机构情况，包括当年变动情况及原因。</w:t>
      </w:r>
    </w:p>
    <w:p w:rsidR="003670E9" w:rsidRPr="004E7B4E" w:rsidRDefault="003670E9" w:rsidP="003670E9">
      <w:pPr>
        <w:ind w:firstLine="567"/>
        <w:rPr>
          <w:rFonts w:ascii="仿宋_GB2312" w:eastAsia="仿宋_GB2312" w:hAnsi="仿宋"/>
          <w:sz w:val="32"/>
          <w:szCs w:val="32"/>
        </w:rPr>
      </w:pPr>
      <w:r w:rsidRPr="004E7B4E">
        <w:rPr>
          <w:rFonts w:ascii="仿宋_GB2312" w:eastAsia="仿宋_GB2312" w:hAnsi="仿宋" w:hint="eastAsia"/>
          <w:sz w:val="32"/>
          <w:szCs w:val="32"/>
        </w:rPr>
        <w:t>本单位为广汉市人民法院，一级预算单位，单位性质为行政单位，按照行政单位会计制度填报决算数据。</w:t>
      </w:r>
    </w:p>
    <w:p w:rsidR="003670E9" w:rsidRPr="004E7B4E" w:rsidRDefault="003670E9" w:rsidP="003670E9">
      <w:pPr>
        <w:ind w:firstLine="567"/>
        <w:rPr>
          <w:rFonts w:ascii="仿宋_GB2312" w:eastAsia="仿宋_GB2312" w:hAnsi="仿宋"/>
          <w:sz w:val="32"/>
          <w:szCs w:val="32"/>
        </w:rPr>
      </w:pPr>
      <w:r w:rsidRPr="004E7B4E">
        <w:rPr>
          <w:rFonts w:ascii="仿宋_GB2312" w:eastAsia="仿宋_GB2312" w:hAnsi="仿宋" w:hint="eastAsia"/>
          <w:sz w:val="32"/>
          <w:szCs w:val="32"/>
        </w:rPr>
        <w:t>纳入本套决算编制范围的独立核算单位共  1  个。</w:t>
      </w:r>
      <w:r w:rsidRPr="004E7B4E">
        <w:rPr>
          <w:rFonts w:ascii="仿宋_GB2312" w:eastAsia="仿宋_GB2312" w:hAnsi="仿宋"/>
          <w:sz w:val="32"/>
          <w:szCs w:val="32"/>
        </w:rPr>
        <w:t xml:space="preserve"> </w:t>
      </w:r>
    </w:p>
    <w:p w:rsidR="003670E9" w:rsidRPr="004E7B4E" w:rsidRDefault="00F4249E" w:rsidP="004E7B4E">
      <w:pPr>
        <w:snapToGrid w:val="0"/>
        <w:spacing w:line="520" w:lineRule="exact"/>
        <w:ind w:firstLineChars="200" w:firstLine="672"/>
        <w:rPr>
          <w:rFonts w:ascii="仿宋_GB2312" w:eastAsia="仿宋_GB2312" w:hAnsi="仿宋"/>
          <w:sz w:val="32"/>
          <w:szCs w:val="32"/>
        </w:rPr>
      </w:pPr>
      <w:r w:rsidRPr="004E7B4E">
        <w:rPr>
          <w:rFonts w:ascii="仿宋_GB2312" w:eastAsia="仿宋_GB2312" w:hAnsi="仿宋" w:hint="eastAsia"/>
          <w:sz w:val="32"/>
          <w:szCs w:val="32"/>
        </w:rPr>
        <w:t>2019年广汉市人民法院积极响应上级法院要求，进行内设机构改革。改革后，广汉市人民法院设15个职能庭（室），包括：综合办公室、政治部（督察室）、机关党委、立案庭（诉讼服务中心）、刑事审判庭、民事审判庭、行政审判庭、审判管理办公室、雒城人民法庭、新丰人民法庭、高坪人民法庭、连山人民法庭、小汉人民法庭、法警大队。我院经机构改革核定政法编制人数93人，工勤2人。车辆编制26辆。现有在职干警81人，退休干部44人，抚养人员6</w:t>
      </w:r>
      <w:r w:rsidR="0086454F" w:rsidRPr="004E7B4E">
        <w:rPr>
          <w:rFonts w:ascii="仿宋_GB2312" w:eastAsia="仿宋_GB2312" w:hAnsi="仿宋" w:hint="eastAsia"/>
          <w:sz w:val="32"/>
          <w:szCs w:val="32"/>
        </w:rPr>
        <w:t>人，聘用</w:t>
      </w:r>
      <w:r w:rsidRPr="004E7B4E">
        <w:rPr>
          <w:rFonts w:ascii="仿宋_GB2312" w:eastAsia="仿宋_GB2312" w:hAnsi="仿宋" w:hint="eastAsia"/>
          <w:sz w:val="32"/>
          <w:szCs w:val="32"/>
        </w:rPr>
        <w:t>人</w:t>
      </w:r>
      <w:r w:rsidR="0086454F" w:rsidRPr="004E7B4E">
        <w:rPr>
          <w:rFonts w:ascii="仿宋_GB2312" w:eastAsia="仿宋_GB2312" w:hAnsi="仿宋" w:hint="eastAsia"/>
          <w:sz w:val="32"/>
          <w:szCs w:val="32"/>
        </w:rPr>
        <w:t>员65人</w:t>
      </w:r>
      <w:r w:rsidRPr="004E7B4E">
        <w:rPr>
          <w:rFonts w:ascii="仿宋_GB2312" w:eastAsia="仿宋_GB2312" w:hAnsi="仿宋" w:hint="eastAsia"/>
          <w:sz w:val="32"/>
          <w:szCs w:val="32"/>
        </w:rPr>
        <w:t>。执法执勤及公务车辆共计</w:t>
      </w:r>
      <w:r w:rsidR="00000485">
        <w:rPr>
          <w:rFonts w:ascii="仿宋_GB2312" w:eastAsia="仿宋_GB2312" w:hAnsi="仿宋" w:hint="eastAsia"/>
          <w:sz w:val="32"/>
          <w:szCs w:val="32"/>
        </w:rPr>
        <w:t>27</w:t>
      </w:r>
      <w:r w:rsidRPr="004E7B4E">
        <w:rPr>
          <w:rFonts w:ascii="仿宋_GB2312" w:eastAsia="仿宋_GB2312" w:hAnsi="仿宋" w:hint="eastAsia"/>
          <w:sz w:val="32"/>
          <w:szCs w:val="32"/>
        </w:rPr>
        <w:t>辆。</w:t>
      </w:r>
    </w:p>
    <w:p w:rsidR="003670E9" w:rsidRDefault="003670E9" w:rsidP="003670E9">
      <w:pPr>
        <w:snapToGrid w:val="0"/>
        <w:spacing w:line="520" w:lineRule="exact"/>
        <w:ind w:firstLineChars="200" w:firstLine="672"/>
        <w:rPr>
          <w:rFonts w:ascii="仿宋_GB2312" w:eastAsia="仿宋_GB2312" w:hAnsi="仿宋"/>
          <w:sz w:val="32"/>
          <w:szCs w:val="32"/>
        </w:rPr>
      </w:pPr>
      <w:r>
        <w:rPr>
          <w:rFonts w:ascii="仿宋_GB2312" w:eastAsia="仿宋_GB2312" w:hAnsi="仿宋" w:hint="eastAsia"/>
          <w:sz w:val="32"/>
          <w:szCs w:val="32"/>
        </w:rPr>
        <w:t>3．人员情况，包括当年变动情况及原因。</w:t>
      </w:r>
    </w:p>
    <w:p w:rsidR="004E7B4E" w:rsidRDefault="004E7B4E" w:rsidP="004E7B4E">
      <w:pPr>
        <w:snapToGrid w:val="0"/>
        <w:spacing w:line="520" w:lineRule="exact"/>
        <w:ind w:firstLineChars="200" w:firstLine="672"/>
        <w:rPr>
          <w:rFonts w:ascii="仿宋_GB2312" w:eastAsia="仿宋_GB2312" w:hAnsi="仿宋"/>
          <w:sz w:val="32"/>
          <w:szCs w:val="32"/>
        </w:rPr>
      </w:pPr>
      <w:r w:rsidRPr="004E7B4E">
        <w:rPr>
          <w:rFonts w:ascii="仿宋_GB2312" w:eastAsia="仿宋_GB2312" w:hAnsi="仿宋" w:hint="eastAsia"/>
          <w:sz w:val="32"/>
          <w:szCs w:val="32"/>
        </w:rPr>
        <w:t>现有在职干警81人，退休干部44人，抚养人员6人，聘用人员65人。</w:t>
      </w:r>
      <w:r>
        <w:rPr>
          <w:rFonts w:ascii="仿宋_GB2312" w:eastAsia="仿宋_GB2312" w:hAnsi="仿宋" w:hint="eastAsia"/>
          <w:sz w:val="32"/>
          <w:szCs w:val="32"/>
        </w:rPr>
        <w:t>2019</w:t>
      </w:r>
      <w:r>
        <w:rPr>
          <w:rFonts w:ascii="宋体" w:hAnsi="宋体" w:cs="宋体" w:hint="eastAsia"/>
          <w:sz w:val="32"/>
          <w:szCs w:val="32"/>
        </w:rPr>
        <w:t>年</w:t>
      </w:r>
      <w:r w:rsidRPr="004E7B4E">
        <w:rPr>
          <w:rFonts w:ascii="仿宋_GB2312" w:eastAsia="仿宋_GB2312" w:hAnsi="仿宋" w:hint="eastAsia"/>
          <w:sz w:val="32"/>
          <w:szCs w:val="32"/>
        </w:rPr>
        <w:t>在职干警调出3人，调入3人，退休1人。</w:t>
      </w:r>
    </w:p>
    <w:p w:rsidR="0086454F" w:rsidRDefault="0086454F" w:rsidP="0086454F">
      <w:pPr>
        <w:pStyle w:val="a8"/>
        <w:shd w:val="clear" w:color="auto" w:fill="FFFFFF"/>
        <w:spacing w:before="0" w:beforeAutospacing="0" w:after="0" w:afterAutospacing="0" w:line="525" w:lineRule="atLeast"/>
        <w:ind w:firstLine="645"/>
        <w:rPr>
          <w:color w:val="333333"/>
          <w:sz w:val="27"/>
          <w:szCs w:val="27"/>
        </w:rPr>
      </w:pPr>
      <w:r>
        <w:rPr>
          <w:rStyle w:val="a9"/>
          <w:rFonts w:ascii="楷体_GB2312" w:eastAsia="楷体_GB2312" w:hint="eastAsia"/>
          <w:color w:val="333333"/>
          <w:sz w:val="32"/>
          <w:szCs w:val="32"/>
        </w:rPr>
        <w:t>（</w:t>
      </w:r>
      <w:r>
        <w:rPr>
          <w:rStyle w:val="a9"/>
          <w:rFonts w:hint="eastAsia"/>
          <w:color w:val="333333"/>
          <w:sz w:val="32"/>
          <w:szCs w:val="32"/>
        </w:rPr>
        <w:t>二</w:t>
      </w:r>
      <w:r>
        <w:rPr>
          <w:rStyle w:val="a9"/>
          <w:rFonts w:ascii="Malgun Gothic Semilight" w:eastAsia="Malgun Gothic Semilight" w:hAnsi="Malgun Gothic Semilight" w:cs="Malgun Gothic Semilight" w:hint="eastAsia"/>
          <w:color w:val="333333"/>
          <w:sz w:val="32"/>
          <w:szCs w:val="32"/>
        </w:rPr>
        <w:t>）</w:t>
      </w:r>
      <w:r>
        <w:rPr>
          <w:rStyle w:val="a9"/>
          <w:rFonts w:hint="eastAsia"/>
          <w:color w:val="333333"/>
          <w:sz w:val="32"/>
          <w:szCs w:val="32"/>
        </w:rPr>
        <w:t>当年取得的主要事业成效</w:t>
      </w:r>
      <w:r>
        <w:rPr>
          <w:rStyle w:val="a9"/>
          <w:rFonts w:ascii="Malgun Gothic Semilight" w:eastAsia="Malgun Gothic Semilight" w:hAnsi="Malgun Gothic Semilight" w:cs="Malgun Gothic Semilight" w:hint="eastAsia"/>
          <w:color w:val="333333"/>
          <w:sz w:val="32"/>
          <w:szCs w:val="32"/>
        </w:rPr>
        <w:t>。</w:t>
      </w:r>
    </w:p>
    <w:p w:rsidR="0086454F" w:rsidRPr="00C21745" w:rsidRDefault="0086454F"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lastRenderedPageBreak/>
        <w:t>2019年，广汉市人民法院在市委领导，人大及其常委会监督和上级法院指导下，在市政府、政协和社会各界的关心支持下，全面贯彻落实党的十九大精神，坚持以习近平新时代中国特色社会主义思想为指导，紧紧围绕中心、服务大局，严格履职、积极创新，各项审判执行工作取得较好成绩。</w:t>
      </w:r>
    </w:p>
    <w:p w:rsidR="0086454F" w:rsidRPr="00C21745" w:rsidRDefault="0086454F"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为民司法，维护社会和谐稳定。贯彻以人民为中心的发展思想，围绕脱贫攻坚、绿色发展等中心工作，继续推进诉讼服务中心、巡回审判等便民举措，更好地满足群众的司法需求。</w:t>
      </w:r>
    </w:p>
    <w:p w:rsidR="0086454F" w:rsidRPr="00C21745" w:rsidRDefault="0086454F"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坚持改革，不断提高审判质量。以司法制度体系和司法能力现代化为目标，深化家事审判、繁简分流、庭审实质化改革，加快两年内基本解决执行难进程，推动管理与服务信息化升级。</w:t>
      </w:r>
    </w:p>
    <w:p w:rsidR="0086454F" w:rsidRPr="00C21745" w:rsidRDefault="0086454F"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打造队伍，夯实审判基层基础。促进队伍不断提升正规化、专业化、职业化水平，增强干警推动广汉振兴发展的责任感、紧迫感，保持审判工作良好态势。</w:t>
      </w:r>
    </w:p>
    <w:p w:rsidR="003670E9" w:rsidRDefault="003670E9" w:rsidP="003670E9">
      <w:pPr>
        <w:snapToGrid w:val="0"/>
        <w:spacing w:line="520" w:lineRule="exact"/>
        <w:ind w:firstLineChars="200" w:firstLine="672"/>
        <w:rPr>
          <w:rFonts w:ascii="仿宋_GB2312" w:eastAsia="仿宋_GB2312" w:hAnsi="仿宋"/>
          <w:sz w:val="32"/>
          <w:szCs w:val="32"/>
        </w:rPr>
      </w:pPr>
    </w:p>
    <w:p w:rsidR="0086454F" w:rsidRDefault="0086454F" w:rsidP="0086454F">
      <w:pPr>
        <w:pStyle w:val="a8"/>
        <w:shd w:val="clear" w:color="auto" w:fill="FFFFFF"/>
        <w:spacing w:before="0" w:beforeAutospacing="0" w:after="0" w:afterAutospacing="0" w:line="525" w:lineRule="atLeast"/>
        <w:ind w:firstLine="645"/>
        <w:rPr>
          <w:color w:val="333333"/>
          <w:sz w:val="27"/>
          <w:szCs w:val="27"/>
        </w:rPr>
      </w:pPr>
      <w:r>
        <w:rPr>
          <w:rFonts w:ascii="黑体" w:eastAsia="黑体" w:hAnsi="黑体" w:hint="eastAsia"/>
          <w:color w:val="333333"/>
          <w:sz w:val="32"/>
          <w:szCs w:val="32"/>
        </w:rPr>
        <w:t>二、收入支出预算执行情况分析</w:t>
      </w:r>
    </w:p>
    <w:p w:rsidR="0086454F" w:rsidRPr="00C21745" w:rsidRDefault="00C21745"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（一）收入支出预算安排情况</w:t>
      </w:r>
    </w:p>
    <w:p w:rsidR="0086454F" w:rsidRPr="00C21745" w:rsidRDefault="0086454F"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lastRenderedPageBreak/>
        <w:t>2019年预算收入</w:t>
      </w:r>
      <w:r w:rsidRPr="00C21745">
        <w:rPr>
          <w:rFonts w:ascii="仿宋_GB2312" w:eastAsia="仿宋_GB2312" w:hAnsi="仿宋" w:cs="Calibri"/>
          <w:kern w:val="2"/>
          <w:sz w:val="32"/>
          <w:szCs w:val="32"/>
        </w:rPr>
        <w:t>36,008,734.84</w:t>
      </w:r>
      <w:r w:rsidRPr="00C21745">
        <w:rPr>
          <w:rFonts w:ascii="仿宋_GB2312" w:eastAsia="仿宋_GB2312" w:hAnsi="仿宋" w:cs="Calibri" w:hint="eastAsia"/>
          <w:kern w:val="2"/>
          <w:sz w:val="32"/>
          <w:szCs w:val="32"/>
        </w:rPr>
        <w:t>元（其中：年初预算</w:t>
      </w:r>
      <w:r w:rsidRPr="00C21745">
        <w:rPr>
          <w:rFonts w:ascii="仿宋_GB2312" w:eastAsia="仿宋_GB2312" w:hAnsi="仿宋" w:cs="Calibri"/>
          <w:kern w:val="2"/>
          <w:sz w:val="32"/>
          <w:szCs w:val="32"/>
        </w:rPr>
        <w:t>20,873,235</w:t>
      </w:r>
      <w:r w:rsidRPr="00C21745">
        <w:rPr>
          <w:rFonts w:ascii="仿宋_GB2312" w:eastAsia="仿宋_GB2312" w:hAnsi="仿宋" w:cs="Calibri" w:hint="eastAsia"/>
          <w:kern w:val="2"/>
          <w:sz w:val="32"/>
          <w:szCs w:val="32"/>
        </w:rPr>
        <w:t>元，年度执行中调整预算数15135499.84元），较去年减少预算数</w:t>
      </w:r>
      <w:r w:rsidR="00DE2C51" w:rsidRPr="00C21745">
        <w:rPr>
          <w:rFonts w:ascii="仿宋_GB2312" w:eastAsia="仿宋_GB2312" w:hAnsi="仿宋" w:cs="Calibri" w:hint="eastAsia"/>
          <w:kern w:val="2"/>
          <w:sz w:val="32"/>
          <w:szCs w:val="32"/>
        </w:rPr>
        <w:t>2,680,249.82</w:t>
      </w:r>
      <w:r w:rsidRPr="00C21745">
        <w:rPr>
          <w:rFonts w:ascii="仿宋_GB2312" w:eastAsia="仿宋_GB2312" w:hAnsi="仿宋" w:cs="Calibri" w:hint="eastAsia"/>
          <w:kern w:val="2"/>
          <w:sz w:val="32"/>
          <w:szCs w:val="32"/>
        </w:rPr>
        <w:t>元。</w:t>
      </w:r>
    </w:p>
    <w:p w:rsidR="0086454F" w:rsidRPr="00C21745" w:rsidRDefault="00C21745"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Pr>
          <w:rFonts w:ascii="仿宋_GB2312" w:eastAsia="仿宋_GB2312" w:hAnsi="仿宋" w:cs="Calibri" w:hint="eastAsia"/>
          <w:kern w:val="2"/>
          <w:sz w:val="32"/>
          <w:szCs w:val="32"/>
        </w:rPr>
        <w:t>（二）收入支出预算执行情况</w:t>
      </w:r>
    </w:p>
    <w:p w:rsidR="0086454F" w:rsidRPr="00C21745" w:rsidRDefault="0086454F"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201</w:t>
      </w:r>
      <w:r w:rsidR="00DE2C51" w:rsidRPr="00C21745">
        <w:rPr>
          <w:rFonts w:ascii="仿宋_GB2312" w:eastAsia="仿宋_GB2312" w:hAnsi="仿宋" w:cs="Calibri" w:hint="eastAsia"/>
          <w:kern w:val="2"/>
          <w:sz w:val="32"/>
          <w:szCs w:val="32"/>
        </w:rPr>
        <w:t>9</w:t>
      </w:r>
      <w:r w:rsidRPr="00C21745">
        <w:rPr>
          <w:rFonts w:ascii="仿宋_GB2312" w:eastAsia="仿宋_GB2312" w:hAnsi="仿宋" w:cs="Calibri" w:hint="eastAsia"/>
          <w:kern w:val="2"/>
          <w:sz w:val="32"/>
          <w:szCs w:val="32"/>
        </w:rPr>
        <w:t>年支出数</w:t>
      </w:r>
      <w:r w:rsidR="00DE2C51" w:rsidRPr="00C21745">
        <w:rPr>
          <w:rFonts w:ascii="仿宋_GB2312" w:eastAsia="仿宋_GB2312" w:hAnsi="仿宋" w:cs="Calibri"/>
          <w:kern w:val="2"/>
          <w:sz w:val="32"/>
          <w:szCs w:val="32"/>
        </w:rPr>
        <w:t>33,974,348.50</w:t>
      </w:r>
      <w:r w:rsidRPr="00C21745">
        <w:rPr>
          <w:rFonts w:ascii="仿宋_GB2312" w:eastAsia="仿宋_GB2312" w:hAnsi="仿宋" w:cs="Calibri" w:hint="eastAsia"/>
          <w:kern w:val="2"/>
          <w:sz w:val="32"/>
          <w:szCs w:val="32"/>
        </w:rPr>
        <w:t>元，较上年增加支出数</w:t>
      </w:r>
      <w:r w:rsidR="00DE2C51" w:rsidRPr="00C21745">
        <w:rPr>
          <w:rFonts w:ascii="仿宋_GB2312" w:eastAsia="仿宋_GB2312" w:hAnsi="仿宋" w:cs="Calibri" w:hint="eastAsia"/>
          <w:kern w:val="2"/>
          <w:sz w:val="32"/>
          <w:szCs w:val="32"/>
        </w:rPr>
        <w:t>2,624,806.41</w:t>
      </w:r>
      <w:r w:rsidRPr="00C21745">
        <w:rPr>
          <w:rFonts w:ascii="仿宋_GB2312" w:eastAsia="仿宋_GB2312" w:hAnsi="仿宋" w:cs="Calibri" w:hint="eastAsia"/>
          <w:kern w:val="2"/>
          <w:sz w:val="32"/>
          <w:szCs w:val="32"/>
        </w:rPr>
        <w:t>元。主要是今年案件数量增多导致办公办案经费支出增大，项目支出较去年有所增多。</w:t>
      </w:r>
    </w:p>
    <w:p w:rsidR="0086454F" w:rsidRPr="00C21745" w:rsidRDefault="0086454F"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1、基本支出数</w:t>
      </w:r>
      <w:r w:rsidR="00DE2C51" w:rsidRPr="00C21745">
        <w:rPr>
          <w:rFonts w:ascii="仿宋_GB2312" w:eastAsia="仿宋_GB2312" w:hAnsi="仿宋" w:cs="Calibri"/>
          <w:kern w:val="2"/>
          <w:sz w:val="32"/>
          <w:szCs w:val="32"/>
        </w:rPr>
        <w:t>28,387,766.58</w:t>
      </w:r>
      <w:r w:rsidRPr="00C21745">
        <w:rPr>
          <w:rFonts w:ascii="仿宋_GB2312" w:eastAsia="仿宋_GB2312" w:hAnsi="仿宋" w:cs="Calibri" w:hint="eastAsia"/>
          <w:kern w:val="2"/>
          <w:sz w:val="32"/>
          <w:szCs w:val="32"/>
        </w:rPr>
        <w:t>元，较上年增加</w:t>
      </w:r>
      <w:r w:rsidR="00DE2C51" w:rsidRPr="00C21745">
        <w:rPr>
          <w:rFonts w:ascii="仿宋_GB2312" w:eastAsia="仿宋_GB2312" w:hAnsi="仿宋" w:cs="Calibri" w:hint="eastAsia"/>
          <w:kern w:val="2"/>
          <w:sz w:val="32"/>
          <w:szCs w:val="32"/>
        </w:rPr>
        <w:t>1161414.94</w:t>
      </w:r>
      <w:r w:rsidRPr="00C21745">
        <w:rPr>
          <w:rFonts w:ascii="仿宋_GB2312" w:eastAsia="仿宋_GB2312" w:hAnsi="仿宋" w:cs="Calibri" w:hint="eastAsia"/>
          <w:kern w:val="2"/>
          <w:sz w:val="32"/>
          <w:szCs w:val="32"/>
        </w:rPr>
        <w:t>元。主要是今年辅助人员劳务费增加办公办案经费支出增大。其中：人员经费</w:t>
      </w:r>
      <w:r w:rsidR="00DE2C51" w:rsidRPr="00C21745">
        <w:rPr>
          <w:rFonts w:ascii="仿宋_GB2312" w:eastAsia="仿宋_GB2312" w:hAnsi="仿宋" w:cs="Calibri"/>
          <w:kern w:val="2"/>
          <w:sz w:val="32"/>
          <w:szCs w:val="32"/>
        </w:rPr>
        <w:t>20,825,088.80</w:t>
      </w:r>
      <w:r w:rsidRPr="00C21745">
        <w:rPr>
          <w:rFonts w:ascii="仿宋_GB2312" w:eastAsia="仿宋_GB2312" w:hAnsi="仿宋" w:cs="Calibri" w:hint="eastAsia"/>
          <w:kern w:val="2"/>
          <w:sz w:val="32"/>
          <w:szCs w:val="32"/>
        </w:rPr>
        <w:t>元，较上年增加</w:t>
      </w:r>
      <w:r w:rsidR="00DE2C51" w:rsidRPr="00C21745">
        <w:rPr>
          <w:rFonts w:ascii="仿宋_GB2312" w:eastAsia="仿宋_GB2312" w:hAnsi="仿宋" w:cs="Calibri" w:hint="eastAsia"/>
          <w:kern w:val="2"/>
          <w:sz w:val="32"/>
          <w:szCs w:val="32"/>
        </w:rPr>
        <w:t>2373504.58</w:t>
      </w:r>
      <w:r w:rsidRPr="00C21745">
        <w:rPr>
          <w:rFonts w:ascii="仿宋_GB2312" w:eastAsia="仿宋_GB2312" w:hAnsi="仿宋" w:cs="Calibri" w:hint="eastAsia"/>
          <w:kern w:val="2"/>
          <w:sz w:val="32"/>
          <w:szCs w:val="32"/>
        </w:rPr>
        <w:t>元；日常公用经费</w:t>
      </w:r>
      <w:r w:rsidR="00DE2C51" w:rsidRPr="00C21745">
        <w:rPr>
          <w:rFonts w:ascii="仿宋_GB2312" w:eastAsia="仿宋_GB2312" w:hAnsi="仿宋" w:cs="Calibri"/>
          <w:kern w:val="2"/>
          <w:sz w:val="32"/>
          <w:szCs w:val="32"/>
        </w:rPr>
        <w:t>7,617,280.00</w:t>
      </w:r>
      <w:r w:rsidRPr="00C21745">
        <w:rPr>
          <w:rFonts w:ascii="仿宋_GB2312" w:eastAsia="仿宋_GB2312" w:hAnsi="仿宋" w:cs="Calibri" w:hint="eastAsia"/>
          <w:kern w:val="2"/>
          <w:sz w:val="32"/>
          <w:szCs w:val="32"/>
        </w:rPr>
        <w:t>元，较上年</w:t>
      </w:r>
      <w:r w:rsidR="00DE2C51" w:rsidRPr="00C21745">
        <w:rPr>
          <w:rFonts w:ascii="仿宋_GB2312" w:eastAsia="仿宋_GB2312" w:hAnsi="仿宋" w:cs="Calibri" w:hint="eastAsia"/>
          <w:kern w:val="2"/>
          <w:sz w:val="32"/>
          <w:szCs w:val="32"/>
        </w:rPr>
        <w:t>减少1157487.42</w:t>
      </w:r>
      <w:r w:rsidRPr="00C21745">
        <w:rPr>
          <w:rFonts w:ascii="仿宋_GB2312" w:eastAsia="仿宋_GB2312" w:hAnsi="仿宋" w:cs="Calibri" w:hint="eastAsia"/>
          <w:kern w:val="2"/>
          <w:sz w:val="32"/>
          <w:szCs w:val="32"/>
        </w:rPr>
        <w:t>元。</w:t>
      </w:r>
    </w:p>
    <w:p w:rsidR="0086454F" w:rsidRPr="00C21745" w:rsidRDefault="0086454F"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2、项目支出数</w:t>
      </w:r>
      <w:r w:rsidR="00DE2C51" w:rsidRPr="00C21745">
        <w:rPr>
          <w:rFonts w:ascii="仿宋_GB2312" w:eastAsia="仿宋_GB2312" w:hAnsi="仿宋" w:cs="Calibri"/>
          <w:kern w:val="2"/>
          <w:sz w:val="32"/>
          <w:szCs w:val="32"/>
        </w:rPr>
        <w:t>15,489,059.62</w:t>
      </w:r>
      <w:r w:rsidRPr="00C21745">
        <w:rPr>
          <w:rFonts w:ascii="仿宋_GB2312" w:eastAsia="仿宋_GB2312" w:hAnsi="仿宋" w:cs="Calibri" w:hint="eastAsia"/>
          <w:kern w:val="2"/>
          <w:sz w:val="32"/>
          <w:szCs w:val="32"/>
        </w:rPr>
        <w:t>元，较上年增加</w:t>
      </w:r>
      <w:r w:rsidR="00DE2C51" w:rsidRPr="00C21745">
        <w:rPr>
          <w:rFonts w:ascii="仿宋_GB2312" w:eastAsia="仿宋_GB2312" w:hAnsi="仿宋" w:cs="Calibri" w:hint="eastAsia"/>
          <w:kern w:val="2"/>
          <w:sz w:val="32"/>
          <w:szCs w:val="32"/>
        </w:rPr>
        <w:t>11365869.17</w:t>
      </w:r>
      <w:r w:rsidRPr="00C21745">
        <w:rPr>
          <w:rFonts w:ascii="仿宋_GB2312" w:eastAsia="仿宋_GB2312" w:hAnsi="仿宋" w:cs="Calibri" w:hint="eastAsia"/>
          <w:kern w:val="2"/>
          <w:sz w:val="32"/>
          <w:szCs w:val="32"/>
        </w:rPr>
        <w:t>元，主要是今年</w:t>
      </w:r>
      <w:r w:rsidR="00DE2C51" w:rsidRPr="00C21745">
        <w:rPr>
          <w:rFonts w:ascii="仿宋_GB2312" w:eastAsia="仿宋_GB2312" w:hAnsi="仿宋" w:cs="Calibri" w:hint="eastAsia"/>
          <w:kern w:val="2"/>
          <w:sz w:val="32"/>
          <w:szCs w:val="32"/>
        </w:rPr>
        <w:t>我院智慧法院项目实施加快</w:t>
      </w:r>
      <w:r w:rsidRPr="00C21745">
        <w:rPr>
          <w:rFonts w:ascii="仿宋_GB2312" w:eastAsia="仿宋_GB2312" w:hAnsi="仿宋" w:cs="Calibri" w:hint="eastAsia"/>
          <w:kern w:val="2"/>
          <w:sz w:val="32"/>
          <w:szCs w:val="32"/>
        </w:rPr>
        <w:t>，项目支出增多。</w:t>
      </w:r>
    </w:p>
    <w:p w:rsidR="009E77A1" w:rsidRPr="00C21745" w:rsidRDefault="0086454F" w:rsidP="0086454F">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3、“三公”经费支出数</w:t>
      </w:r>
      <w:r w:rsidR="00D12F11" w:rsidRPr="00C21745">
        <w:rPr>
          <w:rFonts w:ascii="仿宋_GB2312" w:eastAsia="仿宋_GB2312" w:hAnsi="仿宋" w:cs="Calibri"/>
          <w:kern w:val="2"/>
          <w:sz w:val="32"/>
          <w:szCs w:val="32"/>
        </w:rPr>
        <w:t>1,234,937.33</w:t>
      </w:r>
      <w:r w:rsidRPr="00C21745">
        <w:rPr>
          <w:rFonts w:ascii="仿宋_GB2312" w:eastAsia="仿宋_GB2312" w:hAnsi="仿宋" w:cs="Calibri" w:hint="eastAsia"/>
          <w:kern w:val="2"/>
          <w:sz w:val="32"/>
          <w:szCs w:val="32"/>
        </w:rPr>
        <w:t>元，较上年</w:t>
      </w:r>
      <w:r w:rsidR="00D12F11" w:rsidRPr="00C21745">
        <w:rPr>
          <w:rFonts w:ascii="仿宋_GB2312" w:eastAsia="仿宋_GB2312" w:hAnsi="仿宋" w:cs="Calibri" w:hint="eastAsia"/>
          <w:kern w:val="2"/>
          <w:sz w:val="32"/>
          <w:szCs w:val="32"/>
        </w:rPr>
        <w:t>减少142091.5</w:t>
      </w:r>
      <w:r w:rsidRPr="00C21745">
        <w:rPr>
          <w:rFonts w:ascii="仿宋_GB2312" w:eastAsia="仿宋_GB2312" w:hAnsi="仿宋" w:cs="Calibri" w:hint="eastAsia"/>
          <w:kern w:val="2"/>
          <w:sz w:val="32"/>
          <w:szCs w:val="32"/>
        </w:rPr>
        <w:t>元</w:t>
      </w:r>
      <w:r w:rsidR="004B01DA" w:rsidRPr="00C21745">
        <w:rPr>
          <w:rFonts w:ascii="仿宋_GB2312" w:eastAsia="仿宋_GB2312" w:hAnsi="仿宋" w:cs="Calibri" w:hint="eastAsia"/>
          <w:kern w:val="2"/>
          <w:sz w:val="32"/>
          <w:szCs w:val="32"/>
        </w:rPr>
        <w:t>，主要因为本年度购公车2辆，上年度购公车3辆，上年度部分公车运行维护费用于本年度支付。</w:t>
      </w:r>
    </w:p>
    <w:p w:rsidR="00D12F11" w:rsidRPr="00D12F11" w:rsidRDefault="00D12F11" w:rsidP="00D12F11">
      <w:pPr>
        <w:widowControl/>
        <w:spacing w:line="525" w:lineRule="atLeast"/>
        <w:ind w:firstLine="2910"/>
        <w:jc w:val="left"/>
        <w:rPr>
          <w:rFonts w:ascii="宋体" w:hAnsi="宋体" w:cs="宋体"/>
          <w:kern w:val="0"/>
          <w:sz w:val="24"/>
          <w:szCs w:val="24"/>
        </w:rPr>
      </w:pPr>
      <w:r w:rsidRPr="00D12F11">
        <w:rPr>
          <w:rFonts w:ascii="宋体" w:hAnsi="宋体" w:cs="宋体" w:hint="eastAsia"/>
          <w:b/>
          <w:bCs/>
          <w:kern w:val="0"/>
          <w:sz w:val="29"/>
        </w:rPr>
        <w:t>三公经费对比表</w:t>
      </w:r>
    </w:p>
    <w:tbl>
      <w:tblPr>
        <w:tblStyle w:val="aa"/>
        <w:tblW w:w="9180" w:type="dxa"/>
        <w:tblLook w:val="04A0"/>
      </w:tblPr>
      <w:tblGrid>
        <w:gridCol w:w="1554"/>
        <w:gridCol w:w="1566"/>
        <w:gridCol w:w="1566"/>
        <w:gridCol w:w="1566"/>
        <w:gridCol w:w="1129"/>
        <w:gridCol w:w="1799"/>
      </w:tblGrid>
      <w:tr w:rsidR="00D12F11" w:rsidRPr="00D12F11" w:rsidTr="004B01DA">
        <w:tc>
          <w:tcPr>
            <w:tcW w:w="1603" w:type="dxa"/>
            <w:vAlign w:val="center"/>
          </w:tcPr>
          <w:p w:rsidR="00D12F11" w:rsidRDefault="00D12F11" w:rsidP="004B01DA">
            <w:pPr>
              <w:pStyle w:val="a8"/>
              <w:spacing w:before="0" w:beforeAutospacing="0" w:after="0" w:afterAutospacing="0" w:line="525" w:lineRule="atLeast"/>
              <w:jc w:val="center"/>
              <w:rPr>
                <w:color w:val="333333"/>
                <w:sz w:val="27"/>
                <w:szCs w:val="27"/>
              </w:rPr>
            </w:pPr>
            <w:r>
              <w:rPr>
                <w:color w:val="333333"/>
                <w:sz w:val="27"/>
                <w:szCs w:val="27"/>
              </w:rPr>
              <w:t>项目</w:t>
            </w:r>
          </w:p>
        </w:tc>
        <w:tc>
          <w:tcPr>
            <w:tcW w:w="1566" w:type="dxa"/>
            <w:vAlign w:val="center"/>
          </w:tcPr>
          <w:p w:rsidR="00D12F11" w:rsidRDefault="00D12F11" w:rsidP="004B01DA">
            <w:pPr>
              <w:pStyle w:val="a8"/>
              <w:spacing w:before="0" w:beforeAutospacing="0" w:after="0" w:afterAutospacing="0" w:line="525" w:lineRule="atLeast"/>
              <w:jc w:val="center"/>
              <w:rPr>
                <w:color w:val="333333"/>
                <w:sz w:val="27"/>
                <w:szCs w:val="27"/>
              </w:rPr>
            </w:pPr>
            <w:r>
              <w:rPr>
                <w:color w:val="333333"/>
                <w:sz w:val="27"/>
                <w:szCs w:val="27"/>
              </w:rPr>
              <w:t>本年度</w:t>
            </w:r>
          </w:p>
        </w:tc>
        <w:tc>
          <w:tcPr>
            <w:tcW w:w="1566" w:type="dxa"/>
            <w:vAlign w:val="center"/>
          </w:tcPr>
          <w:p w:rsidR="00D12F11" w:rsidRDefault="00D12F11" w:rsidP="004B01DA">
            <w:pPr>
              <w:pStyle w:val="a8"/>
              <w:spacing w:before="0" w:beforeAutospacing="0" w:after="0" w:afterAutospacing="0" w:line="525" w:lineRule="atLeast"/>
              <w:jc w:val="center"/>
              <w:rPr>
                <w:color w:val="333333"/>
                <w:sz w:val="27"/>
                <w:szCs w:val="27"/>
              </w:rPr>
            </w:pPr>
            <w:r>
              <w:rPr>
                <w:color w:val="333333"/>
                <w:sz w:val="27"/>
                <w:szCs w:val="27"/>
              </w:rPr>
              <w:t>上年度</w:t>
            </w:r>
          </w:p>
        </w:tc>
        <w:tc>
          <w:tcPr>
            <w:tcW w:w="1431" w:type="dxa"/>
            <w:vAlign w:val="center"/>
          </w:tcPr>
          <w:p w:rsidR="00D12F11" w:rsidRDefault="00D12F11" w:rsidP="004B01DA">
            <w:pPr>
              <w:pStyle w:val="a8"/>
              <w:spacing w:before="0" w:beforeAutospacing="0" w:after="0" w:afterAutospacing="0" w:line="525" w:lineRule="atLeast"/>
              <w:jc w:val="center"/>
              <w:rPr>
                <w:color w:val="333333"/>
                <w:sz w:val="27"/>
                <w:szCs w:val="27"/>
              </w:rPr>
            </w:pPr>
            <w:r>
              <w:rPr>
                <w:color w:val="333333"/>
                <w:sz w:val="27"/>
                <w:szCs w:val="27"/>
              </w:rPr>
              <w:t>增减</w:t>
            </w:r>
          </w:p>
        </w:tc>
        <w:tc>
          <w:tcPr>
            <w:tcW w:w="1137" w:type="dxa"/>
            <w:vAlign w:val="center"/>
          </w:tcPr>
          <w:p w:rsidR="00D12F11" w:rsidRDefault="00D12F11" w:rsidP="004B01DA">
            <w:pPr>
              <w:pStyle w:val="a8"/>
              <w:spacing w:before="0" w:beforeAutospacing="0" w:after="0" w:afterAutospacing="0" w:line="525" w:lineRule="atLeast"/>
              <w:jc w:val="center"/>
              <w:rPr>
                <w:color w:val="333333"/>
                <w:sz w:val="27"/>
                <w:szCs w:val="27"/>
              </w:rPr>
            </w:pPr>
            <w:r>
              <w:rPr>
                <w:color w:val="333333"/>
                <w:sz w:val="27"/>
                <w:szCs w:val="27"/>
              </w:rPr>
              <w:t>增减</w:t>
            </w:r>
            <w:r>
              <w:rPr>
                <w:rFonts w:hint="eastAsia"/>
                <w:color w:val="333333"/>
                <w:sz w:val="27"/>
                <w:szCs w:val="27"/>
              </w:rPr>
              <w:t>（%）</w:t>
            </w:r>
          </w:p>
        </w:tc>
        <w:tc>
          <w:tcPr>
            <w:tcW w:w="1877" w:type="dxa"/>
            <w:vAlign w:val="center"/>
          </w:tcPr>
          <w:p w:rsidR="00D12F11" w:rsidRDefault="00D12F11" w:rsidP="004B01DA">
            <w:pPr>
              <w:pStyle w:val="a8"/>
              <w:spacing w:before="0" w:beforeAutospacing="0" w:after="0" w:afterAutospacing="0" w:line="525" w:lineRule="atLeast"/>
              <w:jc w:val="center"/>
              <w:rPr>
                <w:color w:val="333333"/>
                <w:sz w:val="27"/>
                <w:szCs w:val="27"/>
              </w:rPr>
            </w:pPr>
            <w:r>
              <w:rPr>
                <w:color w:val="333333"/>
                <w:sz w:val="27"/>
                <w:szCs w:val="27"/>
              </w:rPr>
              <w:t>备注</w:t>
            </w:r>
          </w:p>
        </w:tc>
      </w:tr>
      <w:tr w:rsidR="00D12F11" w:rsidRPr="00D12F11" w:rsidTr="004B01DA">
        <w:tc>
          <w:tcPr>
            <w:tcW w:w="1603" w:type="dxa"/>
          </w:tcPr>
          <w:p w:rsidR="00D12F11" w:rsidRDefault="00D12F11" w:rsidP="0086454F">
            <w:pPr>
              <w:pStyle w:val="a8"/>
              <w:spacing w:before="0" w:beforeAutospacing="0" w:after="0" w:afterAutospacing="0" w:line="525" w:lineRule="atLeast"/>
              <w:rPr>
                <w:color w:val="333333"/>
                <w:sz w:val="27"/>
                <w:szCs w:val="27"/>
              </w:rPr>
            </w:pPr>
            <w:r>
              <w:rPr>
                <w:color w:val="333333"/>
                <w:sz w:val="27"/>
                <w:szCs w:val="27"/>
              </w:rPr>
              <w:t>公务接待</w:t>
            </w:r>
            <w:r>
              <w:rPr>
                <w:color w:val="333333"/>
                <w:sz w:val="27"/>
                <w:szCs w:val="27"/>
              </w:rPr>
              <w:lastRenderedPageBreak/>
              <w:t>费</w:t>
            </w:r>
          </w:p>
        </w:tc>
        <w:tc>
          <w:tcPr>
            <w:tcW w:w="1566" w:type="dxa"/>
          </w:tcPr>
          <w:p w:rsidR="00D12F11" w:rsidRDefault="00D12F11" w:rsidP="0086454F">
            <w:pPr>
              <w:pStyle w:val="a8"/>
              <w:spacing w:before="0" w:beforeAutospacing="0" w:after="0" w:afterAutospacing="0" w:line="525" w:lineRule="atLeast"/>
              <w:rPr>
                <w:color w:val="333333"/>
                <w:sz w:val="27"/>
                <w:szCs w:val="27"/>
              </w:rPr>
            </w:pPr>
            <w:r w:rsidRPr="00D12F11">
              <w:rPr>
                <w:color w:val="333333"/>
                <w:sz w:val="27"/>
                <w:szCs w:val="27"/>
              </w:rPr>
              <w:lastRenderedPageBreak/>
              <w:t>80,067.00</w:t>
            </w:r>
          </w:p>
        </w:tc>
        <w:tc>
          <w:tcPr>
            <w:tcW w:w="1566" w:type="dxa"/>
          </w:tcPr>
          <w:p w:rsidR="00D12F11" w:rsidRDefault="00D12F11" w:rsidP="0086454F">
            <w:pPr>
              <w:pStyle w:val="a8"/>
              <w:spacing w:before="0" w:beforeAutospacing="0" w:after="0" w:afterAutospacing="0" w:line="525" w:lineRule="atLeast"/>
              <w:rPr>
                <w:color w:val="333333"/>
                <w:sz w:val="27"/>
                <w:szCs w:val="27"/>
              </w:rPr>
            </w:pPr>
            <w:r w:rsidRPr="00D12F11">
              <w:rPr>
                <w:rFonts w:hint="eastAsia"/>
                <w:color w:val="333333"/>
                <w:sz w:val="27"/>
                <w:szCs w:val="27"/>
              </w:rPr>
              <w:t>82890.00</w:t>
            </w:r>
          </w:p>
        </w:tc>
        <w:tc>
          <w:tcPr>
            <w:tcW w:w="1431" w:type="dxa"/>
          </w:tcPr>
          <w:p w:rsidR="00D12F11" w:rsidRDefault="00602091" w:rsidP="0086454F">
            <w:pPr>
              <w:pStyle w:val="a8"/>
              <w:spacing w:before="0" w:beforeAutospacing="0" w:after="0" w:afterAutospacing="0" w:line="525" w:lineRule="atLeast"/>
              <w:rPr>
                <w:color w:val="333333"/>
                <w:sz w:val="27"/>
                <w:szCs w:val="27"/>
              </w:rPr>
            </w:pPr>
            <w:r>
              <w:rPr>
                <w:color w:val="333333"/>
                <w:sz w:val="27"/>
                <w:szCs w:val="27"/>
              </w:rPr>
              <w:t>-2823.00</w:t>
            </w:r>
          </w:p>
        </w:tc>
        <w:tc>
          <w:tcPr>
            <w:tcW w:w="1137" w:type="dxa"/>
          </w:tcPr>
          <w:p w:rsidR="00D12F11" w:rsidRDefault="004B01DA" w:rsidP="0086454F">
            <w:pPr>
              <w:pStyle w:val="a8"/>
              <w:spacing w:before="0" w:beforeAutospacing="0" w:after="0" w:afterAutospacing="0" w:line="525" w:lineRule="atLeast"/>
              <w:rPr>
                <w:color w:val="333333"/>
                <w:sz w:val="27"/>
                <w:szCs w:val="27"/>
              </w:rPr>
            </w:pPr>
            <w:r>
              <w:rPr>
                <w:rFonts w:hint="eastAsia"/>
                <w:color w:val="333333"/>
                <w:sz w:val="27"/>
                <w:szCs w:val="27"/>
              </w:rPr>
              <w:t>-3.41</w:t>
            </w:r>
          </w:p>
        </w:tc>
        <w:tc>
          <w:tcPr>
            <w:tcW w:w="1877" w:type="dxa"/>
          </w:tcPr>
          <w:p w:rsidR="00D12F11" w:rsidRDefault="00D12F11" w:rsidP="0086454F">
            <w:pPr>
              <w:pStyle w:val="a8"/>
              <w:spacing w:before="0" w:beforeAutospacing="0" w:after="0" w:afterAutospacing="0" w:line="525" w:lineRule="atLeast"/>
              <w:rPr>
                <w:color w:val="333333"/>
                <w:sz w:val="27"/>
                <w:szCs w:val="27"/>
              </w:rPr>
            </w:pPr>
            <w:r>
              <w:rPr>
                <w:color w:val="333333"/>
                <w:sz w:val="27"/>
                <w:szCs w:val="27"/>
              </w:rPr>
              <w:t>严格公务接</w:t>
            </w:r>
            <w:r>
              <w:rPr>
                <w:color w:val="333333"/>
                <w:sz w:val="27"/>
                <w:szCs w:val="27"/>
              </w:rPr>
              <w:lastRenderedPageBreak/>
              <w:t>待</w:t>
            </w:r>
            <w:r>
              <w:rPr>
                <w:rFonts w:hint="eastAsia"/>
                <w:color w:val="333333"/>
                <w:sz w:val="27"/>
                <w:szCs w:val="27"/>
              </w:rPr>
              <w:t>。</w:t>
            </w:r>
          </w:p>
        </w:tc>
      </w:tr>
      <w:tr w:rsidR="00D12F11" w:rsidRPr="00D12F11" w:rsidTr="004B01DA">
        <w:tc>
          <w:tcPr>
            <w:tcW w:w="1603" w:type="dxa"/>
          </w:tcPr>
          <w:p w:rsidR="00D12F11" w:rsidRDefault="00D12F11" w:rsidP="0086454F">
            <w:pPr>
              <w:pStyle w:val="a8"/>
              <w:spacing w:before="0" w:beforeAutospacing="0" w:after="0" w:afterAutospacing="0" w:line="525" w:lineRule="atLeast"/>
              <w:rPr>
                <w:color w:val="333333"/>
                <w:sz w:val="27"/>
                <w:szCs w:val="27"/>
              </w:rPr>
            </w:pPr>
            <w:r w:rsidRPr="00D12F11">
              <w:rPr>
                <w:rFonts w:hint="eastAsia"/>
                <w:color w:val="333333"/>
                <w:sz w:val="27"/>
                <w:szCs w:val="27"/>
              </w:rPr>
              <w:lastRenderedPageBreak/>
              <w:t>公务用车购置费</w:t>
            </w:r>
          </w:p>
        </w:tc>
        <w:tc>
          <w:tcPr>
            <w:tcW w:w="1566" w:type="dxa"/>
          </w:tcPr>
          <w:p w:rsidR="00D12F11" w:rsidRDefault="00D12F11" w:rsidP="0086454F">
            <w:pPr>
              <w:pStyle w:val="a8"/>
              <w:spacing w:before="0" w:beforeAutospacing="0" w:after="0" w:afterAutospacing="0" w:line="525" w:lineRule="atLeast"/>
              <w:rPr>
                <w:color w:val="333333"/>
                <w:sz w:val="27"/>
                <w:szCs w:val="27"/>
              </w:rPr>
            </w:pPr>
            <w:r w:rsidRPr="00D12F11">
              <w:rPr>
                <w:color w:val="333333"/>
                <w:sz w:val="27"/>
                <w:szCs w:val="27"/>
              </w:rPr>
              <w:t>543,377.00</w:t>
            </w:r>
          </w:p>
        </w:tc>
        <w:tc>
          <w:tcPr>
            <w:tcW w:w="1566" w:type="dxa"/>
          </w:tcPr>
          <w:p w:rsidR="00D12F11" w:rsidRDefault="00D12F11" w:rsidP="00D12F11">
            <w:pPr>
              <w:pStyle w:val="a8"/>
              <w:spacing w:before="0" w:beforeAutospacing="0" w:after="0" w:afterAutospacing="0" w:line="525" w:lineRule="atLeast"/>
              <w:rPr>
                <w:color w:val="333333"/>
                <w:sz w:val="27"/>
                <w:szCs w:val="27"/>
              </w:rPr>
            </w:pPr>
            <w:r w:rsidRPr="00D12F11">
              <w:rPr>
                <w:rFonts w:hint="eastAsia"/>
                <w:color w:val="333333"/>
                <w:sz w:val="27"/>
                <w:szCs w:val="27"/>
              </w:rPr>
              <w:t>891582.76</w:t>
            </w:r>
          </w:p>
        </w:tc>
        <w:tc>
          <w:tcPr>
            <w:tcW w:w="1431" w:type="dxa"/>
          </w:tcPr>
          <w:p w:rsidR="00D12F11" w:rsidRDefault="00602091" w:rsidP="0086454F">
            <w:pPr>
              <w:pStyle w:val="a8"/>
              <w:spacing w:before="0" w:beforeAutospacing="0" w:after="0" w:afterAutospacing="0" w:line="525" w:lineRule="atLeast"/>
              <w:rPr>
                <w:color w:val="333333"/>
                <w:sz w:val="27"/>
                <w:szCs w:val="27"/>
              </w:rPr>
            </w:pPr>
            <w:r>
              <w:rPr>
                <w:color w:val="333333"/>
                <w:sz w:val="27"/>
                <w:szCs w:val="27"/>
              </w:rPr>
              <w:t>-348205.76</w:t>
            </w:r>
          </w:p>
        </w:tc>
        <w:tc>
          <w:tcPr>
            <w:tcW w:w="1137" w:type="dxa"/>
          </w:tcPr>
          <w:p w:rsidR="00D12F11" w:rsidRDefault="004B01DA" w:rsidP="0086454F">
            <w:pPr>
              <w:pStyle w:val="a8"/>
              <w:spacing w:before="0" w:beforeAutospacing="0" w:after="0" w:afterAutospacing="0" w:line="525" w:lineRule="atLeast"/>
              <w:rPr>
                <w:color w:val="333333"/>
                <w:sz w:val="27"/>
                <w:szCs w:val="27"/>
              </w:rPr>
            </w:pPr>
            <w:r>
              <w:rPr>
                <w:rFonts w:hint="eastAsia"/>
                <w:color w:val="333333"/>
                <w:sz w:val="27"/>
                <w:szCs w:val="27"/>
              </w:rPr>
              <w:t>-39.05</w:t>
            </w:r>
          </w:p>
        </w:tc>
        <w:tc>
          <w:tcPr>
            <w:tcW w:w="1877" w:type="dxa"/>
          </w:tcPr>
          <w:p w:rsidR="00D12F11" w:rsidRDefault="00D12F11" w:rsidP="0086454F">
            <w:pPr>
              <w:pStyle w:val="a8"/>
              <w:spacing w:before="0" w:beforeAutospacing="0" w:after="0" w:afterAutospacing="0" w:line="525" w:lineRule="atLeast"/>
              <w:rPr>
                <w:color w:val="333333"/>
                <w:sz w:val="27"/>
                <w:szCs w:val="27"/>
              </w:rPr>
            </w:pPr>
            <w:r>
              <w:rPr>
                <w:color w:val="333333"/>
                <w:sz w:val="27"/>
                <w:szCs w:val="27"/>
              </w:rPr>
              <w:t>本年度购公车</w:t>
            </w:r>
            <w:r>
              <w:rPr>
                <w:rFonts w:hint="eastAsia"/>
                <w:color w:val="333333"/>
                <w:sz w:val="27"/>
                <w:szCs w:val="27"/>
              </w:rPr>
              <w:t>2辆。</w:t>
            </w:r>
          </w:p>
        </w:tc>
      </w:tr>
      <w:tr w:rsidR="00D12F11" w:rsidRPr="00D12F11" w:rsidTr="004B01DA">
        <w:tc>
          <w:tcPr>
            <w:tcW w:w="1603" w:type="dxa"/>
          </w:tcPr>
          <w:p w:rsidR="00D12F11" w:rsidRDefault="00D12F11" w:rsidP="0086454F">
            <w:pPr>
              <w:pStyle w:val="a8"/>
              <w:spacing w:before="0" w:beforeAutospacing="0" w:after="0" w:afterAutospacing="0" w:line="525" w:lineRule="atLeast"/>
              <w:rPr>
                <w:color w:val="333333"/>
                <w:sz w:val="27"/>
                <w:szCs w:val="27"/>
              </w:rPr>
            </w:pPr>
            <w:r w:rsidRPr="00D12F11">
              <w:rPr>
                <w:rFonts w:hint="eastAsia"/>
                <w:color w:val="333333"/>
                <w:sz w:val="27"/>
                <w:szCs w:val="27"/>
              </w:rPr>
              <w:t>公务用车运行维护费</w:t>
            </w:r>
          </w:p>
        </w:tc>
        <w:tc>
          <w:tcPr>
            <w:tcW w:w="1566" w:type="dxa"/>
          </w:tcPr>
          <w:p w:rsidR="00D12F11" w:rsidRDefault="00D12F11" w:rsidP="0086454F">
            <w:pPr>
              <w:pStyle w:val="a8"/>
              <w:spacing w:before="0" w:beforeAutospacing="0" w:after="0" w:afterAutospacing="0" w:line="525" w:lineRule="atLeast"/>
              <w:rPr>
                <w:color w:val="333333"/>
                <w:sz w:val="27"/>
                <w:szCs w:val="27"/>
              </w:rPr>
            </w:pPr>
            <w:r w:rsidRPr="00D12F11">
              <w:rPr>
                <w:color w:val="333333"/>
                <w:sz w:val="27"/>
                <w:szCs w:val="27"/>
              </w:rPr>
              <w:t>611,493.33</w:t>
            </w:r>
          </w:p>
        </w:tc>
        <w:tc>
          <w:tcPr>
            <w:tcW w:w="1566" w:type="dxa"/>
          </w:tcPr>
          <w:p w:rsidR="00D12F11" w:rsidRDefault="00D12F11" w:rsidP="0086454F">
            <w:pPr>
              <w:pStyle w:val="a8"/>
              <w:spacing w:before="0" w:beforeAutospacing="0" w:after="0" w:afterAutospacing="0" w:line="525" w:lineRule="atLeast"/>
              <w:rPr>
                <w:color w:val="333333"/>
                <w:sz w:val="27"/>
                <w:szCs w:val="27"/>
              </w:rPr>
            </w:pPr>
            <w:r w:rsidRPr="00D12F11">
              <w:rPr>
                <w:rFonts w:hint="eastAsia"/>
                <w:color w:val="333333"/>
                <w:sz w:val="27"/>
                <w:szCs w:val="27"/>
              </w:rPr>
              <w:t>402556.07</w:t>
            </w:r>
          </w:p>
        </w:tc>
        <w:tc>
          <w:tcPr>
            <w:tcW w:w="1431" w:type="dxa"/>
          </w:tcPr>
          <w:p w:rsidR="00D12F11" w:rsidRDefault="004B01DA" w:rsidP="0086454F">
            <w:pPr>
              <w:pStyle w:val="a8"/>
              <w:spacing w:before="0" w:beforeAutospacing="0" w:after="0" w:afterAutospacing="0" w:line="525" w:lineRule="atLeast"/>
              <w:rPr>
                <w:color w:val="333333"/>
                <w:sz w:val="27"/>
                <w:szCs w:val="27"/>
              </w:rPr>
            </w:pPr>
            <w:r>
              <w:rPr>
                <w:rFonts w:hint="eastAsia"/>
                <w:color w:val="333333"/>
                <w:sz w:val="27"/>
                <w:szCs w:val="27"/>
              </w:rPr>
              <w:t>208937.26</w:t>
            </w:r>
          </w:p>
        </w:tc>
        <w:tc>
          <w:tcPr>
            <w:tcW w:w="1137" w:type="dxa"/>
          </w:tcPr>
          <w:p w:rsidR="00D12F11" w:rsidRDefault="004B01DA" w:rsidP="0086454F">
            <w:pPr>
              <w:pStyle w:val="a8"/>
              <w:spacing w:before="0" w:beforeAutospacing="0" w:after="0" w:afterAutospacing="0" w:line="525" w:lineRule="atLeast"/>
              <w:rPr>
                <w:color w:val="333333"/>
                <w:sz w:val="27"/>
                <w:szCs w:val="27"/>
              </w:rPr>
            </w:pPr>
            <w:r>
              <w:rPr>
                <w:rFonts w:hint="eastAsia"/>
                <w:color w:val="333333"/>
                <w:sz w:val="27"/>
                <w:szCs w:val="27"/>
              </w:rPr>
              <w:t>51.90</w:t>
            </w:r>
          </w:p>
        </w:tc>
        <w:tc>
          <w:tcPr>
            <w:tcW w:w="1877" w:type="dxa"/>
          </w:tcPr>
          <w:p w:rsidR="00D12F11" w:rsidRDefault="00D12F11" w:rsidP="0086454F">
            <w:pPr>
              <w:pStyle w:val="a8"/>
              <w:spacing w:before="0" w:beforeAutospacing="0" w:after="0" w:afterAutospacing="0" w:line="525" w:lineRule="atLeast"/>
              <w:rPr>
                <w:color w:val="333333"/>
                <w:sz w:val="27"/>
                <w:szCs w:val="27"/>
              </w:rPr>
            </w:pPr>
            <w:r>
              <w:rPr>
                <w:rFonts w:hint="eastAsia"/>
                <w:color w:val="333333"/>
                <w:sz w:val="27"/>
                <w:szCs w:val="27"/>
              </w:rPr>
              <w:t>2018年部分未支出费用于2019年支付。</w:t>
            </w:r>
          </w:p>
        </w:tc>
      </w:tr>
      <w:tr w:rsidR="00D12F11" w:rsidRPr="00D12F11" w:rsidTr="004B01DA">
        <w:tc>
          <w:tcPr>
            <w:tcW w:w="1603" w:type="dxa"/>
          </w:tcPr>
          <w:p w:rsidR="00D12F11" w:rsidRDefault="00D12F11" w:rsidP="0086454F">
            <w:pPr>
              <w:pStyle w:val="a8"/>
              <w:spacing w:before="0" w:beforeAutospacing="0" w:after="0" w:afterAutospacing="0" w:line="525" w:lineRule="atLeast"/>
              <w:rPr>
                <w:color w:val="333333"/>
                <w:sz w:val="27"/>
                <w:szCs w:val="27"/>
              </w:rPr>
            </w:pPr>
            <w:r w:rsidRPr="00D12F11">
              <w:rPr>
                <w:rFonts w:hint="eastAsia"/>
                <w:color w:val="333333"/>
                <w:sz w:val="27"/>
                <w:szCs w:val="27"/>
              </w:rPr>
              <w:t>因公出国费</w:t>
            </w:r>
          </w:p>
        </w:tc>
        <w:tc>
          <w:tcPr>
            <w:tcW w:w="1566" w:type="dxa"/>
          </w:tcPr>
          <w:p w:rsidR="00D12F11" w:rsidRDefault="00D12F11" w:rsidP="0086454F">
            <w:pPr>
              <w:pStyle w:val="a8"/>
              <w:spacing w:before="0" w:beforeAutospacing="0" w:after="0" w:afterAutospacing="0" w:line="525" w:lineRule="atLeast"/>
              <w:rPr>
                <w:color w:val="333333"/>
                <w:sz w:val="27"/>
                <w:szCs w:val="27"/>
              </w:rPr>
            </w:pPr>
            <w:r>
              <w:rPr>
                <w:rFonts w:hint="eastAsia"/>
                <w:color w:val="333333"/>
                <w:sz w:val="27"/>
                <w:szCs w:val="27"/>
              </w:rPr>
              <w:t>0</w:t>
            </w:r>
          </w:p>
        </w:tc>
        <w:tc>
          <w:tcPr>
            <w:tcW w:w="1566" w:type="dxa"/>
          </w:tcPr>
          <w:p w:rsidR="00D12F11" w:rsidRDefault="00D12F11" w:rsidP="0086454F">
            <w:pPr>
              <w:pStyle w:val="a8"/>
              <w:spacing w:before="0" w:beforeAutospacing="0" w:after="0" w:afterAutospacing="0" w:line="525" w:lineRule="atLeast"/>
              <w:rPr>
                <w:color w:val="333333"/>
                <w:sz w:val="27"/>
                <w:szCs w:val="27"/>
              </w:rPr>
            </w:pPr>
            <w:r>
              <w:rPr>
                <w:rFonts w:hint="eastAsia"/>
                <w:color w:val="333333"/>
                <w:sz w:val="27"/>
                <w:szCs w:val="27"/>
              </w:rPr>
              <w:t>0</w:t>
            </w:r>
          </w:p>
        </w:tc>
        <w:tc>
          <w:tcPr>
            <w:tcW w:w="1431" w:type="dxa"/>
          </w:tcPr>
          <w:p w:rsidR="00D12F11" w:rsidRDefault="00D12F11" w:rsidP="0086454F">
            <w:pPr>
              <w:pStyle w:val="a8"/>
              <w:spacing w:before="0" w:beforeAutospacing="0" w:after="0" w:afterAutospacing="0" w:line="525" w:lineRule="atLeast"/>
              <w:rPr>
                <w:color w:val="333333"/>
                <w:sz w:val="27"/>
                <w:szCs w:val="27"/>
              </w:rPr>
            </w:pPr>
            <w:r>
              <w:rPr>
                <w:rFonts w:hint="eastAsia"/>
                <w:color w:val="333333"/>
                <w:sz w:val="27"/>
                <w:szCs w:val="27"/>
              </w:rPr>
              <w:t>0</w:t>
            </w:r>
          </w:p>
        </w:tc>
        <w:tc>
          <w:tcPr>
            <w:tcW w:w="1137" w:type="dxa"/>
          </w:tcPr>
          <w:p w:rsidR="00D12F11" w:rsidRDefault="00D12F11" w:rsidP="0086454F">
            <w:pPr>
              <w:pStyle w:val="a8"/>
              <w:spacing w:before="0" w:beforeAutospacing="0" w:after="0" w:afterAutospacing="0" w:line="525" w:lineRule="atLeast"/>
              <w:rPr>
                <w:color w:val="333333"/>
                <w:sz w:val="27"/>
                <w:szCs w:val="27"/>
              </w:rPr>
            </w:pPr>
            <w:r>
              <w:rPr>
                <w:rFonts w:hint="eastAsia"/>
                <w:color w:val="333333"/>
                <w:sz w:val="27"/>
                <w:szCs w:val="27"/>
              </w:rPr>
              <w:t>0</w:t>
            </w:r>
          </w:p>
        </w:tc>
        <w:tc>
          <w:tcPr>
            <w:tcW w:w="1877" w:type="dxa"/>
          </w:tcPr>
          <w:p w:rsidR="00D12F11" w:rsidRDefault="00D12F11" w:rsidP="0086454F">
            <w:pPr>
              <w:pStyle w:val="a8"/>
              <w:spacing w:before="0" w:beforeAutospacing="0" w:after="0" w:afterAutospacing="0" w:line="525" w:lineRule="atLeast"/>
              <w:rPr>
                <w:color w:val="333333"/>
                <w:sz w:val="27"/>
                <w:szCs w:val="27"/>
              </w:rPr>
            </w:pPr>
          </w:p>
        </w:tc>
      </w:tr>
      <w:tr w:rsidR="00D12F11" w:rsidRPr="00D12F11" w:rsidTr="004B01DA">
        <w:tc>
          <w:tcPr>
            <w:tcW w:w="1603" w:type="dxa"/>
          </w:tcPr>
          <w:p w:rsidR="00D12F11" w:rsidRDefault="00D12F11" w:rsidP="00D12F11">
            <w:pPr>
              <w:pStyle w:val="a8"/>
              <w:spacing w:before="0" w:beforeAutospacing="0" w:after="0" w:afterAutospacing="0" w:line="525" w:lineRule="atLeast"/>
              <w:rPr>
                <w:color w:val="333333"/>
                <w:sz w:val="27"/>
                <w:szCs w:val="27"/>
              </w:rPr>
            </w:pPr>
            <w:r>
              <w:rPr>
                <w:color w:val="333333"/>
                <w:sz w:val="27"/>
                <w:szCs w:val="27"/>
              </w:rPr>
              <w:tab/>
              <w:t>合计</w:t>
            </w:r>
          </w:p>
        </w:tc>
        <w:tc>
          <w:tcPr>
            <w:tcW w:w="1566" w:type="dxa"/>
          </w:tcPr>
          <w:p w:rsidR="00D12F11" w:rsidRDefault="00D12F11" w:rsidP="0086454F">
            <w:pPr>
              <w:pStyle w:val="a8"/>
              <w:spacing w:before="0" w:beforeAutospacing="0" w:after="0" w:afterAutospacing="0" w:line="525" w:lineRule="atLeast"/>
              <w:rPr>
                <w:color w:val="333333"/>
                <w:sz w:val="27"/>
                <w:szCs w:val="27"/>
              </w:rPr>
            </w:pPr>
            <w:r>
              <w:rPr>
                <w:rFonts w:hint="eastAsia"/>
                <w:color w:val="333333"/>
                <w:sz w:val="27"/>
                <w:szCs w:val="27"/>
              </w:rPr>
              <w:t>1234937.33</w:t>
            </w:r>
          </w:p>
        </w:tc>
        <w:tc>
          <w:tcPr>
            <w:tcW w:w="1566" w:type="dxa"/>
          </w:tcPr>
          <w:p w:rsidR="00D12F11" w:rsidRDefault="00D12F11" w:rsidP="0086454F">
            <w:pPr>
              <w:pStyle w:val="a8"/>
              <w:spacing w:before="0" w:beforeAutospacing="0" w:after="0" w:afterAutospacing="0" w:line="525" w:lineRule="atLeast"/>
              <w:rPr>
                <w:color w:val="333333"/>
                <w:sz w:val="27"/>
                <w:szCs w:val="27"/>
              </w:rPr>
            </w:pPr>
            <w:r w:rsidRPr="00D12F11">
              <w:rPr>
                <w:rFonts w:hint="eastAsia"/>
                <w:color w:val="333333"/>
                <w:sz w:val="27"/>
                <w:szCs w:val="27"/>
              </w:rPr>
              <w:t>1377028.83</w:t>
            </w:r>
          </w:p>
        </w:tc>
        <w:tc>
          <w:tcPr>
            <w:tcW w:w="1431" w:type="dxa"/>
          </w:tcPr>
          <w:p w:rsidR="00D12F11" w:rsidRDefault="004B01DA" w:rsidP="0086454F">
            <w:pPr>
              <w:pStyle w:val="a8"/>
              <w:spacing w:before="0" w:beforeAutospacing="0" w:after="0" w:afterAutospacing="0" w:line="525" w:lineRule="atLeast"/>
              <w:rPr>
                <w:color w:val="333333"/>
                <w:sz w:val="27"/>
                <w:szCs w:val="27"/>
              </w:rPr>
            </w:pPr>
            <w:r>
              <w:rPr>
                <w:rFonts w:hint="eastAsia"/>
                <w:color w:val="333333"/>
                <w:sz w:val="27"/>
                <w:szCs w:val="27"/>
              </w:rPr>
              <w:t>-142091.5</w:t>
            </w:r>
          </w:p>
        </w:tc>
        <w:tc>
          <w:tcPr>
            <w:tcW w:w="1137" w:type="dxa"/>
          </w:tcPr>
          <w:p w:rsidR="00D12F11" w:rsidRDefault="004B01DA" w:rsidP="0086454F">
            <w:pPr>
              <w:pStyle w:val="a8"/>
              <w:spacing w:before="0" w:beforeAutospacing="0" w:after="0" w:afterAutospacing="0" w:line="525" w:lineRule="atLeast"/>
              <w:rPr>
                <w:color w:val="333333"/>
                <w:sz w:val="27"/>
                <w:szCs w:val="27"/>
              </w:rPr>
            </w:pPr>
            <w:r>
              <w:rPr>
                <w:rFonts w:hint="eastAsia"/>
                <w:color w:val="333333"/>
                <w:sz w:val="27"/>
                <w:szCs w:val="27"/>
              </w:rPr>
              <w:t>-10.32</w:t>
            </w:r>
          </w:p>
        </w:tc>
        <w:tc>
          <w:tcPr>
            <w:tcW w:w="1877" w:type="dxa"/>
          </w:tcPr>
          <w:p w:rsidR="00D12F11" w:rsidRDefault="004B01DA" w:rsidP="0086454F">
            <w:pPr>
              <w:pStyle w:val="a8"/>
              <w:spacing w:before="0" w:beforeAutospacing="0" w:after="0" w:afterAutospacing="0" w:line="525" w:lineRule="atLeast"/>
              <w:rPr>
                <w:color w:val="333333"/>
                <w:sz w:val="27"/>
                <w:szCs w:val="27"/>
              </w:rPr>
            </w:pPr>
            <w:r>
              <w:rPr>
                <w:color w:val="333333"/>
                <w:sz w:val="27"/>
                <w:szCs w:val="27"/>
              </w:rPr>
              <w:t>严格三公经费管理</w:t>
            </w:r>
          </w:p>
        </w:tc>
      </w:tr>
    </w:tbl>
    <w:p w:rsidR="004B01DA" w:rsidRPr="00C21745" w:rsidRDefault="004E7B4E" w:rsidP="004B01DA">
      <w:pPr>
        <w:pStyle w:val="a8"/>
        <w:shd w:val="clear" w:color="auto" w:fill="FFFFFF"/>
        <w:spacing w:before="0" w:beforeAutospacing="0" w:after="0" w:afterAutospacing="0" w:line="525" w:lineRule="atLeast"/>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（三）</w:t>
      </w:r>
      <w:r w:rsidR="00C21745">
        <w:rPr>
          <w:rFonts w:ascii="仿宋_GB2312" w:eastAsia="仿宋_GB2312" w:hAnsi="仿宋" w:cs="Calibri" w:hint="eastAsia"/>
          <w:kern w:val="2"/>
          <w:sz w:val="32"/>
          <w:szCs w:val="32"/>
        </w:rPr>
        <w:t>年末结转和结余情况</w:t>
      </w:r>
    </w:p>
    <w:p w:rsidR="004B01DA" w:rsidRPr="00C21745" w:rsidRDefault="004B01DA" w:rsidP="00C21745">
      <w:pPr>
        <w:pStyle w:val="a8"/>
        <w:shd w:val="clear" w:color="auto" w:fill="FFFFFF"/>
        <w:spacing w:before="0" w:beforeAutospacing="0" w:after="0" w:afterAutospacing="0"/>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1、项目结转和结余数</w:t>
      </w:r>
      <w:r w:rsidRPr="00C21745">
        <w:rPr>
          <w:rFonts w:ascii="仿宋_GB2312" w:eastAsia="仿宋_GB2312" w:hAnsi="仿宋" w:cs="Calibri"/>
          <w:kern w:val="2"/>
          <w:sz w:val="32"/>
          <w:szCs w:val="32"/>
        </w:rPr>
        <w:t>9,902,477.70</w:t>
      </w:r>
      <w:r w:rsidRPr="00C21745">
        <w:rPr>
          <w:rFonts w:ascii="仿宋_GB2312" w:eastAsia="仿宋_GB2312" w:hAnsi="仿宋" w:cs="Calibri" w:hint="eastAsia"/>
          <w:kern w:val="2"/>
          <w:sz w:val="32"/>
          <w:szCs w:val="32"/>
        </w:rPr>
        <w:t>元，主要2019年两庭建设经费已下达，尚未实施。</w:t>
      </w:r>
    </w:p>
    <w:p w:rsidR="004B01DA" w:rsidRPr="00C21745" w:rsidRDefault="004B01DA" w:rsidP="00C21745">
      <w:pPr>
        <w:pStyle w:val="a8"/>
        <w:shd w:val="clear" w:color="auto" w:fill="FFFFFF"/>
        <w:spacing w:before="0" w:beforeAutospacing="0" w:after="0" w:afterAutospacing="0"/>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2、基本结转和结余数</w:t>
      </w:r>
      <w:r w:rsidRPr="00C21745">
        <w:rPr>
          <w:rFonts w:ascii="仿宋_GB2312" w:eastAsia="仿宋_GB2312" w:hAnsi="仿宋" w:cs="Calibri"/>
          <w:kern w:val="2"/>
          <w:sz w:val="32"/>
          <w:szCs w:val="32"/>
        </w:rPr>
        <w:t>137,027.77</w:t>
      </w:r>
      <w:r w:rsidRPr="00C21745">
        <w:rPr>
          <w:rFonts w:ascii="仿宋_GB2312" w:eastAsia="仿宋_GB2312" w:hAnsi="仿宋" w:cs="Calibri" w:hint="eastAsia"/>
          <w:kern w:val="2"/>
          <w:sz w:val="32"/>
          <w:szCs w:val="32"/>
        </w:rPr>
        <w:t>元，主要是年底调资追加的预算还未实施。</w:t>
      </w:r>
    </w:p>
    <w:p w:rsidR="004B01DA" w:rsidRDefault="004E7B4E" w:rsidP="004E7B4E">
      <w:pPr>
        <w:pStyle w:val="a8"/>
        <w:shd w:val="clear" w:color="auto" w:fill="FFFFFF"/>
        <w:spacing w:before="0" w:beforeAutospacing="0" w:after="0" w:afterAutospacing="0" w:line="525" w:lineRule="atLeast"/>
        <w:ind w:firstLineChars="200" w:firstLine="640"/>
        <w:rPr>
          <w:color w:val="333333"/>
          <w:sz w:val="27"/>
          <w:szCs w:val="27"/>
        </w:rPr>
      </w:pPr>
      <w:r>
        <w:rPr>
          <w:rFonts w:ascii="黑体" w:eastAsia="黑体" w:hAnsi="黑体" w:hint="eastAsia"/>
          <w:color w:val="333333"/>
          <w:sz w:val="32"/>
          <w:szCs w:val="32"/>
        </w:rPr>
        <w:t>三</w:t>
      </w:r>
      <w:r w:rsidR="004B01DA">
        <w:rPr>
          <w:rFonts w:ascii="黑体" w:eastAsia="黑体" w:hAnsi="黑体" w:hint="eastAsia"/>
          <w:color w:val="333333"/>
          <w:sz w:val="32"/>
          <w:szCs w:val="32"/>
        </w:rPr>
        <w:t>、资产负债情况分析</w:t>
      </w:r>
    </w:p>
    <w:p w:rsidR="004B01DA" w:rsidRPr="00C21745" w:rsidRDefault="004B01DA" w:rsidP="004B01DA">
      <w:pPr>
        <w:pStyle w:val="a8"/>
        <w:shd w:val="clear" w:color="auto" w:fill="FFFFFF"/>
        <w:spacing w:before="0" w:beforeAutospacing="0" w:after="0" w:afterAutospacing="0"/>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1、资产总计</w:t>
      </w:r>
      <w:r w:rsidR="00572FB5" w:rsidRPr="00C21745">
        <w:rPr>
          <w:rFonts w:ascii="仿宋_GB2312" w:eastAsia="仿宋_GB2312" w:hAnsi="仿宋" w:cs="Calibri"/>
          <w:kern w:val="2"/>
          <w:sz w:val="32"/>
          <w:szCs w:val="32"/>
        </w:rPr>
        <w:t>44,788,130.67</w:t>
      </w:r>
      <w:r w:rsidRPr="00C21745">
        <w:rPr>
          <w:rFonts w:ascii="仿宋_GB2312" w:eastAsia="仿宋_GB2312" w:hAnsi="仿宋" w:cs="Calibri" w:hint="eastAsia"/>
          <w:kern w:val="2"/>
          <w:sz w:val="32"/>
          <w:szCs w:val="32"/>
        </w:rPr>
        <w:t>元，较上年</w:t>
      </w:r>
      <w:r w:rsidR="00572FB5" w:rsidRPr="00C21745">
        <w:rPr>
          <w:rFonts w:ascii="仿宋_GB2312" w:eastAsia="仿宋_GB2312" w:hAnsi="仿宋" w:cs="Calibri" w:hint="eastAsia"/>
          <w:kern w:val="2"/>
          <w:sz w:val="32"/>
          <w:szCs w:val="32"/>
        </w:rPr>
        <w:t>减少13763760.57</w:t>
      </w:r>
      <w:r w:rsidRPr="00C21745">
        <w:rPr>
          <w:rFonts w:ascii="仿宋_GB2312" w:eastAsia="仿宋_GB2312" w:hAnsi="仿宋" w:cs="Calibri" w:hint="eastAsia"/>
          <w:kern w:val="2"/>
          <w:sz w:val="32"/>
          <w:szCs w:val="32"/>
        </w:rPr>
        <w:t>元。主要是</w:t>
      </w:r>
      <w:r w:rsidR="00572FB5" w:rsidRPr="00C21745">
        <w:rPr>
          <w:rFonts w:ascii="仿宋_GB2312" w:eastAsia="仿宋_GB2312" w:hAnsi="仿宋" w:cs="Calibri" w:hint="eastAsia"/>
          <w:kern w:val="2"/>
          <w:sz w:val="32"/>
          <w:szCs w:val="32"/>
        </w:rPr>
        <w:t>2019年开始计提固定资产折旧</w:t>
      </w:r>
      <w:r w:rsidRPr="00C21745">
        <w:rPr>
          <w:rFonts w:ascii="仿宋_GB2312" w:eastAsia="仿宋_GB2312" w:hAnsi="仿宋" w:cs="Calibri" w:hint="eastAsia"/>
          <w:kern w:val="2"/>
          <w:sz w:val="32"/>
          <w:szCs w:val="32"/>
        </w:rPr>
        <w:t>。其中：固定资产</w:t>
      </w:r>
      <w:r w:rsidR="00572FB5" w:rsidRPr="00C21745">
        <w:rPr>
          <w:rFonts w:ascii="仿宋_GB2312" w:eastAsia="仿宋_GB2312" w:hAnsi="仿宋" w:cs="Calibri" w:hint="eastAsia"/>
          <w:kern w:val="2"/>
          <w:sz w:val="32"/>
          <w:szCs w:val="32"/>
        </w:rPr>
        <w:t>原值</w:t>
      </w:r>
      <w:r w:rsidR="00572FB5" w:rsidRPr="00C21745">
        <w:rPr>
          <w:rFonts w:ascii="仿宋_GB2312" w:eastAsia="仿宋_GB2312" w:hAnsi="仿宋" w:cs="Calibri"/>
          <w:kern w:val="2"/>
          <w:sz w:val="32"/>
          <w:szCs w:val="32"/>
        </w:rPr>
        <w:t>51,159,163.88元</w:t>
      </w:r>
      <w:r w:rsidR="00572FB5" w:rsidRPr="00C21745">
        <w:rPr>
          <w:rFonts w:ascii="仿宋_GB2312" w:eastAsia="仿宋_GB2312" w:hAnsi="仿宋" w:cs="Calibri" w:hint="eastAsia"/>
          <w:kern w:val="2"/>
          <w:sz w:val="32"/>
          <w:szCs w:val="32"/>
        </w:rPr>
        <w:t>，</w:t>
      </w:r>
      <w:r w:rsidR="00572FB5" w:rsidRPr="00C21745">
        <w:rPr>
          <w:rFonts w:ascii="仿宋_GB2312" w:eastAsia="仿宋_GB2312" w:hAnsi="仿宋" w:cs="Calibri"/>
          <w:kern w:val="2"/>
          <w:sz w:val="32"/>
          <w:szCs w:val="32"/>
        </w:rPr>
        <w:t>累计折旧18,055,765.96元</w:t>
      </w:r>
      <w:r w:rsidR="00572FB5" w:rsidRPr="00C21745">
        <w:rPr>
          <w:rFonts w:ascii="仿宋_GB2312" w:eastAsia="仿宋_GB2312" w:hAnsi="仿宋" w:cs="Calibri" w:hint="eastAsia"/>
          <w:kern w:val="2"/>
          <w:sz w:val="32"/>
          <w:szCs w:val="32"/>
        </w:rPr>
        <w:t>，</w:t>
      </w:r>
      <w:r w:rsidR="00572FB5" w:rsidRPr="00C21745">
        <w:rPr>
          <w:rFonts w:ascii="仿宋_GB2312" w:eastAsia="仿宋_GB2312" w:hAnsi="仿宋" w:cs="Calibri"/>
          <w:kern w:val="2"/>
          <w:sz w:val="32"/>
          <w:szCs w:val="32"/>
        </w:rPr>
        <w:t>固定资产净值33,103,397.92元</w:t>
      </w:r>
      <w:r w:rsidR="00572FB5" w:rsidRPr="00C21745">
        <w:rPr>
          <w:rFonts w:ascii="仿宋_GB2312" w:eastAsia="仿宋_GB2312" w:hAnsi="仿宋" w:cs="Calibri" w:hint="eastAsia"/>
          <w:kern w:val="2"/>
          <w:sz w:val="32"/>
          <w:szCs w:val="32"/>
        </w:rPr>
        <w:t>。无形资</w:t>
      </w:r>
      <w:r w:rsidR="00572FB5" w:rsidRPr="00C21745">
        <w:rPr>
          <w:rFonts w:ascii="仿宋_GB2312" w:eastAsia="仿宋_GB2312" w:hAnsi="仿宋" w:cs="Calibri" w:hint="eastAsia"/>
          <w:kern w:val="2"/>
          <w:sz w:val="32"/>
          <w:szCs w:val="32"/>
        </w:rPr>
        <w:lastRenderedPageBreak/>
        <w:t>产原值</w:t>
      </w:r>
      <w:r w:rsidR="00572FB5" w:rsidRPr="00C21745">
        <w:rPr>
          <w:rFonts w:ascii="仿宋_GB2312" w:eastAsia="仿宋_GB2312" w:hAnsi="仿宋" w:cs="Calibri"/>
          <w:kern w:val="2"/>
          <w:sz w:val="32"/>
          <w:szCs w:val="32"/>
        </w:rPr>
        <w:t>498,000.00元</w:t>
      </w:r>
      <w:r w:rsidR="00572FB5" w:rsidRPr="00C21745">
        <w:rPr>
          <w:rFonts w:ascii="仿宋_GB2312" w:eastAsia="仿宋_GB2312" w:hAnsi="仿宋" w:cs="Calibri" w:hint="eastAsia"/>
          <w:kern w:val="2"/>
          <w:sz w:val="32"/>
          <w:szCs w:val="32"/>
        </w:rPr>
        <w:t>，</w:t>
      </w:r>
      <w:r w:rsidR="00572FB5" w:rsidRPr="00C21745">
        <w:rPr>
          <w:rFonts w:ascii="仿宋_GB2312" w:eastAsia="仿宋_GB2312" w:hAnsi="仿宋" w:cs="Calibri"/>
          <w:kern w:val="2"/>
          <w:sz w:val="32"/>
          <w:szCs w:val="32"/>
        </w:rPr>
        <w:t>累计摊销1,858.33元</w:t>
      </w:r>
      <w:r w:rsidR="00572FB5" w:rsidRPr="00C21745">
        <w:rPr>
          <w:rFonts w:ascii="仿宋_GB2312" w:eastAsia="仿宋_GB2312" w:hAnsi="仿宋" w:cs="Calibri" w:hint="eastAsia"/>
          <w:kern w:val="2"/>
          <w:sz w:val="32"/>
          <w:szCs w:val="32"/>
        </w:rPr>
        <w:t>，</w:t>
      </w:r>
      <w:r w:rsidR="00572FB5" w:rsidRPr="00C21745">
        <w:rPr>
          <w:rFonts w:ascii="仿宋_GB2312" w:eastAsia="仿宋_GB2312" w:hAnsi="仿宋" w:cs="Calibri"/>
          <w:kern w:val="2"/>
          <w:sz w:val="32"/>
          <w:szCs w:val="32"/>
        </w:rPr>
        <w:t>无形资产净值496,141.67元</w:t>
      </w:r>
      <w:r w:rsidR="00572FB5" w:rsidRPr="00C21745">
        <w:rPr>
          <w:rFonts w:ascii="仿宋_GB2312" w:eastAsia="仿宋_GB2312" w:hAnsi="仿宋" w:cs="Calibri" w:hint="eastAsia"/>
          <w:kern w:val="2"/>
          <w:sz w:val="32"/>
          <w:szCs w:val="32"/>
        </w:rPr>
        <w:t>。</w:t>
      </w:r>
    </w:p>
    <w:p w:rsidR="004B01DA" w:rsidRPr="00C21745" w:rsidRDefault="004B01DA" w:rsidP="004B01DA">
      <w:pPr>
        <w:pStyle w:val="a8"/>
        <w:shd w:val="clear" w:color="auto" w:fill="FFFFFF"/>
        <w:spacing w:before="0" w:beforeAutospacing="0" w:after="0" w:afterAutospacing="0"/>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2、负债总计</w:t>
      </w:r>
      <w:r w:rsidR="00572FB5" w:rsidRPr="00C21745">
        <w:rPr>
          <w:rFonts w:ascii="仿宋_GB2312" w:eastAsia="仿宋_GB2312" w:hAnsi="仿宋" w:cs="Calibri"/>
          <w:kern w:val="2"/>
          <w:sz w:val="32"/>
          <w:szCs w:val="32"/>
        </w:rPr>
        <w:t>237,858.87</w:t>
      </w:r>
      <w:r w:rsidRPr="00C21745">
        <w:rPr>
          <w:rFonts w:ascii="仿宋_GB2312" w:eastAsia="仿宋_GB2312" w:hAnsi="仿宋" w:cs="Calibri" w:hint="eastAsia"/>
          <w:kern w:val="2"/>
          <w:sz w:val="32"/>
          <w:szCs w:val="32"/>
        </w:rPr>
        <w:t>元，较上年增加</w:t>
      </w:r>
      <w:r w:rsidR="004E7B4E" w:rsidRPr="00C21745">
        <w:rPr>
          <w:rFonts w:ascii="仿宋_GB2312" w:eastAsia="仿宋_GB2312" w:hAnsi="仿宋" w:cs="Calibri" w:hint="eastAsia"/>
          <w:kern w:val="2"/>
          <w:sz w:val="32"/>
          <w:szCs w:val="32"/>
        </w:rPr>
        <w:t>1812621.36</w:t>
      </w:r>
      <w:r w:rsidRPr="00C21745">
        <w:rPr>
          <w:rFonts w:ascii="仿宋_GB2312" w:eastAsia="仿宋_GB2312" w:hAnsi="仿宋" w:cs="Calibri" w:hint="eastAsia"/>
          <w:kern w:val="2"/>
          <w:sz w:val="32"/>
          <w:szCs w:val="32"/>
        </w:rPr>
        <w:t>元。主要是</w:t>
      </w:r>
      <w:r w:rsidR="004E7B4E" w:rsidRPr="00C21745">
        <w:rPr>
          <w:rFonts w:ascii="仿宋_GB2312" w:eastAsia="仿宋_GB2312" w:hAnsi="仿宋" w:cs="Calibri" w:hint="eastAsia"/>
          <w:kern w:val="2"/>
          <w:sz w:val="32"/>
          <w:szCs w:val="32"/>
        </w:rPr>
        <w:t>部分基建保证金未付</w:t>
      </w:r>
      <w:r w:rsidRPr="00C21745">
        <w:rPr>
          <w:rFonts w:ascii="仿宋_GB2312" w:eastAsia="仿宋_GB2312" w:hAnsi="仿宋" w:cs="Calibri" w:hint="eastAsia"/>
          <w:kern w:val="2"/>
          <w:sz w:val="32"/>
          <w:szCs w:val="32"/>
        </w:rPr>
        <w:t>。</w:t>
      </w:r>
    </w:p>
    <w:p w:rsidR="004E7B4E" w:rsidRDefault="004E7B4E" w:rsidP="004E7B4E">
      <w:pPr>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四、本年度部门决算等财务工作开展情况</w:t>
      </w:r>
    </w:p>
    <w:p w:rsidR="004E7B4E" w:rsidRPr="00C21745" w:rsidRDefault="004E7B4E" w:rsidP="00C21745">
      <w:pPr>
        <w:pStyle w:val="a8"/>
        <w:shd w:val="clear" w:color="auto" w:fill="FFFFFF"/>
        <w:spacing w:before="0" w:beforeAutospacing="0" w:after="0" w:afterAutospacing="0"/>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（一）本部门严格按《中华人民共和国预算法》进行财务管理、绩效管理、决算组织、编报和审核。</w:t>
      </w:r>
    </w:p>
    <w:p w:rsidR="004E7B4E" w:rsidRPr="00C21745" w:rsidRDefault="004E7B4E" w:rsidP="00C21745">
      <w:pPr>
        <w:pStyle w:val="a8"/>
        <w:shd w:val="clear" w:color="auto" w:fill="FFFFFF"/>
        <w:spacing w:before="0" w:beforeAutospacing="0" w:after="0" w:afterAutospacing="0"/>
        <w:ind w:firstLine="645"/>
        <w:rPr>
          <w:rFonts w:ascii="仿宋_GB2312" w:eastAsia="仿宋_GB2312" w:hAnsi="仿宋" w:cs="Calibri"/>
          <w:kern w:val="2"/>
          <w:sz w:val="32"/>
          <w:szCs w:val="32"/>
        </w:rPr>
      </w:pPr>
      <w:r w:rsidRPr="00C21745">
        <w:rPr>
          <w:rFonts w:ascii="仿宋_GB2312" w:eastAsia="仿宋_GB2312" w:hAnsi="仿宋" w:cs="Calibri" w:hint="eastAsia"/>
          <w:kern w:val="2"/>
          <w:sz w:val="32"/>
          <w:szCs w:val="32"/>
        </w:rPr>
        <w:t>（二）本部门根据《中华人民共和国预算法》《四川省预决算公开操作规程》等文件要求，积极响应财政工作，按照规定格式的范本做好了2018年部门决算编制说明和2018年部门决算公开报表，并在规定的时间进行部门决算公开，关注舆情反应，及时回应社会关切的问题，把决算公开作为政务信息公开的重要工作。</w:t>
      </w:r>
    </w:p>
    <w:p w:rsidR="004E7B4E" w:rsidRDefault="004E7B4E" w:rsidP="004B01DA">
      <w:pPr>
        <w:pStyle w:val="a8"/>
        <w:shd w:val="clear" w:color="auto" w:fill="FFFFFF"/>
        <w:spacing w:before="0" w:beforeAutospacing="0" w:after="0" w:afterAutospacing="0"/>
        <w:ind w:firstLine="645"/>
        <w:rPr>
          <w:rFonts w:ascii="仿宋_GB2312" w:eastAsia="仿宋_GB2312"/>
          <w:color w:val="333333"/>
          <w:sz w:val="32"/>
          <w:szCs w:val="32"/>
        </w:rPr>
      </w:pPr>
    </w:p>
    <w:p w:rsidR="004E7B4E" w:rsidRDefault="004E7B4E" w:rsidP="004B01DA">
      <w:pPr>
        <w:pStyle w:val="a8"/>
        <w:shd w:val="clear" w:color="auto" w:fill="FFFFFF"/>
        <w:spacing w:before="0" w:beforeAutospacing="0" w:after="0" w:afterAutospacing="0"/>
        <w:ind w:firstLine="645"/>
        <w:rPr>
          <w:color w:val="333333"/>
          <w:sz w:val="27"/>
          <w:szCs w:val="27"/>
          <w:shd w:val="clear" w:color="auto" w:fill="FFFFFF"/>
        </w:rPr>
      </w:pPr>
      <w:r>
        <w:rPr>
          <w:rFonts w:hint="eastAsia"/>
          <w:color w:val="333333"/>
          <w:sz w:val="27"/>
          <w:szCs w:val="27"/>
          <w:shd w:val="clear" w:color="auto" w:fill="FFFFFF"/>
        </w:rPr>
        <w:t>注：收入支出预算执行情况分析可参考部门决算分析评价表（见软件查询模板）及行政事业单位财务分析指标（附后）。</w:t>
      </w:r>
    </w:p>
    <w:p w:rsidR="004E7B4E" w:rsidRDefault="004E7B4E" w:rsidP="004B01DA">
      <w:pPr>
        <w:pStyle w:val="a8"/>
        <w:shd w:val="clear" w:color="auto" w:fill="FFFFFF"/>
        <w:spacing w:before="0" w:beforeAutospacing="0" w:after="0" w:afterAutospacing="0"/>
        <w:ind w:firstLine="645"/>
        <w:rPr>
          <w:color w:val="333333"/>
          <w:sz w:val="27"/>
          <w:szCs w:val="27"/>
        </w:rPr>
      </w:pPr>
    </w:p>
    <w:p w:rsidR="004E7B4E" w:rsidRDefault="004E7B4E">
      <w:pPr>
        <w:widowControl/>
        <w:jc w:val="left"/>
        <w:rPr>
          <w:rFonts w:ascii="宋体" w:hAnsi="宋体" w:cs="宋体"/>
          <w:color w:val="333333"/>
          <w:kern w:val="0"/>
          <w:sz w:val="27"/>
          <w:szCs w:val="27"/>
        </w:rPr>
      </w:pPr>
    </w:p>
    <w:p w:rsidR="004E7B4E" w:rsidRDefault="004E7B4E" w:rsidP="004E7B4E">
      <w:pPr>
        <w:snapToGrid w:val="0"/>
        <w:rPr>
          <w:rFonts w:ascii="仿宋_GB2312" w:eastAsia="仿宋_GB2312" w:hAnsi="仿宋"/>
          <w:sz w:val="32"/>
          <w:szCs w:val="32"/>
        </w:rPr>
      </w:pPr>
      <w:r>
        <w:rPr>
          <w:rFonts w:ascii="宋体" w:hAnsi="宋体" w:cs="宋体" w:hint="eastAsia"/>
          <w:sz w:val="32"/>
          <w:szCs w:val="32"/>
        </w:rPr>
        <w:t>附</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jc w:val="center"/>
        <w:rPr>
          <w:rFonts w:ascii="华文中宋" w:eastAsia="华文中宋" w:hAnsi="华文中宋"/>
          <w:sz w:val="32"/>
          <w:szCs w:val="32"/>
        </w:rPr>
      </w:pPr>
    </w:p>
    <w:p w:rsidR="004E7B4E" w:rsidRPr="004E7B4E" w:rsidRDefault="004E7B4E" w:rsidP="004E7B4E">
      <w:pPr>
        <w:snapToGrid w:val="0"/>
        <w:ind w:firstLineChars="200" w:firstLine="880"/>
        <w:jc w:val="center"/>
        <w:rPr>
          <w:rFonts w:ascii="黑体" w:eastAsia="黑体" w:hAnsi="黑体"/>
          <w:sz w:val="44"/>
          <w:szCs w:val="32"/>
        </w:rPr>
      </w:pPr>
      <w:r w:rsidRPr="004E7B4E">
        <w:rPr>
          <w:rFonts w:ascii="黑体" w:eastAsia="黑体" w:hAnsi="黑体" w:hint="eastAsia"/>
          <w:sz w:val="44"/>
          <w:szCs w:val="32"/>
        </w:rPr>
        <w:t>行政事业单位财务分析指标</w:t>
      </w:r>
    </w:p>
    <w:p w:rsidR="004E7B4E" w:rsidRDefault="004E7B4E" w:rsidP="004E7B4E">
      <w:pPr>
        <w:snapToGrid w:val="0"/>
        <w:ind w:firstLineChars="200" w:firstLine="672"/>
        <w:rPr>
          <w:rFonts w:ascii="仿宋_GB2312" w:eastAsia="仿宋_GB2312" w:hAnsi="仿宋"/>
          <w:sz w:val="32"/>
          <w:szCs w:val="32"/>
        </w:rPr>
      </w:pPr>
    </w:p>
    <w:p w:rsidR="004E7B4E" w:rsidRDefault="004E7B4E" w:rsidP="004E7B4E">
      <w:pPr>
        <w:snapToGrid w:val="0"/>
        <w:ind w:firstLineChars="200" w:firstLine="640"/>
        <w:rPr>
          <w:rFonts w:ascii="黑体" w:eastAsia="黑体" w:hAnsi="黑体"/>
          <w:sz w:val="32"/>
          <w:szCs w:val="32"/>
        </w:rPr>
      </w:pPr>
      <w:r>
        <w:rPr>
          <w:rFonts w:ascii="黑体" w:eastAsia="黑体" w:hAnsi="黑体" w:hint="eastAsia"/>
          <w:sz w:val="32"/>
          <w:szCs w:val="32"/>
        </w:rPr>
        <w:t>一、行政单位财务分析指标</w:t>
      </w:r>
    </w:p>
    <w:p w:rsidR="004E7B4E" w:rsidRDefault="004E7B4E" w:rsidP="004E7B4E">
      <w:pPr>
        <w:snapToGrid w:val="0"/>
        <w:ind w:firstLineChars="200" w:firstLine="672"/>
        <w:rPr>
          <w:rFonts w:ascii="仿宋_GB2312" w:eastAsia="仿宋_GB2312" w:hAnsi="仿宋"/>
          <w:sz w:val="32"/>
          <w:szCs w:val="32"/>
        </w:rPr>
      </w:pPr>
      <w:r>
        <w:rPr>
          <w:rFonts w:ascii="仿宋_GB2312" w:eastAsia="仿宋_GB2312" w:hAnsi="仿宋" w:hint="eastAsia"/>
          <w:sz w:val="32"/>
          <w:szCs w:val="32"/>
        </w:rPr>
        <w:lastRenderedPageBreak/>
        <w:t>1.</w:t>
      </w:r>
      <w:r>
        <w:rPr>
          <w:rFonts w:ascii="宋体" w:hAnsi="宋体" w:cs="宋体" w:hint="eastAsia"/>
          <w:sz w:val="32"/>
          <w:szCs w:val="32"/>
        </w:rPr>
        <w:t>支出增长率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衡量行政单位支出的增长水平</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计算公式为</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支出增长率</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w:t>
      </w:r>
      <w:r>
        <w:rPr>
          <w:rFonts w:ascii="宋体" w:hAnsi="宋体" w:cs="宋体" w:hint="eastAsia"/>
          <w:sz w:val="32"/>
          <w:szCs w:val="32"/>
        </w:rPr>
        <w:t>本期支出总额</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上期支出总额</w:t>
      </w:r>
      <w:r>
        <w:rPr>
          <w:rFonts w:ascii="仿宋_GB2312" w:eastAsia="仿宋_GB2312" w:hAnsi="仿宋" w:hint="eastAsia"/>
          <w:sz w:val="32"/>
          <w:szCs w:val="32"/>
        </w:rPr>
        <w:t>-1)×100%</w:t>
      </w:r>
    </w:p>
    <w:p w:rsidR="004E7B4E" w:rsidRDefault="004E7B4E" w:rsidP="004E7B4E">
      <w:pPr>
        <w:snapToGrid w:val="0"/>
        <w:ind w:firstLineChars="200" w:firstLine="672"/>
        <w:rPr>
          <w:rFonts w:ascii="仿宋_GB2312" w:eastAsia="仿宋_GB2312" w:hAnsi="仿宋"/>
          <w:sz w:val="32"/>
          <w:szCs w:val="32"/>
        </w:rPr>
      </w:pPr>
      <w:r>
        <w:rPr>
          <w:rFonts w:ascii="仿宋_GB2312" w:eastAsia="仿宋_GB2312" w:hAnsi="仿宋" w:hint="eastAsia"/>
          <w:sz w:val="32"/>
          <w:szCs w:val="32"/>
        </w:rPr>
        <w:t>2.</w:t>
      </w:r>
      <w:r>
        <w:rPr>
          <w:rFonts w:ascii="宋体" w:hAnsi="宋体" w:cs="宋体" w:hint="eastAsia"/>
          <w:sz w:val="32"/>
          <w:szCs w:val="32"/>
        </w:rPr>
        <w:t>当年预算支出完成率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衡量行政单位当年支出总预算及分项预算完成的程度</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计算公式为</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当年预算支出完成率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年终执行数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年初预算数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年中预算调整数</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100%</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年终执行数不含上年结转和结余支出数</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72"/>
        <w:rPr>
          <w:rFonts w:ascii="仿宋_GB2312" w:eastAsia="仿宋_GB2312" w:hAnsi="仿宋"/>
          <w:sz w:val="32"/>
          <w:szCs w:val="32"/>
        </w:rPr>
      </w:pPr>
      <w:r>
        <w:rPr>
          <w:rFonts w:ascii="仿宋_GB2312" w:eastAsia="仿宋_GB2312" w:hAnsi="仿宋" w:hint="eastAsia"/>
          <w:sz w:val="32"/>
          <w:szCs w:val="32"/>
        </w:rPr>
        <w:t>3.</w:t>
      </w:r>
      <w:r>
        <w:rPr>
          <w:rFonts w:ascii="宋体" w:hAnsi="宋体" w:cs="宋体" w:hint="eastAsia"/>
          <w:sz w:val="32"/>
          <w:szCs w:val="32"/>
        </w:rPr>
        <w:t>人均开支</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衡量行政单位人均年消耗经费水平</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计算公式为</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人均开支</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本期支出数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本期平均在职人员数</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100%</w:t>
      </w:r>
    </w:p>
    <w:p w:rsidR="004E7B4E" w:rsidRDefault="004E7B4E" w:rsidP="004E7B4E">
      <w:pPr>
        <w:snapToGrid w:val="0"/>
        <w:ind w:firstLineChars="200" w:firstLine="672"/>
        <w:rPr>
          <w:rFonts w:ascii="仿宋_GB2312" w:eastAsia="仿宋_GB2312" w:hAnsi="仿宋"/>
          <w:sz w:val="32"/>
          <w:szCs w:val="32"/>
        </w:rPr>
      </w:pPr>
      <w:r>
        <w:rPr>
          <w:rFonts w:ascii="仿宋_GB2312" w:eastAsia="仿宋_GB2312" w:hAnsi="仿宋" w:hint="eastAsia"/>
          <w:sz w:val="32"/>
          <w:szCs w:val="32"/>
        </w:rPr>
        <w:t>4.</w:t>
      </w:r>
      <w:r>
        <w:rPr>
          <w:rFonts w:ascii="宋体" w:hAnsi="宋体" w:cs="宋体" w:hint="eastAsia"/>
          <w:sz w:val="32"/>
          <w:szCs w:val="32"/>
        </w:rPr>
        <w:t>项目支出占总支出的比率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衡量行政单位的支出结构</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计算公式为</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项目支出比率</w:t>
      </w:r>
      <w:r>
        <w:rPr>
          <w:rFonts w:ascii="仿宋_GB2312" w:eastAsia="仿宋_GB2312" w:hAnsi="仿宋" w:hint="eastAsia"/>
          <w:sz w:val="32"/>
          <w:szCs w:val="32"/>
        </w:rPr>
        <w:t>=</w:t>
      </w:r>
      <w:r>
        <w:rPr>
          <w:rFonts w:ascii="宋体" w:hAnsi="宋体" w:cs="宋体" w:hint="eastAsia"/>
          <w:sz w:val="32"/>
          <w:szCs w:val="32"/>
        </w:rPr>
        <w:t>本期项目支出数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本期支出总数</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100%</w:t>
      </w:r>
    </w:p>
    <w:p w:rsidR="004E7B4E" w:rsidRDefault="004E7B4E" w:rsidP="004E7B4E">
      <w:pPr>
        <w:snapToGrid w:val="0"/>
        <w:ind w:firstLineChars="200" w:firstLine="672"/>
        <w:rPr>
          <w:rFonts w:ascii="仿宋_GB2312" w:eastAsia="仿宋_GB2312" w:hAnsi="仿宋"/>
          <w:sz w:val="32"/>
          <w:szCs w:val="32"/>
        </w:rPr>
      </w:pPr>
      <w:r>
        <w:rPr>
          <w:rFonts w:ascii="仿宋_GB2312" w:eastAsia="仿宋_GB2312" w:hAnsi="仿宋" w:hint="eastAsia"/>
          <w:sz w:val="32"/>
          <w:szCs w:val="32"/>
        </w:rPr>
        <w:t>5.</w:t>
      </w:r>
      <w:r>
        <w:rPr>
          <w:rFonts w:ascii="宋体" w:hAnsi="宋体" w:cs="宋体" w:hint="eastAsia"/>
          <w:sz w:val="32"/>
          <w:szCs w:val="32"/>
        </w:rPr>
        <w:t>人员支出</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公用支出占总支出的比率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衡量行政单位的支出结构</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计算公式为</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人员支出比率</w:t>
      </w:r>
      <w:r>
        <w:rPr>
          <w:rFonts w:ascii="仿宋_GB2312" w:eastAsia="仿宋_GB2312" w:hAnsi="仿宋" w:hint="eastAsia"/>
          <w:sz w:val="32"/>
          <w:szCs w:val="32"/>
        </w:rPr>
        <w:t>=</w:t>
      </w:r>
      <w:r>
        <w:rPr>
          <w:rFonts w:ascii="宋体" w:hAnsi="宋体" w:cs="宋体" w:hint="eastAsia"/>
          <w:sz w:val="32"/>
          <w:szCs w:val="32"/>
        </w:rPr>
        <w:t>本期人员支出数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本期支出总数</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100%</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公用支出比率</w:t>
      </w:r>
      <w:r>
        <w:rPr>
          <w:rFonts w:ascii="仿宋_GB2312" w:eastAsia="仿宋_GB2312" w:hAnsi="仿宋" w:hint="eastAsia"/>
          <w:sz w:val="32"/>
          <w:szCs w:val="32"/>
        </w:rPr>
        <w:t>=</w:t>
      </w:r>
      <w:r>
        <w:rPr>
          <w:rFonts w:ascii="宋体" w:hAnsi="宋体" w:cs="宋体" w:hint="eastAsia"/>
          <w:sz w:val="32"/>
          <w:szCs w:val="32"/>
        </w:rPr>
        <w:t>本期公用支出数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本期支出总数</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100%</w:t>
      </w:r>
    </w:p>
    <w:p w:rsidR="004E7B4E" w:rsidRDefault="004E7B4E" w:rsidP="004E7B4E">
      <w:pPr>
        <w:snapToGrid w:val="0"/>
        <w:ind w:firstLineChars="200" w:firstLine="672"/>
        <w:rPr>
          <w:rFonts w:ascii="仿宋_GB2312" w:eastAsia="仿宋_GB2312" w:hAnsi="仿宋"/>
          <w:sz w:val="32"/>
          <w:szCs w:val="32"/>
        </w:rPr>
      </w:pPr>
      <w:r>
        <w:rPr>
          <w:rFonts w:ascii="仿宋_GB2312" w:eastAsia="仿宋_GB2312" w:hAnsi="仿宋" w:hint="eastAsia"/>
          <w:sz w:val="32"/>
          <w:szCs w:val="32"/>
        </w:rPr>
        <w:t>6.</w:t>
      </w:r>
      <w:r>
        <w:rPr>
          <w:rFonts w:ascii="宋体" w:hAnsi="宋体" w:cs="宋体" w:hint="eastAsia"/>
          <w:sz w:val="32"/>
          <w:szCs w:val="32"/>
        </w:rPr>
        <w:t>人均办公使用面积</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衡量行政单位办公用房配备情况</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计算公式为</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人均办公使用面积</w:t>
      </w:r>
      <w:r>
        <w:rPr>
          <w:rFonts w:ascii="仿宋_GB2312" w:eastAsia="仿宋_GB2312" w:hAnsi="仿宋" w:hint="eastAsia"/>
          <w:sz w:val="32"/>
          <w:szCs w:val="32"/>
        </w:rPr>
        <w:t>=</w:t>
      </w:r>
      <w:r>
        <w:rPr>
          <w:rFonts w:ascii="宋体" w:hAnsi="宋体" w:cs="宋体" w:hint="eastAsia"/>
          <w:sz w:val="32"/>
          <w:szCs w:val="32"/>
        </w:rPr>
        <w:t>本期末单位办公用房使用面积</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本期末在职人员数</w:t>
      </w:r>
    </w:p>
    <w:p w:rsidR="004E7B4E" w:rsidRDefault="004E7B4E" w:rsidP="004E7B4E">
      <w:pPr>
        <w:snapToGrid w:val="0"/>
        <w:ind w:firstLineChars="200" w:firstLine="672"/>
        <w:rPr>
          <w:rFonts w:ascii="仿宋_GB2312" w:eastAsia="仿宋_GB2312" w:hAnsi="仿宋"/>
          <w:sz w:val="32"/>
          <w:szCs w:val="32"/>
        </w:rPr>
      </w:pPr>
      <w:r>
        <w:rPr>
          <w:rFonts w:ascii="仿宋_GB2312" w:eastAsia="仿宋_GB2312" w:hAnsi="仿宋" w:hint="eastAsia"/>
          <w:sz w:val="32"/>
          <w:szCs w:val="32"/>
        </w:rPr>
        <w:t>7.</w:t>
      </w:r>
      <w:r>
        <w:rPr>
          <w:rFonts w:ascii="宋体" w:hAnsi="宋体" w:cs="宋体" w:hint="eastAsia"/>
          <w:sz w:val="32"/>
          <w:szCs w:val="32"/>
        </w:rPr>
        <w:t>人车比例</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衡量行政单位公务用车配备情况</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计算公式为</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人车比例</w:t>
      </w:r>
      <w:r>
        <w:rPr>
          <w:rFonts w:ascii="仿宋_GB2312" w:eastAsia="仿宋_GB2312" w:hAnsi="仿宋" w:hint="eastAsia"/>
          <w:sz w:val="32"/>
          <w:szCs w:val="32"/>
        </w:rPr>
        <w:t>=</w:t>
      </w:r>
      <w:r>
        <w:rPr>
          <w:rFonts w:ascii="宋体" w:hAnsi="宋体" w:cs="宋体" w:hint="eastAsia"/>
          <w:sz w:val="32"/>
          <w:szCs w:val="32"/>
        </w:rPr>
        <w:t>本期末在职人员数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本期末公务用车实有</w:t>
      </w:r>
      <w:r>
        <w:rPr>
          <w:rFonts w:ascii="宋体" w:hAnsi="宋体" w:cs="宋体" w:hint="eastAsia"/>
          <w:sz w:val="32"/>
          <w:szCs w:val="32"/>
        </w:rPr>
        <w:lastRenderedPageBreak/>
        <w:t>数</w:t>
      </w:r>
      <w:r>
        <w:rPr>
          <w:rFonts w:ascii="仿宋_GB2312" w:eastAsia="仿宋_GB2312" w:hAnsi="仿宋" w:hint="eastAsia"/>
          <w:sz w:val="32"/>
          <w:szCs w:val="32"/>
        </w:rPr>
        <w:t>:1</w:t>
      </w:r>
    </w:p>
    <w:p w:rsidR="004E7B4E" w:rsidRDefault="004E7B4E" w:rsidP="004E7B4E">
      <w:pPr>
        <w:snapToGrid w:val="0"/>
        <w:ind w:firstLineChars="200" w:firstLine="672"/>
        <w:rPr>
          <w:rFonts w:ascii="仿宋_GB2312" w:eastAsia="仿宋_GB2312" w:hAnsi="仿宋"/>
          <w:sz w:val="32"/>
          <w:szCs w:val="32"/>
        </w:rPr>
      </w:pPr>
    </w:p>
    <w:p w:rsidR="004E7B4E" w:rsidRDefault="004E7B4E" w:rsidP="004E7B4E">
      <w:pPr>
        <w:snapToGrid w:val="0"/>
        <w:ind w:firstLineChars="200" w:firstLine="640"/>
        <w:rPr>
          <w:rFonts w:ascii="黑体" w:eastAsia="黑体" w:hAnsi="黑体"/>
          <w:sz w:val="32"/>
          <w:szCs w:val="32"/>
        </w:rPr>
      </w:pPr>
      <w:r>
        <w:rPr>
          <w:rFonts w:ascii="黑体" w:eastAsia="黑体" w:hAnsi="黑体" w:hint="eastAsia"/>
          <w:sz w:val="32"/>
          <w:szCs w:val="32"/>
        </w:rPr>
        <w:t>二、事业单位财务分析指标</w:t>
      </w:r>
    </w:p>
    <w:p w:rsidR="004E7B4E" w:rsidRDefault="004E7B4E" w:rsidP="004E7B4E">
      <w:pPr>
        <w:snapToGrid w:val="0"/>
        <w:ind w:firstLineChars="200" w:firstLine="672"/>
        <w:rPr>
          <w:rFonts w:ascii="仿宋_GB2312" w:eastAsia="仿宋_GB2312" w:hAnsi="仿宋"/>
          <w:sz w:val="32"/>
          <w:szCs w:val="32"/>
        </w:rPr>
      </w:pPr>
      <w:r>
        <w:rPr>
          <w:rFonts w:ascii="仿宋_GB2312" w:eastAsia="仿宋_GB2312" w:hAnsi="仿宋" w:hint="eastAsia"/>
          <w:sz w:val="32"/>
          <w:szCs w:val="32"/>
        </w:rPr>
        <w:t>1.</w:t>
      </w:r>
      <w:r>
        <w:rPr>
          <w:rFonts w:ascii="宋体" w:hAnsi="宋体" w:cs="宋体" w:hint="eastAsia"/>
          <w:sz w:val="32"/>
          <w:szCs w:val="32"/>
        </w:rPr>
        <w:t>预算收入和支出完成率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衡量事业单位收入和支出总预算及分项预算完成的程度</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计算公式为</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预算收入完成率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年终执行数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年初预算数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年中预算调整数</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100%</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年终执行数不含上年结转和结余收入数</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预算支出完成率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年终执行数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年初预算数</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年中预算调整数</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100%</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年终执行数不含上年结转和结余支出数</w:t>
      </w:r>
    </w:p>
    <w:p w:rsidR="004E7B4E" w:rsidRDefault="004E7B4E" w:rsidP="004E7B4E">
      <w:pPr>
        <w:snapToGrid w:val="0"/>
        <w:ind w:firstLineChars="200" w:firstLine="672"/>
        <w:rPr>
          <w:rFonts w:ascii="仿宋_GB2312" w:eastAsia="仿宋_GB2312" w:hAnsi="仿宋"/>
          <w:sz w:val="32"/>
          <w:szCs w:val="32"/>
        </w:rPr>
      </w:pPr>
      <w:r>
        <w:rPr>
          <w:rFonts w:ascii="仿宋_GB2312" w:eastAsia="仿宋_GB2312" w:hAnsi="仿宋" w:hint="eastAsia"/>
          <w:sz w:val="32"/>
          <w:szCs w:val="32"/>
        </w:rPr>
        <w:t>2.</w:t>
      </w:r>
      <w:r>
        <w:rPr>
          <w:rFonts w:ascii="宋体" w:hAnsi="宋体" w:cs="宋体" w:hint="eastAsia"/>
          <w:sz w:val="32"/>
          <w:szCs w:val="32"/>
        </w:rPr>
        <w:t>人员支出</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公用支出占事业支出的比率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衡量事业单位事业支出结构</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计算公式为</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人员支出比率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人员支出</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事业支出</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100%</w:t>
      </w: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公用支出比率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公用支出</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事业支出</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100%</w:t>
      </w:r>
    </w:p>
    <w:p w:rsidR="004E7B4E" w:rsidRDefault="004E7B4E" w:rsidP="004E7B4E">
      <w:pPr>
        <w:snapToGrid w:val="0"/>
        <w:ind w:firstLineChars="200" w:firstLine="672"/>
        <w:rPr>
          <w:rFonts w:ascii="仿宋_GB2312" w:eastAsia="仿宋_GB2312" w:hAnsi="仿宋"/>
          <w:sz w:val="32"/>
          <w:szCs w:val="32"/>
        </w:rPr>
      </w:pPr>
      <w:r>
        <w:rPr>
          <w:rFonts w:ascii="仿宋_GB2312" w:eastAsia="仿宋_GB2312" w:hAnsi="仿宋" w:hint="eastAsia"/>
          <w:sz w:val="32"/>
          <w:szCs w:val="32"/>
        </w:rPr>
        <w:t>3.</w:t>
      </w:r>
      <w:r>
        <w:rPr>
          <w:rFonts w:ascii="宋体" w:hAnsi="宋体" w:cs="宋体" w:hint="eastAsia"/>
          <w:sz w:val="32"/>
          <w:szCs w:val="32"/>
        </w:rPr>
        <w:t>人均基本支出</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衡量事业单位按照实际在编人数平均的基本支出水平</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计算公式为</w:t>
      </w:r>
      <w:r>
        <w:rPr>
          <w:rFonts w:ascii="Malgun Gothic Semilight" w:eastAsia="Malgun Gothic Semilight" w:hAnsi="Malgun Gothic Semilight" w:cs="Malgun Gothic Semilight" w:hint="eastAsia"/>
          <w:sz w:val="32"/>
          <w:szCs w:val="32"/>
        </w:rPr>
        <w:t>：</w:t>
      </w:r>
    </w:p>
    <w:p w:rsidR="004E7B4E" w:rsidRDefault="004E7B4E" w:rsidP="004E7B4E">
      <w:pPr>
        <w:snapToGrid w:val="0"/>
        <w:ind w:firstLineChars="200" w:firstLine="640"/>
        <w:rPr>
          <w:rFonts w:ascii="仿宋_GB2312" w:eastAsia="仿宋_GB2312" w:hAnsi="仿宋"/>
          <w:b/>
          <w:sz w:val="32"/>
          <w:szCs w:val="32"/>
        </w:rPr>
      </w:pPr>
      <w:r>
        <w:rPr>
          <w:rFonts w:ascii="宋体" w:hAnsi="宋体" w:cs="宋体" w:hint="eastAsia"/>
          <w:sz w:val="32"/>
          <w:szCs w:val="32"/>
        </w:rPr>
        <w:t>人均基本支出</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基本支出</w:t>
      </w:r>
      <w:r>
        <w:rPr>
          <w:rFonts w:ascii="仿宋_GB2312" w:eastAsia="仿宋_GB2312" w:hAnsi="仿宋" w:hint="eastAsia"/>
          <w:sz w:val="32"/>
          <w:szCs w:val="32"/>
        </w:rPr>
        <w:t>-</w:t>
      </w:r>
      <w:r>
        <w:rPr>
          <w:rFonts w:ascii="宋体" w:hAnsi="宋体" w:cs="宋体" w:hint="eastAsia"/>
          <w:sz w:val="32"/>
          <w:szCs w:val="32"/>
        </w:rPr>
        <w:t>离退休人员支出</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实际在编人数</w:t>
      </w:r>
    </w:p>
    <w:p w:rsidR="004E7B4E" w:rsidRDefault="004E7B4E" w:rsidP="004E7B4E">
      <w:pPr>
        <w:snapToGrid w:val="0"/>
        <w:ind w:firstLineChars="200" w:firstLine="672"/>
        <w:rPr>
          <w:rFonts w:ascii="仿宋_GB2312" w:eastAsia="仿宋_GB2312" w:hAnsi="仿宋"/>
          <w:sz w:val="32"/>
          <w:szCs w:val="32"/>
        </w:rPr>
      </w:pPr>
    </w:p>
    <w:p w:rsidR="004E7B4E" w:rsidRDefault="004E7B4E" w:rsidP="004E7B4E">
      <w:pPr>
        <w:snapToGrid w:val="0"/>
        <w:ind w:firstLineChars="200" w:firstLine="640"/>
        <w:rPr>
          <w:rFonts w:ascii="仿宋_GB2312" w:eastAsia="仿宋_GB2312" w:hAnsi="仿宋"/>
          <w:sz w:val="32"/>
          <w:szCs w:val="32"/>
        </w:rPr>
      </w:pPr>
      <w:r>
        <w:rPr>
          <w:rFonts w:ascii="宋体" w:hAnsi="宋体" w:cs="宋体" w:hint="eastAsia"/>
          <w:sz w:val="32"/>
          <w:szCs w:val="32"/>
        </w:rPr>
        <w:t>此外</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行业事业单位还可根据相关财务制度规定和分析需要增加相关分析指标</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如</w:t>
      </w:r>
      <w:r>
        <w:rPr>
          <w:rFonts w:ascii="Malgun Gothic Semilight" w:eastAsia="Malgun Gothic Semilight" w:hAnsi="Malgun Gothic Semilight" w:cs="Malgun Gothic Semilight" w:hint="eastAsia"/>
          <w:sz w:val="32"/>
          <w:szCs w:val="32"/>
        </w:rPr>
        <w:t>：</w:t>
      </w:r>
    </w:p>
    <w:p w:rsidR="004E7B4E" w:rsidRDefault="004E7B4E" w:rsidP="004E7B4E">
      <w:pPr>
        <w:ind w:firstLineChars="221" w:firstLine="742"/>
        <w:rPr>
          <w:rFonts w:ascii="仿宋_GB2312" w:eastAsia="仿宋_GB2312" w:hAnsi="仿宋"/>
          <w:sz w:val="32"/>
          <w:szCs w:val="32"/>
        </w:rPr>
      </w:pPr>
      <w:r>
        <w:rPr>
          <w:rFonts w:ascii="仿宋_GB2312" w:eastAsia="仿宋_GB2312" w:hAnsi="仿宋" w:hint="eastAsia"/>
          <w:sz w:val="32"/>
          <w:szCs w:val="32"/>
        </w:rPr>
        <w:t>1.</w:t>
      </w:r>
      <w:r>
        <w:rPr>
          <w:rFonts w:ascii="宋体" w:hAnsi="宋体" w:cs="宋体" w:hint="eastAsia"/>
          <w:sz w:val="32"/>
          <w:szCs w:val="32"/>
        </w:rPr>
        <w:t>财政拨款依存度</w:t>
      </w:r>
      <w:r>
        <w:rPr>
          <w:rFonts w:ascii="仿宋_GB2312" w:eastAsia="仿宋_GB2312" w:hAnsi="仿宋" w:hint="eastAsia"/>
          <w:sz w:val="32"/>
          <w:szCs w:val="32"/>
        </w:rPr>
        <w:t xml:space="preserve">, </w:t>
      </w:r>
      <w:r>
        <w:rPr>
          <w:rFonts w:ascii="宋体" w:hAnsi="宋体" w:cs="宋体" w:hint="eastAsia"/>
          <w:sz w:val="32"/>
          <w:szCs w:val="32"/>
        </w:rPr>
        <w:t>衡量部门</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单位</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对财政拨款的依赖程度</w:t>
      </w:r>
      <w:r>
        <w:rPr>
          <w:rFonts w:ascii="Malgun Gothic Semilight" w:eastAsia="Malgun Gothic Semilight" w:hAnsi="Malgun Gothic Semilight" w:cs="Malgun Gothic Semilight" w:hint="eastAsia"/>
          <w:sz w:val="32"/>
          <w:szCs w:val="32"/>
        </w:rPr>
        <w:t>。</w:t>
      </w:r>
    </w:p>
    <w:p w:rsidR="004E7B4E" w:rsidRDefault="004E7B4E" w:rsidP="004E7B4E">
      <w:pPr>
        <w:widowControl/>
        <w:ind w:firstLineChars="200" w:firstLine="640"/>
        <w:textAlignment w:val="center"/>
        <w:rPr>
          <w:color w:val="0000FF"/>
        </w:rPr>
      </w:pPr>
      <w:r>
        <w:rPr>
          <w:rFonts w:ascii="宋体" w:hAnsi="宋体" w:cs="宋体" w:hint="eastAsia"/>
          <w:sz w:val="32"/>
          <w:szCs w:val="32"/>
        </w:rPr>
        <w:t>财政拨款依存度</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财政拨款收入</w:t>
      </w:r>
      <w:r>
        <w:rPr>
          <w:rFonts w:ascii="Malgun Gothic Semilight" w:eastAsia="Malgun Gothic Semilight" w:hAnsi="Malgun Gothic Semilight" w:cs="Malgun Gothic Semilight" w:hint="eastAsia"/>
          <w:sz w:val="32"/>
          <w:szCs w:val="32"/>
        </w:rPr>
        <w:t>÷</w:t>
      </w:r>
      <w:r>
        <w:rPr>
          <w:rFonts w:ascii="宋体" w:hAnsi="宋体" w:cs="宋体" w:hint="eastAsia"/>
          <w:sz w:val="32"/>
          <w:szCs w:val="32"/>
        </w:rPr>
        <w:t>收入总额</w:t>
      </w:r>
      <w:r>
        <w:rPr>
          <w:rFonts w:ascii="Malgun Gothic Semilight" w:eastAsia="Malgun Gothic Semilight" w:hAnsi="Malgun Gothic Semilight" w:cs="Malgun Gothic Semilight" w:hint="eastAsia"/>
          <w:sz w:val="32"/>
          <w:szCs w:val="32"/>
        </w:rPr>
        <w:t>×</w:t>
      </w:r>
      <w:r>
        <w:rPr>
          <w:rFonts w:ascii="仿宋_GB2312" w:eastAsia="仿宋_GB2312" w:hAnsi="仿宋" w:hint="eastAsia"/>
          <w:sz w:val="32"/>
          <w:szCs w:val="32"/>
        </w:rPr>
        <w:t>100%</w:t>
      </w:r>
    </w:p>
    <w:p w:rsidR="004E7B4E" w:rsidRDefault="004E7B4E" w:rsidP="004B01DA">
      <w:pPr>
        <w:pStyle w:val="a8"/>
        <w:shd w:val="clear" w:color="auto" w:fill="FFFFFF"/>
        <w:spacing w:before="0" w:beforeAutospacing="0" w:after="0" w:afterAutospacing="0"/>
        <w:ind w:firstLine="645"/>
        <w:rPr>
          <w:color w:val="333333"/>
          <w:sz w:val="27"/>
          <w:szCs w:val="27"/>
        </w:rPr>
      </w:pPr>
    </w:p>
    <w:p w:rsidR="00D12F11" w:rsidRPr="0086454F" w:rsidRDefault="00D12F11" w:rsidP="00D12F11">
      <w:pPr>
        <w:pStyle w:val="a8"/>
        <w:spacing w:before="0" w:beforeAutospacing="0" w:after="0" w:afterAutospacing="0" w:line="525" w:lineRule="atLeast"/>
        <w:rPr>
          <w:color w:val="333333"/>
          <w:sz w:val="27"/>
          <w:szCs w:val="27"/>
        </w:rPr>
      </w:pPr>
    </w:p>
    <w:sectPr w:rsidR="00D12F11" w:rsidRPr="0086454F" w:rsidSect="00E109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7FF" w:rsidRDefault="00A857FF">
      <w:r>
        <w:separator/>
      </w:r>
    </w:p>
  </w:endnote>
  <w:endnote w:type="continuationSeparator" w:id="0">
    <w:p w:rsidR="00A857FF" w:rsidRDefault="00A85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altName w:val="Malgun Gothic Semilight"/>
    <w:charset w:val="86"/>
    <w:family w:val="modern"/>
    <w:pitch w:val="fixed"/>
    <w:sig w:usb0="00000000"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0A" w:rsidRPr="003F1E76" w:rsidRDefault="005C645F">
    <w:pPr>
      <w:pStyle w:val="a3"/>
      <w:jc w:val="center"/>
      <w:rPr>
        <w:rFonts w:ascii="Arial" w:hAnsi="Arial" w:cs="Arial"/>
        <w:sz w:val="24"/>
        <w:szCs w:val="24"/>
      </w:rPr>
    </w:pPr>
    <w:r w:rsidRPr="003F1E76">
      <w:rPr>
        <w:rFonts w:ascii="Arial" w:hAnsi="Arial" w:cs="Arial"/>
        <w:sz w:val="24"/>
        <w:szCs w:val="24"/>
      </w:rPr>
      <w:fldChar w:fldCharType="begin"/>
    </w:r>
    <w:r w:rsidR="00E1090A" w:rsidRPr="003F1E76">
      <w:rPr>
        <w:rFonts w:ascii="Arial" w:hAnsi="Arial" w:cs="Arial"/>
        <w:sz w:val="24"/>
        <w:szCs w:val="24"/>
      </w:rPr>
      <w:instrText xml:space="preserve"> PAGE   \* MERGEFORMAT </w:instrText>
    </w:r>
    <w:r w:rsidRPr="003F1E76">
      <w:rPr>
        <w:rFonts w:ascii="Arial" w:hAnsi="Arial" w:cs="Arial"/>
        <w:sz w:val="24"/>
        <w:szCs w:val="24"/>
      </w:rPr>
      <w:fldChar w:fldCharType="separate"/>
    </w:r>
    <w:r w:rsidR="006E3323" w:rsidRPr="006E3323">
      <w:rPr>
        <w:rFonts w:ascii="Arial" w:hAnsi="Arial" w:cs="Arial"/>
        <w:noProof/>
        <w:sz w:val="24"/>
        <w:szCs w:val="24"/>
        <w:lang w:val="zh-CN"/>
      </w:rPr>
      <w:t>1</w:t>
    </w:r>
    <w:r w:rsidRPr="003F1E76">
      <w:rPr>
        <w:rFonts w:ascii="Arial" w:hAnsi="Arial" w:cs="Arial"/>
        <w:sz w:val="24"/>
        <w:szCs w:val="24"/>
      </w:rPr>
      <w:fldChar w:fldCharType="end"/>
    </w:r>
  </w:p>
  <w:p w:rsidR="00E1090A" w:rsidRDefault="00E109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7FF" w:rsidRDefault="00A857FF">
      <w:r>
        <w:separator/>
      </w:r>
    </w:p>
  </w:footnote>
  <w:footnote w:type="continuationSeparator" w:id="0">
    <w:p w:rsidR="00A857FF" w:rsidRDefault="00A85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E2CF7"/>
    <w:multiLevelType w:val="hybridMultilevel"/>
    <w:tmpl w:val="E7043436"/>
    <w:lvl w:ilvl="0" w:tplc="986E460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4C5C2984"/>
    <w:multiLevelType w:val="hybridMultilevel"/>
    <w:tmpl w:val="0F1020E4"/>
    <w:lvl w:ilvl="0" w:tplc="13D0726C">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7C3"/>
    <w:rsid w:val="00000485"/>
    <w:rsid w:val="000847CF"/>
    <w:rsid w:val="000A1A07"/>
    <w:rsid w:val="001458DD"/>
    <w:rsid w:val="001F3C25"/>
    <w:rsid w:val="003670E9"/>
    <w:rsid w:val="003877C3"/>
    <w:rsid w:val="00497F45"/>
    <w:rsid w:val="004B01DA"/>
    <w:rsid w:val="004E7B4E"/>
    <w:rsid w:val="004F15DC"/>
    <w:rsid w:val="004F1AA6"/>
    <w:rsid w:val="00522486"/>
    <w:rsid w:val="00572FB5"/>
    <w:rsid w:val="00576055"/>
    <w:rsid w:val="005B3C2F"/>
    <w:rsid w:val="005C645F"/>
    <w:rsid w:val="00602091"/>
    <w:rsid w:val="006210EA"/>
    <w:rsid w:val="006231DE"/>
    <w:rsid w:val="00694FAE"/>
    <w:rsid w:val="006B17A2"/>
    <w:rsid w:val="006E3323"/>
    <w:rsid w:val="0086454F"/>
    <w:rsid w:val="008B4CF8"/>
    <w:rsid w:val="008E5B2B"/>
    <w:rsid w:val="009143FF"/>
    <w:rsid w:val="009A5F5B"/>
    <w:rsid w:val="009E77A1"/>
    <w:rsid w:val="009F39C9"/>
    <w:rsid w:val="00A857FF"/>
    <w:rsid w:val="00B4299D"/>
    <w:rsid w:val="00BB0B4D"/>
    <w:rsid w:val="00BD6CD3"/>
    <w:rsid w:val="00C21745"/>
    <w:rsid w:val="00CC1BED"/>
    <w:rsid w:val="00D12F11"/>
    <w:rsid w:val="00D6432C"/>
    <w:rsid w:val="00DE2C51"/>
    <w:rsid w:val="00E1090A"/>
    <w:rsid w:val="00E73483"/>
    <w:rsid w:val="00EE0CEF"/>
    <w:rsid w:val="00F4249E"/>
    <w:rsid w:val="00FC12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3877C3"/>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basedOn w:val="a0"/>
    <w:uiPriority w:val="99"/>
    <w:semiHidden/>
    <w:rsid w:val="003877C3"/>
    <w:rPr>
      <w:rFonts w:ascii="Calibri" w:eastAsia="宋体" w:hAnsi="Calibri" w:cs="Calibri"/>
      <w:sz w:val="18"/>
      <w:szCs w:val="18"/>
    </w:rPr>
  </w:style>
  <w:style w:type="character" w:customStyle="1" w:styleId="Char1">
    <w:name w:val="页脚 Char1"/>
    <w:link w:val="a3"/>
    <w:uiPriority w:val="99"/>
    <w:locked/>
    <w:rsid w:val="003877C3"/>
    <w:rPr>
      <w:rFonts w:ascii="Times New Roman" w:eastAsia="宋体" w:hAnsi="Times New Roman" w:cs="Times New Roman"/>
      <w:kern w:val="0"/>
      <w:sz w:val="18"/>
      <w:szCs w:val="18"/>
    </w:rPr>
  </w:style>
  <w:style w:type="paragraph" w:styleId="a4">
    <w:name w:val="header"/>
    <w:basedOn w:val="a"/>
    <w:link w:val="Char10"/>
    <w:uiPriority w:val="99"/>
    <w:rsid w:val="003877C3"/>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页眉 Char"/>
    <w:basedOn w:val="a0"/>
    <w:uiPriority w:val="99"/>
    <w:semiHidden/>
    <w:rsid w:val="003877C3"/>
    <w:rPr>
      <w:rFonts w:ascii="Calibri" w:eastAsia="宋体" w:hAnsi="Calibri" w:cs="Calibri"/>
      <w:sz w:val="18"/>
      <w:szCs w:val="18"/>
    </w:rPr>
  </w:style>
  <w:style w:type="character" w:customStyle="1" w:styleId="Char10">
    <w:name w:val="页眉 Char1"/>
    <w:link w:val="a4"/>
    <w:uiPriority w:val="99"/>
    <w:locked/>
    <w:rsid w:val="003877C3"/>
    <w:rPr>
      <w:rFonts w:ascii="Times New Roman" w:eastAsia="宋体" w:hAnsi="Times New Roman" w:cs="Times New Roman"/>
      <w:kern w:val="0"/>
      <w:sz w:val="18"/>
      <w:szCs w:val="18"/>
    </w:rPr>
  </w:style>
  <w:style w:type="character" w:styleId="a5">
    <w:name w:val="FollowedHyperlink"/>
    <w:uiPriority w:val="99"/>
    <w:semiHidden/>
    <w:rsid w:val="003877C3"/>
    <w:rPr>
      <w:color w:val="800080"/>
      <w:u w:val="single"/>
    </w:rPr>
  </w:style>
  <w:style w:type="character" w:styleId="a6">
    <w:name w:val="Hyperlink"/>
    <w:uiPriority w:val="99"/>
    <w:semiHidden/>
    <w:rsid w:val="003877C3"/>
    <w:rPr>
      <w:color w:val="0000FF"/>
      <w:u w:val="single"/>
    </w:rPr>
  </w:style>
  <w:style w:type="character" w:customStyle="1" w:styleId="apple-converted-space">
    <w:name w:val="apple-converted-space"/>
    <w:basedOn w:val="a0"/>
    <w:uiPriority w:val="99"/>
    <w:rsid w:val="003877C3"/>
  </w:style>
  <w:style w:type="paragraph" w:styleId="a7">
    <w:name w:val="Balloon Text"/>
    <w:basedOn w:val="a"/>
    <w:link w:val="Char11"/>
    <w:rsid w:val="003877C3"/>
    <w:rPr>
      <w:rFonts w:cs="Times New Roman"/>
      <w:sz w:val="18"/>
      <w:szCs w:val="18"/>
    </w:rPr>
  </w:style>
  <w:style w:type="character" w:customStyle="1" w:styleId="Char2">
    <w:name w:val="批注框文本 Char"/>
    <w:basedOn w:val="a0"/>
    <w:uiPriority w:val="99"/>
    <w:semiHidden/>
    <w:rsid w:val="003877C3"/>
    <w:rPr>
      <w:rFonts w:ascii="Calibri" w:eastAsia="宋体" w:hAnsi="Calibri" w:cs="Calibri"/>
      <w:sz w:val="18"/>
      <w:szCs w:val="18"/>
    </w:rPr>
  </w:style>
  <w:style w:type="character" w:customStyle="1" w:styleId="Char11">
    <w:name w:val="批注框文本 Char1"/>
    <w:link w:val="a7"/>
    <w:rsid w:val="003877C3"/>
    <w:rPr>
      <w:rFonts w:ascii="Calibri" w:eastAsia="宋体" w:hAnsi="Calibri" w:cs="Times New Roman"/>
      <w:sz w:val="18"/>
      <w:szCs w:val="18"/>
    </w:rPr>
  </w:style>
  <w:style w:type="paragraph" w:styleId="a8">
    <w:name w:val="Normal (Web)"/>
    <w:basedOn w:val="a"/>
    <w:uiPriority w:val="99"/>
    <w:unhideWhenUsed/>
    <w:rsid w:val="003670E9"/>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86454F"/>
    <w:rPr>
      <w:b/>
      <w:bCs/>
    </w:rPr>
  </w:style>
  <w:style w:type="table" w:styleId="aa">
    <w:name w:val="Table Grid"/>
    <w:basedOn w:val="a1"/>
    <w:uiPriority w:val="59"/>
    <w:rsid w:val="00D12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3877C3"/>
    <w:pPr>
      <w:tabs>
        <w:tab w:val="center" w:pos="4153"/>
        <w:tab w:val="right" w:pos="8306"/>
      </w:tabs>
      <w:snapToGrid w:val="0"/>
      <w:jc w:val="left"/>
    </w:pPr>
    <w:rPr>
      <w:rFonts w:ascii="Times New Roman" w:hAnsi="Times New Roman" w:cs="Times New Roman"/>
      <w:kern w:val="0"/>
      <w:sz w:val="18"/>
      <w:szCs w:val="18"/>
      <w:lang w:val="x-none" w:eastAsia="x-none"/>
    </w:rPr>
  </w:style>
  <w:style w:type="character" w:customStyle="1" w:styleId="Char">
    <w:name w:val="页脚 Char"/>
    <w:basedOn w:val="a0"/>
    <w:uiPriority w:val="99"/>
    <w:semiHidden/>
    <w:rsid w:val="003877C3"/>
    <w:rPr>
      <w:rFonts w:ascii="Calibri" w:eastAsia="宋体" w:hAnsi="Calibri" w:cs="Calibri"/>
      <w:sz w:val="18"/>
      <w:szCs w:val="18"/>
    </w:rPr>
  </w:style>
  <w:style w:type="character" w:customStyle="1" w:styleId="Char1">
    <w:name w:val="页脚 Char1"/>
    <w:link w:val="a3"/>
    <w:uiPriority w:val="99"/>
    <w:locked/>
    <w:rsid w:val="003877C3"/>
    <w:rPr>
      <w:rFonts w:ascii="Times New Roman" w:eastAsia="宋体" w:hAnsi="Times New Roman" w:cs="Times New Roman"/>
      <w:kern w:val="0"/>
      <w:sz w:val="18"/>
      <w:szCs w:val="18"/>
      <w:lang w:val="x-none" w:eastAsia="x-none"/>
    </w:rPr>
  </w:style>
  <w:style w:type="paragraph" w:styleId="a4">
    <w:name w:val="header"/>
    <w:basedOn w:val="a"/>
    <w:link w:val="Char10"/>
    <w:uiPriority w:val="99"/>
    <w:rsid w:val="003877C3"/>
    <w:pPr>
      <w:pBdr>
        <w:bottom w:val="single" w:sz="6" w:space="1" w:color="auto"/>
      </w:pBdr>
      <w:tabs>
        <w:tab w:val="center" w:pos="4153"/>
        <w:tab w:val="right" w:pos="8306"/>
      </w:tabs>
      <w:snapToGrid w:val="0"/>
      <w:jc w:val="center"/>
    </w:pPr>
    <w:rPr>
      <w:rFonts w:ascii="Times New Roman" w:hAnsi="Times New Roman" w:cs="Times New Roman"/>
      <w:kern w:val="0"/>
      <w:sz w:val="18"/>
      <w:szCs w:val="18"/>
      <w:lang w:val="x-none" w:eastAsia="x-none"/>
    </w:rPr>
  </w:style>
  <w:style w:type="character" w:customStyle="1" w:styleId="Char0">
    <w:name w:val="页眉 Char"/>
    <w:basedOn w:val="a0"/>
    <w:uiPriority w:val="99"/>
    <w:semiHidden/>
    <w:rsid w:val="003877C3"/>
    <w:rPr>
      <w:rFonts w:ascii="Calibri" w:eastAsia="宋体" w:hAnsi="Calibri" w:cs="Calibri"/>
      <w:sz w:val="18"/>
      <w:szCs w:val="18"/>
    </w:rPr>
  </w:style>
  <w:style w:type="character" w:customStyle="1" w:styleId="Char10">
    <w:name w:val="页眉 Char1"/>
    <w:link w:val="a4"/>
    <w:uiPriority w:val="99"/>
    <w:locked/>
    <w:rsid w:val="003877C3"/>
    <w:rPr>
      <w:rFonts w:ascii="Times New Roman" w:eastAsia="宋体" w:hAnsi="Times New Roman" w:cs="Times New Roman"/>
      <w:kern w:val="0"/>
      <w:sz w:val="18"/>
      <w:szCs w:val="18"/>
      <w:lang w:val="x-none" w:eastAsia="x-none"/>
    </w:rPr>
  </w:style>
  <w:style w:type="character" w:styleId="a5">
    <w:name w:val="FollowedHyperlink"/>
    <w:uiPriority w:val="99"/>
    <w:semiHidden/>
    <w:rsid w:val="003877C3"/>
    <w:rPr>
      <w:color w:val="800080"/>
      <w:u w:val="single"/>
    </w:rPr>
  </w:style>
  <w:style w:type="character" w:styleId="a6">
    <w:name w:val="Hyperlink"/>
    <w:uiPriority w:val="99"/>
    <w:semiHidden/>
    <w:rsid w:val="003877C3"/>
    <w:rPr>
      <w:color w:val="0000FF"/>
      <w:u w:val="single"/>
    </w:rPr>
  </w:style>
  <w:style w:type="character" w:customStyle="1" w:styleId="apple-converted-space">
    <w:name w:val="apple-converted-space"/>
    <w:basedOn w:val="a0"/>
    <w:uiPriority w:val="99"/>
    <w:rsid w:val="003877C3"/>
  </w:style>
  <w:style w:type="paragraph" w:styleId="a7">
    <w:name w:val="Balloon Text"/>
    <w:basedOn w:val="a"/>
    <w:link w:val="Char11"/>
    <w:rsid w:val="003877C3"/>
    <w:rPr>
      <w:rFonts w:cs="Times New Roman"/>
      <w:sz w:val="18"/>
      <w:szCs w:val="18"/>
      <w:lang w:val="x-none" w:eastAsia="x-none"/>
    </w:rPr>
  </w:style>
  <w:style w:type="character" w:customStyle="1" w:styleId="Char2">
    <w:name w:val="批注框文本 Char"/>
    <w:basedOn w:val="a0"/>
    <w:uiPriority w:val="99"/>
    <w:semiHidden/>
    <w:rsid w:val="003877C3"/>
    <w:rPr>
      <w:rFonts w:ascii="Calibri" w:eastAsia="宋体" w:hAnsi="Calibri" w:cs="Calibri"/>
      <w:sz w:val="18"/>
      <w:szCs w:val="18"/>
    </w:rPr>
  </w:style>
  <w:style w:type="character" w:customStyle="1" w:styleId="Char11">
    <w:name w:val="批注框文本 Char1"/>
    <w:link w:val="a7"/>
    <w:rsid w:val="003877C3"/>
    <w:rPr>
      <w:rFonts w:ascii="Calibri" w:eastAsia="宋体" w:hAnsi="Calibri" w:cs="Times New Roman"/>
      <w:sz w:val="18"/>
      <w:szCs w:val="18"/>
      <w:lang w:val="x-none" w:eastAsia="x-none"/>
    </w:rPr>
  </w:style>
</w:styles>
</file>

<file path=word/webSettings.xml><?xml version="1.0" encoding="utf-8"?>
<w:webSettings xmlns:r="http://schemas.openxmlformats.org/officeDocument/2006/relationships" xmlns:w="http://schemas.openxmlformats.org/wordprocessingml/2006/main">
  <w:divs>
    <w:div w:id="244919933">
      <w:bodyDiv w:val="1"/>
      <w:marLeft w:val="0"/>
      <w:marRight w:val="0"/>
      <w:marTop w:val="0"/>
      <w:marBottom w:val="0"/>
      <w:divBdr>
        <w:top w:val="none" w:sz="0" w:space="0" w:color="auto"/>
        <w:left w:val="none" w:sz="0" w:space="0" w:color="auto"/>
        <w:bottom w:val="none" w:sz="0" w:space="0" w:color="auto"/>
        <w:right w:val="none" w:sz="0" w:space="0" w:color="auto"/>
      </w:divBdr>
    </w:div>
    <w:div w:id="665940685">
      <w:bodyDiv w:val="1"/>
      <w:marLeft w:val="0"/>
      <w:marRight w:val="0"/>
      <w:marTop w:val="0"/>
      <w:marBottom w:val="0"/>
      <w:divBdr>
        <w:top w:val="none" w:sz="0" w:space="0" w:color="auto"/>
        <w:left w:val="none" w:sz="0" w:space="0" w:color="auto"/>
        <w:bottom w:val="none" w:sz="0" w:space="0" w:color="auto"/>
        <w:right w:val="none" w:sz="0" w:space="0" w:color="auto"/>
      </w:divBdr>
    </w:div>
    <w:div w:id="1351687645">
      <w:bodyDiv w:val="1"/>
      <w:marLeft w:val="0"/>
      <w:marRight w:val="0"/>
      <w:marTop w:val="0"/>
      <w:marBottom w:val="0"/>
      <w:divBdr>
        <w:top w:val="none" w:sz="0" w:space="0" w:color="auto"/>
        <w:left w:val="none" w:sz="0" w:space="0" w:color="auto"/>
        <w:bottom w:val="none" w:sz="0" w:space="0" w:color="auto"/>
        <w:right w:val="none" w:sz="0" w:space="0" w:color="auto"/>
      </w:divBdr>
    </w:div>
    <w:div w:id="1493369978">
      <w:bodyDiv w:val="1"/>
      <w:marLeft w:val="0"/>
      <w:marRight w:val="0"/>
      <w:marTop w:val="0"/>
      <w:marBottom w:val="0"/>
      <w:divBdr>
        <w:top w:val="none" w:sz="0" w:space="0" w:color="auto"/>
        <w:left w:val="none" w:sz="0" w:space="0" w:color="auto"/>
        <w:bottom w:val="none" w:sz="0" w:space="0" w:color="auto"/>
        <w:right w:val="none" w:sz="0" w:space="0" w:color="auto"/>
      </w:divBdr>
    </w:div>
    <w:div w:id="1671447783">
      <w:bodyDiv w:val="1"/>
      <w:marLeft w:val="0"/>
      <w:marRight w:val="0"/>
      <w:marTop w:val="0"/>
      <w:marBottom w:val="0"/>
      <w:divBdr>
        <w:top w:val="none" w:sz="0" w:space="0" w:color="auto"/>
        <w:left w:val="none" w:sz="0" w:space="0" w:color="auto"/>
        <w:bottom w:val="none" w:sz="0" w:space="0" w:color="auto"/>
        <w:right w:val="none" w:sz="0" w:space="0" w:color="auto"/>
      </w:divBdr>
    </w:div>
    <w:div w:id="1879581425">
      <w:bodyDiv w:val="1"/>
      <w:marLeft w:val="0"/>
      <w:marRight w:val="0"/>
      <w:marTop w:val="0"/>
      <w:marBottom w:val="0"/>
      <w:divBdr>
        <w:top w:val="none" w:sz="0" w:space="0" w:color="auto"/>
        <w:left w:val="none" w:sz="0" w:space="0" w:color="auto"/>
        <w:bottom w:val="none" w:sz="0" w:space="0" w:color="auto"/>
        <w:right w:val="none" w:sz="0" w:space="0" w:color="auto"/>
      </w:divBdr>
    </w:div>
    <w:div w:id="19566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7AF6-2511-45F2-89AB-5B55F53C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闻吉</dc:creator>
  <cp:lastModifiedBy>Administrator</cp:lastModifiedBy>
  <cp:revision>6</cp:revision>
  <dcterms:created xsi:type="dcterms:W3CDTF">2020-01-06T02:30:00Z</dcterms:created>
  <dcterms:modified xsi:type="dcterms:W3CDTF">2020-10-22T01:24:00Z</dcterms:modified>
</cp:coreProperties>
</file>