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7032"/>
      <w:bookmarkStart w:id="5" w:name="_Toc15396475"/>
      <w:bookmarkStart w:id="6"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96476"/>
      <w:bookmarkStart w:id="9" w:name="_Toc4960"/>
      <w:bookmarkStart w:id="10" w:name="_Toc15377194"/>
      <w:bookmarkStart w:id="11" w:name="_Toc15377426"/>
      <w:bookmarkStart w:id="12" w:name="_Toc15396598"/>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广汉市军队离退休干部休养所部门决算</w:t>
      </w:r>
      <w:bookmarkEnd w:id="7"/>
      <w:bookmarkEnd w:id="8"/>
      <w:bookmarkEnd w:id="9"/>
      <w:bookmarkEnd w:id="10"/>
      <w:bookmarkEnd w:id="11"/>
      <w:bookmarkEnd w:id="12"/>
      <w:bookmarkEnd w:id="13"/>
    </w:p>
    <w:p>
      <w:pPr>
        <w:adjustRightInd w:val="0"/>
        <w:snapToGrid w:val="0"/>
        <w:spacing w:line="360" w:lineRule="auto"/>
        <w:jc w:val="center"/>
        <w:outlineLvl w:val="9"/>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hint="eastAsia"/>
          <w:sz w:val="24"/>
        </w:rPr>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w:t>
      </w:r>
      <w:r>
        <w:rPr>
          <w:rFonts w:hint="eastAsia"/>
        </w:rPr>
        <w:t>日</w:t>
      </w:r>
    </w:p>
    <w:sdt>
      <w:sdtPr>
        <w:rPr>
          <w:rFonts w:ascii="宋体" w:hAnsi="宋体" w:eastAsia="宋体" w:cs="Times New Roman"/>
          <w:kern w:val="2"/>
          <w:sz w:val="21"/>
          <w:szCs w:val="24"/>
          <w:lang w:val="en-US" w:eastAsia="zh-CN" w:bidi="ar-SA"/>
        </w:rPr>
        <w:id w:val="147470530"/>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TOC \o "1-2" \h \u </w:instrText>
          </w:r>
          <w:r>
            <w:rPr>
              <w:rFonts w:hint="default"/>
              <w:lang w:val="en-US" w:eastAsia="zh-CN"/>
            </w:rPr>
            <w:fldChar w:fldCharType="separate"/>
          </w:r>
          <w:r>
            <w:rPr>
              <w:rFonts w:hint="default"/>
              <w:lang w:val="en-US" w:eastAsia="zh-CN"/>
            </w:rPr>
            <w:fldChar w:fldCharType="begin"/>
          </w:r>
          <w:r>
            <w:rPr>
              <w:rFonts w:hint="default"/>
              <w:lang w:val="en-US" w:eastAsia="zh-CN"/>
            </w:rPr>
            <w:instrText xml:space="preserve"> HYPERLINK \l _Toc17032 </w:instrText>
          </w:r>
          <w:r>
            <w:rPr>
              <w:rFonts w:hint="default"/>
              <w:lang w:val="en-US" w:eastAsia="zh-CN"/>
            </w:rPr>
            <w:fldChar w:fldCharType="separate"/>
          </w:r>
          <w:r>
            <w:rPr>
              <w:rFonts w:ascii="黑体" w:hAnsi="黑体" w:eastAsia="黑体"/>
              <w:szCs w:val="72"/>
            </w:rPr>
            <w:t>201</w:t>
          </w:r>
          <w:r>
            <w:rPr>
              <w:rFonts w:hint="eastAsia" w:ascii="黑体" w:hAnsi="黑体" w:eastAsia="黑体"/>
              <w:szCs w:val="72"/>
            </w:rPr>
            <w:t>9</w:t>
          </w:r>
          <w:r>
            <w:rPr>
              <w:rFonts w:hint="eastAsia" w:ascii="方正小标宋简体" w:hAnsi="宋体" w:eastAsia="方正小标宋简体"/>
              <w:szCs w:val="72"/>
            </w:rPr>
            <w:t>年度</w:t>
          </w:r>
          <w:r>
            <w:tab/>
          </w:r>
          <w:r>
            <w:fldChar w:fldCharType="begin"/>
          </w:r>
          <w:r>
            <w:instrText xml:space="preserve"> PAGEREF _Toc17032 </w:instrText>
          </w:r>
          <w:r>
            <w:fldChar w:fldCharType="separate"/>
          </w:r>
          <w:r>
            <w:t>1</w:t>
          </w:r>
          <w:r>
            <w:fldChar w:fldCharType="end"/>
          </w:r>
          <w:r>
            <w:rPr>
              <w:rFonts w:hint="default"/>
              <w:lang w:val="en-US" w:eastAsia="zh-CN"/>
            </w:rPr>
            <w:fldChar w:fldCharType="end"/>
          </w: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 HYPERLINK \l _Toc4960 </w:instrText>
          </w:r>
          <w:r>
            <w:rPr>
              <w:rFonts w:hint="default"/>
              <w:lang w:val="en-US" w:eastAsia="zh-CN"/>
            </w:rPr>
            <w:fldChar w:fldCharType="separate"/>
          </w:r>
          <w:r>
            <w:rPr>
              <w:rFonts w:hint="eastAsia" w:ascii="方正小标宋简体" w:hAnsi="宋体" w:eastAsia="方正小标宋简体"/>
              <w:szCs w:val="72"/>
            </w:rPr>
            <w:t>四川省广汉市军队离退休干部休养所部门决算</w:t>
          </w:r>
          <w:r>
            <w:tab/>
          </w:r>
          <w:r>
            <w:fldChar w:fldCharType="begin"/>
          </w:r>
          <w:r>
            <w:instrText xml:space="preserve"> PAGEREF _Toc4960 </w:instrText>
          </w:r>
          <w:r>
            <w:fldChar w:fldCharType="separate"/>
          </w:r>
          <w:r>
            <w:t>1</w:t>
          </w:r>
          <w:r>
            <w:fldChar w:fldCharType="end"/>
          </w:r>
          <w:r>
            <w:rPr>
              <w:rFonts w:hint="default"/>
              <w:lang w:val="en-US" w:eastAsia="zh-CN"/>
            </w:rPr>
            <w:fldChar w:fldCharType="end"/>
          </w: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 HYPERLINK \l _Toc29237 </w:instrText>
          </w:r>
          <w:r>
            <w:rPr>
              <w:rFonts w:hint="default"/>
              <w:lang w:val="en-US" w:eastAsia="zh-CN"/>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_Toc29237 </w:instrText>
          </w:r>
          <w:r>
            <w:fldChar w:fldCharType="separate"/>
          </w:r>
          <w:r>
            <w:t>4</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_Toc4876 </w:instrText>
          </w:r>
          <w:r>
            <w:rPr>
              <w:rFonts w:hint="default"/>
              <w:lang w:val="en-US" w:eastAsia="zh-CN"/>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_Toc4876 </w:instrText>
          </w:r>
          <w:r>
            <w:fldChar w:fldCharType="separate"/>
          </w:r>
          <w:r>
            <w:t>4</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_Toc9264 </w:instrText>
          </w:r>
          <w:r>
            <w:rPr>
              <w:rFonts w:hint="default"/>
              <w:lang w:val="en-US" w:eastAsia="zh-CN"/>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_Toc9264 </w:instrText>
          </w:r>
          <w:r>
            <w:fldChar w:fldCharType="separate"/>
          </w:r>
          <w:r>
            <w:t>5</w:t>
          </w:r>
          <w:r>
            <w:fldChar w:fldCharType="end"/>
          </w:r>
          <w:r>
            <w:rPr>
              <w:rFonts w:hint="default"/>
              <w:lang w:val="en-US" w:eastAsia="zh-CN"/>
            </w:rPr>
            <w:fldChar w:fldCharType="end"/>
          </w: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 HYPERLINK \l _Toc21173 </w:instrText>
          </w:r>
          <w:r>
            <w:rPr>
              <w:rFonts w:hint="default"/>
              <w:lang w:val="en-US" w:eastAsia="zh-CN"/>
            </w:rPr>
            <w:fldChar w:fldCharType="separate"/>
          </w:r>
          <w:r>
            <w:rPr>
              <w:rFonts w:hint="eastAsia" w:ascii="黑体" w:hAnsi="黑体" w:eastAsia="黑体"/>
            </w:rPr>
            <w:t xml:space="preserve">第二部分 </w:t>
          </w:r>
          <w:r>
            <w:rPr>
              <w:rFonts w:hint="eastAsia" w:ascii="黑体" w:hAnsi="黑体" w:eastAsia="黑体"/>
              <w:bCs w:val="0"/>
            </w:rPr>
            <w:t>2019年度部门决算情况说明</w:t>
          </w:r>
          <w:r>
            <w:tab/>
          </w:r>
          <w:r>
            <w:fldChar w:fldCharType="begin"/>
          </w:r>
          <w:r>
            <w:instrText xml:space="preserve"> PAGEREF _Toc21173 </w:instrText>
          </w:r>
          <w:r>
            <w:fldChar w:fldCharType="separate"/>
          </w:r>
          <w:r>
            <w:t>6</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_Toc10884 </w:instrText>
          </w:r>
          <w:r>
            <w:rPr>
              <w:rFonts w:hint="default"/>
              <w:lang w:val="en-US" w:eastAsia="zh-CN"/>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_Toc10884 </w:instrText>
          </w:r>
          <w:r>
            <w:fldChar w:fldCharType="separate"/>
          </w:r>
          <w:r>
            <w:t>6</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_Toc7533 </w:instrText>
          </w:r>
          <w:r>
            <w:rPr>
              <w:rFonts w:hint="default"/>
              <w:lang w:val="en-US" w:eastAsia="zh-CN"/>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_Toc7533 </w:instrText>
          </w:r>
          <w:r>
            <w:fldChar w:fldCharType="separate"/>
          </w:r>
          <w:r>
            <w:t>6</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_Toc10341 </w:instrText>
          </w:r>
          <w:r>
            <w:rPr>
              <w:rFonts w:hint="default"/>
              <w:lang w:val="en-US" w:eastAsia="zh-CN"/>
            </w:rPr>
            <w:fldChar w:fldCharType="separate"/>
          </w:r>
          <w:r>
            <w:rPr>
              <w:rFonts w:ascii="仿宋" w:hAnsi="仿宋" w:eastAsia="仿宋"/>
              <w:szCs w:val="32"/>
            </w:rPr>
            <w:t>201</w:t>
          </w:r>
          <w:r>
            <w:rPr>
              <w:rFonts w:hint="eastAsia" w:ascii="仿宋" w:hAnsi="仿宋" w:eastAsia="仿宋"/>
              <w:szCs w:val="32"/>
            </w:rPr>
            <w:t>9年本年收入合计841.50万元，其中：一般公共预算财政拨款收入415.90万元，占49.42</w:t>
          </w:r>
          <w:r>
            <w:rPr>
              <w:rFonts w:ascii="仿宋" w:hAnsi="仿宋" w:eastAsia="仿宋"/>
              <w:szCs w:val="32"/>
            </w:rPr>
            <w:t>%</w:t>
          </w:r>
          <w:r>
            <w:rPr>
              <w:rFonts w:hint="eastAsia" w:ascii="仿宋" w:hAnsi="仿宋" w:eastAsia="仿宋"/>
              <w:szCs w:val="32"/>
            </w:rPr>
            <w:t>；其他收入91万元，占10.81</w:t>
          </w:r>
          <w:r>
            <w:rPr>
              <w:rFonts w:ascii="仿宋" w:hAnsi="仿宋" w:eastAsia="仿宋"/>
              <w:szCs w:val="32"/>
            </w:rPr>
            <w:t>%</w:t>
          </w:r>
          <w:r>
            <w:rPr>
              <w:rFonts w:hint="eastAsia" w:ascii="仿宋" w:hAnsi="仿宋" w:eastAsia="仿宋"/>
              <w:szCs w:val="32"/>
            </w:rPr>
            <w:t>；上年财返334.59万元，占39.76%。</w:t>
          </w:r>
          <w:r>
            <w:tab/>
          </w:r>
          <w:r>
            <w:fldChar w:fldCharType="begin"/>
          </w:r>
          <w:r>
            <w:instrText xml:space="preserve"> PAGEREF _Toc10341 </w:instrText>
          </w:r>
          <w:r>
            <w:fldChar w:fldCharType="separate"/>
          </w:r>
          <w:r>
            <w:t>6</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_Toc9305 </w:instrText>
          </w:r>
          <w:r>
            <w:rPr>
              <w:rFonts w:hint="default"/>
              <w:lang w:val="en-US" w:eastAsia="zh-CN"/>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_Toc9305 </w:instrText>
          </w:r>
          <w:r>
            <w:fldChar w:fldCharType="separate"/>
          </w:r>
          <w:r>
            <w:t>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_Toc16920 </w:instrText>
          </w:r>
          <w:r>
            <w:rPr>
              <w:rFonts w:hint="default"/>
              <w:lang w:val="en-US" w:eastAsia="zh-CN"/>
            </w:rPr>
            <w:fldChar w:fldCharType="separate"/>
          </w:r>
          <w:r>
            <w:rPr>
              <w:rFonts w:ascii="仿宋" w:hAnsi="仿宋" w:eastAsia="仿宋"/>
              <w:szCs w:val="32"/>
            </w:rPr>
            <w:t>201</w:t>
          </w:r>
          <w:r>
            <w:rPr>
              <w:rFonts w:hint="eastAsia" w:ascii="仿宋" w:hAnsi="仿宋" w:eastAsia="仿宋"/>
              <w:szCs w:val="32"/>
            </w:rPr>
            <w:t>9年本年支出合计494.05万元，其中：基本支出95.54万元，占19.34</w:t>
          </w:r>
          <w:r>
            <w:rPr>
              <w:rFonts w:ascii="仿宋" w:hAnsi="仿宋" w:eastAsia="仿宋"/>
              <w:szCs w:val="32"/>
            </w:rPr>
            <w:t>%</w:t>
          </w:r>
          <w:r>
            <w:rPr>
              <w:rFonts w:hint="eastAsia" w:ascii="仿宋" w:hAnsi="仿宋" w:eastAsia="仿宋"/>
              <w:szCs w:val="32"/>
            </w:rPr>
            <w:t>；项目支出398.51万元，占80.66</w:t>
          </w:r>
          <w:r>
            <w:rPr>
              <w:rFonts w:ascii="仿宋" w:hAnsi="仿宋" w:eastAsia="仿宋"/>
              <w:szCs w:val="32"/>
            </w:rPr>
            <w:t>%</w:t>
          </w:r>
          <w:r>
            <w:rPr>
              <w:rFonts w:hint="eastAsia" w:ascii="仿宋" w:hAnsi="仿宋" w:eastAsia="仿宋"/>
              <w:szCs w:val="32"/>
            </w:rPr>
            <w:t>；</w:t>
          </w:r>
          <w:r>
            <w:tab/>
          </w:r>
          <w:r>
            <w:fldChar w:fldCharType="begin"/>
          </w:r>
          <w:r>
            <w:instrText xml:space="preserve"> PAGEREF _Toc16920 </w:instrText>
          </w:r>
          <w:r>
            <w:fldChar w:fldCharType="separate"/>
          </w:r>
          <w:r>
            <w:t>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_Toc15226 </w:instrText>
          </w:r>
          <w:r>
            <w:rPr>
              <w:rFonts w:hint="default"/>
              <w:lang w:val="en-US" w:eastAsia="zh-CN"/>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_Toc15226 </w:instrText>
          </w:r>
          <w:r>
            <w:fldChar w:fldCharType="separate"/>
          </w:r>
          <w:r>
            <w:t>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_Toc296 </w:instrText>
          </w:r>
          <w:r>
            <w:rPr>
              <w:rFonts w:hint="default"/>
              <w:lang w:val="en-US" w:eastAsia="zh-CN"/>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_Toc296 </w:instrText>
          </w:r>
          <w:r>
            <w:fldChar w:fldCharType="separate"/>
          </w:r>
          <w:r>
            <w:t>8</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_Toc23954 </w:instrText>
          </w:r>
          <w:r>
            <w:rPr>
              <w:rFonts w:hint="default"/>
              <w:lang w:val="en-US" w:eastAsia="zh-CN"/>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_Toc23954 </w:instrText>
          </w:r>
          <w:r>
            <w:fldChar w:fldCharType="separate"/>
          </w:r>
          <w:r>
            <w:t>10</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_Toc14118 </w:instrText>
          </w:r>
          <w:r>
            <w:rPr>
              <w:rFonts w:hint="default"/>
              <w:lang w:val="en-US" w:eastAsia="zh-CN"/>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_Toc14118 </w:instrText>
          </w:r>
          <w:r>
            <w:fldChar w:fldCharType="separate"/>
          </w:r>
          <w:r>
            <w:t>11</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_Toc14430 </w:instrText>
          </w:r>
          <w:r>
            <w:rPr>
              <w:rFonts w:hint="default"/>
              <w:lang w:val="en-US" w:eastAsia="zh-CN"/>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_Toc14430 </w:instrText>
          </w:r>
          <w:r>
            <w:fldChar w:fldCharType="separate"/>
          </w:r>
          <w:r>
            <w:t>13</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_Toc15242 </w:instrText>
          </w:r>
          <w:r>
            <w:rPr>
              <w:rFonts w:hint="default"/>
              <w:lang w:val="en-US" w:eastAsia="zh-CN"/>
            </w:rPr>
            <w:fldChar w:fldCharType="separate"/>
          </w:r>
          <w:r>
            <w:rPr>
              <w:rFonts w:hint="eastAsia" w:ascii="黑体" w:hAnsi="黑体" w:eastAsia="黑体"/>
            </w:rPr>
            <w:t>九、 国有资本经营预算支出决算情况说明</w:t>
          </w:r>
          <w:r>
            <w:tab/>
          </w:r>
          <w:r>
            <w:fldChar w:fldCharType="begin"/>
          </w:r>
          <w:r>
            <w:instrText xml:space="preserve"> PAGEREF _Toc15242 </w:instrText>
          </w:r>
          <w:r>
            <w:fldChar w:fldCharType="separate"/>
          </w:r>
          <w:r>
            <w:t>13</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_Toc19327 </w:instrText>
          </w:r>
          <w:r>
            <w:rPr>
              <w:rFonts w:hint="default"/>
              <w:lang w:val="en-US" w:eastAsia="zh-CN"/>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_Toc19327 </w:instrText>
          </w:r>
          <w:r>
            <w:fldChar w:fldCharType="separate"/>
          </w:r>
          <w:r>
            <w:t>13</w:t>
          </w:r>
          <w:r>
            <w:fldChar w:fldCharType="end"/>
          </w:r>
          <w:r>
            <w:rPr>
              <w:rFonts w:hint="default"/>
              <w:lang w:val="en-US" w:eastAsia="zh-CN"/>
            </w:rPr>
            <w:fldChar w:fldCharType="end"/>
          </w: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 HYPERLINK \l _Toc1384 </w:instrText>
          </w:r>
          <w:r>
            <w:rPr>
              <w:rFonts w:hint="default"/>
              <w:lang w:val="en-US" w:eastAsia="zh-CN"/>
            </w:rP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_Toc1384 </w:instrText>
          </w:r>
          <w:r>
            <w:fldChar w:fldCharType="separate"/>
          </w:r>
          <w:r>
            <w:t>17</w:t>
          </w:r>
          <w:r>
            <w:fldChar w:fldCharType="end"/>
          </w:r>
          <w:r>
            <w:rPr>
              <w:rFonts w:hint="default"/>
              <w:lang w:val="en-US" w:eastAsia="zh-CN"/>
            </w:rPr>
            <w:fldChar w:fldCharType="end"/>
          </w:r>
        </w:p>
        <w:p>
          <w:pPr>
            <w:pStyle w:val="10"/>
            <w:tabs>
              <w:tab w:val="right" w:leader="dot" w:pos="8306"/>
              <w:tab w:val="clear" w:pos="8296"/>
            </w:tabs>
          </w:pPr>
          <w:r>
            <w:rPr>
              <w:rFonts w:hint="default"/>
              <w:lang w:val="en-US" w:eastAsia="zh-CN"/>
            </w:rPr>
            <w:fldChar w:fldCharType="begin"/>
          </w:r>
          <w:r>
            <w:rPr>
              <w:rFonts w:hint="default"/>
              <w:lang w:val="en-US" w:eastAsia="zh-CN"/>
            </w:rPr>
            <w:instrText xml:space="preserve"> HYPERLINK \l _Toc14275 </w:instrText>
          </w:r>
          <w:r>
            <w:rPr>
              <w:rFonts w:hint="default"/>
              <w:lang w:val="en-US" w:eastAsia="zh-CN"/>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_Toc14275 </w:instrText>
          </w:r>
          <w:r>
            <w:fldChar w:fldCharType="separate"/>
          </w:r>
          <w:r>
            <w:t>19</w:t>
          </w:r>
          <w:r>
            <w:fldChar w:fldCharType="end"/>
          </w:r>
          <w:r>
            <w:rPr>
              <w:rFonts w:hint="default"/>
              <w:lang w:val="en-US" w:eastAsia="zh-CN"/>
            </w:rPr>
            <w:fldChar w:fldCharType="end"/>
          </w:r>
        </w:p>
        <w:p>
          <w:pPr>
            <w:pStyle w:val="10"/>
            <w:tabs>
              <w:tab w:val="right" w:leader="dot" w:pos="8306"/>
              <w:tab w:val="clear" w:pos="8296"/>
            </w:tabs>
            <w:rPr>
              <w:rFonts w:hint="default"/>
              <w:lang w:val="en-US" w:eastAsia="zh-CN"/>
            </w:rPr>
          </w:pPr>
          <w:r>
            <w:rPr>
              <w:rFonts w:hint="default"/>
              <w:lang w:val="en-US" w:eastAsia="zh-CN"/>
            </w:rPr>
            <w:fldChar w:fldCharType="begin"/>
          </w:r>
          <w:r>
            <w:rPr>
              <w:rFonts w:hint="default"/>
              <w:lang w:val="en-US" w:eastAsia="zh-CN"/>
            </w:rPr>
            <w:instrText xml:space="preserve"> HYPERLINK \l _Toc26654 </w:instrText>
          </w:r>
          <w:r>
            <w:rPr>
              <w:rFonts w:hint="default"/>
              <w:lang w:val="en-US" w:eastAsia="zh-CN"/>
            </w:rPr>
            <w:fldChar w:fldCharType="separate"/>
          </w:r>
          <w:r>
            <w:rPr>
              <w:rFonts w:hint="eastAsia" w:ascii="黑体" w:hAnsi="黑体" w:eastAsia="黑体" w:cs="黑体"/>
              <w:szCs w:val="32"/>
            </w:rPr>
            <w:t>附件1</w:t>
          </w:r>
          <w:r>
            <w:tab/>
          </w:r>
          <w:r>
            <w:rPr>
              <w:rFonts w:hint="eastAsia"/>
              <w:sz w:val="24"/>
              <w:szCs w:val="24"/>
              <w:lang w:val="en-US" w:eastAsia="zh-CN"/>
            </w:rPr>
            <w:t>1</w:t>
          </w:r>
          <w:r>
            <w:rPr>
              <w:rFonts w:hint="default"/>
              <w:lang w:val="en-US" w:eastAsia="zh-CN"/>
            </w:rPr>
            <w:fldChar w:fldCharType="end"/>
          </w:r>
          <w:r>
            <w:rPr>
              <w:rFonts w:hint="eastAsia"/>
              <w:sz w:val="24"/>
              <w:szCs w:val="24"/>
              <w:lang w:val="en-US" w:eastAsia="zh-CN"/>
            </w:rPr>
            <w:t>9</w:t>
          </w:r>
        </w:p>
        <w:p>
          <w:pPr>
            <w:rPr>
              <w:rFonts w:hint="default"/>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r>
            <w:rPr>
              <w:rFonts w:hint="eastAsia"/>
              <w:lang w:val="en-US" w:eastAsia="zh-CN"/>
            </w:rPr>
            <w:t>...........................................................................................................................................22</w:t>
          </w:r>
        </w:p>
        <w:p>
          <w:pPr>
            <w:pStyle w:val="10"/>
            <w:tabs>
              <w:tab w:val="right" w:leader="dot" w:pos="8306"/>
              <w:tab w:val="clear" w:pos="8296"/>
            </w:tabs>
            <w:jc w:val="both"/>
          </w:pPr>
          <w:r>
            <w:rPr>
              <w:rFonts w:hint="default"/>
              <w:lang w:val="en-US" w:eastAsia="zh-CN"/>
            </w:rPr>
            <w:fldChar w:fldCharType="begin"/>
          </w:r>
          <w:r>
            <w:rPr>
              <w:rFonts w:hint="default"/>
              <w:lang w:val="en-US" w:eastAsia="zh-CN"/>
            </w:rPr>
            <w:instrText xml:space="preserve"> HYPERLINK \l _Toc2486 </w:instrText>
          </w:r>
          <w:r>
            <w:rPr>
              <w:rFonts w:hint="default"/>
              <w:lang w:val="en-US" w:eastAsia="zh-CN"/>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_Toc2486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_Toc12839 </w:instrText>
          </w:r>
          <w:r>
            <w:rPr>
              <w:rFonts w:hint="default"/>
              <w:lang w:val="en-US" w:eastAsia="zh-CN"/>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_Toc12839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_Toc24982 </w:instrText>
          </w:r>
          <w:r>
            <w:rPr>
              <w:rFonts w:hint="default"/>
              <w:lang w:val="en-US" w:eastAsia="zh-CN"/>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_Toc24982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_Toc10158 </w:instrText>
          </w:r>
          <w:r>
            <w:rPr>
              <w:rFonts w:hint="default"/>
              <w:lang w:val="en-US" w:eastAsia="zh-CN"/>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_Toc10158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_Toc11307 </w:instrText>
          </w:r>
          <w:r>
            <w:rPr>
              <w:rFonts w:hint="default"/>
              <w:lang w:val="en-US" w:eastAsia="zh-CN"/>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_Toc11307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_Toc24218 </w:instrText>
          </w:r>
          <w:r>
            <w:rPr>
              <w:rFonts w:hint="default"/>
              <w:lang w:val="en-US" w:eastAsia="zh-CN"/>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_Toc24218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_Toc31499 </w:instrText>
          </w:r>
          <w:r>
            <w:rPr>
              <w:rFonts w:hint="default"/>
              <w:lang w:val="en-US" w:eastAsia="zh-CN"/>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_Toc31499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_Toc28717 </w:instrText>
          </w:r>
          <w:r>
            <w:rPr>
              <w:rFonts w:hint="default"/>
              <w:lang w:val="en-US" w:eastAsia="zh-CN"/>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_Toc28717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_Toc16468 </w:instrText>
          </w:r>
          <w:r>
            <w:rPr>
              <w:rFonts w:hint="default"/>
              <w:lang w:val="en-US" w:eastAsia="zh-CN"/>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_Toc16468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_Toc21614 </w:instrText>
          </w:r>
          <w:r>
            <w:rPr>
              <w:rFonts w:hint="default"/>
              <w:lang w:val="en-US" w:eastAsia="zh-CN"/>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_Toc21614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_Toc4322 </w:instrText>
          </w:r>
          <w:r>
            <w:rPr>
              <w:rFonts w:hint="default"/>
              <w:lang w:val="en-US" w:eastAsia="zh-CN"/>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_Toc4322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_Toc7661 </w:instrText>
          </w:r>
          <w:r>
            <w:rPr>
              <w:rFonts w:hint="default"/>
              <w:lang w:val="en-US" w:eastAsia="zh-CN"/>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_Toc7661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_Toc27018 </w:instrText>
          </w:r>
          <w:r>
            <w:rPr>
              <w:rFonts w:hint="default"/>
              <w:lang w:val="en-US" w:eastAsia="zh-CN"/>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_Toc27018 </w:instrText>
          </w:r>
          <w:r>
            <w:fldChar w:fldCharType="separate"/>
          </w:r>
          <w:r>
            <w:t>27</w:t>
          </w:r>
          <w:r>
            <w:fldChar w:fldCharType="end"/>
          </w:r>
          <w:r>
            <w:rPr>
              <w:rFonts w:hint="default"/>
              <w:lang w:val="en-US" w:eastAsia="zh-CN"/>
            </w:rPr>
            <w:fldChar w:fldCharType="end"/>
          </w:r>
        </w:p>
        <w:p>
          <w:pPr>
            <w:pStyle w:val="11"/>
            <w:tabs>
              <w:tab w:val="right" w:leader="dot" w:pos="8306"/>
              <w:tab w:val="clear" w:pos="8296"/>
            </w:tabs>
          </w:pPr>
          <w:r>
            <w:rPr>
              <w:rFonts w:hint="default"/>
              <w:lang w:val="en-US" w:eastAsia="zh-CN"/>
            </w:rPr>
            <w:fldChar w:fldCharType="begin"/>
          </w:r>
          <w:r>
            <w:rPr>
              <w:rFonts w:hint="default"/>
              <w:lang w:val="en-US" w:eastAsia="zh-CN"/>
            </w:rPr>
            <w:instrText xml:space="preserve"> HYPERLINK \l _Toc16550 </w:instrText>
          </w:r>
          <w:r>
            <w:rPr>
              <w:rFonts w:hint="default"/>
              <w:lang w:val="en-US" w:eastAsia="zh-CN"/>
            </w:rP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_Toc16550 </w:instrText>
          </w:r>
          <w:r>
            <w:fldChar w:fldCharType="separate"/>
          </w:r>
          <w:r>
            <w:t>27</w:t>
          </w:r>
          <w:r>
            <w:fldChar w:fldCharType="end"/>
          </w:r>
          <w:r>
            <w:rPr>
              <w:rFonts w:hint="default"/>
              <w:lang w:val="en-US" w:eastAsia="zh-CN"/>
            </w:rPr>
            <w:fldChar w:fldCharType="end"/>
          </w:r>
        </w:p>
        <w:p>
          <w:pPr>
            <w:rPr>
              <w:rFonts w:ascii="仿宋" w:hAnsi="仿宋" w:eastAsia="仿宋"/>
              <w:color w:val="FF0000"/>
              <w:sz w:val="24"/>
            </w:rPr>
          </w:pPr>
          <w:r>
            <w:rPr>
              <w:rFonts w:hint="default"/>
              <w:lang w:val="en-US" w:eastAsia="zh-CN"/>
            </w:rPr>
            <w:fldChar w:fldCharType="end"/>
          </w:r>
        </w:p>
      </w:sdtContent>
    </w:sdt>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2"/>
        <w:jc w:val="center"/>
        <w:rPr>
          <w:rStyle w:val="25"/>
          <w:rFonts w:ascii="黑体" w:hAnsi="黑体" w:eastAsia="黑体"/>
          <w:b/>
          <w:bCs w:val="0"/>
        </w:rPr>
      </w:pPr>
      <w:bookmarkStart w:id="16" w:name="_Toc29237"/>
      <w:r>
        <w:rPr>
          <w:rFonts w:hint="eastAsia" w:ascii="黑体" w:hAnsi="黑体" w:eastAsia="黑体"/>
          <w:b w:val="0"/>
        </w:rPr>
        <w:t xml:space="preserve">第一部分 </w:t>
      </w:r>
      <w:r>
        <w:rPr>
          <w:rStyle w:val="25"/>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3"/>
        <w:rPr>
          <w:rStyle w:val="26"/>
          <w:rFonts w:ascii="仿宋" w:hAnsi="仿宋" w:eastAsia="仿宋"/>
          <w:b w:val="0"/>
          <w:bCs w:val="0"/>
        </w:rPr>
      </w:pPr>
      <w:bookmarkStart w:id="17" w:name="_Toc4876"/>
      <w:bookmarkStart w:id="18" w:name="_Toc15377197"/>
      <w:bookmarkStart w:id="19"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7"/>
      <w:bookmarkEnd w:id="18"/>
      <w:bookmarkEnd w:id="19"/>
    </w:p>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20" w:name="_Toc15378445"/>
      <w:bookmarkStart w:id="21" w:name="_Toc15377198"/>
      <w:r>
        <w:rPr>
          <w:rFonts w:hint="eastAsia" w:ascii="仿宋" w:hAnsi="仿宋" w:eastAsia="仿宋"/>
          <w:bCs/>
          <w:color w:val="000000"/>
          <w:sz w:val="32"/>
          <w:szCs w:val="32"/>
        </w:rPr>
        <w:t>（一）主要职能。</w:t>
      </w:r>
    </w:p>
    <w:bookmarkEnd w:id="20"/>
    <w:bookmarkEnd w:id="21"/>
    <w:p>
      <w:pPr>
        <w:pStyle w:val="5"/>
        <w:adjustRightInd w:val="0"/>
        <w:snapToGrid w:val="0"/>
        <w:spacing w:before="93" w:line="600" w:lineRule="exact"/>
        <w:ind w:firstLine="960" w:firstLineChars="300"/>
        <w:outlineLvl w:val="2"/>
        <w:rPr>
          <w:rFonts w:ascii="仿宋" w:hAnsi="仿宋" w:eastAsia="仿宋"/>
          <w:bCs/>
          <w:color w:val="000000"/>
          <w:sz w:val="32"/>
          <w:szCs w:val="32"/>
        </w:rPr>
      </w:pPr>
      <w:r>
        <w:rPr>
          <w:rFonts w:hint="eastAsia" w:ascii="仿宋" w:hAnsi="仿宋" w:eastAsia="仿宋"/>
          <w:bCs/>
          <w:color w:val="000000"/>
          <w:sz w:val="32"/>
          <w:szCs w:val="32"/>
        </w:rPr>
        <w:t>为军队移交政府的军队离退休干部</w:t>
      </w:r>
      <w:r>
        <w:rPr>
          <w:rFonts w:hint="eastAsia" w:ascii="仿宋" w:hAnsi="仿宋" w:eastAsia="仿宋" w:cs="仿宋"/>
          <w:sz w:val="32"/>
          <w:szCs w:val="32"/>
        </w:rPr>
        <w:t>、无军籍职工提供管理与相关服务。落实军休干部政治待遇和生活待遇。保障无军籍职工生活待遇，维持队伍稳定。</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7199"/>
      <w:bookmarkStart w:id="23"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2"/>
      <w:bookmarkEnd w:id="23"/>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  根据年初工作部署，对本年度重点工作做以下阐述：</w:t>
      </w:r>
    </w:p>
    <w:p>
      <w:pPr>
        <w:pStyle w:val="5"/>
        <w:numPr>
          <w:ilvl w:val="0"/>
          <w:numId w:val="1"/>
        </w:numPr>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bCs/>
          <w:color w:val="000000"/>
          <w:sz w:val="32"/>
          <w:szCs w:val="32"/>
        </w:rPr>
        <w:t>认真落实军休干部政治</w:t>
      </w:r>
      <w:r>
        <w:rPr>
          <w:rFonts w:hint="eastAsia" w:ascii="仿宋" w:hAnsi="仿宋" w:eastAsia="仿宋" w:cs="仿宋"/>
          <w:sz w:val="32"/>
          <w:szCs w:val="32"/>
        </w:rPr>
        <w:t>、生活“两个待遇”政策：</w:t>
      </w:r>
      <w:r>
        <w:rPr>
          <w:rFonts w:hint="eastAsia" w:ascii="仿宋" w:hAnsi="仿宋" w:eastAsia="仿宋" w:cs="仿宋"/>
          <w:sz w:val="32"/>
          <w:szCs w:val="32"/>
          <w:lang w:eastAsia="zh-CN"/>
        </w:rPr>
        <w:t>落实政治待遇方面，年初为军休干部订购解放日报</w:t>
      </w:r>
      <w:r>
        <w:rPr>
          <w:rFonts w:hint="eastAsia" w:ascii="仿宋" w:hAnsi="仿宋" w:eastAsia="仿宋" w:cs="仿宋"/>
          <w:sz w:val="32"/>
          <w:szCs w:val="32"/>
        </w:rPr>
        <w:t>、</w:t>
      </w:r>
      <w:r>
        <w:rPr>
          <w:rFonts w:hint="eastAsia" w:ascii="仿宋" w:hAnsi="仿宋" w:eastAsia="仿宋" w:cs="仿宋"/>
          <w:sz w:val="32"/>
          <w:szCs w:val="32"/>
          <w:lang w:eastAsia="zh-CN"/>
        </w:rPr>
        <w:t>晚霞报</w:t>
      </w:r>
      <w:r>
        <w:rPr>
          <w:rFonts w:hint="eastAsia" w:ascii="仿宋" w:hAnsi="仿宋" w:eastAsia="仿宋" w:cs="仿宋"/>
          <w:sz w:val="32"/>
          <w:szCs w:val="32"/>
        </w:rPr>
        <w:t>、</w:t>
      </w:r>
      <w:r>
        <w:rPr>
          <w:rFonts w:hint="eastAsia" w:ascii="仿宋" w:hAnsi="仿宋" w:eastAsia="仿宋" w:cs="仿宋"/>
          <w:sz w:val="32"/>
          <w:szCs w:val="32"/>
          <w:lang w:eastAsia="zh-CN"/>
        </w:rPr>
        <w:t>中国老年报</w:t>
      </w:r>
      <w:r>
        <w:rPr>
          <w:rFonts w:hint="eastAsia" w:ascii="仿宋" w:hAnsi="仿宋" w:eastAsia="仿宋" w:cs="仿宋"/>
          <w:sz w:val="32"/>
          <w:szCs w:val="32"/>
        </w:rPr>
        <w:t>、</w:t>
      </w:r>
      <w:r>
        <w:rPr>
          <w:rFonts w:hint="eastAsia" w:ascii="仿宋" w:hAnsi="仿宋" w:eastAsia="仿宋" w:cs="仿宋"/>
          <w:sz w:val="32"/>
          <w:szCs w:val="32"/>
          <w:lang w:eastAsia="zh-CN"/>
        </w:rPr>
        <w:t>四川日报</w:t>
      </w:r>
      <w:r>
        <w:rPr>
          <w:rFonts w:hint="eastAsia" w:ascii="仿宋" w:hAnsi="仿宋" w:eastAsia="仿宋" w:cs="仿宋"/>
          <w:sz w:val="32"/>
          <w:szCs w:val="32"/>
        </w:rPr>
        <w:t>、</w:t>
      </w:r>
      <w:r>
        <w:rPr>
          <w:rFonts w:hint="eastAsia" w:ascii="仿宋" w:hAnsi="仿宋" w:eastAsia="仿宋" w:cs="仿宋"/>
          <w:sz w:val="32"/>
          <w:szCs w:val="32"/>
          <w:lang w:eastAsia="zh-CN"/>
        </w:rPr>
        <w:t>四川日报</w:t>
      </w:r>
      <w:r>
        <w:rPr>
          <w:rFonts w:hint="eastAsia" w:ascii="仿宋" w:hAnsi="仿宋" w:eastAsia="仿宋" w:cs="仿宋"/>
          <w:sz w:val="32"/>
          <w:szCs w:val="32"/>
        </w:rPr>
        <w:t>、</w:t>
      </w:r>
      <w:r>
        <w:rPr>
          <w:rFonts w:hint="eastAsia" w:ascii="仿宋" w:hAnsi="仿宋" w:eastAsia="仿宋" w:cs="仿宋"/>
          <w:sz w:val="32"/>
          <w:szCs w:val="32"/>
          <w:lang w:eastAsia="zh-CN"/>
        </w:rPr>
        <w:t>半月谈，退役军人杂志</w:t>
      </w:r>
      <w:r>
        <w:rPr>
          <w:rFonts w:hint="eastAsia" w:ascii="仿宋" w:hAnsi="仿宋" w:eastAsia="仿宋" w:cs="仿宋"/>
          <w:sz w:val="32"/>
          <w:szCs w:val="32"/>
        </w:rPr>
        <w:t>、</w:t>
      </w:r>
      <w:r>
        <w:rPr>
          <w:rFonts w:hint="eastAsia" w:ascii="仿宋" w:hAnsi="仿宋" w:eastAsia="仿宋" w:cs="仿宋"/>
          <w:sz w:val="32"/>
          <w:szCs w:val="32"/>
          <w:lang w:eastAsia="zh-CN"/>
        </w:rPr>
        <w:t>党建等各种类型的刊物。支部坚持每月定期组织军休干部开展各项政治学习活动，共计</w:t>
      </w:r>
      <w:r>
        <w:rPr>
          <w:rFonts w:hint="eastAsia" w:ascii="仿宋" w:hAnsi="仿宋" w:eastAsia="仿宋" w:cs="仿宋"/>
          <w:sz w:val="32"/>
          <w:szCs w:val="32"/>
          <w:lang w:val="en-US" w:eastAsia="zh-CN"/>
        </w:rPr>
        <w:t>38次，报送信息20余条。所上组织上门为军休干部悬挂光荣牌23人次，让老革命们感受d到军人的荣耀。全年组织党员2次开展集体过“政治生日”活动。通过开展学习教育活动，让军休干部了解党和国家方针政策，在思想上时刻与党组织保持一致，不断发挥党员先锋模范作用，传播正能量永葆军人本色；生活待遇方面，1月及时调整军休干部定期增资的离退休费，确保了老同志生活补贴足额到账。通过和医保人设的协调，解决了军休干部2016年-2018年军休干部应享受的个人门诊医疗补贴共计5.24万元，保证了军休干部的合法权益和医疗保障。按照相关文件规定及时发放应增补的2018年9月-2019年军休人员基本离退休费</w:t>
      </w:r>
      <w:r>
        <w:rPr>
          <w:rFonts w:hint="eastAsia" w:ascii="仿宋" w:hAnsi="仿宋" w:eastAsia="仿宋" w:cs="仿宋"/>
          <w:sz w:val="32"/>
          <w:szCs w:val="32"/>
        </w:rPr>
        <w:t>、</w:t>
      </w:r>
      <w:r>
        <w:rPr>
          <w:rFonts w:hint="eastAsia" w:ascii="仿宋" w:hAnsi="仿宋" w:eastAsia="仿宋" w:cs="仿宋"/>
          <w:sz w:val="32"/>
          <w:szCs w:val="32"/>
          <w:lang w:eastAsia="zh-CN"/>
        </w:rPr>
        <w:t>生活津贴</w:t>
      </w:r>
      <w:r>
        <w:rPr>
          <w:rFonts w:hint="eastAsia" w:ascii="仿宋" w:hAnsi="仿宋" w:eastAsia="仿宋" w:cs="仿宋"/>
          <w:sz w:val="32"/>
          <w:szCs w:val="32"/>
        </w:rPr>
        <w:t>、</w:t>
      </w:r>
      <w:r>
        <w:rPr>
          <w:rFonts w:hint="eastAsia" w:ascii="仿宋" w:hAnsi="仿宋" w:eastAsia="仿宋" w:cs="仿宋"/>
          <w:sz w:val="32"/>
          <w:szCs w:val="32"/>
          <w:lang w:eastAsia="zh-CN"/>
        </w:rPr>
        <w:t>物业管理补贴三项补贴共计</w:t>
      </w:r>
      <w:r>
        <w:rPr>
          <w:rFonts w:hint="eastAsia" w:ascii="仿宋" w:hAnsi="仿宋" w:eastAsia="仿宋" w:cs="仿宋"/>
          <w:sz w:val="32"/>
          <w:szCs w:val="32"/>
          <w:lang w:val="en-US" w:eastAsia="zh-CN"/>
        </w:rPr>
        <w:t>70万元。组织开展军休干部一年一次的健康体检，</w:t>
      </w:r>
      <w:r>
        <w:rPr>
          <w:rFonts w:hint="eastAsia" w:ascii="仿宋" w:hAnsi="仿宋" w:eastAsia="仿宋" w:cs="仿宋"/>
          <w:sz w:val="32"/>
          <w:szCs w:val="32"/>
        </w:rPr>
        <w:t>通过</w:t>
      </w:r>
      <w:r>
        <w:rPr>
          <w:rFonts w:hint="eastAsia" w:ascii="仿宋" w:hAnsi="仿宋" w:eastAsia="仿宋" w:cs="仿宋"/>
          <w:sz w:val="32"/>
          <w:szCs w:val="32"/>
          <w:lang w:eastAsia="zh-CN"/>
        </w:rPr>
        <w:t>体检及时了解军休人员身体状况，确保军休人员身体健康。</w:t>
      </w:r>
      <w:r>
        <w:rPr>
          <w:rFonts w:hint="eastAsia" w:ascii="仿宋" w:hAnsi="仿宋" w:eastAsia="仿宋" w:cs="仿宋"/>
          <w:sz w:val="32"/>
          <w:szCs w:val="32"/>
        </w:rPr>
        <w:t>及时足额发放生活补助</w:t>
      </w:r>
      <w:r>
        <w:rPr>
          <w:rFonts w:hint="eastAsia" w:ascii="仿宋" w:hAnsi="仿宋" w:eastAsia="仿宋" w:cs="仿宋"/>
          <w:sz w:val="32"/>
          <w:szCs w:val="32"/>
          <w:lang w:eastAsia="zh-CN"/>
        </w:rPr>
        <w:t>，</w:t>
      </w:r>
      <w:r>
        <w:rPr>
          <w:rFonts w:hint="eastAsia" w:ascii="仿宋" w:hAnsi="仿宋" w:eastAsia="仿宋" w:cs="仿宋"/>
          <w:sz w:val="32"/>
          <w:szCs w:val="32"/>
        </w:rPr>
        <w:t>积极组织开展各项学习、疗养、体育活动，各大节日走访慰问多方面关注军休干部实际生活，保障军休干部晚年生活幸福。</w:t>
      </w:r>
    </w:p>
    <w:p>
      <w:pPr>
        <w:pStyle w:val="5"/>
        <w:numPr>
          <w:ilvl w:val="0"/>
          <w:numId w:val="1"/>
        </w:numPr>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建章立制提升服务水平：建立实施人包户制度，通过定期联系或走访，为军休干部提供及时、方便的日常服务保障。</w:t>
      </w:r>
    </w:p>
    <w:p>
      <w:pPr>
        <w:pStyle w:val="5"/>
        <w:numPr>
          <w:ilvl w:val="0"/>
          <w:numId w:val="1"/>
        </w:numPr>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树立标准，强化管理：按照构建学习型、快乐型、和谐型、绿色环保型军休家园的标准，要求服务机构工作人员做到了政治上高标准、思想上高水平、服务上高质量、工作上高成效让军休干部感受到了晚年的生活温暖。</w:t>
      </w:r>
    </w:p>
    <w:p>
      <w:pPr>
        <w:pStyle w:val="3"/>
        <w:rPr>
          <w:rStyle w:val="26"/>
          <w:b w:val="0"/>
          <w:bCs w:val="0"/>
        </w:rPr>
      </w:pPr>
      <w:bookmarkStart w:id="24" w:name="_Toc9264"/>
      <w:bookmarkStart w:id="25" w:name="_Toc15377200"/>
      <w:bookmarkStart w:id="26"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4"/>
      <w:bookmarkEnd w:id="25"/>
      <w:bookmarkEnd w:id="26"/>
    </w:p>
    <w:p>
      <w:pPr>
        <w:ind w:firstLine="800" w:firstLineChars="250"/>
        <w:rPr>
          <w:rFonts w:ascii="仿宋" w:hAnsi="仿宋" w:eastAsia="仿宋"/>
          <w:sz w:val="32"/>
          <w:szCs w:val="32"/>
        </w:rPr>
      </w:pPr>
      <w:r>
        <w:rPr>
          <w:rFonts w:hint="eastAsia" w:ascii="仿宋" w:hAnsi="仿宋" w:eastAsia="仿宋"/>
          <w:sz w:val="32"/>
          <w:szCs w:val="32"/>
        </w:rPr>
        <w:t>广汉市军队离退休干部休养所为广汉市退役军人事务局下属二级预算事业单位。财务实行独立核算，决算单独公开。</w:t>
      </w:r>
      <w:r>
        <w:rPr>
          <w:rFonts w:ascii="仿宋" w:hAnsi="仿宋" w:eastAsia="仿宋"/>
          <w:color w:val="000000"/>
          <w:sz w:val="32"/>
          <w:szCs w:val="32"/>
        </w:rPr>
        <w:br w:type="page"/>
      </w:r>
    </w:p>
    <w:p>
      <w:pPr>
        <w:pStyle w:val="2"/>
        <w:ind w:right="880"/>
        <w:jc w:val="right"/>
        <w:rPr>
          <w:rStyle w:val="25"/>
          <w:rFonts w:ascii="黑体" w:hAnsi="黑体" w:eastAsia="黑体"/>
          <w:b w:val="0"/>
          <w:bCs w:val="0"/>
        </w:rPr>
      </w:pPr>
      <w:bookmarkStart w:id="27" w:name="_Toc15396602"/>
      <w:bookmarkStart w:id="28" w:name="_Toc21173"/>
      <w:bookmarkStart w:id="2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7"/>
      <w:bookmarkEnd w:id="28"/>
      <w:bookmarkEnd w:id="29"/>
    </w:p>
    <w:p/>
    <w:p>
      <w:pPr>
        <w:pStyle w:val="24"/>
        <w:numPr>
          <w:ilvl w:val="0"/>
          <w:numId w:val="2"/>
        </w:numPr>
        <w:spacing w:line="600" w:lineRule="exact"/>
        <w:ind w:firstLineChars="0"/>
        <w:outlineLvl w:val="1"/>
        <w:rPr>
          <w:rStyle w:val="26"/>
          <w:rFonts w:ascii="黑体" w:hAnsi="黑体" w:eastAsia="黑体"/>
          <w:b w:val="0"/>
        </w:rPr>
      </w:pPr>
      <w:bookmarkStart w:id="30" w:name="_Toc10884"/>
      <w:bookmarkStart w:id="31" w:name="_Toc15377205"/>
      <w:bookmarkStart w:id="32"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0"/>
      <w:bookmarkEnd w:id="31"/>
      <w:bookmarkEnd w:id="3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2019年度收、支总计1683万元。与2018年相比，收、支总计各增加102.48万元，增长13.87</w:t>
      </w:r>
      <w:r>
        <w:rPr>
          <w:rFonts w:ascii="仿宋" w:hAnsi="仿宋" w:eastAsia="仿宋"/>
          <w:color w:val="000000"/>
          <w:sz w:val="32"/>
          <w:szCs w:val="32"/>
        </w:rPr>
        <w:t>%</w:t>
      </w:r>
      <w:r>
        <w:rPr>
          <w:rFonts w:hint="eastAsia" w:ascii="仿宋" w:hAnsi="仿宋" w:eastAsia="仿宋"/>
          <w:color w:val="000000"/>
          <w:sz w:val="32"/>
          <w:szCs w:val="32"/>
        </w:rPr>
        <w:t>。主要变动原因是</w:t>
      </w:r>
    </w:p>
    <w:p>
      <w:pPr>
        <w:spacing w:line="600" w:lineRule="exact"/>
        <w:rPr>
          <w:rFonts w:ascii="仿宋" w:hAnsi="仿宋" w:eastAsia="仿宋"/>
          <w:color w:val="000000"/>
          <w:sz w:val="32"/>
          <w:szCs w:val="32"/>
        </w:rPr>
      </w:pPr>
      <w:r>
        <w:rPr>
          <w:rFonts w:hint="eastAsia" w:ascii="仿宋" w:hAnsi="仿宋" w:eastAsia="仿宋"/>
          <w:color w:val="000000"/>
          <w:sz w:val="32"/>
          <w:szCs w:val="32"/>
        </w:rPr>
        <w:t>2019增调</w:t>
      </w:r>
      <w:r>
        <w:rPr>
          <w:rFonts w:hint="eastAsia" w:ascii="仿宋" w:hAnsi="仿宋" w:eastAsia="仿宋"/>
          <w:color w:val="000000"/>
          <w:sz w:val="32"/>
          <w:szCs w:val="32"/>
          <w:lang w:eastAsia="zh-CN"/>
        </w:rPr>
        <w:t>补调</w:t>
      </w:r>
      <w:r>
        <w:rPr>
          <w:rFonts w:hint="eastAsia" w:ascii="仿宋" w:hAnsi="仿宋" w:eastAsia="仿宋"/>
          <w:color w:val="000000"/>
          <w:sz w:val="32"/>
          <w:szCs w:val="32"/>
        </w:rPr>
        <w:t>了军休人员生活补助。</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1" locked="0" layoutInCell="1" allowOverlap="1">
            <wp:simplePos x="0" y="0"/>
            <wp:positionH relativeFrom="column">
              <wp:posOffset>410845</wp:posOffset>
            </wp:positionH>
            <wp:positionV relativeFrom="paragraph">
              <wp:posOffset>-2148205</wp:posOffset>
            </wp:positionV>
            <wp:extent cx="3987800" cy="2434590"/>
            <wp:effectExtent l="19050" t="0" r="12700" b="3810"/>
            <wp:wrapTight wrapText="bothSides">
              <wp:wrapPolygon>
                <wp:start x="-103" y="0"/>
                <wp:lineTo x="-103" y="21634"/>
                <wp:lineTo x="21669" y="21634"/>
                <wp:lineTo x="21669" y="0"/>
                <wp:lineTo x="-103"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3" w:name="_Toc15396604"/>
      <w:bookmarkStart w:id="34" w:name="_Toc7533"/>
      <w:bookmarkStart w:id="35"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33"/>
      <w:bookmarkEnd w:id="34"/>
      <w:bookmarkEnd w:id="35"/>
    </w:p>
    <w:p>
      <w:pPr>
        <w:spacing w:line="600" w:lineRule="exact"/>
        <w:ind w:firstLine="640" w:firstLineChars="200"/>
        <w:outlineLvl w:val="1"/>
        <w:rPr>
          <w:rFonts w:ascii="仿宋" w:hAnsi="仿宋" w:eastAsia="仿宋"/>
          <w:color w:val="000000"/>
          <w:sz w:val="32"/>
          <w:szCs w:val="32"/>
        </w:rPr>
      </w:pPr>
      <w:bookmarkStart w:id="36" w:name="_Toc10341"/>
      <w:r>
        <w:rPr>
          <w:rFonts w:ascii="仿宋" w:hAnsi="仿宋" w:eastAsia="仿宋"/>
          <w:color w:val="000000"/>
          <w:sz w:val="32"/>
          <w:szCs w:val="32"/>
        </w:rPr>
        <w:t>201</w:t>
      </w:r>
      <w:r>
        <w:rPr>
          <w:rFonts w:hint="eastAsia" w:ascii="仿宋" w:hAnsi="仿宋" w:eastAsia="仿宋"/>
          <w:color w:val="000000"/>
          <w:sz w:val="32"/>
          <w:szCs w:val="32"/>
        </w:rPr>
        <w:t>9年本年收入合计841.50万元，其中：一般公共预算财政拨款收入415.90万元，占49.42</w:t>
      </w:r>
      <w:r>
        <w:rPr>
          <w:rFonts w:ascii="仿宋" w:hAnsi="仿宋" w:eastAsia="仿宋"/>
          <w:color w:val="000000"/>
          <w:sz w:val="32"/>
          <w:szCs w:val="32"/>
        </w:rPr>
        <w:t>%</w:t>
      </w:r>
      <w:r>
        <w:rPr>
          <w:rFonts w:hint="eastAsia" w:ascii="仿宋" w:hAnsi="仿宋" w:eastAsia="仿宋"/>
          <w:color w:val="000000"/>
          <w:sz w:val="32"/>
          <w:szCs w:val="32"/>
        </w:rPr>
        <w:t>；其他收入91万元，占10.81</w:t>
      </w:r>
      <w:r>
        <w:rPr>
          <w:rFonts w:ascii="仿宋" w:hAnsi="仿宋" w:eastAsia="仿宋"/>
          <w:color w:val="000000"/>
          <w:sz w:val="32"/>
          <w:szCs w:val="32"/>
        </w:rPr>
        <w:t>%</w:t>
      </w:r>
      <w:r>
        <w:rPr>
          <w:rFonts w:hint="eastAsia" w:ascii="仿宋" w:hAnsi="仿宋" w:eastAsia="仿宋"/>
          <w:color w:val="000000"/>
          <w:sz w:val="32"/>
          <w:szCs w:val="32"/>
        </w:rPr>
        <w:t>；上年财返334.59万元，占39.76%。</w:t>
      </w:r>
      <w:bookmarkEnd w:id="36"/>
    </w:p>
    <w:p>
      <w:pPr>
        <w:spacing w:line="600" w:lineRule="exact"/>
        <w:ind w:firstLine="640" w:firstLineChars="200"/>
        <w:outlineLvl w:val="9"/>
        <w:rPr>
          <w:rFonts w:ascii="仿宋" w:hAnsi="仿宋" w:eastAsia="仿宋"/>
          <w:color w:val="000000"/>
          <w:sz w:val="32"/>
          <w:szCs w:val="32"/>
        </w:rPr>
      </w:pPr>
    </w:p>
    <w:p>
      <w:pPr>
        <w:spacing w:line="600" w:lineRule="exact"/>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448310</wp:posOffset>
            </wp:positionH>
            <wp:positionV relativeFrom="paragraph">
              <wp:posOffset>156845</wp:posOffset>
            </wp:positionV>
            <wp:extent cx="4139565" cy="2436495"/>
            <wp:effectExtent l="4445" t="4445" r="46990" b="73660"/>
            <wp:wrapTight wrapText="bothSides">
              <wp:wrapPolygon>
                <wp:start x="-23" y="-39"/>
                <wp:lineTo x="-23" y="21409"/>
                <wp:lineTo x="21547" y="21409"/>
                <wp:lineTo x="21547" y="-39"/>
                <wp:lineTo x="-23" y="-39"/>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w:t>
      </w:r>
    </w:p>
    <w:p>
      <w:pPr>
        <w:spacing w:line="600" w:lineRule="exact"/>
        <w:outlineLvl w:val="9"/>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7" w:name="_Toc9305"/>
      <w:bookmarkStart w:id="38" w:name="_Toc15396605"/>
      <w:bookmarkStart w:id="3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37"/>
      <w:bookmarkEnd w:id="38"/>
      <w:bookmarkEnd w:id="39"/>
    </w:p>
    <w:p>
      <w:pPr>
        <w:spacing w:line="600" w:lineRule="exact"/>
        <w:ind w:firstLine="640" w:firstLineChars="200"/>
        <w:outlineLvl w:val="1"/>
        <w:rPr>
          <w:rFonts w:ascii="仿宋" w:hAnsi="仿宋" w:eastAsia="仿宋"/>
          <w:color w:val="000000"/>
          <w:sz w:val="32"/>
          <w:szCs w:val="32"/>
        </w:rPr>
      </w:pPr>
      <w:bookmarkStart w:id="40" w:name="_Toc16920"/>
      <w:r>
        <w:rPr>
          <w:rFonts w:ascii="仿宋" w:hAnsi="仿宋" w:eastAsia="仿宋"/>
          <w:color w:val="000000"/>
          <w:sz w:val="32"/>
          <w:szCs w:val="32"/>
        </w:rPr>
        <w:t>201</w:t>
      </w:r>
      <w:r>
        <w:rPr>
          <w:rFonts w:hint="eastAsia" w:ascii="仿宋" w:hAnsi="仿宋" w:eastAsia="仿宋"/>
          <w:color w:val="000000"/>
          <w:sz w:val="32"/>
          <w:szCs w:val="32"/>
        </w:rPr>
        <w:t>9年本年支出合计494.05万元，其中：基本支出95.54万元，占19.34</w:t>
      </w:r>
      <w:r>
        <w:rPr>
          <w:rFonts w:ascii="仿宋" w:hAnsi="仿宋" w:eastAsia="仿宋"/>
          <w:color w:val="000000"/>
          <w:sz w:val="32"/>
          <w:szCs w:val="32"/>
        </w:rPr>
        <w:t>%</w:t>
      </w:r>
      <w:r>
        <w:rPr>
          <w:rFonts w:hint="eastAsia" w:ascii="仿宋" w:hAnsi="仿宋" w:eastAsia="仿宋"/>
          <w:color w:val="000000"/>
          <w:sz w:val="32"/>
          <w:szCs w:val="32"/>
        </w:rPr>
        <w:t>；项目支出398.51万元，占80.66</w:t>
      </w:r>
      <w:r>
        <w:rPr>
          <w:rFonts w:ascii="仿宋" w:hAnsi="仿宋" w:eastAsia="仿宋"/>
          <w:color w:val="000000"/>
          <w:sz w:val="32"/>
          <w:szCs w:val="32"/>
        </w:rPr>
        <w:t>%</w:t>
      </w:r>
      <w:r>
        <w:rPr>
          <w:rFonts w:hint="eastAsia" w:ascii="仿宋" w:hAnsi="仿宋" w:eastAsia="仿宋"/>
          <w:color w:val="000000"/>
          <w:sz w:val="32"/>
          <w:szCs w:val="32"/>
        </w:rPr>
        <w:t>；</w:t>
      </w:r>
      <w:bookmarkEnd w:id="40"/>
    </w:p>
    <w:p>
      <w:pPr>
        <w:spacing w:line="600" w:lineRule="exact"/>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 xml:space="preserve">     </w:t>
      </w: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1" locked="0" layoutInCell="1" allowOverlap="1">
            <wp:simplePos x="0" y="0"/>
            <wp:positionH relativeFrom="column">
              <wp:posOffset>410845</wp:posOffset>
            </wp:positionH>
            <wp:positionV relativeFrom="paragraph">
              <wp:posOffset>-2014220</wp:posOffset>
            </wp:positionV>
            <wp:extent cx="4171315" cy="2306955"/>
            <wp:effectExtent l="4445" t="5080" r="15240" b="12065"/>
            <wp:wrapTight wrapText="bothSides">
              <wp:wrapPolygon>
                <wp:start x="-23" y="-48"/>
                <wp:lineTo x="-23" y="21535"/>
                <wp:lineTo x="21482" y="21535"/>
                <wp:lineTo x="21482" y="-48"/>
                <wp:lineTo x="-23" y="-4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41" w:name="_Toc15226"/>
      <w:bookmarkStart w:id="42" w:name="_Toc15396606"/>
      <w:bookmarkStart w:id="43"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41"/>
      <w:bookmarkEnd w:id="42"/>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9年财政拨款收、支总计1501万元。与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8年相比，财政拨款收、支总计各增加33.48万元，增长4.67</w:t>
      </w:r>
      <w:r>
        <w:rPr>
          <w:rFonts w:ascii="仿宋" w:hAnsi="仿宋" w:eastAsia="仿宋"/>
          <w:color w:val="000000"/>
          <w:sz w:val="32"/>
          <w:szCs w:val="32"/>
        </w:rPr>
        <w:t>%</w:t>
      </w:r>
      <w:r>
        <w:rPr>
          <w:rFonts w:hint="eastAsia" w:ascii="仿宋" w:hAnsi="仿宋" w:eastAsia="仿宋"/>
          <w:color w:val="000000"/>
          <w:sz w:val="32"/>
          <w:szCs w:val="32"/>
        </w:rPr>
        <w:t>。主要变动原因是军休人员经费增加</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1" locked="0" layoutInCell="1" allowOverlap="1">
            <wp:simplePos x="0" y="0"/>
            <wp:positionH relativeFrom="column">
              <wp:posOffset>539750</wp:posOffset>
            </wp:positionH>
            <wp:positionV relativeFrom="paragraph">
              <wp:posOffset>156845</wp:posOffset>
            </wp:positionV>
            <wp:extent cx="4257675" cy="2350135"/>
            <wp:effectExtent l="5080" t="4445" r="4445" b="7620"/>
            <wp:wrapTight wrapText="bothSides">
              <wp:wrapPolygon>
                <wp:start x="-26" y="-41"/>
                <wp:lineTo x="-26" y="21495"/>
                <wp:lineTo x="21526" y="21495"/>
                <wp:lineTo x="21526" y="-41"/>
                <wp:lineTo x="-26" y="-41"/>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outlineLvl w:val="1"/>
        <w:rPr>
          <w:rStyle w:val="26"/>
          <w:rFonts w:ascii="黑体" w:hAnsi="黑体" w:eastAsia="黑体"/>
          <w:b w:val="0"/>
        </w:rPr>
      </w:pPr>
      <w:bookmarkStart w:id="44" w:name="_Toc296"/>
      <w:bookmarkStart w:id="45" w:name="_Toc15377209"/>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9年一般公共预算财政拨款支出478.05万元，占本年支出合计的96.76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8年相比，一般公共预算财政拨款增加95.62万元，增长25</w:t>
      </w:r>
      <w:r>
        <w:rPr>
          <w:rFonts w:ascii="仿宋" w:hAnsi="仿宋" w:eastAsia="仿宋"/>
          <w:color w:val="000000"/>
          <w:sz w:val="32"/>
          <w:szCs w:val="32"/>
        </w:rPr>
        <w:t>%</w:t>
      </w:r>
      <w:r>
        <w:rPr>
          <w:rFonts w:hint="eastAsia" w:ascii="仿宋" w:hAnsi="仿宋" w:eastAsia="仿宋"/>
          <w:color w:val="000000"/>
          <w:sz w:val="32"/>
          <w:szCs w:val="32"/>
        </w:rPr>
        <w:t>。主要变动原因是2019年增发军休人员2018年9月-2019年应增调的生活补助</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1" locked="0" layoutInCell="1" allowOverlap="1">
            <wp:simplePos x="0" y="0"/>
            <wp:positionH relativeFrom="column">
              <wp:posOffset>367030</wp:posOffset>
            </wp:positionH>
            <wp:positionV relativeFrom="paragraph">
              <wp:posOffset>125730</wp:posOffset>
            </wp:positionV>
            <wp:extent cx="4119880" cy="2154555"/>
            <wp:effectExtent l="4445" t="5080" r="28575" b="69215"/>
            <wp:wrapTight wrapText="bothSides">
              <wp:wrapPolygon>
                <wp:start x="-23" y="-51"/>
                <wp:lineTo x="-23" y="21530"/>
                <wp:lineTo x="21550" y="21530"/>
                <wp:lineTo x="21550" y="-51"/>
                <wp:lineTo x="-23" y="-51"/>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政拨款支出478.05万元，主要用于以下方面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支出472.62万元，占98.86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卫生健康支出2.06</w:t>
      </w:r>
      <w:r>
        <w:rPr>
          <w:rFonts w:hint="eastAsia" w:ascii="仿宋" w:hAnsi="仿宋" w:eastAsia="仿宋"/>
          <w:color w:val="000000" w:themeColor="text1"/>
          <w:sz w:val="32"/>
          <w:szCs w:val="32"/>
        </w:rPr>
        <w:t>万元，占0.44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；住房保障支出3.36万元，占0.7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114300" distR="114300">
            <wp:extent cx="3609340" cy="2674620"/>
            <wp:effectExtent l="4445" t="4445" r="5715"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pPr>
        <w:spacing w:line="600" w:lineRule="exact"/>
        <w:ind w:firstLine="643" w:firstLineChars="200"/>
        <w:outlineLvl w:val="2"/>
        <w:rPr>
          <w:rFonts w:ascii="仿宋" w:hAnsi="仿宋" w:eastAsia="仿宋"/>
          <w:color w:val="FF0000"/>
          <w:sz w:val="32"/>
          <w:szCs w:val="32"/>
        </w:rPr>
      </w:pPr>
      <w:bookmarkStart w:id="50" w:name="_Toc15377444"/>
      <w:bookmarkStart w:id="51" w:name="_Toc15378460"/>
      <w:bookmarkStart w:id="52" w:name="_Toc15377213"/>
      <w:r>
        <w:rPr>
          <w:rFonts w:hint="eastAsia" w:ascii="仿宋" w:hAnsi="仿宋" w:eastAsia="仿宋"/>
          <w:b/>
          <w:color w:val="000000" w:themeColor="text1"/>
          <w:sz w:val="32"/>
          <w:szCs w:val="32"/>
        </w:rPr>
        <w:t>2019年般公共预算支出决算数为478.05</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50"/>
      <w:bookmarkEnd w:id="51"/>
      <w:bookmarkEnd w:id="52"/>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社会保障和就业（类）行政事业单位离退休（款）事业单位离退休（项）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支出决算为3.39万元，完成预算100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支出决算为3.67万元，完成预算100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社会保障和就业（类）行政事业单位离退休（款）机关事业单位职业年金缴费支出（项）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支出决算为1.47万元，完成预算100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社会保障和就业（类）退役安置（款）军队移交政府离退休人员安置（项）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支出决算为398.51万元，完成预算125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。超出预算的原因是军休人员调整生活补助。</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.社会保障和就业（类）退役安置（款）军队移交政府离退休干部管理机构（项）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支出决算为81.59万元，完成预算</w:t>
      </w:r>
      <w:r>
        <w:rPr>
          <w:rStyle w:val="15"/>
          <w:rFonts w:hint="eastAsia" w:ascii="仿宋" w:hAnsi="仿宋" w:eastAsia="仿宋"/>
          <w:b w:val="0"/>
          <w:bCs/>
          <w:color w:val="000000"/>
          <w:sz w:val="32"/>
          <w:szCs w:val="32"/>
          <w:lang w:val="en-US" w:eastAsia="zh-CN"/>
        </w:rPr>
        <w:t>97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，低于预算数的原因</w:t>
      </w:r>
      <w:r>
        <w:rPr>
          <w:rStyle w:val="15"/>
          <w:rFonts w:hint="eastAsia" w:ascii="仿宋" w:hAnsi="仿宋" w:eastAsia="仿宋"/>
          <w:b w:val="0"/>
          <w:bCs/>
          <w:color w:val="000000"/>
          <w:sz w:val="32"/>
          <w:szCs w:val="32"/>
          <w:lang w:val="en-US" w:eastAsia="zh-CN"/>
        </w:rPr>
        <w:t>2019年12月提前下达了2020年省级资金</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支出决算为1.97万元，完成预算100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支出决算为0.84万元，完成预算100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8</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（类）行政事业单位医疗（款）其他卫生健康支出（项）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支出决算为0.09万元，完成预算100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住房保障（类）住房改革支出（款）住房公积金支出（项）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支出决算为3.36万元，完成预算100</w:t>
      </w:r>
      <w:r>
        <w:rPr>
          <w:rStyle w:val="15"/>
          <w:rFonts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p>
    <w:p>
      <w:pPr>
        <w:tabs>
          <w:tab w:val="right" w:pos="8306"/>
        </w:tabs>
        <w:spacing w:line="600" w:lineRule="exact"/>
        <w:ind w:firstLine="640"/>
        <w:outlineLvl w:val="1"/>
        <w:rPr>
          <w:rStyle w:val="26"/>
        </w:rPr>
      </w:pPr>
      <w:bookmarkStart w:id="53" w:name="_Toc23954"/>
      <w:bookmarkStart w:id="54" w:name="_Toc15377214"/>
      <w:bookmarkStart w:id="5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3"/>
      <w:bookmarkEnd w:id="54"/>
      <w:bookmarkEnd w:id="5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9年一般公共预算财政拨款基本支出95.54万元，其中：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74.80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20.75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6" w:name="_Toc15377215"/>
      <w:bookmarkStart w:id="57" w:name="_Toc15396609"/>
      <w:bookmarkStart w:id="58" w:name="_Toc14118"/>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9年“三公”经费财政拨款支出决算为3.34万元，完成预算53.87</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，决算数小于预算数（或与预算数持平）的主要原因是按照相关规定厉行节检，降低开支。</w:t>
      </w:r>
    </w:p>
    <w:p>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；公务用车购置及运行维护费支出决算3.30万元，占</w:t>
      </w:r>
      <w:r>
        <w:rPr>
          <w:rFonts w:hint="eastAsia" w:ascii="仿宋" w:hAnsi="仿宋" w:eastAsia="仿宋"/>
          <w:color w:val="000000"/>
          <w:sz w:val="32"/>
          <w:szCs w:val="32"/>
          <w:lang w:val="en-US" w:eastAsia="zh-CN"/>
        </w:rPr>
        <w:t>98.80</w:t>
      </w:r>
      <w:r>
        <w:rPr>
          <w:rFonts w:ascii="仿宋" w:hAnsi="仿宋" w:eastAsia="仿宋"/>
          <w:color w:val="000000"/>
          <w:sz w:val="32"/>
          <w:szCs w:val="32"/>
        </w:rPr>
        <w:t>%</w:t>
      </w:r>
      <w:r>
        <w:rPr>
          <w:rFonts w:hint="eastAsia" w:ascii="仿宋" w:hAnsi="仿宋" w:eastAsia="仿宋"/>
          <w:color w:val="000000"/>
          <w:sz w:val="32"/>
          <w:szCs w:val="32"/>
        </w:rPr>
        <w:t>；公务接待费支出决算0.04万元，占</w:t>
      </w:r>
      <w:r>
        <w:rPr>
          <w:rFonts w:hint="eastAsia" w:ascii="仿宋" w:hAnsi="仿宋" w:eastAsia="仿宋"/>
          <w:color w:val="000000"/>
          <w:sz w:val="32"/>
          <w:szCs w:val="32"/>
          <w:lang w:val="en-US" w:eastAsia="zh-CN"/>
        </w:rPr>
        <w:t>1.20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72576" behindDoc="1" locked="0" layoutInCell="1" allowOverlap="1">
            <wp:simplePos x="0" y="0"/>
            <wp:positionH relativeFrom="column">
              <wp:posOffset>626110</wp:posOffset>
            </wp:positionH>
            <wp:positionV relativeFrom="paragraph">
              <wp:posOffset>10160</wp:posOffset>
            </wp:positionV>
            <wp:extent cx="3869055" cy="2576830"/>
            <wp:effectExtent l="4445" t="5080" r="12700" b="8890"/>
            <wp:wrapTight wrapText="bothSides">
              <wp:wrapPolygon>
                <wp:start x="-25" y="-43"/>
                <wp:lineTo x="-25" y="21515"/>
                <wp:lineTo x="21565" y="21515"/>
                <wp:lineTo x="21565" y="-43"/>
                <wp:lineTo x="-25" y="-43"/>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公务用车购置及运行维护费支出3.30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完成预算55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8年增加0.11万元，增长3.4</w:t>
      </w:r>
      <w:r>
        <w:rPr>
          <w:rFonts w:ascii="仿宋_GB2312" w:eastAsia="仿宋_GB2312"/>
          <w:color w:val="000000"/>
          <w:sz w:val="32"/>
          <w:szCs w:val="32"/>
        </w:rPr>
        <w:t>%</w:t>
      </w:r>
      <w:r>
        <w:rPr>
          <w:rFonts w:hint="eastAsia" w:ascii="仿宋_GB2312" w:eastAsia="仿宋_GB2312"/>
          <w:color w:val="000000"/>
          <w:sz w:val="32"/>
          <w:szCs w:val="32"/>
        </w:rPr>
        <w:t>。主要原因是军休活动开展所需公务用车的燃油费</w:t>
      </w:r>
      <w:r>
        <w:rPr>
          <w:rFonts w:hint="eastAsia" w:ascii="仿宋" w:hAnsi="仿宋" w:eastAsia="仿宋" w:cs="仿宋"/>
          <w:sz w:val="32"/>
          <w:szCs w:val="32"/>
        </w:rPr>
        <w:t>、</w:t>
      </w:r>
      <w:r>
        <w:rPr>
          <w:rFonts w:hint="eastAsia" w:ascii="仿宋_GB2312" w:eastAsia="仿宋_GB2312"/>
          <w:color w:val="000000"/>
          <w:sz w:val="32"/>
          <w:szCs w:val="32"/>
        </w:rPr>
        <w:t>车辆保养等费用有所增加。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月底，单位共有公务用车2辆，均为军队离退休干部用车。</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公务用车运行维护费支出3.30</w:t>
      </w:r>
      <w:r>
        <w:rPr>
          <w:rFonts w:hint="eastAsia" w:ascii="仿宋_GB2312" w:eastAsia="仿宋_GB2312"/>
          <w:color w:val="000000"/>
          <w:sz w:val="32"/>
          <w:szCs w:val="32"/>
        </w:rPr>
        <w:t>万元。主要用于开展军休人员活动及维持机构正常工作（具体工作）等所需的公务用车燃料费、维修费、过路过桥费、保险费等支出。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公务接待费支出0.04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完成预算21.3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8年减少0.18万元，下降81.36</w:t>
      </w:r>
      <w:r>
        <w:rPr>
          <w:rFonts w:ascii="仿宋_GB2312" w:eastAsia="仿宋_GB2312"/>
          <w:color w:val="000000"/>
          <w:sz w:val="32"/>
          <w:szCs w:val="32"/>
        </w:rPr>
        <w:t>%</w:t>
      </w:r>
      <w:r>
        <w:rPr>
          <w:rFonts w:hint="eastAsia" w:ascii="仿宋_GB2312" w:eastAsia="仿宋_GB2312"/>
          <w:color w:val="000000"/>
          <w:sz w:val="32"/>
          <w:szCs w:val="32"/>
        </w:rPr>
        <w:t>。主要原因是本年公务接待次数和人次减少。</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国内公务接待支出0.04</w:t>
      </w:r>
      <w:r>
        <w:rPr>
          <w:rFonts w:hint="eastAsia" w:ascii="仿宋_GB2312" w:eastAsia="仿宋_GB2312"/>
          <w:color w:val="000000"/>
          <w:sz w:val="32"/>
          <w:szCs w:val="32"/>
        </w:rPr>
        <w:t>万元，主要用于开展工作业务交流的餐费。国内公务接待1批次，</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人次（不包括陪同人员），共计支出0.04万元，具体内容包括：关于军休所服务方面业务交流，共支出餐费0.04万元。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outlineLvl w:val="9"/>
        <w:rPr>
          <w:rFonts w:ascii="黑体" w:eastAsia="黑体"/>
          <w:color w:val="000000"/>
          <w:sz w:val="32"/>
          <w:szCs w:val="32"/>
        </w:rPr>
      </w:pPr>
      <w:bookmarkStart w:id="61" w:name="_Toc15396610"/>
      <w:bookmarkStart w:id="62" w:name="_Toc15377218"/>
    </w:p>
    <w:p>
      <w:pPr>
        <w:spacing w:line="600" w:lineRule="exact"/>
        <w:ind w:firstLine="640"/>
        <w:outlineLvl w:val="1"/>
        <w:rPr>
          <w:rStyle w:val="26"/>
          <w:rFonts w:ascii="黑体" w:hAnsi="黑体" w:eastAsia="黑体"/>
        </w:rPr>
      </w:pPr>
      <w:bookmarkStart w:id="63" w:name="_Toc1443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我单位</w:t>
      </w: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64" w:name="_Toc15242"/>
      <w:bookmarkStart w:id="65" w:name="_Toc15396611"/>
      <w:bookmarkStart w:id="66" w:name="_Toc15377219"/>
      <w:r>
        <w:rPr>
          <w:rStyle w:val="26"/>
          <w:rFonts w:hint="eastAsia" w:ascii="黑体" w:hAnsi="黑体" w:eastAsia="黑体"/>
          <w:b w:val="0"/>
        </w:rPr>
        <w:t>国有资本经营预算支出决算情况说明</w:t>
      </w:r>
      <w:bookmarkEnd w:id="64"/>
      <w:bookmarkEnd w:id="65"/>
      <w:bookmarkEnd w:id="6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我单位</w:t>
      </w: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67" w:name="_Toc15396612"/>
      <w:bookmarkStart w:id="68" w:name="_Toc19327"/>
      <w:bookmarkStart w:id="69"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pPr>
        <w:autoSpaceDE w:val="0"/>
        <w:autoSpaceDN w:val="0"/>
        <w:adjustRightInd w:val="0"/>
        <w:spacing w:line="600" w:lineRule="exact"/>
        <w:ind w:firstLine="640" w:firstLineChars="200"/>
        <w:jc w:val="left"/>
        <w:rPr>
          <w:rFonts w:ascii="仿宋" w:hAnsi="仿宋" w:eastAsia="仿宋_GB2312"/>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日，军休所共有车辆2辆，主要是军队离退休干部用车。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组织对本单位项目“军队移交政府离退休人员安置”开展了预算事前绩效评估，对该项目编制了绩效目标，预算执行过程中，对该项目开展绩效监控，年终执行完毕后，对该项目开展了绩效目标完成情况自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单位项目收入72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（其中上年结转</w:t>
      </w:r>
      <w:r>
        <w:rPr>
          <w:rFonts w:hint="eastAsia" w:ascii="仿宋_GB2312" w:hAnsi="仿宋_GB2312" w:eastAsia="仿宋_GB2312" w:cs="仿宋_GB2312"/>
          <w:sz w:val="32"/>
          <w:szCs w:val="32"/>
          <w:lang w:val="en-US" w:eastAsia="zh-CN"/>
        </w:rPr>
        <w:t>312.54万元，本年收入408.77万元）</w:t>
      </w:r>
      <w:r>
        <w:rPr>
          <w:rFonts w:hint="eastAsia" w:ascii="仿宋_GB2312" w:hAnsi="仿宋_GB2312" w:eastAsia="仿宋_GB2312" w:cs="仿宋_GB2312"/>
          <w:sz w:val="32"/>
          <w:szCs w:val="32"/>
        </w:rPr>
        <w:t>，支出398.51万元，结余32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本单位在2019年度部门决算中反映“军队移交政府离退休人员安置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军队移交政府离退休人员安置项目绩效目标完成情况综述。该项资金主要用于发放军队离退休干部及遗属的离退休费</w:t>
      </w:r>
      <w:r>
        <w:rPr>
          <w:rFonts w:hint="eastAsia" w:ascii="仿宋" w:hAnsi="仿宋" w:eastAsia="仿宋" w:cs="仿宋"/>
          <w:sz w:val="32"/>
          <w:szCs w:val="32"/>
        </w:rPr>
        <w:t>、</w:t>
      </w:r>
      <w:r>
        <w:rPr>
          <w:rFonts w:hint="eastAsia" w:cs="仿宋" w:asciiTheme="majorEastAsia" w:hAnsiTheme="majorEastAsia" w:eastAsiaTheme="majorEastAsia"/>
          <w:sz w:val="32"/>
          <w:szCs w:val="32"/>
        </w:rPr>
        <w:t>无军籍职工退休费、组织军休干部学习活动、军休人员医疗、慰问等各项费用。</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630.32</w:t>
      </w:r>
      <w:r>
        <w:rPr>
          <w:rFonts w:hint="eastAsia" w:ascii="仿宋_GB2312" w:hAnsi="仿宋_GB2312" w:eastAsia="仿宋_GB2312" w:cs="仿宋_GB2312"/>
          <w:sz w:val="32"/>
          <w:szCs w:val="32"/>
        </w:rPr>
        <w:t>万元，上级补助该专项经费91万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合计收入408.7</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万元，2019年实际执行数为398.51万元，完成预算的</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%。通过项目实施，保障了军休人员两个待遇的落实，提高了军休人员生活</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，促进了社会和谐并维持了队伍稳定。项目服务群体对执行满意度较高。严格按照财政要求进一步规范项目资金的使用和监管，不断提升绩效。</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14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军队移交政府离退休人员安置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广汉市军队离退休干部休养所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317.77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398.51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317.77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382.51</w:t>
            </w:r>
          </w:p>
        </w:tc>
      </w:tr>
      <w:tr>
        <w:tblPrEx>
          <w:tblCellMar>
            <w:top w:w="0" w:type="dxa"/>
            <w:left w:w="0" w:type="dxa"/>
            <w:bottom w:w="0" w:type="dxa"/>
            <w:right w:w="0" w:type="dxa"/>
          </w:tblCellMar>
        </w:tblPrEx>
        <w:trPr>
          <w:trHeight w:val="12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16</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97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目标1：通过下拨经费，提高1984年以来接收军队离退休干部及其家属，遗属医疗，生活保障待遇。                               目标2：通过上拨的无军籍职工经费，提高无军籍职工生活待遇，保持无军籍职工队伍稳定。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3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补助军队离退休干部及遗属，无军籍职工人数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32人全部享受</w:t>
            </w:r>
          </w:p>
        </w:tc>
      </w:tr>
      <w:tr>
        <w:tblPrEx>
          <w:tblCellMar>
            <w:top w:w="0" w:type="dxa"/>
            <w:left w:w="0" w:type="dxa"/>
            <w:bottom w:w="0" w:type="dxa"/>
            <w:right w:w="0" w:type="dxa"/>
          </w:tblCellMar>
        </w:tblPrEx>
        <w:trPr>
          <w:trHeight w:val="116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补助军队离退休干部及遗属，无军籍职工金额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预期支出经费387.77万元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实际共发放生活补助及其他费用（医疗，活动经费等）共计382.51万元</w:t>
            </w:r>
          </w:p>
        </w:tc>
      </w:tr>
      <w:tr>
        <w:tblPrEx>
          <w:tblCellMar>
            <w:top w:w="0" w:type="dxa"/>
            <w:left w:w="0" w:type="dxa"/>
            <w:bottom w:w="0" w:type="dxa"/>
            <w:right w:w="0" w:type="dxa"/>
          </w:tblCellMar>
        </w:tblPrEx>
        <w:trPr>
          <w:trHeight w:val="6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发放生活补助的及时性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r>
      <w:tr>
        <w:tblPrEx>
          <w:tblCellMar>
            <w:top w:w="0" w:type="dxa"/>
            <w:left w:w="0" w:type="dxa"/>
            <w:bottom w:w="0" w:type="dxa"/>
            <w:right w:w="0" w:type="dxa"/>
          </w:tblCellMar>
        </w:tblPrEx>
        <w:trPr>
          <w:trHeight w:val="83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落实军休干部和无军籍职工各项待遇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939"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军休人员满意度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本单位按要求对2019年部门整体支出绩效评价情况开展自评，《广汉市军队离退休干部休养所2019年部门整体支出绩效评价报告》见附件（附件1）。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单位自行组织对1个项目开展了绩效评价，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73" w:name="_Toc15396613"/>
      <w:bookmarkStart w:id="74" w:name="_Toc15377225"/>
      <w:bookmarkStart w:id="75" w:name="_Toc1384"/>
      <w:r>
        <w:rPr>
          <w:rFonts w:hint="eastAsia" w:ascii="黑体" w:hAnsi="黑体" w:eastAsia="黑体"/>
          <w:color w:val="000000"/>
          <w:sz w:val="44"/>
          <w:szCs w:val="44"/>
        </w:rPr>
        <w:t>名</w:t>
      </w:r>
      <w:r>
        <w:rPr>
          <w:rStyle w:val="25"/>
          <w:rFonts w:hint="eastAsia" w:ascii="黑体" w:hAnsi="黑体" w:eastAsia="黑体"/>
          <w:b w:val="0"/>
        </w:rPr>
        <w:t>词解释</w:t>
      </w:r>
      <w:bookmarkEnd w:id="73"/>
      <w:bookmarkEnd w:id="74"/>
      <w:bookmarkEnd w:id="75"/>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 xml:space="preserve"> 其他收入：指单位取得的除上述收入以外的各项收入。主要是从省级，市级直接转到我单位银行账户的军休人员专项补助经费。</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4. 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sz w:val="32"/>
          <w:szCs w:val="32"/>
        </w:rPr>
        <w:t>5.</w:t>
      </w:r>
      <w:r>
        <w:rPr>
          <w:rFonts w:hint="eastAsia" w:ascii="仿宋_GB2312" w:eastAsia="仿宋_GB2312"/>
          <w:color w:val="000000"/>
          <w:sz w:val="32"/>
          <w:szCs w:val="32"/>
        </w:rPr>
        <w:t xml:space="preserve"> 社会保障和就业（类）行政事业单位离退休（款）事业单位离退休（项）：指事业单位离退休人员工资福利支出。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 社会保障和就业（类）行政事业单位离退休（款）机关事业单位基本养老保险缴费支出（项）：指事业单位工作人员基本养老保险缴费支出。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 社会保障和就业（类）行政事业单位离退休（款）机关事业单位职业年金缴费支出（项）：指事业单位工作人员职业年金缴费支出。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 社会保障和就业（类）退役安置（款）军队移交政府离退休人员安置（项）指：军队移交政府的离退休人员工资，生活补助，医疗等专项经费的支出。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 社会保障和就业（类）退役安置（款）军队移交政府离退休干部管理机构（项）指：维护服务管理机构运行的各项日常公用经费支出。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10.卫生健康（类）行政事业单位医疗（款）事业单位医疗（项）指：服务机构工作人员基本医疗费缴费支出。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 卫生健康（类）行政事业单位医疗（款）公务员医疗补助（项）指：服务机构工作人员及服务机构退休人员公务员医疗补助支出。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 卫生健康（类）其他卫生健康支出（款）其他卫生健康支出（项）指：服务机构工作人员生育保险支出。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 住房保障（类）住房改革支出（款）住房公积金（项）：指为服务机构工作人员缴纳的住房公积金。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w:t>
      </w:r>
      <w:r>
        <w:rPr>
          <w:rFonts w:hint="eastAsia" w:ascii="仿宋_GB2312" w:eastAsia="仿宋_GB2312"/>
          <w:sz w:val="32"/>
          <w:szCs w:val="32"/>
          <w:lang w:eastAsia="zh-CN"/>
        </w:rPr>
        <w:t>指</w:t>
      </w:r>
      <w:r>
        <w:rPr>
          <w:rFonts w:hint="eastAsia" w:ascii="仿宋_GB2312" w:eastAsia="仿宋_GB2312"/>
          <w:sz w:val="32"/>
          <w:szCs w:val="32"/>
        </w:rPr>
        <w:t>单位按规定开支的各类公务接</w:t>
      </w:r>
      <w:r>
        <w:rPr>
          <w:rFonts w:hint="eastAsia" w:ascii="仿宋_GB2312" w:eastAsia="仿宋_GB2312"/>
          <w:sz w:val="32"/>
          <w:szCs w:val="32"/>
          <w:lang w:eastAsia="zh-CN"/>
        </w:rPr>
        <w:t>。</w:t>
      </w:r>
    </w:p>
    <w:p>
      <w:pPr>
        <w:spacing w:line="600" w:lineRule="exact"/>
        <w:jc w:val="center"/>
        <w:outlineLvl w:val="0"/>
        <w:rPr>
          <w:rStyle w:val="25"/>
          <w:rFonts w:ascii="黑体" w:hAnsi="黑体" w:eastAsia="黑体"/>
          <w:b w:val="0"/>
        </w:rPr>
      </w:pPr>
      <w:bookmarkStart w:id="76" w:name="_Toc15377226"/>
      <w:r>
        <w:rPr>
          <w:rFonts w:ascii="宋体"/>
          <w:b/>
          <w:color w:val="000000"/>
          <w:sz w:val="44"/>
          <w:szCs w:val="44"/>
        </w:rPr>
        <w:br w:type="page"/>
      </w:r>
      <w:bookmarkStart w:id="77" w:name="_Toc14275"/>
      <w:bookmarkStart w:id="7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77"/>
      <w:bookmarkEnd w:id="78"/>
    </w:p>
    <w:p>
      <w:pPr>
        <w:spacing w:line="600" w:lineRule="exact"/>
        <w:jc w:val="left"/>
        <w:outlineLvl w:val="0"/>
        <w:rPr>
          <w:rFonts w:ascii="方正小标宋简体" w:hAnsi="方正小标宋简体" w:eastAsia="方正小标宋简体" w:cs="方正小标宋简体"/>
          <w:sz w:val="32"/>
          <w:szCs w:val="32"/>
        </w:rPr>
      </w:pPr>
      <w:bookmarkStart w:id="79" w:name="_Toc26654"/>
      <w:r>
        <w:rPr>
          <w:rFonts w:hint="eastAsia" w:ascii="黑体" w:hAnsi="黑体" w:eastAsia="黑体" w:cs="黑体"/>
          <w:sz w:val="32"/>
          <w:szCs w:val="32"/>
        </w:rPr>
        <w:t>附件1</w:t>
      </w:r>
      <w:bookmarkEnd w:id="79"/>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广汉市</w:t>
      </w:r>
      <w:r>
        <w:rPr>
          <w:rFonts w:hint="eastAsia" w:ascii="方正小标宋简体" w:hAnsi="宋体" w:eastAsia="方正小标宋简体"/>
          <w:color w:val="000000"/>
          <w:kern w:val="0"/>
          <w:sz w:val="40"/>
          <w:szCs w:val="44"/>
          <w:lang w:val="zh-CN"/>
        </w:rPr>
        <w:t>军队离退休干部休养所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12"/>
        <w:keepNext w:val="0"/>
        <w:keepLines w:val="0"/>
        <w:widowControl/>
        <w:suppressLineNumbers w:val="0"/>
        <w:spacing w:before="0" w:beforeAutospacing="0" w:after="0" w:afterAutospacing="0" w:line="360" w:lineRule="auto"/>
        <w:ind w:left="0" w:right="0" w:firstLine="575"/>
        <w:jc w:val="both"/>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广汉市军队离退休干部休养所直属市退役军人事务局，为财政全额拨款实行财务独立核算的公益一类事业单位。</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5"/>
        <w:adjustRightInd w:val="0"/>
        <w:snapToGrid w:val="0"/>
        <w:spacing w:before="93" w:line="600" w:lineRule="exact"/>
        <w:ind w:firstLine="640" w:firstLineChars="200"/>
        <w:outlineLvl w:val="2"/>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 w:hAnsi="仿宋" w:eastAsia="仿宋"/>
          <w:bCs/>
          <w:color w:val="000000"/>
          <w:sz w:val="32"/>
          <w:szCs w:val="32"/>
        </w:rPr>
        <w:t>为军队移交政府的军队离退休干部</w:t>
      </w:r>
      <w:r>
        <w:rPr>
          <w:rFonts w:hint="eastAsia" w:ascii="仿宋" w:hAnsi="仿宋" w:eastAsia="仿宋" w:cs="仿宋"/>
          <w:sz w:val="32"/>
          <w:szCs w:val="32"/>
        </w:rPr>
        <w:t>、无军籍职工提供管理与相关服务。落实军休干部政治待遇和生活待遇。保障无军籍职工生活待遇，维持队伍稳定。</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军休所核定编制数3人。现有工作人员8人，其中在编事业人员3人，临聘人员5人。</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军休所服务对象32人：离休干部3人，退休干部（含士官）18人，无军籍职工及离退休干部遗属11人。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2019年一般公共预算财政拨款收入415.90万元。上年度财返334.59万元，合计预算总指标750.50万元。</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2019年一般公共预算财政拨款总支出478.05万元，年末财政资金结转272.45万元。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1.预算编制</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广汉市军休所按照市财政要求及时组织财务人员进行预决算编制，严格落实《预算法》财政对绩效管理的相关规定。对财政部门下达的预算控制数进行分解</w:t>
      </w:r>
      <w:r>
        <w:rPr>
          <w:rFonts w:hint="eastAsia" w:ascii="仿宋_GB2312" w:hAnsi="宋体" w:eastAsia="仿宋_GB2312" w:cs="宋体"/>
          <w:color w:val="000000"/>
          <w:kern w:val="0"/>
          <w:sz w:val="32"/>
          <w:szCs w:val="32"/>
          <w:shd w:val="clear" w:color="auto" w:fill="FFFFFF"/>
          <w:lang w:val="zh-CN"/>
        </w:rPr>
        <w:t>、细化，确定预算执行规则。做到账账相符，账实相符。对专项预算提前细化，分科目上报做到，收支平衡。</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执行情况</w:t>
      </w:r>
    </w:p>
    <w:p>
      <w:pPr>
        <w:widowControl/>
        <w:numPr>
          <w:ilvl w:val="0"/>
          <w:numId w:val="0"/>
        </w:numPr>
        <w:adjustRightInd w:val="0"/>
        <w:snapToGrid w:val="0"/>
        <w:spacing w:line="580" w:lineRule="exact"/>
        <w:ind w:firstLine="640"/>
        <w:contextualSpacing/>
        <w:jc w:val="left"/>
        <w:rPr>
          <w:rFonts w:hint="eastAsia" w:ascii="仿宋_GB2312" w:eastAsia="仿宋_GB2312"/>
          <w:sz w:val="32"/>
          <w:szCs w:val="32"/>
          <w:lang w:eastAsia="zh-CN"/>
        </w:rPr>
      </w:pPr>
      <w:r>
        <w:rPr>
          <w:rFonts w:hint="eastAsia" w:ascii="仿宋_GB2312" w:hAnsi="宋体" w:eastAsia="仿宋_GB2312" w:cs="宋体"/>
          <w:color w:val="000000"/>
          <w:kern w:val="0"/>
          <w:sz w:val="32"/>
          <w:szCs w:val="32"/>
          <w:shd w:val="clear" w:color="auto" w:fill="FFFFFF"/>
          <w:lang w:val="en-US" w:eastAsia="zh-CN"/>
        </w:rPr>
        <w:t>在预算执行情况来看，军休所按照有关规定和工作需要，合理</w:t>
      </w:r>
      <w:r>
        <w:rPr>
          <w:rFonts w:hint="eastAsia" w:ascii="仿宋_GB2312" w:eastAsia="仿宋_GB2312"/>
          <w:sz w:val="32"/>
          <w:szCs w:val="32"/>
        </w:rPr>
        <w:t>、</w:t>
      </w:r>
      <w:r>
        <w:rPr>
          <w:rFonts w:hint="eastAsia" w:ascii="仿宋_GB2312" w:eastAsia="仿宋_GB2312"/>
          <w:sz w:val="32"/>
          <w:szCs w:val="32"/>
          <w:lang w:eastAsia="zh-CN"/>
        </w:rPr>
        <w:t>科学制定资金使用的计划，上报主管财政部门审批后，严格有序的按照计划执行。</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综合管理情况</w:t>
      </w:r>
    </w:p>
    <w:p>
      <w:pPr>
        <w:widowControl/>
        <w:numPr>
          <w:ilvl w:val="0"/>
          <w:numId w:val="0"/>
        </w:numPr>
        <w:adjustRightInd w:val="0"/>
        <w:snapToGrid w:val="0"/>
        <w:spacing w:line="580" w:lineRule="exact"/>
        <w:ind w:firstLine="640" w:firstLineChars="200"/>
        <w:contextualSpacing/>
        <w:jc w:val="left"/>
        <w:rPr>
          <w:rFonts w:hint="eastAsia" w:ascii="仿宋_GB2312" w:eastAsia="仿宋_GB2312"/>
          <w:sz w:val="32"/>
          <w:szCs w:val="32"/>
          <w:lang w:eastAsia="zh-CN"/>
        </w:rPr>
      </w:pPr>
      <w:r>
        <w:rPr>
          <w:rFonts w:hint="eastAsia" w:ascii="仿宋_GB2312" w:eastAsia="仿宋_GB2312"/>
          <w:sz w:val="32"/>
          <w:szCs w:val="32"/>
          <w:lang w:val="en-US" w:eastAsia="zh-CN"/>
        </w:rPr>
        <w:t>军休所严格执行财务管理规章制度，实行会计核算和账务管理制度公开，政府采购制度公开公示，国有资产按照国资及相关规定进行管理，及时对预算</w:t>
      </w:r>
      <w:r>
        <w:rPr>
          <w:rFonts w:hint="eastAsia" w:ascii="仿宋_GB2312" w:eastAsia="仿宋_GB2312"/>
          <w:sz w:val="32"/>
          <w:szCs w:val="32"/>
        </w:rPr>
        <w:t>、</w:t>
      </w:r>
      <w:r>
        <w:rPr>
          <w:rFonts w:hint="eastAsia" w:ascii="仿宋_GB2312" w:eastAsia="仿宋_GB2312"/>
          <w:sz w:val="32"/>
          <w:szCs w:val="32"/>
          <w:lang w:eastAsia="zh-CN"/>
        </w:rPr>
        <w:t>决算信息公开。军休所专门成立管委会对专项资金的使用进行监督并对绩效评价体系主要指标内容开展绩效管理工作，财务状况更加公开</w:t>
      </w:r>
      <w:r>
        <w:rPr>
          <w:rFonts w:hint="eastAsia" w:ascii="仿宋_GB2312" w:eastAsia="仿宋_GB2312"/>
          <w:sz w:val="32"/>
          <w:szCs w:val="32"/>
        </w:rPr>
        <w:t>、</w:t>
      </w:r>
      <w:r>
        <w:rPr>
          <w:rFonts w:hint="eastAsia" w:ascii="仿宋_GB2312" w:eastAsia="仿宋_GB2312"/>
          <w:sz w:val="32"/>
          <w:szCs w:val="32"/>
          <w:lang w:eastAsia="zh-CN"/>
        </w:rPr>
        <w:t>透明。</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整体绩效</w:t>
      </w:r>
    </w:p>
    <w:p>
      <w:pPr>
        <w:widowControl/>
        <w:numPr>
          <w:ilvl w:val="0"/>
          <w:numId w:val="0"/>
        </w:numPr>
        <w:adjustRightInd w:val="0"/>
        <w:snapToGrid w:val="0"/>
        <w:spacing w:line="580" w:lineRule="exact"/>
        <w:ind w:firstLine="640" w:firstLineChars="200"/>
        <w:contextualSpacing/>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严格执行中央八项规定和财务管理制度，根据年初预算，除人员基本支出外其它经费合理安排，做到厉行节约，精打细算，保证各项工作正常运行。</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军休所绩效管理严格按照上级部门要求，开展自评工作，对反馈情况及评价结果及时总结并上报。</w:t>
      </w:r>
    </w:p>
    <w:p>
      <w:pPr>
        <w:widowControl/>
        <w:numPr>
          <w:ilvl w:val="0"/>
          <w:numId w:val="2"/>
        </w:numPr>
        <w:adjustRightInd w:val="0"/>
        <w:snapToGrid w:val="0"/>
        <w:spacing w:line="580" w:lineRule="exact"/>
        <w:ind w:left="1360" w:leftChars="0" w:hanging="720" w:firstLineChars="0"/>
        <w:contextualSpacing/>
        <w:jc w:val="left"/>
        <w:rPr>
          <w:rFonts w:hint="eastAsia" w:ascii="黑体" w:hAnsi="宋体" w:eastAsia="黑体" w:cs="宋体"/>
          <w:color w:val="000000"/>
          <w:kern w:val="0"/>
          <w:sz w:val="32"/>
          <w:szCs w:val="32"/>
          <w:shd w:val="clear" w:color="auto" w:fill="FFFFFF"/>
          <w:lang w:eastAsia="zh-CN"/>
        </w:rPr>
      </w:pPr>
      <w:r>
        <w:rPr>
          <w:rFonts w:hint="eastAsia" w:ascii="黑体" w:hAnsi="宋体" w:eastAsia="黑体" w:cs="宋体"/>
          <w:color w:val="000000"/>
          <w:kern w:val="0"/>
          <w:sz w:val="32"/>
          <w:szCs w:val="32"/>
          <w:shd w:val="clear" w:color="auto" w:fill="FFFFFF"/>
        </w:rPr>
        <w:t>评价结论及建议</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评价结论。</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军休所政府部门预算执行情况良好，得分</w:t>
      </w:r>
      <w:r>
        <w:rPr>
          <w:rFonts w:hint="eastAsia" w:ascii="仿宋_GB2312" w:hAnsi="宋体" w:eastAsia="仿宋_GB2312" w:cs="宋体"/>
          <w:color w:val="000000"/>
          <w:kern w:val="0"/>
          <w:sz w:val="32"/>
          <w:szCs w:val="32"/>
          <w:shd w:val="clear" w:color="auto" w:fill="FFFFFF"/>
          <w:lang w:val="en-US" w:eastAsia="zh-CN"/>
        </w:rPr>
        <w:t>95分，无不良记录及违规违纪行为。在今后的工作中我所将进一步规范财政资金管理，强化财政支出绩效理念，提升部门责任意识，提高经济使用效率。</w:t>
      </w:r>
    </w:p>
    <w:p>
      <w:pPr>
        <w:widowControl/>
        <w:numPr>
          <w:ilvl w:val="0"/>
          <w:numId w:val="8"/>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1.专项资金使用的明细细化程度不够。</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2.部门决算明细数据和账务核算明细科目数据稍有差异。</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完善账务明细科目，提升账务处理能力，提高工作效率。</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军队移交政府离退休人员安置经费项目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1．说明项目主管部门（单位）在该项目管理中的职能。</w:t>
      </w:r>
      <w:r>
        <w:rPr>
          <w:rFonts w:hint="eastAsia" w:ascii="仿宋_GB2312" w:hAnsi="宋体" w:eastAsia="仿宋_GB2312"/>
          <w:sz w:val="32"/>
          <w:szCs w:val="32"/>
          <w:lang w:val="en-US" w:eastAsia="zh-CN"/>
        </w:rPr>
        <w:t xml:space="preserve"> </w:t>
      </w:r>
    </w:p>
    <w:p>
      <w:pPr>
        <w:adjustRightInd w:val="0"/>
        <w:snapToGrid w:val="0"/>
        <w:spacing w:line="600" w:lineRule="exact"/>
        <w:ind w:left="319" w:leftChars="152" w:firstLine="774" w:firstLineChars="242"/>
        <w:rPr>
          <w:rFonts w:ascii="仿宋_GB2312" w:hAnsi="宋体" w:eastAsia="仿宋_GB2312"/>
          <w:sz w:val="32"/>
          <w:szCs w:val="32"/>
          <w:lang w:val="zh-CN"/>
        </w:rPr>
      </w:pPr>
      <w:r>
        <w:rPr>
          <w:rFonts w:hint="eastAsia" w:ascii="仿宋_GB2312" w:hAnsi="宋体" w:eastAsia="仿宋_GB2312"/>
          <w:sz w:val="32"/>
          <w:szCs w:val="32"/>
          <w:lang w:val="zh-CN"/>
        </w:rPr>
        <w:t>广汉市</w:t>
      </w:r>
      <w:r>
        <w:rPr>
          <w:rFonts w:hint="eastAsia" w:ascii="仿宋_GB2312" w:hAnsi="宋体" w:eastAsia="仿宋_GB2312"/>
          <w:sz w:val="32"/>
          <w:szCs w:val="32"/>
          <w:lang w:val="en-US" w:eastAsia="zh-CN"/>
        </w:rPr>
        <w:t>军队离退休干部休养所将退役安置项军队移交政府离退休人员安置经费按照相关规定作为专项项目资金，专款专用，该项目经费主要用于发放军休人员离退休费，组织开展活动经费，医疗等各项补助。</w:t>
      </w:r>
    </w:p>
    <w:p>
      <w:pPr>
        <w:numPr>
          <w:ilvl w:val="0"/>
          <w:numId w:val="9"/>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numPr>
          <w:ilvl w:val="0"/>
          <w:numId w:val="0"/>
        </w:numPr>
        <w:adjustRightInd w:val="0"/>
        <w:snapToGrid w:val="0"/>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川财社（2018）136号2019中央财政补助军休人员经费。</w:t>
      </w:r>
    </w:p>
    <w:p>
      <w:pPr>
        <w:numPr>
          <w:ilvl w:val="0"/>
          <w:numId w:val="9"/>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numPr>
          <w:ilvl w:val="0"/>
          <w:numId w:val="0"/>
        </w:numPr>
        <w:adjustRightInd w:val="0"/>
        <w:snapToGrid w:val="0"/>
        <w:spacing w:line="6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zh-CN"/>
        </w:rPr>
        <w:t>我所共有军队离退休干部及士官</w:t>
      </w:r>
      <w:r>
        <w:rPr>
          <w:rFonts w:hint="eastAsia" w:ascii="仿宋_GB2312" w:hAnsi="宋体" w:eastAsia="仿宋_GB2312"/>
          <w:sz w:val="32"/>
          <w:szCs w:val="32"/>
          <w:lang w:val="en-US" w:eastAsia="zh-CN"/>
        </w:rPr>
        <w:t>21人，无军籍职工4人，军队离退休干部遗属7人，合计服务总人数32人。该项目资金主要用于支付以上军休人员工资及其他补助，工资通过大平台授权方式转入代发工资户具体发放到人，工资及其他补助款项均按照相关文件规定严格遵守财务制度支付。</w:t>
      </w:r>
    </w:p>
    <w:p>
      <w:pPr>
        <w:numPr>
          <w:ilvl w:val="0"/>
          <w:numId w:val="9"/>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资金主要用于支付军休人员工资及其他相关补助，工资及各项补助按照文件规定的标准执行。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2019年度中央和省级下达该项项目资金313万元，作为本年度军休人员补助经费。</w:t>
      </w:r>
    </w:p>
    <w:p>
      <w:pPr>
        <w:numPr>
          <w:ilvl w:val="0"/>
          <w:numId w:val="10"/>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numPr>
          <w:ilvl w:val="0"/>
          <w:numId w:val="0"/>
        </w:numPr>
        <w:adjustRightInd w:val="0"/>
        <w:snapToGrid w:val="0"/>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该项资金使用情况：第一，按月为军休人员支付工资。第二，按年度一次性支付基本医疗保险和补充医疗保险，健康体检等。第三，按照年初计划组织开展各项活动并支付相应的费用。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组织专人进行落实，对资金收支进行梳理，对资金使用绩效各项指标进行自评，对服务对象满意度进行统计并总结报告，不足之处及时改进。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2019年度该项资金每月按计划及时支付，不需审批和批复。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1．资金计划。该项资金主要为发放军休人员工资，每月按标准发放。</w:t>
      </w:r>
    </w:p>
    <w:p>
      <w:pPr>
        <w:adjustRightInd w:val="0"/>
        <w:snapToGrid w:val="0"/>
        <w:spacing w:line="600" w:lineRule="exact"/>
        <w:ind w:firstLine="720"/>
        <w:rPr>
          <w:rFonts w:hint="default" w:ascii="仿宋_GB2312" w:hAnsi="宋体" w:eastAsia="楷体_GB2312"/>
          <w:sz w:val="32"/>
          <w:szCs w:val="32"/>
          <w:lang w:val="en-US" w:eastAsia="zh-CN"/>
        </w:rPr>
      </w:pPr>
      <w:r>
        <w:rPr>
          <w:rFonts w:hint="eastAsia" w:ascii="楷体_GB2312" w:hAnsi="宋体" w:eastAsia="楷体_GB2312"/>
          <w:sz w:val="32"/>
          <w:szCs w:val="32"/>
          <w:lang w:val="zh-CN"/>
        </w:rPr>
        <w:t>2．资金到位。</w:t>
      </w:r>
      <w:r>
        <w:rPr>
          <w:rFonts w:hint="eastAsia" w:ascii="楷体_GB2312" w:hAnsi="宋体" w:eastAsia="楷体_GB2312"/>
          <w:sz w:val="32"/>
          <w:szCs w:val="32"/>
          <w:lang w:val="en-US" w:eastAsia="zh-CN"/>
        </w:rPr>
        <w:t>2019年共收到三批该项目专项资金，共计408.77万元，其中财政下达317.77万元，上级部门补助91万元。到位及时，准确无误。</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sz w:val="32"/>
          <w:szCs w:val="32"/>
          <w:lang w:val="zh-CN"/>
        </w:rPr>
        <w:t>3．资金使用。</w:t>
      </w:r>
      <w:r>
        <w:rPr>
          <w:rFonts w:hint="eastAsia" w:ascii="楷体_GB2312" w:hAnsi="宋体" w:eastAsia="楷体_GB2312"/>
          <w:sz w:val="32"/>
          <w:szCs w:val="32"/>
          <w:lang w:val="en-US" w:eastAsia="zh-CN"/>
        </w:rPr>
        <w:t>2019年收到该项资金408.77万元，年初结转该项目资金312.54万元，合计资金721.31万元；2019年共支出398.51万元，结余322.77万在2020年度支出。资金支付范围军休人员各项费用包含工资</w:t>
      </w:r>
      <w:r>
        <w:rPr>
          <w:rFonts w:hint="eastAsia" w:ascii="仿宋_GB2312" w:hAnsi="宋体" w:eastAsia="仿宋_GB2312"/>
          <w:sz w:val="32"/>
          <w:szCs w:val="32"/>
          <w:lang w:val="zh-CN"/>
        </w:rPr>
        <w:t>、医疗、学习活动等各项费用，支付标准、支付进度、</w:t>
      </w:r>
      <w:r>
        <w:rPr>
          <w:rFonts w:hint="eastAsia" w:ascii="仿宋_GB2312" w:hAnsi="宋体" w:eastAsia="仿宋_GB2312"/>
          <w:sz w:val="32"/>
          <w:szCs w:val="32"/>
          <w:lang w:val="zh-CN" w:eastAsia="zh-CN"/>
        </w:rPr>
        <w:t>支付依据等合法合规。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bookmarkStart w:id="108" w:name="_GoBack"/>
      <w:bookmarkEnd w:id="108"/>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我所财务管理制度健全，严格执行财务管理制度，账务处理及时，会计核算规范。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11"/>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numPr>
          <w:ilvl w:val="0"/>
          <w:numId w:val="0"/>
        </w:numPr>
        <w:adjustRightInd w:val="0"/>
        <w:snapToGrid w:val="0"/>
        <w:spacing w:line="600" w:lineRule="exact"/>
        <w:rPr>
          <w:rFonts w:hint="default" w:ascii="楷体_GB2312" w:hAnsi="宋体" w:eastAsia="楷体_GB2312"/>
          <w:b w:val="0"/>
          <w:bCs/>
          <w:sz w:val="32"/>
          <w:szCs w:val="32"/>
          <w:lang w:val="en-US" w:eastAsia="zh-CN"/>
        </w:rPr>
      </w:pPr>
      <w:r>
        <w:rPr>
          <w:rFonts w:hint="eastAsia" w:ascii="楷体_GB2312" w:hAnsi="宋体" w:eastAsia="楷体_GB2312"/>
          <w:b/>
          <w:sz w:val="32"/>
          <w:szCs w:val="32"/>
          <w:lang w:val="en-US" w:eastAsia="zh-CN"/>
        </w:rPr>
        <w:t xml:space="preserve">    </w:t>
      </w:r>
      <w:r>
        <w:rPr>
          <w:rFonts w:hint="eastAsia" w:ascii="楷体_GB2312" w:hAnsi="宋体" w:eastAsia="楷体_GB2312"/>
          <w:b w:val="0"/>
          <w:bCs/>
          <w:sz w:val="32"/>
          <w:szCs w:val="32"/>
          <w:lang w:val="en-US" w:eastAsia="zh-CN"/>
        </w:rPr>
        <w:t>军休所高度重视该项目资金的落实工作，并成立军休人员经费支付管理小组。由所长主持担任项目负责人，办公室工作人员</w:t>
      </w:r>
      <w:r>
        <w:rPr>
          <w:rFonts w:hint="eastAsia" w:ascii="仿宋_GB2312" w:hAnsi="宋体" w:eastAsia="仿宋_GB2312"/>
          <w:sz w:val="32"/>
          <w:szCs w:val="32"/>
          <w:lang w:val="zh-CN"/>
        </w:rPr>
        <w:t>、</w:t>
      </w:r>
      <w:r>
        <w:rPr>
          <w:rFonts w:hint="eastAsia" w:ascii="楷体_GB2312" w:hAnsi="宋体" w:eastAsia="楷体_GB2312"/>
          <w:b w:val="0"/>
          <w:bCs/>
          <w:sz w:val="32"/>
          <w:szCs w:val="32"/>
          <w:lang w:val="en-US" w:eastAsia="zh-CN"/>
        </w:rPr>
        <w:t>财务人员负责经费的收支使用，管委会起监督作用。共同完成项目实施及资金监管。</w:t>
      </w:r>
    </w:p>
    <w:p>
      <w:pPr>
        <w:numPr>
          <w:ilvl w:val="0"/>
          <w:numId w:val="0"/>
        </w:numPr>
        <w:adjustRightInd w:val="0"/>
        <w:snapToGrid w:val="0"/>
        <w:spacing w:line="60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ind w:firstLine="640" w:firstLineChars="200"/>
        <w:rPr>
          <w:rFonts w:hint="eastAsia" w:ascii="楷体_GB2312" w:hAnsi="宋体" w:eastAsia="楷体_GB2312"/>
          <w:b/>
          <w:sz w:val="32"/>
          <w:szCs w:val="32"/>
          <w:lang w:val="zh-CN"/>
        </w:rPr>
      </w:pPr>
      <w:r>
        <w:rPr>
          <w:rFonts w:hint="eastAsia" w:ascii="楷体_GB2312" w:hAnsi="宋体" w:eastAsia="楷体_GB2312"/>
          <w:b w:val="0"/>
          <w:bCs/>
          <w:sz w:val="32"/>
          <w:szCs w:val="32"/>
          <w:lang w:val="zh-CN" w:eastAsia="zh-CN"/>
        </w:rPr>
        <w:t>本项目采取专门工作组管理资金的使用，严格按照相关文件规定，专款专用。不得挪用占用改项目资金。</w:t>
      </w:r>
    </w:p>
    <w:p>
      <w:pPr>
        <w:numPr>
          <w:ilvl w:val="0"/>
          <w:numId w:val="11"/>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adjustRightInd w:val="0"/>
        <w:snapToGrid w:val="0"/>
        <w:spacing w:line="600" w:lineRule="exact"/>
        <w:ind w:firstLine="640" w:firstLineChars="200"/>
        <w:rPr>
          <w:rFonts w:hint="eastAsia" w:ascii="楷体_GB2312" w:hAnsi="宋体" w:eastAsia="楷体_GB2312"/>
          <w:b w:val="0"/>
          <w:bCs/>
          <w:sz w:val="32"/>
          <w:szCs w:val="32"/>
          <w:lang w:val="zh-CN"/>
        </w:rPr>
      </w:pPr>
      <w:r>
        <w:rPr>
          <w:rFonts w:hint="eastAsia" w:ascii="楷体_GB2312" w:hAnsi="宋体" w:eastAsia="楷体_GB2312"/>
          <w:b w:val="0"/>
          <w:bCs/>
          <w:sz w:val="32"/>
          <w:szCs w:val="32"/>
          <w:lang w:val="zh-CN"/>
        </w:rPr>
        <w:t>本项目经费，严格按照财务制度要求由单位财务室统一管理。经费的人员工资部分每月都由财务人员报请单位负责人签字确认后方可支付；经费的其他部分按照年初经主管部门审批用款计划执行，每笔计划实际执行时由单位负责人签字后支出，厉行节约，不得超支。</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数量指标：该项目资金共补助军休干部</w:t>
      </w:r>
      <w:r>
        <w:rPr>
          <w:rFonts w:hint="eastAsia" w:ascii="仿宋_GB2312" w:hAnsi="宋体" w:eastAsia="仿宋_GB2312"/>
          <w:sz w:val="32"/>
          <w:szCs w:val="32"/>
          <w:lang w:val="en-US" w:eastAsia="zh-CN"/>
        </w:rPr>
        <w:t>21人</w:t>
      </w:r>
      <w:r>
        <w:rPr>
          <w:rFonts w:hint="eastAsia" w:ascii="仿宋_GB2312" w:hAnsi="宋体" w:eastAsia="仿宋_GB2312"/>
          <w:sz w:val="32"/>
          <w:szCs w:val="32"/>
          <w:lang w:val="zh-CN"/>
        </w:rPr>
        <w:t>、无军籍职工</w:t>
      </w:r>
      <w:r>
        <w:rPr>
          <w:rFonts w:hint="eastAsia" w:ascii="仿宋_GB2312" w:hAnsi="宋体" w:eastAsia="仿宋_GB2312"/>
          <w:sz w:val="32"/>
          <w:szCs w:val="32"/>
          <w:lang w:val="en-US" w:eastAsia="zh-CN"/>
        </w:rPr>
        <w:t>4人，军休干部遗属7人。</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2.质量指标：该项补助经费发放人数，发放金额，发放时间，发放程序均100%符合规定。</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3.时效指标：经费支付100%及时足额。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从项目效益来看</w:t>
      </w:r>
    </w:p>
    <w:p>
      <w:pPr>
        <w:numPr>
          <w:ilvl w:val="0"/>
          <w:numId w:val="12"/>
        </w:num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社会效益：</w:t>
      </w:r>
      <w:r>
        <w:rPr>
          <w:rFonts w:hint="eastAsia" w:ascii="仿宋_GB2312" w:hAnsi="宋体" w:eastAsia="仿宋_GB2312"/>
          <w:sz w:val="32"/>
          <w:szCs w:val="32"/>
          <w:lang w:val="en-US" w:eastAsia="zh-CN"/>
        </w:rPr>
        <w:t>100%落实军休人员和无军籍职工各项待遇。</w:t>
      </w:r>
    </w:p>
    <w:p>
      <w:pPr>
        <w:numPr>
          <w:ilvl w:val="0"/>
          <w:numId w:val="12"/>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可持续效益：长期保障了军休人员的生活质量，维护了队伍稳定，促经了社会和谐。</w:t>
      </w:r>
    </w:p>
    <w:p>
      <w:pPr>
        <w:numPr>
          <w:ilvl w:val="0"/>
          <w:numId w:val="12"/>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服务对象满意度：取得服务对象</w:t>
      </w:r>
      <w:r>
        <w:rPr>
          <w:rFonts w:hint="eastAsia" w:ascii="仿宋_GB2312" w:hAnsi="宋体" w:eastAsia="仿宋_GB2312"/>
          <w:sz w:val="32"/>
          <w:szCs w:val="32"/>
          <w:lang w:val="en-US" w:eastAsia="zh-CN"/>
        </w:rPr>
        <w:t>95%的满意度。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2019年我所按照政策要求，加强资金管理，做到专款专用，统筹兼顾，勤俭节约的原则，全面完成年初设定目标。认真抓好落实军队离退休人员政治生活“两个待遇”工作，不断建立健全各项服务保障机制，确保了军休工作的落地落实，并得到了全体军休</w:t>
      </w:r>
      <w:r>
        <w:rPr>
          <w:rFonts w:hint="eastAsia" w:ascii="仿宋" w:hAnsi="仿宋" w:eastAsia="仿宋" w:cs="仿宋"/>
          <w:sz w:val="32"/>
          <w:szCs w:val="32"/>
          <w:lang w:eastAsia="zh-CN"/>
        </w:rPr>
        <w:t>人员的</w:t>
      </w:r>
      <w:r>
        <w:rPr>
          <w:rFonts w:hint="eastAsia" w:ascii="仿宋" w:hAnsi="仿宋" w:eastAsia="仿宋" w:cs="仿宋"/>
          <w:sz w:val="32"/>
          <w:szCs w:val="32"/>
        </w:rPr>
        <w:t>一致好评。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1.对项目绩效评价的指标内容了解不够深入。</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2.财务工作效率有待提高，工作有待进一步细化。</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12"/>
        <w:keepNext w:val="0"/>
        <w:keepLines w:val="0"/>
        <w:widowControl/>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加强对绩效评价工作的培训，细化评估指标学习，提升指标评价的能力。</w:t>
      </w:r>
    </w:p>
    <w:p>
      <w:pPr>
        <w:pStyle w:val="12"/>
        <w:keepNext w:val="0"/>
        <w:keepLines w:val="0"/>
        <w:widowControl/>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加强财务培训，提升财务人员能力。</w:t>
      </w: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9"/>
        <w:rPr>
          <w:rStyle w:val="25"/>
          <w:rFonts w:ascii="黑体" w:hAnsi="黑体" w:eastAsia="黑体"/>
          <w:b w:val="0"/>
        </w:rPr>
      </w:pPr>
    </w:p>
    <w:p>
      <w:pPr>
        <w:spacing w:line="600" w:lineRule="exact"/>
        <w:jc w:val="center"/>
        <w:outlineLvl w:val="0"/>
        <w:rPr>
          <w:rStyle w:val="25"/>
          <w:rFonts w:ascii="黑体" w:hAnsi="黑体" w:eastAsia="黑体"/>
          <w:b w:val="0"/>
        </w:rPr>
      </w:pPr>
      <w:bookmarkStart w:id="80" w:name="_Toc15396618"/>
      <w:bookmarkStart w:id="81" w:name="_Toc2486"/>
      <w:r>
        <w:rPr>
          <w:rFonts w:hint="eastAsia" w:ascii="黑体" w:hAnsi="黑体" w:eastAsia="黑体"/>
          <w:color w:val="000000"/>
          <w:sz w:val="44"/>
          <w:szCs w:val="44"/>
        </w:rPr>
        <w:t>第</w:t>
      </w:r>
      <w:r>
        <w:rPr>
          <w:rStyle w:val="25"/>
          <w:rFonts w:hint="eastAsia" w:ascii="黑体" w:hAnsi="黑体" w:eastAsia="黑体"/>
          <w:b w:val="0"/>
        </w:rPr>
        <w:t>五部分 附表</w:t>
      </w:r>
      <w:bookmarkEnd w:id="76"/>
      <w:bookmarkEnd w:id="80"/>
      <w:bookmarkEnd w:id="81"/>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82" w:name="_Toc15396619"/>
      <w:bookmarkStart w:id="83" w:name="_Toc12839"/>
      <w:r>
        <w:rPr>
          <w:rFonts w:hint="eastAsia" w:ascii="仿宋" w:hAnsi="仿宋" w:eastAsia="仿宋"/>
          <w:b w:val="0"/>
          <w:color w:val="000000"/>
        </w:rPr>
        <w:t>一、收</w:t>
      </w:r>
      <w:r>
        <w:rPr>
          <w:rStyle w:val="26"/>
          <w:rFonts w:hint="eastAsia" w:ascii="仿宋" w:hAnsi="仿宋" w:eastAsia="仿宋"/>
          <w:b w:val="0"/>
          <w:bCs w:val="0"/>
        </w:rPr>
        <w:t>入支出决算总表</w:t>
      </w:r>
      <w:bookmarkEnd w:id="82"/>
      <w:bookmarkEnd w:id="83"/>
    </w:p>
    <w:p>
      <w:pPr>
        <w:pStyle w:val="3"/>
        <w:rPr>
          <w:rFonts w:ascii="仿宋" w:hAnsi="仿宋" w:eastAsia="仿宋"/>
          <w:color w:val="000000"/>
        </w:rPr>
      </w:pPr>
      <w:bookmarkStart w:id="84" w:name="_Toc15396620"/>
      <w:bookmarkStart w:id="85" w:name="_Toc24982"/>
      <w:r>
        <w:rPr>
          <w:rFonts w:hint="eastAsia" w:ascii="仿宋" w:hAnsi="仿宋" w:eastAsia="仿宋"/>
          <w:b w:val="0"/>
          <w:color w:val="000000"/>
        </w:rPr>
        <w:t>二、收</w:t>
      </w:r>
      <w:r>
        <w:rPr>
          <w:rStyle w:val="26"/>
          <w:rFonts w:hint="eastAsia" w:ascii="仿宋" w:hAnsi="仿宋" w:eastAsia="仿宋"/>
          <w:b w:val="0"/>
          <w:bCs w:val="0"/>
        </w:rPr>
        <w:t>入决算表</w:t>
      </w:r>
      <w:bookmarkEnd w:id="84"/>
      <w:bookmarkEnd w:id="85"/>
    </w:p>
    <w:p>
      <w:pPr>
        <w:pStyle w:val="3"/>
        <w:rPr>
          <w:rFonts w:ascii="仿宋" w:hAnsi="仿宋" w:eastAsia="仿宋"/>
          <w:color w:val="000000"/>
        </w:rPr>
      </w:pPr>
      <w:bookmarkStart w:id="86" w:name="_Toc15396621"/>
      <w:bookmarkStart w:id="87" w:name="_Toc10158"/>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86"/>
      <w:bookmarkEnd w:id="87"/>
    </w:p>
    <w:p>
      <w:pPr>
        <w:pStyle w:val="3"/>
        <w:rPr>
          <w:rFonts w:ascii="仿宋" w:hAnsi="仿宋" w:eastAsia="仿宋"/>
          <w:b w:val="0"/>
          <w:color w:val="000000"/>
        </w:rPr>
      </w:pPr>
      <w:bookmarkStart w:id="88" w:name="_Toc15396622"/>
      <w:bookmarkStart w:id="89" w:name="_Toc11307"/>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88"/>
      <w:bookmarkEnd w:id="89"/>
    </w:p>
    <w:p>
      <w:pPr>
        <w:pStyle w:val="3"/>
        <w:rPr>
          <w:rStyle w:val="26"/>
          <w:rFonts w:ascii="仿宋" w:hAnsi="仿宋" w:eastAsia="仿宋"/>
          <w:b w:val="0"/>
          <w:bCs w:val="0"/>
        </w:rPr>
      </w:pPr>
      <w:bookmarkStart w:id="90" w:name="_Toc15396623"/>
      <w:bookmarkStart w:id="91" w:name="_Toc24218"/>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90"/>
      <w:bookmarkEnd w:id="91"/>
      <w:bookmarkStart w:id="92" w:name="_Toc15396624"/>
    </w:p>
    <w:p>
      <w:pPr>
        <w:pStyle w:val="3"/>
        <w:rPr>
          <w:rFonts w:ascii="仿宋" w:hAnsi="仿宋" w:eastAsia="仿宋"/>
          <w:color w:val="000000"/>
        </w:rPr>
      </w:pPr>
      <w:bookmarkStart w:id="93" w:name="_Toc31499"/>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92"/>
      <w:bookmarkEnd w:id="93"/>
    </w:p>
    <w:p>
      <w:pPr>
        <w:pStyle w:val="3"/>
        <w:rPr>
          <w:rFonts w:ascii="仿宋" w:hAnsi="仿宋" w:eastAsia="仿宋"/>
          <w:color w:val="000000"/>
        </w:rPr>
      </w:pPr>
      <w:bookmarkStart w:id="94" w:name="_Toc15396625"/>
      <w:bookmarkStart w:id="95" w:name="_Toc28717"/>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94"/>
      <w:bookmarkEnd w:id="95"/>
    </w:p>
    <w:p>
      <w:pPr>
        <w:pStyle w:val="3"/>
        <w:rPr>
          <w:rFonts w:ascii="仿宋" w:hAnsi="仿宋" w:eastAsia="仿宋"/>
          <w:color w:val="000000"/>
        </w:rPr>
      </w:pPr>
      <w:bookmarkStart w:id="96" w:name="_Toc15396626"/>
      <w:bookmarkStart w:id="97" w:name="_Toc16468"/>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96"/>
      <w:bookmarkEnd w:id="97"/>
    </w:p>
    <w:p>
      <w:pPr>
        <w:pStyle w:val="3"/>
        <w:rPr>
          <w:rFonts w:ascii="仿宋" w:hAnsi="仿宋" w:eastAsia="仿宋"/>
          <w:color w:val="000000"/>
        </w:rPr>
      </w:pPr>
      <w:bookmarkStart w:id="98" w:name="_Toc15396627"/>
      <w:bookmarkStart w:id="99" w:name="_Toc21614"/>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98"/>
      <w:bookmarkEnd w:id="99"/>
    </w:p>
    <w:p>
      <w:pPr>
        <w:pStyle w:val="3"/>
        <w:rPr>
          <w:rFonts w:ascii="仿宋" w:hAnsi="仿宋" w:eastAsia="仿宋"/>
          <w:color w:val="000000"/>
        </w:rPr>
      </w:pPr>
      <w:bookmarkStart w:id="100" w:name="_Toc15396628"/>
      <w:bookmarkStart w:id="101" w:name="_Toc4322"/>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100"/>
      <w:bookmarkEnd w:id="101"/>
    </w:p>
    <w:p>
      <w:pPr>
        <w:pStyle w:val="3"/>
        <w:rPr>
          <w:rFonts w:ascii="仿宋" w:hAnsi="仿宋" w:eastAsia="仿宋"/>
          <w:color w:val="000000"/>
        </w:rPr>
      </w:pPr>
      <w:bookmarkStart w:id="102" w:name="_Toc7661"/>
      <w:bookmarkStart w:id="10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02"/>
      <w:bookmarkEnd w:id="103"/>
    </w:p>
    <w:p>
      <w:pPr>
        <w:pStyle w:val="3"/>
        <w:rPr>
          <w:rFonts w:ascii="仿宋" w:hAnsi="仿宋" w:eastAsia="仿宋"/>
          <w:color w:val="000000"/>
        </w:rPr>
      </w:pPr>
      <w:bookmarkStart w:id="104" w:name="_Toc27018"/>
      <w:bookmarkStart w:id="105"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04"/>
      <w:bookmarkEnd w:id="105"/>
    </w:p>
    <w:p>
      <w:pPr>
        <w:pStyle w:val="3"/>
        <w:rPr>
          <w:rFonts w:ascii="仿宋" w:hAnsi="仿宋" w:eastAsia="仿宋"/>
          <w:color w:val="000000" w:themeColor="text1"/>
        </w:rPr>
      </w:pPr>
      <w:bookmarkStart w:id="106" w:name="_Toc15396631"/>
      <w:bookmarkStart w:id="107" w:name="_Toc16550"/>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06"/>
      <w:bookmarkEnd w:id="10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A4485"/>
    <w:multiLevelType w:val="singleLevel"/>
    <w:tmpl w:val="934A4485"/>
    <w:lvl w:ilvl="0" w:tentative="0">
      <w:start w:val="2"/>
      <w:numFmt w:val="decimal"/>
      <w:lvlText w:val="%1."/>
      <w:lvlJc w:val="left"/>
      <w:pPr>
        <w:tabs>
          <w:tab w:val="left" w:pos="312"/>
        </w:tabs>
      </w:pPr>
    </w:lvl>
  </w:abstractNum>
  <w:abstractNum w:abstractNumId="1">
    <w:nsid w:val="948BD420"/>
    <w:multiLevelType w:val="singleLevel"/>
    <w:tmpl w:val="948BD420"/>
    <w:lvl w:ilvl="0" w:tentative="0">
      <w:start w:val="1"/>
      <w:numFmt w:val="decimal"/>
      <w:lvlText w:val="%1."/>
      <w:lvlJc w:val="left"/>
      <w:pPr>
        <w:tabs>
          <w:tab w:val="left" w:pos="312"/>
        </w:tabs>
      </w:pPr>
    </w:lvl>
  </w:abstractNum>
  <w:abstractNum w:abstractNumId="2">
    <w:nsid w:val="BCDB9CD3"/>
    <w:multiLevelType w:val="singleLevel"/>
    <w:tmpl w:val="BCDB9CD3"/>
    <w:lvl w:ilvl="0" w:tentative="0">
      <w:start w:val="2"/>
      <w:numFmt w:val="decimal"/>
      <w:suff w:val="nothing"/>
      <w:lvlText w:val="%1．"/>
      <w:lvlJc w:val="left"/>
    </w:lvl>
  </w:abstractNum>
  <w:abstractNum w:abstractNumId="3">
    <w:nsid w:val="C1CCC9B1"/>
    <w:multiLevelType w:val="singleLevel"/>
    <w:tmpl w:val="C1CCC9B1"/>
    <w:lvl w:ilvl="0" w:tentative="0">
      <w:start w:val="2"/>
      <w:numFmt w:val="chineseCounting"/>
      <w:suff w:val="nothing"/>
      <w:lvlText w:val="（%1）"/>
      <w:lvlJc w:val="left"/>
      <w:rPr>
        <w:rFonts w:hint="eastAsia"/>
      </w:rPr>
    </w:lvl>
  </w:abstractNum>
  <w:abstractNum w:abstractNumId="4">
    <w:nsid w:val="CBF6BE45"/>
    <w:multiLevelType w:val="singleLevel"/>
    <w:tmpl w:val="CBF6BE45"/>
    <w:lvl w:ilvl="0" w:tentative="0">
      <w:start w:val="2"/>
      <w:numFmt w:val="chineseCounting"/>
      <w:suff w:val="nothing"/>
      <w:lvlText w:val="（%1）"/>
      <w:lvlJc w:val="left"/>
      <w:rPr>
        <w:rFonts w:hint="eastAsia"/>
      </w:rPr>
    </w:lvl>
  </w:abstractNum>
  <w:abstractNum w:abstractNumId="5">
    <w:nsid w:val="CF652CEC"/>
    <w:multiLevelType w:val="singleLevel"/>
    <w:tmpl w:val="CF652CEC"/>
    <w:lvl w:ilvl="0" w:tentative="0">
      <w:start w:val="9"/>
      <w:numFmt w:val="chineseCounting"/>
      <w:suff w:val="nothing"/>
      <w:lvlText w:val="%1、"/>
      <w:lvlJc w:val="left"/>
      <w:rPr>
        <w:rFonts w:hint="eastAsia"/>
      </w:rPr>
    </w:lvl>
  </w:abstractNum>
  <w:abstractNum w:abstractNumId="6">
    <w:nsid w:val="D920E074"/>
    <w:multiLevelType w:val="singleLevel"/>
    <w:tmpl w:val="D920E074"/>
    <w:lvl w:ilvl="0" w:tentative="0">
      <w:start w:val="1"/>
      <w:numFmt w:val="decimal"/>
      <w:lvlText w:val="%1."/>
      <w:lvlJc w:val="left"/>
      <w:pPr>
        <w:tabs>
          <w:tab w:val="left" w:pos="312"/>
        </w:tabs>
      </w:pPr>
    </w:lvl>
  </w:abstractNum>
  <w:abstractNum w:abstractNumId="7">
    <w:nsid w:val="E2FA047D"/>
    <w:multiLevelType w:val="singleLevel"/>
    <w:tmpl w:val="E2FA047D"/>
    <w:lvl w:ilvl="0" w:tentative="0">
      <w:start w:val="3"/>
      <w:numFmt w:val="chineseCounting"/>
      <w:suff w:val="space"/>
      <w:lvlText w:val="第%1部分"/>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BC8DBD3"/>
    <w:multiLevelType w:val="singleLevel"/>
    <w:tmpl w:val="3BC8DBD3"/>
    <w:lvl w:ilvl="0" w:tentative="0">
      <w:start w:val="2"/>
      <w:numFmt w:val="decimal"/>
      <w:suff w:val="nothing"/>
      <w:lvlText w:val="%1．"/>
      <w:lvlJc w:val="left"/>
    </w:lvl>
  </w:abstractNum>
  <w:abstractNum w:abstractNumId="10">
    <w:nsid w:val="6C6E8C03"/>
    <w:multiLevelType w:val="singleLevel"/>
    <w:tmpl w:val="6C6E8C03"/>
    <w:lvl w:ilvl="0" w:tentative="0">
      <w:start w:val="1"/>
      <w:numFmt w:val="chineseCounting"/>
      <w:suff w:val="nothing"/>
      <w:lvlText w:val="（%1）"/>
      <w:lvlJc w:val="left"/>
      <w:rPr>
        <w:rFonts w:hint="eastAsia"/>
      </w:rPr>
    </w:lvl>
  </w:abstractNum>
  <w:abstractNum w:abstractNumId="11">
    <w:nsid w:val="6D3BEBF4"/>
    <w:multiLevelType w:val="singleLevel"/>
    <w:tmpl w:val="6D3BEBF4"/>
    <w:lvl w:ilvl="0" w:tentative="0">
      <w:start w:val="1"/>
      <w:numFmt w:val="chineseCounting"/>
      <w:suff w:val="nothing"/>
      <w:lvlText w:val="（%1）"/>
      <w:lvlJc w:val="left"/>
      <w:rPr>
        <w:rFonts w:hint="eastAsia"/>
      </w:rPr>
    </w:lvl>
  </w:abstractNum>
  <w:num w:numId="1">
    <w:abstractNumId w:val="1"/>
  </w:num>
  <w:num w:numId="2">
    <w:abstractNumId w:val="8"/>
  </w:num>
  <w:num w:numId="3">
    <w:abstractNumId w:val="5"/>
  </w:num>
  <w:num w:numId="4">
    <w:abstractNumId w:val="7"/>
  </w:num>
  <w:num w:numId="5">
    <w:abstractNumId w:val="4"/>
  </w:num>
  <w:num w:numId="6">
    <w:abstractNumId w:val="3"/>
  </w:num>
  <w:num w:numId="7">
    <w:abstractNumId w:val="0"/>
  </w:num>
  <w:num w:numId="8">
    <w:abstractNumId w:val="11"/>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930"/>
    <w:rsid w:val="00141E12"/>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E1197"/>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5B9E"/>
    <w:rsid w:val="00416CD4"/>
    <w:rsid w:val="004223DE"/>
    <w:rsid w:val="00434489"/>
    <w:rsid w:val="00437085"/>
    <w:rsid w:val="00443880"/>
    <w:rsid w:val="00443C01"/>
    <w:rsid w:val="004464F4"/>
    <w:rsid w:val="00446648"/>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363B8"/>
    <w:rsid w:val="005664BB"/>
    <w:rsid w:val="00566FFA"/>
    <w:rsid w:val="0057481D"/>
    <w:rsid w:val="00575F0B"/>
    <w:rsid w:val="005809C2"/>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79D"/>
    <w:rsid w:val="00681A31"/>
    <w:rsid w:val="00683E73"/>
    <w:rsid w:val="006A3141"/>
    <w:rsid w:val="006A5E34"/>
    <w:rsid w:val="006B2422"/>
    <w:rsid w:val="006B2B9A"/>
    <w:rsid w:val="006C1937"/>
    <w:rsid w:val="006F020C"/>
    <w:rsid w:val="007048AE"/>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31E"/>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6AA6"/>
    <w:rsid w:val="00A56DF2"/>
    <w:rsid w:val="00A56E6E"/>
    <w:rsid w:val="00A67AB5"/>
    <w:rsid w:val="00A733B2"/>
    <w:rsid w:val="00A741C2"/>
    <w:rsid w:val="00A77056"/>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63E3"/>
    <w:rsid w:val="00C30E69"/>
    <w:rsid w:val="00C33E72"/>
    <w:rsid w:val="00C354B2"/>
    <w:rsid w:val="00C35554"/>
    <w:rsid w:val="00C412D7"/>
    <w:rsid w:val="00C42709"/>
    <w:rsid w:val="00C533CC"/>
    <w:rsid w:val="00C5751C"/>
    <w:rsid w:val="00C61BFC"/>
    <w:rsid w:val="00C62B85"/>
    <w:rsid w:val="00C65438"/>
    <w:rsid w:val="00C91CBB"/>
    <w:rsid w:val="00C92E60"/>
    <w:rsid w:val="00CA3D1C"/>
    <w:rsid w:val="00CB4E70"/>
    <w:rsid w:val="00CC09B6"/>
    <w:rsid w:val="00CC666F"/>
    <w:rsid w:val="00CD1E3F"/>
    <w:rsid w:val="00CE44F6"/>
    <w:rsid w:val="00CE49DA"/>
    <w:rsid w:val="00CE7B61"/>
    <w:rsid w:val="00D00095"/>
    <w:rsid w:val="00D03CD3"/>
    <w:rsid w:val="00D114F0"/>
    <w:rsid w:val="00D20620"/>
    <w:rsid w:val="00D254F7"/>
    <w:rsid w:val="00D26091"/>
    <w:rsid w:val="00D2685C"/>
    <w:rsid w:val="00D34E7C"/>
    <w:rsid w:val="00D35489"/>
    <w:rsid w:val="00D36AFE"/>
    <w:rsid w:val="00D51276"/>
    <w:rsid w:val="00D532E3"/>
    <w:rsid w:val="00D7035F"/>
    <w:rsid w:val="00D84E32"/>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6FD0"/>
    <w:rsid w:val="00E87F08"/>
    <w:rsid w:val="00EA010F"/>
    <w:rsid w:val="00ED1B63"/>
    <w:rsid w:val="00ED3C1F"/>
    <w:rsid w:val="00ED4085"/>
    <w:rsid w:val="00ED420E"/>
    <w:rsid w:val="00ED6FBE"/>
    <w:rsid w:val="00EE2F57"/>
    <w:rsid w:val="00EF4C34"/>
    <w:rsid w:val="00EF77C6"/>
    <w:rsid w:val="00F05438"/>
    <w:rsid w:val="00F11D4E"/>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0040"/>
    <w:rsid w:val="00FD3CC1"/>
    <w:rsid w:val="00FF1E02"/>
    <w:rsid w:val="00FF30B4"/>
    <w:rsid w:val="032E5CD7"/>
    <w:rsid w:val="05185DAA"/>
    <w:rsid w:val="0B0270A3"/>
    <w:rsid w:val="0CF536C4"/>
    <w:rsid w:val="0E154451"/>
    <w:rsid w:val="0F62580F"/>
    <w:rsid w:val="10C055FF"/>
    <w:rsid w:val="132E49A5"/>
    <w:rsid w:val="16BB723D"/>
    <w:rsid w:val="17FA627C"/>
    <w:rsid w:val="19257544"/>
    <w:rsid w:val="19ED4293"/>
    <w:rsid w:val="1C634FA4"/>
    <w:rsid w:val="21CE59E8"/>
    <w:rsid w:val="21D524A0"/>
    <w:rsid w:val="240371BF"/>
    <w:rsid w:val="27F5703D"/>
    <w:rsid w:val="29FD04D3"/>
    <w:rsid w:val="2CC400D3"/>
    <w:rsid w:val="2DED53A6"/>
    <w:rsid w:val="2F902D47"/>
    <w:rsid w:val="309C551E"/>
    <w:rsid w:val="30A60724"/>
    <w:rsid w:val="319F7F4E"/>
    <w:rsid w:val="35D4123B"/>
    <w:rsid w:val="39E80791"/>
    <w:rsid w:val="3A380FF2"/>
    <w:rsid w:val="3C9A263F"/>
    <w:rsid w:val="3D17539C"/>
    <w:rsid w:val="3FD80D21"/>
    <w:rsid w:val="425A1701"/>
    <w:rsid w:val="45A37010"/>
    <w:rsid w:val="48CE4FA9"/>
    <w:rsid w:val="49284D76"/>
    <w:rsid w:val="4ECE2238"/>
    <w:rsid w:val="53CE2406"/>
    <w:rsid w:val="57AA1008"/>
    <w:rsid w:val="5AFF67F0"/>
    <w:rsid w:val="5BD441CF"/>
    <w:rsid w:val="5CAA706B"/>
    <w:rsid w:val="5EFD64C6"/>
    <w:rsid w:val="609B2B03"/>
    <w:rsid w:val="61202A57"/>
    <w:rsid w:val="62BC30A7"/>
    <w:rsid w:val="64DC07A7"/>
    <w:rsid w:val="68715BF6"/>
    <w:rsid w:val="72734D90"/>
    <w:rsid w:val="74A2162E"/>
    <w:rsid w:val="759808FE"/>
    <w:rsid w:val="774748F1"/>
    <w:rsid w:val="795E16B7"/>
    <w:rsid w:val="79FE4C9B"/>
    <w:rsid w:val="7B797C1F"/>
    <w:rsid w:val="7FD76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总收支同比增长</a:t>
            </a:r>
            <a:r>
              <a:rPr lang="en-US" altLang="zh-CN"/>
              <a:t>13.87%</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2018年收支（万元）</c:v>
                </c:pt>
                <c:pt idx="1">
                  <c:v>2019年收支（万元）</c:v>
                </c:pt>
              </c:strCache>
            </c:strRef>
          </c:cat>
          <c:val>
            <c:numRef>
              <c:f>Sheet1!$B$2:$B$3</c:f>
              <c:numCache>
                <c:formatCode>General</c:formatCode>
                <c:ptCount val="2"/>
                <c:pt idx="0">
                  <c:v>1478.04</c:v>
                </c:pt>
                <c:pt idx="1">
                  <c:v>1683</c:v>
                </c:pt>
              </c:numCache>
            </c:numRef>
          </c:val>
        </c:ser>
        <c:dLbls>
          <c:showLegendKey val="0"/>
          <c:showVal val="1"/>
          <c:showCatName val="0"/>
          <c:showSerName val="0"/>
          <c:showPercent val="0"/>
          <c:showBubbleSize val="0"/>
        </c:dLbls>
        <c:gapWidth val="75"/>
        <c:overlap val="40"/>
        <c:axId val="112621824"/>
        <c:axId val="112676864"/>
      </c:barChart>
      <c:catAx>
        <c:axId val="112621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76864"/>
        <c:crosses val="autoZero"/>
        <c:auto val="1"/>
        <c:lblAlgn val="ctr"/>
        <c:lblOffset val="100"/>
        <c:noMultiLvlLbl val="0"/>
      </c:catAx>
      <c:valAx>
        <c:axId val="1126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62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上年财返, 39.7</a:t>
                    </a:r>
                    <a:r>
                      <a:rPr lang="en-US" altLang="zh-CN"/>
                      <a:t>6</a:t>
                    </a:r>
                    <a:r>
                      <a:t>%</a:t>
                    </a:r>
                  </a:p>
                </c:rich>
              </c:tx>
              <c:dLblPos val="inEnd"/>
              <c:showLegendKey val="0"/>
              <c:showVal val="1"/>
              <c:showCatName val="1"/>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Sheet1!$A$2:$A$4</c:f>
              <c:strCache>
                <c:ptCount val="3"/>
                <c:pt idx="0">
                  <c:v>财政拨款收入</c:v>
                </c:pt>
                <c:pt idx="1">
                  <c:v>其他收入</c:v>
                </c:pt>
                <c:pt idx="2">
                  <c:v>上年财返</c:v>
                </c:pt>
              </c:strCache>
            </c:strRef>
          </c:cat>
          <c:val>
            <c:numRef>
              <c:extLst>
                <c:ext xmlns:c15="http://schemas.microsoft.com/office/drawing/2012/chart" uri="{02D57815-91ED-43cb-92C2-25804820EDAC}">
                  <c15:fullRef>
                    <c15:sqref>Sheet1!$B$2:$B$4</c15:sqref>
                  </c15:fullRef>
                </c:ext>
              </c:extLst>
              <c:f>Sheet1!$B$2:$B$4</c:f>
              <c:numCache>
                <c:formatCode>0.00%</c:formatCode>
                <c:ptCount val="3"/>
                <c:pt idx="0">
                  <c:v>0.4942</c:v>
                </c:pt>
                <c:pt idx="1">
                  <c:v>0.1081</c:v>
                </c:pt>
                <c:pt idx="2">
                  <c:v>0.3977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0.1934</c:v>
                </c:pt>
                <c:pt idx="1">
                  <c:v>0.8066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财政拨款收入支出同比增长</a:t>
            </a:r>
            <a:r>
              <a:rPr lang="en-US" altLang="zh-CN"/>
              <a:t>4.67%</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2018年收支（万元）</c:v>
                </c:pt>
                <c:pt idx="1">
                  <c:v>2019年收支（万元）</c:v>
                </c:pt>
              </c:strCache>
            </c:strRef>
          </c:cat>
          <c:val>
            <c:numRef>
              <c:f>Sheet1!$B$2:$B$3</c:f>
              <c:numCache>
                <c:formatCode>General</c:formatCode>
                <c:ptCount val="2"/>
                <c:pt idx="0">
                  <c:v>1434</c:v>
                </c:pt>
                <c:pt idx="1">
                  <c:v>1501</c:v>
                </c:pt>
              </c:numCache>
            </c:numRef>
          </c:val>
        </c:ser>
        <c:dLbls>
          <c:showLegendKey val="0"/>
          <c:showVal val="0"/>
          <c:showCatName val="0"/>
          <c:showSerName val="0"/>
          <c:showPercent val="0"/>
          <c:showBubbleSize val="0"/>
        </c:dLbls>
        <c:gapWidth val="75"/>
        <c:overlap val="40"/>
        <c:axId val="115165056"/>
        <c:axId val="115166592"/>
      </c:barChart>
      <c:catAx>
        <c:axId val="115165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166592"/>
        <c:crosses val="autoZero"/>
        <c:auto val="1"/>
        <c:lblAlgn val="ctr"/>
        <c:lblOffset val="100"/>
        <c:noMultiLvlLbl val="0"/>
      </c:catAx>
      <c:valAx>
        <c:axId val="11516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16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财政拨款支出同比增长</a:t>
            </a:r>
            <a:r>
              <a:rPr lang="en-US" altLang="zh-CN"/>
              <a:t>25%</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2018年支出（万元）</c:v>
                </c:pt>
                <c:pt idx="1">
                  <c:v>2019年支出（万元）</c:v>
                </c:pt>
              </c:strCache>
            </c:strRef>
          </c:cat>
          <c:val>
            <c:numRef>
              <c:f>Sheet1!$B$2:$B$3</c:f>
              <c:numCache>
                <c:formatCode>General</c:formatCode>
                <c:ptCount val="2"/>
                <c:pt idx="0">
                  <c:v>382.43</c:v>
                </c:pt>
                <c:pt idx="1">
                  <c:v>478.05</c:v>
                </c:pt>
              </c:numCache>
            </c:numRef>
          </c:val>
        </c:ser>
        <c:dLbls>
          <c:showLegendKey val="0"/>
          <c:showVal val="1"/>
          <c:showCatName val="0"/>
          <c:showSerName val="0"/>
          <c:showPercent val="0"/>
          <c:showBubbleSize val="0"/>
        </c:dLbls>
        <c:gapWidth val="75"/>
        <c:overlap val="40"/>
        <c:axId val="115195264"/>
        <c:axId val="116331648"/>
      </c:barChart>
      <c:catAx>
        <c:axId val="1151952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331648"/>
        <c:crosses val="autoZero"/>
        <c:auto val="1"/>
        <c:lblAlgn val="ctr"/>
        <c:lblOffset val="100"/>
        <c:noMultiLvlLbl val="0"/>
      </c:catAx>
      <c:valAx>
        <c:axId val="1163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195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65430627126196"/>
                  <c:y val="-0.118084962869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a:t>
                    </a:r>
                    <a:r>
                      <a:rPr lang="en-US" altLang="zh-CN"/>
                      <a:t>8.86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15473701180136"/>
                  <c:y val="-0.017997425736914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74361740987582"/>
                  <c:y val="0.024787247566588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0.44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社会保障和就业支出(万元）</c:v>
                </c:pt>
                <c:pt idx="1">
                  <c:v>卫生健康支出（万元）</c:v>
                </c:pt>
                <c:pt idx="2">
                  <c:v>住房保障支出（万元）</c:v>
                </c:pt>
              </c:strCache>
            </c:strRef>
          </c:cat>
          <c:val>
            <c:numRef>
              <c:f>Sheet1!$B$2:$B$4</c:f>
              <c:numCache>
                <c:formatCode>General</c:formatCode>
                <c:ptCount val="3"/>
                <c:pt idx="0">
                  <c:v>476.62</c:v>
                </c:pt>
                <c:pt idx="1">
                  <c:v>2.06</c:v>
                </c:pt>
                <c:pt idx="2">
                  <c:v>3.36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mn-lt"/>
                <a:ea typeface="+mn-ea"/>
                <a:cs typeface="+mn-cs"/>
              </a:defRPr>
            </a:pPr>
            <a:r>
              <a:rPr altLang="zh-CN" sz="1050"/>
              <a:t>三公经费占比</a:t>
            </a:r>
            <a:endParaRPr altLang="zh-CN" sz="1050"/>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公务用车9</a:t>
                    </a:r>
                    <a:r>
                      <a:rPr lang="en-US" altLang="zh-CN"/>
                      <a:t>8.80</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07205234438914"/>
                  <c:y val="0.056947255754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1</a:t>
                    </a:r>
                    <a:r>
                      <a:rPr lang="en-US" altLang="zh-CN"/>
                      <a:t>.20</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c:v>
                </c:pt>
                <c:pt idx="1">
                  <c:v>公务接待</c:v>
                </c:pt>
              </c:strCache>
            </c:strRef>
          </c:cat>
          <c:val>
            <c:numRef>
              <c:f>Sheet1!$B$2:$B$3</c:f>
              <c:numCache>
                <c:formatCode>0.00%</c:formatCode>
                <c:ptCount val="2"/>
                <c:pt idx="0">
                  <c:v>0.988</c:v>
                </c:pt>
                <c:pt idx="1">
                  <c:v>0.012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03D7E-A504-4CCC-8C70-917FD178DEE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6992</Words>
  <Characters>975</Characters>
  <Lines>8</Lines>
  <Paragraphs>15</Paragraphs>
  <TotalTime>111</TotalTime>
  <ScaleCrop>false</ScaleCrop>
  <LinksUpToDate>false</LinksUpToDate>
  <CharactersWithSpaces>7952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2020-11-04T08:20:16Z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