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exact"/>
        <w:jc w:val="both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</w:p>
    <w:p>
      <w:pPr>
        <w:pStyle w:val="7"/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宋体" w:eastAsia="方正小标宋简体"/>
          <w:sz w:val="44"/>
          <w:szCs w:val="44"/>
          <w:lang w:val="en-US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 xml:space="preserve">病虫害测报点工作经费             </w:t>
      </w:r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>
      <w:pPr>
        <w:pStyle w:val="7"/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40"/>
          <w:szCs w:val="40"/>
          <w:lang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黑体" w:hAnsi="宋体" w:eastAsia="黑体"/>
          <w:lang w:val="zh-CN"/>
        </w:rPr>
      </w:pPr>
      <w:r>
        <w:rPr>
          <w:rFonts w:hint="eastAsia" w:ascii="黑体" w:hAnsi="宋体" w:eastAsia="黑体"/>
          <w:lang w:val="zh-CN"/>
        </w:rPr>
        <w:t>项目概况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640" w:leftChars="0" w:firstLine="0" w:firstLineChars="0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项目资金申报及批复情况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640" w:leftChars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经广汉市人代会审议通过，广汉市财政局用本级财政资金下达到我局。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default" w:ascii="仿宋_GB2312" w:hAnsi="宋体" w:eastAsia="仿宋_GB2312"/>
          <w:lang w:val="en-US" w:eastAsia="zh-CN"/>
        </w:rPr>
      </w:pPr>
      <w:r>
        <w:rPr>
          <w:rFonts w:hint="eastAsia" w:ascii="楷体_GB2312" w:hAnsi="宋体" w:eastAsia="楷体_GB2312"/>
          <w:lang w:val="zh-CN"/>
        </w:rPr>
        <w:t>（二）项目绩效目标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仿宋_GB2312" w:hAnsi="宋体" w:eastAsia="仿宋_GB2312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项目主要内容为建立4个重大病虫害监测点，对监测设施进行管理和重大病虫害田间监测调查，4个群众测报点，为重大病虫害进行田间监测调查。绩效目标：重大病虫害监测测报准确率95%以上，实现病虫害精准防控和农药减量增效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（三）项目资金申报相符性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项目申报内容与具体实施内容相符、申报目标合理可行。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（一）资金计划、到位及使用情况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lang w:val="zh-CN"/>
        </w:rPr>
      </w:pPr>
      <w:r>
        <w:rPr>
          <w:rFonts w:hint="eastAsia" w:ascii="仿宋_GB2312" w:hAnsi="仿宋_GB2312" w:eastAsia="仿宋_GB2312" w:cs="仿宋_GB2312"/>
          <w:lang w:val="zh-CN"/>
        </w:rPr>
        <w:t>1.资金计划及到位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申请资金5.00万元，到位资金5.00万元，资金到位率100%。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2.资金使用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zh-CN"/>
        </w:rPr>
        <w:t>截止评价时点项目资金的实际支出</w:t>
      </w:r>
      <w:r>
        <w:rPr>
          <w:rFonts w:hint="eastAsia" w:ascii="仿宋_GB2312" w:hAnsi="仿宋_GB2312" w:eastAsia="仿宋_GB2312" w:cs="仿宋_GB2312"/>
          <w:lang w:val="en-US" w:eastAsia="zh-CN"/>
        </w:rPr>
        <w:t>5万元，支出比率100%。资金用于重大病虫害监测点和群众测报人员监测调查人工费用，标准为重大病虫害监测点人员8400元/年，群众测报员4100元/年，截止2021年12月支付5万元，支付比率100%。项目实施过程中对监测人员工作开展监督检查，监测调查人员及时提供了调查表和工作图片。</w:t>
      </w:r>
      <w:r>
        <w:rPr>
          <w:rFonts w:hint="eastAsia" w:ascii="仿宋_GB2312" w:hAnsi="仿宋_GB2312" w:eastAsia="仿宋_GB2312" w:cs="仿宋_GB2312"/>
          <w:lang w:val="zh-CN"/>
        </w:rPr>
        <w:t>支付依据合规合法，资金支付</w:t>
      </w:r>
      <w:r>
        <w:rPr>
          <w:rFonts w:hint="eastAsia" w:ascii="仿宋_GB2312" w:hAnsi="仿宋_GB2312" w:eastAsia="仿宋_GB2312" w:cs="仿宋_GB231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lang w:val="zh-CN"/>
        </w:rPr>
        <w:t>预算相符。</w:t>
      </w:r>
      <w:r>
        <w:rPr>
          <w:rFonts w:hint="eastAsia" w:ascii="仿宋_GB2312" w:hAnsi="仿宋_GB2312" w:cs="仿宋_GB2312"/>
          <w:lang w:val="en-US" w:eastAsia="zh-CN"/>
        </w:rPr>
        <w:t xml:space="preserve">  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lang w:val="zh-CN" w:eastAsia="zh-CN"/>
        </w:rPr>
      </w:pPr>
      <w:r>
        <w:rPr>
          <w:rFonts w:hint="eastAsia" w:ascii="仿宋_GB2312" w:hAnsi="仿宋_GB2312" w:cs="仿宋_GB2312"/>
          <w:lang w:val="en-US" w:eastAsia="zh-CN"/>
        </w:rPr>
        <w:t>（二）项目财务管理情况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en-US" w:eastAsia="zh-CN"/>
        </w:rPr>
      </w:pPr>
      <w:r>
        <w:rPr>
          <w:rFonts w:hint="eastAsia" w:ascii="仿宋_GB2312" w:hAnsi="宋体"/>
          <w:lang w:val="zh-CN" w:eastAsia="zh-CN"/>
        </w:rPr>
        <w:t>在财务管理方面，严格按照</w:t>
      </w:r>
      <w:r>
        <w:rPr>
          <w:rFonts w:hint="eastAsia" w:ascii="仿宋_GB2312" w:hAnsi="宋体"/>
          <w:lang w:val="en-US" w:eastAsia="zh-CN"/>
        </w:rPr>
        <w:t>资金的“专帐、专人、专用”三专管理，并及时兑付资金，牢把层层审批关，财务处理及时，会计核算规范。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（一）项目完成情况。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lang w:val="zh-CN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lang w:val="zh-CN" w:eastAsia="zh-CN"/>
        </w:rPr>
        <w:t>目标任务量完成情况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lang w:val="zh-CN" w:eastAsia="zh-CN"/>
        </w:rPr>
      </w:pPr>
      <w:r>
        <w:rPr>
          <w:rFonts w:hint="eastAsia" w:ascii="仿宋_GB2312" w:hAnsi="仿宋_GB2312" w:eastAsia="仿宋_GB2312" w:cs="仿宋_GB2312"/>
          <w:lang w:val="zh-CN" w:eastAsia="zh-CN"/>
        </w:rPr>
        <w:t>测报点按照农作物病虫害测报调查规范，按照病虫害发生防治情况开展监测和调查。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lang w:val="zh-CN" w:eastAsia="zh-CN"/>
        </w:rPr>
        <w:t>个</w:t>
      </w:r>
      <w:r>
        <w:rPr>
          <w:rFonts w:hint="eastAsia" w:ascii="仿宋_GB2312" w:hAnsi="仿宋_GB2312" w:eastAsia="仿宋_GB2312" w:cs="仿宋_GB2312"/>
          <w:lang w:val="en-US" w:eastAsia="zh-CN"/>
        </w:rPr>
        <w:t>重大病虫害监测</w:t>
      </w:r>
      <w:r>
        <w:rPr>
          <w:rFonts w:hint="eastAsia" w:ascii="仿宋_GB2312" w:hAnsi="仿宋_GB2312" w:eastAsia="仿宋_GB2312" w:cs="仿宋_GB2312"/>
          <w:lang w:val="zh-CN" w:eastAsia="zh-CN"/>
        </w:rPr>
        <w:t>测报点完成农作物病虫害虫情测报灯下水稻主要虫害监测，田间调查小麦、水稻主要病虫害发生情况和防治效果；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lang w:val="zh-CN" w:eastAsia="zh-CN"/>
        </w:rPr>
        <w:t>个群测点田间调查小麦、水稻主要病虫害发生情况和防治效果。测报点及时上报病虫害监测和调查表。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lang w:val="zh-CN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lang w:val="zh-CN" w:eastAsia="zh-CN"/>
        </w:rPr>
        <w:t>目标质量完成情况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zh-CN" w:eastAsia="zh-CN"/>
        </w:rPr>
        <w:t>项目严格按照</w:t>
      </w:r>
      <w:r>
        <w:rPr>
          <w:rFonts w:hint="eastAsia" w:ascii="仿宋_GB2312" w:hAnsi="仿宋_GB2312" w:eastAsia="仿宋_GB2312" w:cs="仿宋_GB2312"/>
          <w:lang w:val="en-US" w:eastAsia="zh-CN"/>
        </w:rPr>
        <w:t>农作物病虫害调查规范，开展病虫害监测调查，使各项工作有章可循。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lang w:val="zh-CN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lang w:val="zh-CN" w:eastAsia="zh-CN"/>
        </w:rPr>
        <w:t>目标进度完成情况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lang w:val="zh-CN" w:eastAsia="zh-CN"/>
        </w:rPr>
      </w:pPr>
      <w:r>
        <w:rPr>
          <w:rFonts w:hint="eastAsia" w:ascii="仿宋_GB2312" w:hAnsi="仿宋_GB2312" w:eastAsia="仿宋_GB2312" w:cs="仿宋_GB2312"/>
          <w:lang w:val="zh-CN" w:eastAsia="zh-CN"/>
        </w:rPr>
        <w:t>按照资金使用计划，以1年为周期，即每年10月至次年9月。项目目标进度符合计划。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（二）项目效益情况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zh-CN" w:eastAsia="zh-CN"/>
        </w:rPr>
      </w:pPr>
      <w:r>
        <w:rPr>
          <w:rFonts w:hint="eastAsia" w:ascii="仿宋_GB2312" w:hAnsi="宋体"/>
          <w:lang w:val="zh-CN" w:eastAsia="zh-CN"/>
        </w:rPr>
        <w:t>通过项目的实施，取得了良好的经济、社会和生态效益，项目各项指标达到预期目标。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zh-CN" w:eastAsia="zh-CN"/>
        </w:rPr>
      </w:pPr>
      <w:bookmarkStart w:id="0" w:name="_Toc375767933"/>
      <w:bookmarkStart w:id="1" w:name="_Toc415471601"/>
      <w:r>
        <w:rPr>
          <w:rFonts w:hint="eastAsia" w:ascii="仿宋_GB2312" w:hAnsi="宋体"/>
          <w:lang w:val="en-US" w:eastAsia="zh-CN"/>
        </w:rPr>
        <w:t>1.</w:t>
      </w:r>
      <w:r>
        <w:rPr>
          <w:rFonts w:hint="eastAsia" w:ascii="仿宋_GB2312" w:hAnsi="宋体"/>
          <w:lang w:val="zh-CN" w:eastAsia="zh-CN"/>
        </w:rPr>
        <w:t>经济效益</w:t>
      </w:r>
      <w:bookmarkEnd w:id="0"/>
      <w:bookmarkEnd w:id="1"/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zh-CN" w:eastAsia="zh-CN"/>
        </w:rPr>
      </w:pPr>
      <w:bookmarkStart w:id="2" w:name="_Toc415471603"/>
      <w:r>
        <w:rPr>
          <w:rFonts w:hint="eastAsia" w:ascii="仿宋_GB2312" w:hAnsi="宋体"/>
          <w:lang w:val="zh-CN" w:eastAsia="zh-CN"/>
        </w:rPr>
        <w:t>农作物病虫害综合损失率低于3%，病虫害防治效果达到96%以上。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zh-CN" w:eastAsia="zh-CN"/>
        </w:rPr>
      </w:pPr>
      <w:r>
        <w:rPr>
          <w:rFonts w:hint="eastAsia" w:ascii="仿宋_GB2312" w:hAnsi="宋体"/>
          <w:lang w:val="en-US" w:eastAsia="zh-CN"/>
        </w:rPr>
        <w:t>2.</w:t>
      </w:r>
      <w:r>
        <w:rPr>
          <w:rFonts w:hint="eastAsia" w:ascii="仿宋_GB2312" w:hAnsi="宋体"/>
          <w:lang w:val="zh-CN" w:eastAsia="zh-CN"/>
        </w:rPr>
        <w:t>社会效益</w:t>
      </w:r>
      <w:bookmarkEnd w:id="2"/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zh-CN" w:eastAsia="zh-CN"/>
        </w:rPr>
      </w:pPr>
      <w:r>
        <w:rPr>
          <w:rFonts w:hint="eastAsia" w:ascii="仿宋_GB2312" w:hAnsi="宋体"/>
          <w:lang w:val="zh-CN" w:eastAsia="zh-CN"/>
        </w:rPr>
        <w:t>病虫害测报准确率98%以上，对乡镇村农技人员、种植大户和农户开展农作物病虫害防治技术培训</w:t>
      </w:r>
      <w:r>
        <w:rPr>
          <w:rFonts w:hint="eastAsia" w:ascii="仿宋_GB2312" w:hAnsi="宋体"/>
          <w:lang w:val="en-US" w:eastAsia="zh-CN"/>
        </w:rPr>
        <w:t>39</w:t>
      </w:r>
      <w:r>
        <w:rPr>
          <w:rFonts w:hint="eastAsia" w:ascii="仿宋_GB2312" w:hAnsi="宋体"/>
          <w:lang w:val="zh-CN" w:eastAsia="zh-CN"/>
        </w:rPr>
        <w:t>次，提升了农技人员和农户的病虫害防治能力，提高了病虫害防治效果，减轻了农作物病虫害危害。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zh-CN" w:eastAsia="zh-CN"/>
        </w:rPr>
      </w:pPr>
      <w:bookmarkStart w:id="3" w:name="_Toc375767935"/>
      <w:bookmarkStart w:id="4" w:name="_Toc415471604"/>
      <w:r>
        <w:rPr>
          <w:rFonts w:hint="eastAsia" w:ascii="仿宋_GB2312" w:hAnsi="宋体"/>
          <w:lang w:val="en-US" w:eastAsia="zh-CN"/>
        </w:rPr>
        <w:t>3.</w:t>
      </w:r>
      <w:r>
        <w:rPr>
          <w:rFonts w:hint="eastAsia" w:ascii="仿宋_GB2312" w:hAnsi="宋体"/>
          <w:lang w:val="zh-CN" w:eastAsia="zh-CN"/>
        </w:rPr>
        <w:t>生态效益</w:t>
      </w:r>
      <w:bookmarkEnd w:id="3"/>
      <w:bookmarkEnd w:id="4"/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zh-CN" w:eastAsia="zh-CN"/>
        </w:rPr>
      </w:pPr>
      <w:r>
        <w:rPr>
          <w:rFonts w:hint="eastAsia" w:ascii="仿宋_GB2312" w:hAnsi="宋体"/>
          <w:lang w:val="zh-CN" w:eastAsia="zh-CN"/>
        </w:rPr>
        <w:t>通过农作物病虫害精准监测测报，指导了农户及时采取病虫害防治措施，提高了病虫害防治效果，减少了农药使用量</w:t>
      </w:r>
      <w:r>
        <w:rPr>
          <w:rFonts w:hint="eastAsia" w:ascii="仿宋_GB2312" w:hAnsi="宋体"/>
          <w:lang w:val="en-US" w:eastAsia="zh-CN"/>
        </w:rPr>
        <w:t>4</w:t>
      </w:r>
      <w:r>
        <w:rPr>
          <w:rFonts w:hint="eastAsia" w:ascii="仿宋_GB2312" w:hAnsi="宋体"/>
          <w:lang w:val="zh-CN" w:eastAsia="zh-CN"/>
        </w:rPr>
        <w:t>%，田间天地昆虫数量增长</w:t>
      </w:r>
      <w:r>
        <w:rPr>
          <w:rFonts w:hint="eastAsia" w:ascii="仿宋_GB2312" w:hAnsi="宋体"/>
          <w:lang w:val="en-US" w:eastAsia="zh-CN"/>
        </w:rPr>
        <w:t>9</w:t>
      </w:r>
      <w:r>
        <w:rPr>
          <w:rFonts w:hint="eastAsia" w:ascii="仿宋_GB2312" w:hAnsi="宋体"/>
          <w:lang w:val="zh-CN" w:eastAsia="zh-CN"/>
        </w:rPr>
        <w:t>%，减少了农药对农业生态环境的污染，改善了农业生态环境，为农作物病虫害持续治理打下基础。同时202</w:t>
      </w:r>
      <w:r>
        <w:rPr>
          <w:rFonts w:hint="eastAsia" w:ascii="仿宋_GB2312" w:hAnsi="宋体"/>
          <w:lang w:val="en-US" w:eastAsia="zh-CN"/>
        </w:rPr>
        <w:t>1</w:t>
      </w:r>
      <w:r>
        <w:rPr>
          <w:rFonts w:hint="eastAsia" w:ascii="仿宋_GB2312" w:hAnsi="宋体"/>
          <w:lang w:val="zh-CN" w:eastAsia="zh-CN"/>
        </w:rPr>
        <w:t>年病虫害监测调查工作，为今后开展病虫害监测测报提供了基础数据，为未来病虫害防控提供积累了资料和挥发持续作用。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960" w:firstLineChars="300"/>
        <w:rPr>
          <w:rFonts w:hint="eastAsia" w:ascii="仿宋_GB2312" w:hAnsi="宋体"/>
          <w:lang w:val="zh-CN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仿宋_GB2312" w:hAnsi="宋体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3840" w:firstLineChars="1200"/>
        <w:jc w:val="right"/>
        <w:rPr>
          <w:rFonts w:hint="default" w:ascii="仿宋_GB2312" w:hAnsi="宋体"/>
          <w:lang w:val="en-US" w:eastAsia="zh-CN"/>
        </w:rPr>
      </w:pPr>
      <w:bookmarkStart w:id="5" w:name="_GoBack"/>
      <w:bookmarkEnd w:id="5"/>
    </w:p>
    <w:sectPr>
      <w:pgSz w:w="11906" w:h="16838"/>
      <w:pgMar w:top="2098" w:right="1531" w:bottom="1588" w:left="1531" w:header="2098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D61FEA"/>
    <w:multiLevelType w:val="singleLevel"/>
    <w:tmpl w:val="BFD61FEA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E60C01E1"/>
    <w:multiLevelType w:val="singleLevel"/>
    <w:tmpl w:val="E60C01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NDQ3N2FmY2E3Y2NhODdlNTVmY2UzOWJiYjVjMzMifQ=="/>
  </w:docVars>
  <w:rsids>
    <w:rsidRoot w:val="291C455A"/>
    <w:rsid w:val="002A77D6"/>
    <w:rsid w:val="00326864"/>
    <w:rsid w:val="005673A6"/>
    <w:rsid w:val="005852A5"/>
    <w:rsid w:val="006F3D1E"/>
    <w:rsid w:val="00A122A7"/>
    <w:rsid w:val="00AD5794"/>
    <w:rsid w:val="050226BA"/>
    <w:rsid w:val="0EDB478C"/>
    <w:rsid w:val="14BA44AE"/>
    <w:rsid w:val="17094B43"/>
    <w:rsid w:val="1ADA4D76"/>
    <w:rsid w:val="20B83463"/>
    <w:rsid w:val="23867F52"/>
    <w:rsid w:val="291C455A"/>
    <w:rsid w:val="2A9A007E"/>
    <w:rsid w:val="2BFA7026"/>
    <w:rsid w:val="2F4F7689"/>
    <w:rsid w:val="33B27C74"/>
    <w:rsid w:val="36926D0C"/>
    <w:rsid w:val="3BA93137"/>
    <w:rsid w:val="489932CB"/>
    <w:rsid w:val="4CEC3061"/>
    <w:rsid w:val="4DAF2BCF"/>
    <w:rsid w:val="4DDB6F66"/>
    <w:rsid w:val="50532DC9"/>
    <w:rsid w:val="522462FB"/>
    <w:rsid w:val="57E9228F"/>
    <w:rsid w:val="69B848FF"/>
    <w:rsid w:val="6AFE49BC"/>
    <w:rsid w:val="6EEC21F1"/>
    <w:rsid w:val="792F2AEE"/>
    <w:rsid w:val="BFFE83F2"/>
    <w:rsid w:val="D7FDD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/>
      <w:textAlignment w:val="baseline"/>
    </w:pPr>
    <w:rPr>
      <w:rFonts w:eastAsia="宋体"/>
      <w:sz w:val="21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1127</Words>
  <Characters>1180</Characters>
  <Lines>6</Lines>
  <Paragraphs>1</Paragraphs>
  <TotalTime>53</TotalTime>
  <ScaleCrop>false</ScaleCrop>
  <LinksUpToDate>false</LinksUpToDate>
  <CharactersWithSpaces>1200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HP</cp:lastModifiedBy>
  <cp:lastPrinted>2022-07-08T03:01:00Z</cp:lastPrinted>
  <dcterms:modified xsi:type="dcterms:W3CDTF">2022-10-25T01:45:00Z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D17404EAE7BC43EFB7801F77EEB84B7C</vt:lpwstr>
  </property>
</Properties>
</file>