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7F6" w:rsidRPr="00223645" w:rsidRDefault="00FC37F6">
      <w:pPr>
        <w:jc w:val="center"/>
        <w:rPr>
          <w:rFonts w:ascii="黑体" w:eastAsia="黑体" w:hAnsi="黑体" w:cs="黑体"/>
          <w:color w:val="auto"/>
          <w:sz w:val="44"/>
          <w:szCs w:val="44"/>
          <w:lang w:eastAsia="zh-CN"/>
        </w:rPr>
      </w:pPr>
      <w:bookmarkStart w:id="0" w:name="_Toc789715790"/>
      <w:bookmarkStart w:id="1" w:name="_Toc12006"/>
      <w:bookmarkStart w:id="2" w:name="_Toc119319583"/>
    </w:p>
    <w:p w:rsidR="00FC37F6" w:rsidRPr="00223645" w:rsidRDefault="00FC37F6">
      <w:pPr>
        <w:jc w:val="center"/>
        <w:rPr>
          <w:rFonts w:ascii="黑体" w:eastAsia="黑体" w:hAnsi="黑体" w:cs="黑体"/>
          <w:color w:val="auto"/>
          <w:sz w:val="44"/>
          <w:szCs w:val="44"/>
          <w:lang w:eastAsia="zh-CN"/>
        </w:rPr>
      </w:pPr>
    </w:p>
    <w:p w:rsidR="00FC37F6" w:rsidRPr="00223645" w:rsidRDefault="00FC37F6">
      <w:pPr>
        <w:jc w:val="center"/>
        <w:rPr>
          <w:rFonts w:ascii="黑体" w:eastAsia="黑体" w:hAnsi="黑体" w:cs="黑体"/>
          <w:color w:val="auto"/>
          <w:sz w:val="44"/>
          <w:szCs w:val="44"/>
          <w:lang w:eastAsia="zh-CN"/>
        </w:rPr>
      </w:pPr>
    </w:p>
    <w:p w:rsidR="00FC37F6" w:rsidRPr="00223645" w:rsidRDefault="00FC37F6">
      <w:pPr>
        <w:jc w:val="center"/>
        <w:rPr>
          <w:rFonts w:ascii="黑体" w:eastAsia="黑体" w:hAnsi="黑体" w:cs="黑体"/>
          <w:color w:val="auto"/>
          <w:sz w:val="44"/>
          <w:szCs w:val="44"/>
          <w:lang w:eastAsia="zh-CN"/>
        </w:rPr>
      </w:pPr>
    </w:p>
    <w:p w:rsidR="00FC37F6" w:rsidRPr="00223645" w:rsidRDefault="00FC37F6">
      <w:pPr>
        <w:jc w:val="center"/>
        <w:rPr>
          <w:rFonts w:ascii="黑体" w:eastAsia="黑体" w:hAnsi="黑体" w:cs="黑体"/>
          <w:color w:val="auto"/>
          <w:sz w:val="44"/>
          <w:szCs w:val="44"/>
          <w:lang w:eastAsia="zh-CN"/>
        </w:rPr>
      </w:pPr>
    </w:p>
    <w:p w:rsidR="00FC37F6" w:rsidRPr="00223645" w:rsidRDefault="00223645">
      <w:pPr>
        <w:ind w:firstLineChars="0" w:firstLine="0"/>
        <w:jc w:val="center"/>
        <w:rPr>
          <w:rFonts w:ascii="黑体" w:eastAsia="黑体" w:hAnsi="黑体" w:cs="宋体"/>
          <w:b/>
          <w:bCs/>
          <w:color w:val="auto"/>
          <w:sz w:val="44"/>
          <w:szCs w:val="44"/>
          <w:lang w:eastAsia="zh-CN"/>
        </w:rPr>
      </w:pPr>
      <w:r w:rsidRPr="00223645">
        <w:rPr>
          <w:rFonts w:ascii="黑体" w:eastAsia="黑体" w:hAnsi="黑体" w:cs="宋体" w:hint="eastAsia"/>
          <w:b/>
          <w:bCs/>
          <w:color w:val="auto"/>
          <w:sz w:val="44"/>
          <w:szCs w:val="44"/>
          <w:lang w:eastAsia="zh-CN"/>
        </w:rPr>
        <w:t>广汉市</w:t>
      </w:r>
      <w:r w:rsidR="00334547">
        <w:rPr>
          <w:rFonts w:ascii="黑体" w:eastAsia="黑体" w:hAnsi="黑体" w:cs="宋体" w:hint="eastAsia"/>
          <w:b/>
          <w:bCs/>
          <w:color w:val="auto"/>
          <w:sz w:val="44"/>
          <w:szCs w:val="44"/>
          <w:lang w:eastAsia="zh-CN"/>
        </w:rPr>
        <w:t>2023</w:t>
      </w:r>
      <w:r w:rsidRPr="00223645">
        <w:rPr>
          <w:rFonts w:ascii="黑体" w:eastAsia="黑体" w:hAnsi="黑体" w:cs="宋体" w:hint="eastAsia"/>
          <w:b/>
          <w:bCs/>
          <w:color w:val="auto"/>
          <w:sz w:val="44"/>
          <w:szCs w:val="44"/>
          <w:lang w:eastAsia="zh-CN"/>
        </w:rPr>
        <w:t>-2030年电动汽车充电基础设施</w:t>
      </w:r>
    </w:p>
    <w:p w:rsidR="00FC37F6" w:rsidRPr="00223645" w:rsidRDefault="00223645">
      <w:pPr>
        <w:ind w:firstLineChars="0" w:firstLine="0"/>
        <w:jc w:val="center"/>
        <w:rPr>
          <w:rFonts w:ascii="黑体" w:eastAsia="黑体" w:hAnsi="黑体" w:cs="宋体"/>
          <w:b/>
          <w:bCs/>
          <w:color w:val="auto"/>
          <w:sz w:val="44"/>
          <w:szCs w:val="44"/>
          <w:lang w:eastAsia="zh-CN"/>
        </w:rPr>
      </w:pPr>
      <w:r w:rsidRPr="00223645">
        <w:rPr>
          <w:rFonts w:ascii="黑体" w:eastAsia="黑体" w:hAnsi="黑体" w:cs="宋体" w:hint="eastAsia"/>
          <w:b/>
          <w:bCs/>
          <w:color w:val="auto"/>
          <w:sz w:val="44"/>
          <w:szCs w:val="44"/>
          <w:lang w:eastAsia="zh-CN"/>
        </w:rPr>
        <w:t>专项规划</w:t>
      </w:r>
    </w:p>
    <w:p w:rsidR="00FC37F6" w:rsidRPr="00223645" w:rsidRDefault="00FC37F6">
      <w:pPr>
        <w:pStyle w:val="1"/>
        <w:ind w:firstLine="883"/>
        <w:rPr>
          <w:rFonts w:ascii="黑体" w:hAnsi="黑体"/>
          <w:color w:val="auto"/>
          <w:lang w:eastAsia="zh-CN"/>
        </w:rPr>
      </w:pPr>
    </w:p>
    <w:p w:rsidR="00FC37F6" w:rsidRPr="00223645" w:rsidRDefault="00FC37F6">
      <w:pPr>
        <w:pStyle w:val="1"/>
        <w:ind w:firstLine="883"/>
        <w:rPr>
          <w:rFonts w:ascii="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223645">
      <w:pPr>
        <w:ind w:firstLineChars="0" w:firstLine="0"/>
        <w:jc w:val="center"/>
        <w:rPr>
          <w:rFonts w:ascii="黑体" w:eastAsia="黑体" w:hAnsi="黑体" w:cs="黑体"/>
          <w:color w:val="auto"/>
          <w:sz w:val="32"/>
          <w:szCs w:val="32"/>
          <w:lang w:eastAsia="zh-CN"/>
        </w:rPr>
      </w:pPr>
      <w:r w:rsidRPr="00223645">
        <w:rPr>
          <w:rFonts w:ascii="黑体" w:eastAsia="黑体" w:hAnsi="黑体" w:cs="黑体" w:hint="eastAsia"/>
          <w:color w:val="auto"/>
          <w:sz w:val="32"/>
          <w:szCs w:val="32"/>
          <w:lang w:eastAsia="zh-CN"/>
        </w:rPr>
        <w:t>广汉市发展和改革局</w:t>
      </w:r>
    </w:p>
    <w:p w:rsidR="00FC37F6" w:rsidRPr="00223645" w:rsidRDefault="00223645">
      <w:pPr>
        <w:ind w:firstLineChars="0" w:firstLine="0"/>
        <w:jc w:val="center"/>
        <w:rPr>
          <w:rFonts w:ascii="黑体" w:eastAsia="黑体" w:hAnsi="黑体"/>
          <w:color w:val="auto"/>
          <w:lang w:eastAsia="zh-CN"/>
        </w:rPr>
      </w:pPr>
      <w:r w:rsidRPr="00223645">
        <w:rPr>
          <w:rFonts w:ascii="黑体" w:eastAsia="黑体" w:hAnsi="黑体" w:cs="黑体" w:hint="eastAsia"/>
          <w:color w:val="auto"/>
          <w:sz w:val="32"/>
          <w:szCs w:val="32"/>
          <w:lang w:eastAsia="zh-CN"/>
        </w:rPr>
        <w:t>2023年</w:t>
      </w:r>
      <w:r w:rsidR="0015730C">
        <w:rPr>
          <w:rFonts w:ascii="黑体" w:eastAsia="黑体" w:hAnsi="黑体" w:cs="黑体" w:hint="eastAsia"/>
          <w:color w:val="auto"/>
          <w:sz w:val="32"/>
          <w:szCs w:val="32"/>
          <w:lang w:eastAsia="zh-CN"/>
        </w:rPr>
        <w:t>4</w:t>
      </w:r>
      <w:r w:rsidRPr="00223645">
        <w:rPr>
          <w:rFonts w:ascii="黑体" w:eastAsia="黑体" w:hAnsi="黑体" w:cs="黑体" w:hint="eastAsia"/>
          <w:color w:val="auto"/>
          <w:sz w:val="32"/>
          <w:szCs w:val="32"/>
          <w:lang w:eastAsia="zh-CN"/>
        </w:rPr>
        <w:t>月</w:t>
      </w:r>
      <w:bookmarkStart w:id="3" w:name="_GoBack"/>
      <w:bookmarkEnd w:id="3"/>
      <w:r w:rsidRPr="00223645">
        <w:rPr>
          <w:rFonts w:ascii="黑体" w:eastAsia="黑体" w:hAnsi="黑体"/>
          <w:color w:val="auto"/>
          <w:lang w:eastAsia="zh-CN"/>
        </w:rPr>
        <w:br w:type="page"/>
      </w:r>
    </w:p>
    <w:p w:rsidR="00FC37F6" w:rsidRPr="00223645" w:rsidRDefault="00223645">
      <w:pPr>
        <w:spacing w:line="240" w:lineRule="auto"/>
        <w:ind w:firstLineChars="0" w:firstLine="0"/>
        <w:jc w:val="center"/>
        <w:rPr>
          <w:rFonts w:ascii="黑体" w:eastAsia="黑体" w:hAnsi="黑体" w:cs="宋体"/>
          <w:color w:val="auto"/>
          <w:sz w:val="44"/>
          <w:szCs w:val="44"/>
        </w:rPr>
      </w:pPr>
      <w:r w:rsidRPr="00223645">
        <w:rPr>
          <w:rFonts w:ascii="黑体" w:eastAsia="黑体" w:hAnsi="黑体" w:cs="宋体" w:hint="eastAsia"/>
          <w:color w:val="auto"/>
          <w:sz w:val="44"/>
          <w:szCs w:val="44"/>
        </w:rPr>
        <w:lastRenderedPageBreak/>
        <w:t>目录</w:t>
      </w:r>
    </w:p>
    <w:p w:rsidR="00FC37F6" w:rsidRPr="00223645" w:rsidRDefault="00233F1B">
      <w:pPr>
        <w:pStyle w:val="10"/>
        <w:tabs>
          <w:tab w:val="right" w:leader="dot" w:pos="9081"/>
        </w:tabs>
        <w:ind w:firstLine="600"/>
        <w:rPr>
          <w:rFonts w:ascii="黑体" w:eastAsia="黑体" w:hAnsi="黑体"/>
          <w:color w:val="auto"/>
        </w:rPr>
      </w:pPr>
      <w:r w:rsidRPr="00233F1B">
        <w:rPr>
          <w:rFonts w:ascii="黑体" w:eastAsia="黑体" w:hAnsi="黑体" w:cs="宋体" w:hint="eastAsia"/>
          <w:color w:val="auto"/>
          <w:sz w:val="30"/>
          <w:szCs w:val="30"/>
          <w:lang w:eastAsia="zh-CN"/>
        </w:rPr>
        <w:fldChar w:fldCharType="begin"/>
      </w:r>
      <w:r w:rsidR="00223645" w:rsidRPr="00223645">
        <w:rPr>
          <w:rFonts w:ascii="黑体" w:eastAsia="黑体" w:hAnsi="黑体" w:cs="宋体" w:hint="eastAsia"/>
          <w:color w:val="auto"/>
          <w:sz w:val="30"/>
          <w:szCs w:val="30"/>
          <w:lang w:eastAsia="zh-CN"/>
        </w:rPr>
        <w:instrText xml:space="preserve">TOC \o "1-2" \h \u </w:instrText>
      </w:r>
      <w:r w:rsidRPr="00233F1B">
        <w:rPr>
          <w:rFonts w:ascii="黑体" w:eastAsia="黑体" w:hAnsi="黑体" w:cs="宋体" w:hint="eastAsia"/>
          <w:color w:val="auto"/>
          <w:sz w:val="30"/>
          <w:szCs w:val="30"/>
          <w:lang w:eastAsia="zh-CN"/>
        </w:rPr>
        <w:fldChar w:fldCharType="separate"/>
      </w:r>
      <w:hyperlink w:anchor="_Toc1795" w:history="1">
        <w:r w:rsidR="00223645" w:rsidRPr="00223645">
          <w:rPr>
            <w:rFonts w:ascii="黑体" w:eastAsia="黑体" w:hAnsi="黑体" w:hint="eastAsia"/>
            <w:color w:val="auto"/>
          </w:rPr>
          <w:t>第一章</w:t>
        </w:r>
        <w:r w:rsidR="00223645" w:rsidRPr="00223645">
          <w:rPr>
            <w:rFonts w:ascii="黑体" w:eastAsia="黑体" w:hAnsi="黑体"/>
            <w:color w:val="auto"/>
          </w:rPr>
          <w:t xml:space="preserve"> </w:t>
        </w:r>
        <w:r w:rsidR="00223645" w:rsidRPr="00223645">
          <w:rPr>
            <w:rFonts w:ascii="黑体" w:eastAsia="黑体" w:hAnsi="黑体" w:hint="eastAsia"/>
            <w:color w:val="auto"/>
            <w:lang w:eastAsia="zh-CN"/>
          </w:rPr>
          <w:t>前言</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_Toc1795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3159" w:history="1">
        <w:r w:rsidR="00223645" w:rsidRPr="00223645">
          <w:rPr>
            <w:rFonts w:ascii="黑体" w:eastAsia="黑体" w:hAnsi="黑体" w:hint="eastAsia"/>
            <w:color w:val="auto"/>
            <w:lang w:eastAsia="zh-CN"/>
          </w:rPr>
          <w:t>第一节 规划背景</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_Toc13159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31429" w:history="1">
        <w:r w:rsidR="00223645" w:rsidRPr="00223645">
          <w:rPr>
            <w:rFonts w:ascii="黑体" w:eastAsia="黑体" w:hAnsi="黑体" w:hint="eastAsia"/>
            <w:color w:val="auto"/>
            <w:lang w:eastAsia="zh-CN"/>
          </w:rPr>
          <w:t>第二节 规划范围</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_Toc31429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27709" w:history="1">
        <w:r w:rsidR="00223645" w:rsidRPr="00223645">
          <w:rPr>
            <w:rFonts w:ascii="黑体" w:eastAsia="黑体" w:hAnsi="黑体" w:hint="eastAsia"/>
            <w:color w:val="auto"/>
            <w:lang w:eastAsia="zh-CN"/>
          </w:rPr>
          <w:t>第三节 规划期限</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_Toc27709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31117" w:history="1">
        <w:r w:rsidR="00223645" w:rsidRPr="00223645">
          <w:rPr>
            <w:rFonts w:ascii="黑体" w:eastAsia="黑体" w:hAnsi="黑体" w:hint="eastAsia"/>
            <w:color w:val="auto"/>
            <w:lang w:eastAsia="zh-CN"/>
          </w:rPr>
          <w:t>第四节 规划内容</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_Toc31117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5</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7194" w:history="1">
        <w:r w:rsidR="00223645" w:rsidRPr="00223645">
          <w:rPr>
            <w:rFonts w:ascii="黑体" w:eastAsia="黑体" w:hAnsi="黑体" w:hint="eastAsia"/>
            <w:color w:val="auto"/>
            <w:lang w:eastAsia="zh-CN"/>
          </w:rPr>
          <w:t>第五节 规划依据</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_Toc17194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3479" w:history="1">
        <w:r w:rsidR="00223645" w:rsidRPr="00223645">
          <w:rPr>
            <w:rFonts w:ascii="黑体" w:eastAsia="黑体" w:hAnsi="黑体"/>
            <w:color w:val="auto"/>
            <w:lang w:eastAsia="zh-CN"/>
          </w:rPr>
          <w:t>第</w:t>
        </w:r>
        <w:r w:rsidR="00223645" w:rsidRPr="00223645">
          <w:rPr>
            <w:rFonts w:ascii="黑体" w:eastAsia="黑体" w:hAnsi="黑体" w:hint="eastAsia"/>
            <w:color w:val="auto"/>
            <w:lang w:eastAsia="zh-CN"/>
          </w:rPr>
          <w:t>二</w:t>
        </w:r>
        <w:r w:rsidR="00223645" w:rsidRPr="00223645">
          <w:rPr>
            <w:rFonts w:ascii="黑体" w:eastAsia="黑体" w:hAnsi="黑体"/>
            <w:color w:val="auto"/>
            <w:lang w:eastAsia="zh-CN"/>
          </w:rPr>
          <w:t xml:space="preserve">章 </w:t>
        </w:r>
        <w:r w:rsidR="00223645" w:rsidRPr="00223645">
          <w:rPr>
            <w:rFonts w:ascii="黑体" w:eastAsia="黑体" w:hAnsi="黑体" w:hint="eastAsia"/>
            <w:color w:val="auto"/>
            <w:lang w:eastAsia="zh-CN"/>
          </w:rPr>
          <w:t>发展现状</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_Toc3479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201" w:history="1">
        <w:r w:rsidR="00223645" w:rsidRPr="00223645">
          <w:rPr>
            <w:rFonts w:ascii="黑体" w:eastAsia="黑体" w:hAnsi="黑体" w:hint="eastAsia"/>
            <w:color w:val="auto"/>
            <w:lang w:eastAsia="zh-CN"/>
          </w:rPr>
          <w:t>第一节 广汉概况</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_Toc1201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30641" w:history="1">
        <w:r w:rsidR="00223645" w:rsidRPr="00223645">
          <w:rPr>
            <w:rFonts w:ascii="黑体" w:eastAsia="黑体" w:hAnsi="黑体" w:hint="eastAsia"/>
            <w:color w:val="auto"/>
            <w:lang w:eastAsia="zh-CN"/>
          </w:rPr>
          <w:t>第二节 主要成就</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_Toc30641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18</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7267" w:history="1">
        <w:r w:rsidR="00223645" w:rsidRPr="00223645">
          <w:rPr>
            <w:rFonts w:ascii="黑体" w:eastAsia="黑体" w:hAnsi="黑体" w:hint="eastAsia"/>
            <w:color w:val="auto"/>
            <w:lang w:eastAsia="zh-CN"/>
          </w:rPr>
          <w:t>第三节 存在问题</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_Toc17267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21</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0460" w:history="1">
        <w:r w:rsidR="00223645" w:rsidRPr="00223645">
          <w:rPr>
            <w:rFonts w:ascii="黑体" w:eastAsia="黑体" w:hAnsi="黑体" w:hint="eastAsia"/>
            <w:color w:val="auto"/>
            <w:lang w:eastAsia="zh-CN"/>
          </w:rPr>
          <w:t>第四节 充电基础设施政策环境</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_Toc10460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22</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4793" w:history="1">
        <w:r w:rsidR="00223645" w:rsidRPr="00223645">
          <w:rPr>
            <w:rFonts w:ascii="黑体" w:eastAsia="黑体" w:hAnsi="黑体" w:hint="eastAsia"/>
            <w:color w:val="auto"/>
            <w:lang w:eastAsia="zh-CN"/>
          </w:rPr>
          <w:t>第五节 充电基础设施建设面临的机遇与挑战</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_Toc14793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26</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12790" w:history="1">
        <w:r w:rsidR="00223645" w:rsidRPr="00223645">
          <w:rPr>
            <w:rFonts w:ascii="黑体" w:eastAsia="黑体" w:hAnsi="黑体" w:hint="eastAsia"/>
            <w:color w:val="auto"/>
            <w:lang w:eastAsia="zh-CN"/>
          </w:rPr>
          <w:t>第三章 规划目标</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_Toc12790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31</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5679" w:history="1">
        <w:r w:rsidR="00223645" w:rsidRPr="00223645">
          <w:rPr>
            <w:rFonts w:ascii="黑体" w:eastAsia="黑体" w:hAnsi="黑体" w:hint="eastAsia"/>
            <w:color w:val="auto"/>
            <w:lang w:eastAsia="zh-CN"/>
          </w:rPr>
          <w:t>第一节 指导思想与原则</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_Toc15679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31</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8677" w:history="1">
        <w:r w:rsidR="00223645" w:rsidRPr="00223645">
          <w:rPr>
            <w:rFonts w:ascii="黑体" w:eastAsia="黑体" w:hAnsi="黑体" w:hint="eastAsia"/>
            <w:color w:val="auto"/>
            <w:lang w:eastAsia="zh-CN"/>
          </w:rPr>
          <w:t>第二节 需求预测</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_Toc8677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37</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31394" w:history="1">
        <w:r w:rsidR="00223645" w:rsidRPr="00223645">
          <w:rPr>
            <w:rFonts w:ascii="黑体" w:eastAsia="黑体" w:hAnsi="黑体" w:hint="eastAsia"/>
            <w:color w:val="auto"/>
            <w:lang w:eastAsia="zh-CN"/>
          </w:rPr>
          <w:t>第三节 规划发展策略</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_Toc31394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48</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19920" w:history="1">
        <w:r w:rsidR="00223645" w:rsidRPr="00223645">
          <w:rPr>
            <w:rFonts w:ascii="黑体" w:eastAsia="黑体" w:hAnsi="黑体" w:hint="eastAsia"/>
            <w:color w:val="auto"/>
            <w:lang w:eastAsia="zh-CN"/>
          </w:rPr>
          <w:t>第四章 规划方案</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_Toc19920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51</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0178" w:history="1">
        <w:r w:rsidR="00223645" w:rsidRPr="00223645">
          <w:rPr>
            <w:rFonts w:ascii="黑体" w:eastAsia="黑体" w:hAnsi="黑体" w:hint="eastAsia"/>
            <w:color w:val="auto"/>
            <w:lang w:eastAsia="zh-CN"/>
          </w:rPr>
          <w:t>第一节 规划策略</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_Toc10178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51</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7275" w:history="1">
        <w:r w:rsidR="00223645" w:rsidRPr="00223645">
          <w:rPr>
            <w:rFonts w:ascii="黑体" w:eastAsia="黑体" w:hAnsi="黑体" w:hint="eastAsia"/>
            <w:color w:val="auto"/>
            <w:lang w:eastAsia="zh-CN"/>
          </w:rPr>
          <w:t>第二节 布局策略</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_Toc7275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53</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32" w:history="1">
        <w:r w:rsidR="00223645" w:rsidRPr="00223645">
          <w:rPr>
            <w:rFonts w:ascii="黑体" w:eastAsia="黑体" w:hAnsi="黑体" w:hint="eastAsia"/>
            <w:color w:val="auto"/>
            <w:lang w:eastAsia="zh-CN"/>
          </w:rPr>
          <w:t>第三节 布局方案</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_Toc32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54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29798" w:history="1">
        <w:r w:rsidR="00223645" w:rsidRPr="00223645">
          <w:rPr>
            <w:rFonts w:ascii="黑体" w:eastAsia="黑体" w:hAnsi="黑体" w:hint="eastAsia"/>
            <w:color w:val="auto"/>
            <w:lang w:eastAsia="zh-CN"/>
          </w:rPr>
          <w:t>第四节 重点任务</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_Toc29798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58</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9476" w:history="1">
        <w:r w:rsidR="00223645" w:rsidRPr="00223645">
          <w:rPr>
            <w:rFonts w:ascii="黑体" w:eastAsia="黑体" w:hAnsi="黑体" w:hint="eastAsia"/>
            <w:color w:val="auto"/>
            <w:lang w:eastAsia="zh-CN"/>
          </w:rPr>
          <w:t>第五节 配套需求</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_Toc19476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62</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12150" w:history="1">
        <w:r w:rsidR="00223645" w:rsidRPr="00223645">
          <w:rPr>
            <w:rFonts w:ascii="黑体" w:eastAsia="黑体" w:hAnsi="黑体"/>
            <w:color w:val="auto"/>
            <w:lang w:eastAsia="zh-CN"/>
          </w:rPr>
          <w:t>第</w:t>
        </w:r>
        <w:r w:rsidR="00223645" w:rsidRPr="00223645">
          <w:rPr>
            <w:rFonts w:ascii="黑体" w:eastAsia="黑体" w:hAnsi="黑体" w:hint="eastAsia"/>
            <w:color w:val="auto"/>
          </w:rPr>
          <w:t>五</w:t>
        </w:r>
        <w:r w:rsidR="00223645" w:rsidRPr="00223645">
          <w:rPr>
            <w:rFonts w:ascii="黑体" w:eastAsia="黑体" w:hAnsi="黑体"/>
            <w:color w:val="auto"/>
            <w:lang w:eastAsia="zh-CN"/>
          </w:rPr>
          <w:t>章</w:t>
        </w:r>
        <w:r w:rsidR="00223645" w:rsidRPr="00223645">
          <w:rPr>
            <w:rFonts w:ascii="黑体" w:eastAsia="黑体" w:hAnsi="黑体" w:hint="eastAsia"/>
            <w:color w:val="auto"/>
            <w:lang w:eastAsia="zh-CN"/>
          </w:rPr>
          <w:t xml:space="preserve"> </w:t>
        </w:r>
        <w:r w:rsidR="00223645" w:rsidRPr="00223645">
          <w:rPr>
            <w:rFonts w:ascii="黑体" w:eastAsia="黑体" w:hAnsi="黑体"/>
            <w:color w:val="auto"/>
            <w:lang w:eastAsia="zh-CN"/>
          </w:rPr>
          <w:t>环境保护及安全措施</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_Toc12150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63</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28220" w:history="1">
        <w:r w:rsidR="00223645" w:rsidRPr="00223645">
          <w:rPr>
            <w:rFonts w:ascii="黑体" w:eastAsia="黑体" w:hAnsi="黑体"/>
            <w:color w:val="auto"/>
            <w:lang w:eastAsia="zh-CN"/>
          </w:rPr>
          <w:t>第一节</w:t>
        </w:r>
        <w:r w:rsidR="00223645" w:rsidRPr="00223645">
          <w:rPr>
            <w:rFonts w:ascii="黑体" w:eastAsia="黑体" w:hAnsi="黑体" w:hint="eastAsia"/>
            <w:color w:val="auto"/>
            <w:lang w:eastAsia="zh-CN"/>
          </w:rPr>
          <w:t xml:space="preserve"> </w:t>
        </w:r>
        <w:r w:rsidR="00223645" w:rsidRPr="00223645">
          <w:rPr>
            <w:rFonts w:ascii="黑体" w:eastAsia="黑体" w:hAnsi="黑体"/>
            <w:color w:val="auto"/>
            <w:lang w:eastAsia="zh-CN"/>
          </w:rPr>
          <w:t>环保措施</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_Toc28220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63</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6024" w:history="1">
        <w:r w:rsidR="00223645" w:rsidRPr="00223645">
          <w:rPr>
            <w:rFonts w:ascii="黑体" w:eastAsia="黑体" w:hAnsi="黑体"/>
            <w:color w:val="auto"/>
            <w:lang w:eastAsia="zh-CN"/>
          </w:rPr>
          <w:t>第二节</w:t>
        </w:r>
        <w:r w:rsidR="00223645" w:rsidRPr="00223645">
          <w:rPr>
            <w:rFonts w:ascii="黑体" w:eastAsia="黑体" w:hAnsi="黑体" w:hint="eastAsia"/>
            <w:color w:val="auto"/>
            <w:lang w:eastAsia="zh-CN"/>
          </w:rPr>
          <w:t xml:space="preserve"> </w:t>
        </w:r>
        <w:r w:rsidR="00223645" w:rsidRPr="00223645">
          <w:rPr>
            <w:rFonts w:ascii="黑体" w:eastAsia="黑体" w:hAnsi="黑体"/>
            <w:color w:val="auto"/>
            <w:lang w:eastAsia="zh-CN"/>
          </w:rPr>
          <w:t>安全措施</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_Toc16024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64</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4392" w:history="1">
        <w:r w:rsidR="00223645" w:rsidRPr="00223645">
          <w:rPr>
            <w:rFonts w:ascii="黑体" w:eastAsia="黑体" w:hAnsi="黑体"/>
            <w:color w:val="auto"/>
            <w:lang w:eastAsia="zh-CN"/>
          </w:rPr>
          <w:t>第</w:t>
        </w:r>
        <w:r w:rsidR="00223645" w:rsidRPr="00223645">
          <w:rPr>
            <w:rFonts w:ascii="黑体" w:eastAsia="黑体" w:hAnsi="黑体" w:hint="eastAsia"/>
            <w:color w:val="auto"/>
          </w:rPr>
          <w:t>六</w:t>
        </w:r>
        <w:r w:rsidR="00223645" w:rsidRPr="00223645">
          <w:rPr>
            <w:rFonts w:ascii="黑体" w:eastAsia="黑体" w:hAnsi="黑体"/>
            <w:color w:val="auto"/>
            <w:lang w:eastAsia="zh-CN"/>
          </w:rPr>
          <w:t>章</w:t>
        </w:r>
        <w:r w:rsidR="00223645" w:rsidRPr="00223645">
          <w:rPr>
            <w:rFonts w:ascii="黑体" w:eastAsia="黑体" w:hAnsi="黑体" w:hint="eastAsia"/>
            <w:color w:val="auto"/>
            <w:lang w:eastAsia="zh-CN"/>
          </w:rPr>
          <w:t xml:space="preserve"> </w:t>
        </w:r>
        <w:r w:rsidR="00223645" w:rsidRPr="00223645">
          <w:rPr>
            <w:rFonts w:ascii="黑体" w:eastAsia="黑体" w:hAnsi="黑体"/>
            <w:color w:val="auto"/>
            <w:lang w:eastAsia="zh-CN"/>
          </w:rPr>
          <w:t>规划实施</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_Toc4392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67</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20862" w:history="1">
        <w:r w:rsidR="00223645" w:rsidRPr="00223645">
          <w:rPr>
            <w:rFonts w:ascii="黑体" w:eastAsia="黑体" w:hAnsi="黑体"/>
            <w:color w:val="auto"/>
            <w:lang w:eastAsia="zh-CN"/>
          </w:rPr>
          <w:t xml:space="preserve">第一节 </w:t>
        </w:r>
        <w:r w:rsidR="00223645" w:rsidRPr="00223645">
          <w:rPr>
            <w:rFonts w:ascii="黑体" w:eastAsia="黑体" w:hAnsi="黑体" w:hint="eastAsia"/>
            <w:color w:val="auto"/>
          </w:rPr>
          <w:t>实施原则</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_Toc20862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67</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8095" w:history="1">
        <w:r w:rsidR="00223645" w:rsidRPr="00223645">
          <w:rPr>
            <w:rFonts w:ascii="黑体" w:eastAsia="黑体" w:hAnsi="黑体"/>
            <w:color w:val="auto"/>
            <w:lang w:eastAsia="zh-CN"/>
          </w:rPr>
          <w:t>第二节</w:t>
        </w:r>
        <w:r w:rsidR="00223645" w:rsidRPr="00223645">
          <w:rPr>
            <w:rFonts w:ascii="黑体" w:eastAsia="黑体" w:hAnsi="黑体" w:hint="eastAsia"/>
            <w:color w:val="auto"/>
            <w:lang w:eastAsia="zh-CN"/>
          </w:rPr>
          <w:t xml:space="preserve"> </w:t>
        </w:r>
        <w:r w:rsidR="00223645" w:rsidRPr="00223645">
          <w:rPr>
            <w:rFonts w:ascii="黑体" w:eastAsia="黑体" w:hAnsi="黑体"/>
            <w:color w:val="auto"/>
            <w:lang w:eastAsia="zh-CN"/>
          </w:rPr>
          <w:t>保障措施</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_Toc8095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70</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8769" w:history="1">
        <w:r w:rsidR="00223645" w:rsidRPr="00223645">
          <w:rPr>
            <w:rFonts w:ascii="黑体" w:eastAsia="黑体" w:hAnsi="黑体"/>
            <w:color w:val="auto"/>
            <w:lang w:eastAsia="zh-CN"/>
          </w:rPr>
          <w:t>第三节</w:t>
        </w:r>
        <w:r w:rsidR="00223645" w:rsidRPr="00223645">
          <w:rPr>
            <w:rFonts w:ascii="黑体" w:eastAsia="黑体" w:hAnsi="黑体" w:hint="eastAsia"/>
            <w:color w:val="auto"/>
            <w:lang w:eastAsia="zh-CN"/>
          </w:rPr>
          <w:t xml:space="preserve"> </w:t>
        </w:r>
        <w:r w:rsidR="00223645" w:rsidRPr="00223645">
          <w:rPr>
            <w:rFonts w:ascii="黑体" w:eastAsia="黑体" w:hAnsi="黑体"/>
            <w:color w:val="auto"/>
            <w:lang w:eastAsia="zh-CN"/>
          </w:rPr>
          <w:t>实施效果</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_Toc8769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72</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17405" w:history="1">
        <w:r w:rsidR="00223645" w:rsidRPr="00223645">
          <w:rPr>
            <w:rFonts w:ascii="黑体" w:eastAsia="黑体" w:hAnsi="黑体" w:hint="eastAsia"/>
            <w:color w:val="auto"/>
            <w:lang w:eastAsia="zh-CN"/>
          </w:rPr>
          <w:t>第</w:t>
        </w:r>
        <w:r w:rsidR="00223645" w:rsidRPr="00223645">
          <w:rPr>
            <w:rFonts w:ascii="黑体" w:eastAsia="黑体" w:hAnsi="黑体" w:hint="eastAsia"/>
            <w:color w:val="auto"/>
          </w:rPr>
          <w:t>七</w:t>
        </w:r>
        <w:r w:rsidR="00223645" w:rsidRPr="00223645">
          <w:rPr>
            <w:rFonts w:ascii="黑体" w:eastAsia="黑体" w:hAnsi="黑体" w:hint="eastAsia"/>
            <w:color w:val="auto"/>
            <w:lang w:eastAsia="zh-CN"/>
          </w:rPr>
          <w:t>章 新型技术及相关案例</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_Toc17405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20432" w:history="1">
        <w:r w:rsidR="00223645" w:rsidRPr="00223645">
          <w:rPr>
            <w:rFonts w:ascii="黑体" w:eastAsia="黑体" w:hAnsi="黑体" w:hint="eastAsia"/>
            <w:color w:val="auto"/>
            <w:lang w:eastAsia="zh-CN"/>
          </w:rPr>
          <w:t>第一节 新型</w:t>
        </w:r>
        <w:r w:rsidR="00223645" w:rsidRPr="00223645">
          <w:rPr>
            <w:rFonts w:ascii="黑体" w:eastAsia="黑体" w:hAnsi="黑体" w:hint="eastAsia"/>
            <w:color w:val="auto"/>
          </w:rPr>
          <w:t>技术</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_Toc20432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20335" w:history="1">
        <w:r w:rsidR="00223645" w:rsidRPr="00223645">
          <w:rPr>
            <w:rFonts w:ascii="黑体" w:eastAsia="黑体" w:hAnsi="黑体" w:hint="eastAsia"/>
            <w:color w:val="auto"/>
            <w:lang w:eastAsia="zh-CN"/>
          </w:rPr>
          <w:t>第二节 先进案例</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_Toc20335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77</w:t>
        </w:r>
        <w:r w:rsidRPr="00223645">
          <w:rPr>
            <w:rFonts w:ascii="黑体" w:eastAsia="黑体" w:hAnsi="黑体"/>
            <w:color w:val="auto"/>
          </w:rPr>
          <w:fldChar w:fldCharType="end"/>
        </w:r>
      </w:hyperlink>
    </w:p>
    <w:p w:rsidR="00FC37F6" w:rsidRPr="00223645" w:rsidRDefault="00233F1B">
      <w:pPr>
        <w:pStyle w:val="10"/>
        <w:tabs>
          <w:tab w:val="right" w:leader="dot" w:pos="9081"/>
        </w:tabs>
        <w:ind w:firstLine="480"/>
        <w:rPr>
          <w:rFonts w:ascii="黑体" w:eastAsia="黑体" w:hAnsi="黑体"/>
          <w:color w:val="auto"/>
        </w:rPr>
      </w:pPr>
      <w:hyperlink w:anchor="_Toc17593" w:history="1">
        <w:r w:rsidR="00223645" w:rsidRPr="00223645">
          <w:rPr>
            <w:rFonts w:ascii="黑体" w:eastAsia="黑体" w:hAnsi="黑体"/>
            <w:color w:val="auto"/>
            <w:lang w:eastAsia="zh-CN"/>
          </w:rPr>
          <w:t>附件</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_Toc17593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84</w:t>
        </w:r>
        <w:r w:rsidRPr="00223645">
          <w:rPr>
            <w:rFonts w:ascii="黑体" w:eastAsia="黑体" w:hAnsi="黑体"/>
            <w:color w:val="auto"/>
          </w:rPr>
          <w:fldChar w:fldCharType="end"/>
        </w:r>
      </w:hyperlink>
    </w:p>
    <w:p w:rsidR="00FC37F6" w:rsidRPr="00223645" w:rsidRDefault="00233F1B">
      <w:pPr>
        <w:pStyle w:val="20"/>
        <w:tabs>
          <w:tab w:val="right" w:leader="dot" w:pos="9081"/>
        </w:tabs>
        <w:ind w:left="480" w:firstLine="480"/>
        <w:rPr>
          <w:rFonts w:ascii="黑体" w:eastAsia="黑体" w:hAnsi="黑体"/>
          <w:color w:val="auto"/>
        </w:rPr>
      </w:pPr>
      <w:hyperlink w:anchor="_Toc12312" w:history="1">
        <w:r w:rsidR="00223645" w:rsidRPr="00223645">
          <w:rPr>
            <w:rFonts w:ascii="黑体" w:eastAsia="黑体" w:hAnsi="黑体"/>
            <w:color w:val="auto"/>
            <w:lang w:eastAsia="zh-CN"/>
          </w:rPr>
          <w:t>名词解释</w:t>
        </w:r>
        <w:r w:rsidR="00223645" w:rsidRPr="00223645">
          <w:rPr>
            <w:rFonts w:ascii="黑体" w:eastAsia="黑体" w:hAnsi="黑体"/>
            <w:color w:val="auto"/>
          </w:rPr>
          <w:tab/>
        </w:r>
        <w:r w:rsidRPr="00223645">
          <w:rPr>
            <w:rFonts w:ascii="黑体" w:eastAsia="黑体" w:hAnsi="黑体"/>
            <w:color w:val="auto"/>
          </w:rPr>
          <w:fldChar w:fldCharType="begin"/>
        </w:r>
        <w:r w:rsidR="00223645" w:rsidRPr="00223645">
          <w:rPr>
            <w:rFonts w:ascii="黑体" w:eastAsia="黑体" w:hAnsi="黑体"/>
            <w:color w:val="auto"/>
          </w:rPr>
          <w:instrText xml:space="preserve"> PAGEREF _Toc12312 \h </w:instrText>
        </w:r>
        <w:r w:rsidRPr="00223645">
          <w:rPr>
            <w:rFonts w:ascii="黑体" w:eastAsia="黑体" w:hAnsi="黑体"/>
            <w:color w:val="auto"/>
          </w:rPr>
        </w:r>
        <w:r w:rsidRPr="00223645">
          <w:rPr>
            <w:rFonts w:ascii="黑体" w:eastAsia="黑体" w:hAnsi="黑体"/>
            <w:color w:val="auto"/>
          </w:rPr>
          <w:fldChar w:fldCharType="separate"/>
        </w:r>
        <w:r w:rsidR="00223645" w:rsidRPr="00223645">
          <w:rPr>
            <w:rFonts w:ascii="黑体" w:eastAsia="黑体" w:hAnsi="黑体"/>
            <w:color w:val="auto"/>
          </w:rPr>
          <w:t>84</w:t>
        </w:r>
        <w:r w:rsidRPr="00223645">
          <w:rPr>
            <w:rFonts w:ascii="黑体" w:eastAsia="黑体" w:hAnsi="黑体"/>
            <w:color w:val="auto"/>
          </w:rPr>
          <w:fldChar w:fldCharType="end"/>
        </w:r>
      </w:hyperlink>
    </w:p>
    <w:p w:rsidR="00FC37F6" w:rsidRPr="00223645" w:rsidRDefault="00233F1B">
      <w:pPr>
        <w:pStyle w:val="1"/>
        <w:ind w:firstLine="883"/>
        <w:rPr>
          <w:rFonts w:ascii="黑体" w:hAnsi="黑体"/>
          <w:color w:val="auto"/>
        </w:rPr>
      </w:pPr>
      <w:r w:rsidRPr="00223645">
        <w:rPr>
          <w:rFonts w:ascii="黑体" w:hAnsi="黑体" w:cs="宋体" w:hint="eastAsia"/>
          <w:color w:val="auto"/>
          <w:szCs w:val="30"/>
          <w:lang w:eastAsia="zh-CN"/>
        </w:rPr>
        <w:fldChar w:fldCharType="end"/>
      </w:r>
    </w:p>
    <w:p w:rsidR="00FC37F6" w:rsidRPr="00223645" w:rsidRDefault="00FC37F6">
      <w:pPr>
        <w:pStyle w:val="1"/>
        <w:ind w:firstLine="883"/>
        <w:rPr>
          <w:rFonts w:ascii="黑体" w:hAnsi="黑体"/>
          <w:color w:val="auto"/>
        </w:rPr>
      </w:pPr>
    </w:p>
    <w:p w:rsidR="00FC37F6" w:rsidRPr="00223645" w:rsidRDefault="00FC37F6">
      <w:pPr>
        <w:pStyle w:val="1"/>
        <w:ind w:firstLine="883"/>
        <w:rPr>
          <w:rFonts w:ascii="黑体" w:hAnsi="黑体"/>
          <w:color w:val="auto"/>
        </w:rPr>
      </w:pPr>
    </w:p>
    <w:p w:rsidR="00FC37F6" w:rsidRPr="00223645" w:rsidRDefault="00223645">
      <w:pPr>
        <w:pStyle w:val="1"/>
        <w:ind w:firstLine="883"/>
        <w:rPr>
          <w:rFonts w:ascii="黑体" w:hAnsi="黑体"/>
          <w:color w:val="auto"/>
          <w:lang w:eastAsia="zh-CN"/>
        </w:rPr>
      </w:pPr>
      <w:r w:rsidRPr="00223645">
        <w:rPr>
          <w:rFonts w:ascii="黑体" w:hAnsi="黑体" w:hint="eastAsia"/>
          <w:color w:val="auto"/>
        </w:rPr>
        <w:br w:type="page"/>
      </w:r>
      <w:bookmarkStart w:id="4" w:name="_Toc1795"/>
      <w:r w:rsidRPr="00223645">
        <w:rPr>
          <w:rFonts w:ascii="黑体" w:hAnsi="黑体" w:hint="eastAsia"/>
          <w:color w:val="auto"/>
        </w:rPr>
        <w:lastRenderedPageBreak/>
        <w:t>第一章</w:t>
      </w:r>
      <w:r w:rsidRPr="00223645">
        <w:rPr>
          <w:rFonts w:ascii="黑体" w:hAnsi="黑体"/>
          <w:color w:val="auto"/>
        </w:rPr>
        <w:t xml:space="preserve"> </w:t>
      </w:r>
      <w:r w:rsidRPr="00223645">
        <w:rPr>
          <w:rFonts w:ascii="黑体" w:hAnsi="黑体" w:hint="eastAsia"/>
          <w:color w:val="auto"/>
          <w:lang w:eastAsia="zh-CN"/>
        </w:rPr>
        <w:t>前言</w:t>
      </w:r>
      <w:bookmarkEnd w:id="0"/>
      <w:bookmarkEnd w:id="4"/>
    </w:p>
    <w:p w:rsidR="00FC37F6" w:rsidRPr="00223645" w:rsidRDefault="00223645">
      <w:pPr>
        <w:pStyle w:val="2"/>
        <w:numPr>
          <w:ilvl w:val="0"/>
          <w:numId w:val="1"/>
        </w:numPr>
        <w:ind w:firstLine="643"/>
        <w:jc w:val="center"/>
        <w:rPr>
          <w:rFonts w:ascii="黑体" w:hAnsi="黑体"/>
          <w:color w:val="auto"/>
          <w:lang w:eastAsia="zh-CN"/>
        </w:rPr>
      </w:pPr>
      <w:bookmarkStart w:id="5" w:name="_Toc1304344070"/>
      <w:r w:rsidRPr="00223645">
        <w:rPr>
          <w:rFonts w:ascii="黑体" w:hAnsi="黑体" w:hint="eastAsia"/>
          <w:color w:val="auto"/>
          <w:lang w:eastAsia="zh-CN"/>
        </w:rPr>
        <w:t xml:space="preserve"> </w:t>
      </w:r>
      <w:bookmarkStart w:id="6" w:name="_Toc13159"/>
      <w:r w:rsidRPr="00223645">
        <w:rPr>
          <w:rFonts w:ascii="黑体" w:hAnsi="黑体" w:hint="eastAsia"/>
          <w:color w:val="auto"/>
          <w:lang w:eastAsia="zh-CN"/>
        </w:rPr>
        <w:t>规划背景</w:t>
      </w:r>
      <w:bookmarkEnd w:id="5"/>
      <w:bookmarkEnd w:id="6"/>
    </w:p>
    <w:p w:rsidR="00FC37F6" w:rsidRPr="00223645" w:rsidRDefault="00223645">
      <w:pPr>
        <w:widowControl/>
        <w:ind w:firstLine="560"/>
        <w:rPr>
          <w:rFonts w:ascii="黑体" w:eastAsia="黑体" w:hAnsi="黑体" w:cs="仿宋_GB2312"/>
          <w:color w:val="auto"/>
          <w:sz w:val="31"/>
          <w:szCs w:val="31"/>
          <w:lang w:eastAsia="zh-CN"/>
        </w:rPr>
      </w:pPr>
      <w:r w:rsidRPr="00223645">
        <w:rPr>
          <w:rFonts w:ascii="黑体" w:eastAsia="黑体" w:hAnsi="黑体" w:cs="仿宋_GB2312" w:hint="eastAsia"/>
          <w:color w:val="auto"/>
          <w:sz w:val="28"/>
          <w:szCs w:val="28"/>
          <w:lang w:eastAsia="zh-CN"/>
        </w:rPr>
        <w:t>为积极响应国家节能减排的政策，切实落实“碳达峰，碳中和”的3060战略目标</w:t>
      </w:r>
      <w:r w:rsidRPr="00223645">
        <w:rPr>
          <w:rFonts w:ascii="黑体" w:eastAsia="黑体" w:hAnsi="黑体" w:hint="eastAsia"/>
          <w:color w:val="auto"/>
          <w:sz w:val="28"/>
          <w:szCs w:val="28"/>
          <w:lang w:eastAsia="zh-CN"/>
        </w:rPr>
        <w:t>，</w:t>
      </w:r>
      <w:r w:rsidRPr="00223645">
        <w:rPr>
          <w:rFonts w:ascii="黑体" w:eastAsia="黑体" w:hAnsi="黑体" w:cs="仿宋_GB2312"/>
          <w:color w:val="auto"/>
          <w:sz w:val="28"/>
          <w:szCs w:val="28"/>
          <w:lang w:eastAsia="zh-CN"/>
        </w:rPr>
        <w:t>促进</w:t>
      </w:r>
      <w:r w:rsidRPr="00223645">
        <w:rPr>
          <w:rFonts w:ascii="黑体" w:eastAsia="黑体" w:hAnsi="黑体" w:cs="仿宋_GB2312" w:hint="eastAsia"/>
          <w:color w:val="auto"/>
          <w:sz w:val="28"/>
          <w:szCs w:val="28"/>
          <w:lang w:eastAsia="zh-CN"/>
        </w:rPr>
        <w:t>广汉市</w:t>
      </w:r>
      <w:r w:rsidRPr="00223645">
        <w:rPr>
          <w:rFonts w:ascii="黑体" w:eastAsia="黑体" w:hAnsi="黑体" w:cs="仿宋_GB2312"/>
          <w:color w:val="auto"/>
          <w:sz w:val="28"/>
          <w:szCs w:val="28"/>
          <w:lang w:eastAsia="zh-CN"/>
        </w:rPr>
        <w:t>新能源汽车推广应用和新能源汽车产业创新集群发展</w:t>
      </w:r>
      <w:r w:rsidRPr="00223645">
        <w:rPr>
          <w:rFonts w:ascii="黑体" w:eastAsia="黑体" w:hAnsi="黑体" w:cs="仿宋_GB2312" w:hint="eastAsia"/>
          <w:color w:val="auto"/>
          <w:sz w:val="28"/>
          <w:szCs w:val="28"/>
          <w:lang w:eastAsia="zh-CN"/>
        </w:rPr>
        <w:t>，必须积极推进充电基础设施的合理布局及有序建设。为指导广汉市202</w:t>
      </w:r>
      <w:r w:rsidR="00334547">
        <w:rPr>
          <w:rFonts w:ascii="黑体" w:eastAsia="黑体" w:hAnsi="黑体" w:cs="仿宋_GB2312" w:hint="eastAsia"/>
          <w:color w:val="auto"/>
          <w:sz w:val="28"/>
          <w:szCs w:val="28"/>
          <w:lang w:eastAsia="zh-CN"/>
        </w:rPr>
        <w:t>3</w:t>
      </w:r>
      <w:r w:rsidRPr="00223645">
        <w:rPr>
          <w:rFonts w:ascii="黑体" w:eastAsia="黑体" w:hAnsi="黑体" w:cs="仿宋_GB2312" w:hint="eastAsia"/>
          <w:color w:val="auto"/>
          <w:sz w:val="28"/>
          <w:szCs w:val="28"/>
          <w:lang w:eastAsia="zh-CN"/>
        </w:rPr>
        <w:t xml:space="preserve"> -2030年充电基础设施建设的发展，有效提升充电保障能力，根据《国务院办公厅关于印发新能源汽车产业发展规划（2021—2035年）的通知》（国办发〔2020〕39号）《“电动四川”行动计划（2022-2025年）》、《四川省推进电动汽车充电基础设施建设工作方案》支撑新能源汽车产业发展，与广汉市“十四五”规划和2030年远景目标实施有机结合起来、以促进新能源汽车推广为出发点，以提升电动汽车充电保障能力和用户体验感为目标，全力推进全市充电基础设施建设，特编制《广汉市电动汽车充电基础设施专项规划（</w:t>
      </w:r>
      <w:r w:rsidR="00334547">
        <w:rPr>
          <w:rFonts w:ascii="黑体" w:eastAsia="黑体" w:hAnsi="黑体" w:cs="仿宋_GB2312" w:hint="eastAsia"/>
          <w:color w:val="auto"/>
          <w:sz w:val="28"/>
          <w:szCs w:val="28"/>
          <w:lang w:eastAsia="zh-CN"/>
        </w:rPr>
        <w:t>2023</w:t>
      </w:r>
      <w:r w:rsidRPr="00223645">
        <w:rPr>
          <w:rFonts w:ascii="黑体" w:eastAsia="黑体" w:hAnsi="黑体" w:cs="仿宋_GB2312" w:hint="eastAsia"/>
          <w:color w:val="auto"/>
          <w:sz w:val="28"/>
          <w:szCs w:val="28"/>
          <w:lang w:eastAsia="zh-CN"/>
        </w:rPr>
        <w:t>-2030年）》。</w:t>
      </w:r>
    </w:p>
    <w:p w:rsidR="00FC37F6" w:rsidRPr="00223645" w:rsidRDefault="00223645">
      <w:pPr>
        <w:pStyle w:val="2"/>
        <w:numPr>
          <w:ilvl w:val="0"/>
          <w:numId w:val="1"/>
        </w:numPr>
        <w:ind w:firstLine="643"/>
        <w:jc w:val="center"/>
        <w:rPr>
          <w:rFonts w:ascii="黑体" w:hAnsi="黑体"/>
          <w:color w:val="auto"/>
          <w:lang w:eastAsia="zh-CN"/>
        </w:rPr>
      </w:pPr>
      <w:bookmarkStart w:id="7" w:name="_Toc597715914"/>
      <w:r w:rsidRPr="00223645">
        <w:rPr>
          <w:rFonts w:ascii="黑体" w:hAnsi="黑体" w:hint="eastAsia"/>
          <w:color w:val="auto"/>
          <w:lang w:eastAsia="zh-CN"/>
        </w:rPr>
        <w:t xml:space="preserve"> </w:t>
      </w:r>
      <w:bookmarkStart w:id="8" w:name="_Toc31429"/>
      <w:r w:rsidRPr="00223645">
        <w:rPr>
          <w:rFonts w:ascii="黑体" w:hAnsi="黑体" w:hint="eastAsia"/>
          <w:color w:val="auto"/>
          <w:lang w:eastAsia="zh-CN"/>
        </w:rPr>
        <w:t>规划范围</w:t>
      </w:r>
      <w:bookmarkEnd w:id="7"/>
      <w:bookmarkEnd w:id="8"/>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本次规划范围涵盖广汉市市辖区内的3个街道：雒城街道，金雁街道，汉州街道；9个镇：三水镇，连山镇，高坪镇，金鱼镇，向阳镇，金轮镇，南丰镇，三星堆镇。规划所涉面积达到548.69平方千米。</w:t>
      </w:r>
    </w:p>
    <w:p w:rsidR="00FC37F6" w:rsidRPr="00223645" w:rsidRDefault="00223645">
      <w:pPr>
        <w:pStyle w:val="2"/>
        <w:numPr>
          <w:ilvl w:val="0"/>
          <w:numId w:val="1"/>
        </w:numPr>
        <w:ind w:firstLine="643"/>
        <w:jc w:val="center"/>
        <w:rPr>
          <w:rFonts w:ascii="黑体" w:hAnsi="黑体"/>
          <w:color w:val="auto"/>
          <w:lang w:eastAsia="zh-CN"/>
        </w:rPr>
      </w:pPr>
      <w:bookmarkStart w:id="9" w:name="_Toc2030349579"/>
      <w:r w:rsidRPr="00223645">
        <w:rPr>
          <w:rFonts w:ascii="黑体" w:hAnsi="黑体" w:hint="eastAsia"/>
          <w:color w:val="auto"/>
          <w:lang w:eastAsia="zh-CN"/>
        </w:rPr>
        <w:t xml:space="preserve"> </w:t>
      </w:r>
      <w:bookmarkStart w:id="10" w:name="_Toc27709"/>
      <w:r w:rsidRPr="00223645">
        <w:rPr>
          <w:rFonts w:ascii="黑体" w:hAnsi="黑体" w:hint="eastAsia"/>
          <w:color w:val="auto"/>
          <w:lang w:eastAsia="zh-CN"/>
        </w:rPr>
        <w:t>规划期限</w:t>
      </w:r>
      <w:bookmarkEnd w:id="9"/>
      <w:bookmarkEnd w:id="10"/>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规划基准年为</w:t>
      </w:r>
      <w:r w:rsidR="00334547">
        <w:rPr>
          <w:rFonts w:ascii="黑体" w:eastAsia="黑体" w:hAnsi="黑体" w:cs="仿宋_GB2312" w:hint="eastAsia"/>
          <w:color w:val="auto"/>
          <w:sz w:val="28"/>
          <w:szCs w:val="28"/>
          <w:lang w:eastAsia="zh-CN"/>
        </w:rPr>
        <w:t>2023</w:t>
      </w:r>
      <w:r w:rsidRPr="00223645">
        <w:rPr>
          <w:rFonts w:ascii="黑体" w:eastAsia="黑体" w:hAnsi="黑体" w:cs="仿宋_GB2312" w:hint="eastAsia"/>
          <w:color w:val="auto"/>
          <w:sz w:val="28"/>
          <w:szCs w:val="28"/>
          <w:lang w:eastAsia="zh-CN"/>
        </w:rPr>
        <w:t>年，规划目标年为2030年。</w:t>
      </w:r>
    </w:p>
    <w:p w:rsidR="00FC37F6" w:rsidRPr="00223645" w:rsidRDefault="00223645">
      <w:pPr>
        <w:pStyle w:val="2"/>
        <w:numPr>
          <w:ilvl w:val="0"/>
          <w:numId w:val="1"/>
        </w:numPr>
        <w:ind w:firstLine="643"/>
        <w:jc w:val="center"/>
        <w:rPr>
          <w:rFonts w:ascii="黑体" w:hAnsi="黑体"/>
          <w:color w:val="auto"/>
          <w:lang w:eastAsia="zh-CN"/>
        </w:rPr>
      </w:pPr>
      <w:bookmarkStart w:id="11" w:name="_Toc570223423"/>
      <w:r w:rsidRPr="00223645">
        <w:rPr>
          <w:rFonts w:ascii="黑体" w:hAnsi="黑体" w:hint="eastAsia"/>
          <w:color w:val="auto"/>
          <w:lang w:eastAsia="zh-CN"/>
        </w:rPr>
        <w:lastRenderedPageBreak/>
        <w:t xml:space="preserve"> </w:t>
      </w:r>
      <w:bookmarkStart w:id="12" w:name="_Toc31117"/>
      <w:r w:rsidRPr="00223645">
        <w:rPr>
          <w:rFonts w:ascii="黑体" w:hAnsi="黑体" w:hint="eastAsia"/>
          <w:color w:val="auto"/>
          <w:lang w:eastAsia="zh-CN"/>
        </w:rPr>
        <w:t>规划内容</w:t>
      </w:r>
      <w:bookmarkEnd w:id="11"/>
      <w:bookmarkEnd w:id="12"/>
    </w:p>
    <w:p w:rsidR="00FC37F6" w:rsidRPr="00223645" w:rsidRDefault="00223645" w:rsidP="00223645">
      <w:pPr>
        <w:pStyle w:val="3"/>
        <w:numPr>
          <w:ilvl w:val="0"/>
          <w:numId w:val="12"/>
        </w:numPr>
        <w:ind w:firstLineChars="0"/>
        <w:rPr>
          <w:rFonts w:ascii="黑体" w:eastAsia="黑体" w:hAnsi="黑体"/>
          <w:color w:val="auto"/>
          <w:lang w:eastAsia="zh-CN"/>
        </w:rPr>
      </w:pPr>
      <w:r w:rsidRPr="00223645">
        <w:rPr>
          <w:rFonts w:ascii="黑体" w:eastAsia="黑体" w:hAnsi="黑体" w:hint="eastAsia"/>
          <w:color w:val="auto"/>
          <w:lang w:eastAsia="zh-CN"/>
        </w:rPr>
        <w:t>发展现状</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通过收集相关资料，调查广汉市及国内先进地区的电动汽车推广应用现状及规划指导方案，分析广汉市电动汽车充电基础设施网络建设面临的机遇和问题。</w:t>
      </w:r>
    </w:p>
    <w:p w:rsidR="00FC37F6" w:rsidRPr="00223645" w:rsidRDefault="00223645" w:rsidP="00223645">
      <w:pPr>
        <w:pStyle w:val="3"/>
        <w:numPr>
          <w:ilvl w:val="0"/>
          <w:numId w:val="12"/>
        </w:numPr>
        <w:ind w:firstLineChars="0"/>
        <w:rPr>
          <w:rFonts w:ascii="黑体" w:eastAsia="黑体" w:hAnsi="黑体"/>
          <w:color w:val="auto"/>
          <w:lang w:eastAsia="zh-CN"/>
        </w:rPr>
      </w:pPr>
      <w:r w:rsidRPr="00223645">
        <w:rPr>
          <w:rFonts w:ascii="黑体" w:eastAsia="黑体" w:hAnsi="黑体" w:hint="eastAsia"/>
          <w:color w:val="auto"/>
          <w:lang w:eastAsia="zh-CN"/>
        </w:rPr>
        <w:t>规划目标</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基于机动车现有的数量，对其进行202</w:t>
      </w:r>
      <w:r w:rsidR="00334547">
        <w:rPr>
          <w:rFonts w:ascii="黑体" w:eastAsia="黑体" w:hAnsi="黑体" w:cs="仿宋_GB2312" w:hint="eastAsia"/>
          <w:color w:val="auto"/>
          <w:sz w:val="28"/>
          <w:szCs w:val="28"/>
          <w:lang w:eastAsia="zh-CN"/>
        </w:rPr>
        <w:t>3</w:t>
      </w:r>
      <w:r w:rsidRPr="00223645">
        <w:rPr>
          <w:rFonts w:ascii="黑体" w:eastAsia="黑体" w:hAnsi="黑体" w:cs="仿宋_GB2312" w:hint="eastAsia"/>
          <w:color w:val="auto"/>
          <w:sz w:val="28"/>
          <w:szCs w:val="28"/>
          <w:lang w:eastAsia="zh-CN"/>
        </w:rPr>
        <w:t>-2030年间的增长数量预测。结合国、省提出的新能源汽车发展目标和推广方案进而估算电动车的数量及其满足其充电需求的负荷。基于电动车充电的需求负荷进而对充电桩/站等基础设施进行规划。</w:t>
      </w:r>
    </w:p>
    <w:p w:rsidR="00FC37F6" w:rsidRPr="00223645" w:rsidRDefault="00223645" w:rsidP="00223645">
      <w:pPr>
        <w:pStyle w:val="3"/>
        <w:numPr>
          <w:ilvl w:val="0"/>
          <w:numId w:val="12"/>
        </w:numPr>
        <w:ind w:firstLineChars="0"/>
        <w:rPr>
          <w:rFonts w:ascii="黑体" w:eastAsia="黑体" w:hAnsi="黑体"/>
          <w:color w:val="auto"/>
          <w:lang w:eastAsia="zh-CN"/>
        </w:rPr>
      </w:pPr>
      <w:r w:rsidRPr="00223645">
        <w:rPr>
          <w:rFonts w:ascii="黑体" w:eastAsia="黑体" w:hAnsi="黑体" w:hint="eastAsia"/>
          <w:color w:val="auto"/>
          <w:lang w:eastAsia="zh-CN"/>
        </w:rPr>
        <w:t>规划方案</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根据广汉市电动汽车用电需求和充电基础设施需求预测结果，结合广汉市“十四五”及远景规划，提出广汉市202</w:t>
      </w:r>
      <w:r w:rsidR="00334547">
        <w:rPr>
          <w:rFonts w:ascii="黑体" w:eastAsia="黑体" w:hAnsi="黑体" w:cs="仿宋_GB2312" w:hint="eastAsia"/>
          <w:color w:val="auto"/>
          <w:sz w:val="28"/>
          <w:szCs w:val="28"/>
          <w:lang w:eastAsia="zh-CN"/>
        </w:rPr>
        <w:t>3</w:t>
      </w:r>
      <w:r w:rsidRPr="00223645">
        <w:rPr>
          <w:rFonts w:ascii="黑体" w:eastAsia="黑体" w:hAnsi="黑体" w:cs="仿宋_GB2312" w:hint="eastAsia"/>
          <w:color w:val="auto"/>
          <w:sz w:val="28"/>
          <w:szCs w:val="28"/>
          <w:lang w:eastAsia="zh-CN"/>
        </w:rPr>
        <w:t>-2023年电动汽车充电基础设施规划方案及空间布局。</w:t>
      </w:r>
    </w:p>
    <w:p w:rsidR="00FC37F6" w:rsidRPr="00223645" w:rsidRDefault="00223645" w:rsidP="00223645">
      <w:pPr>
        <w:pStyle w:val="3"/>
        <w:numPr>
          <w:ilvl w:val="0"/>
          <w:numId w:val="12"/>
        </w:numPr>
        <w:ind w:firstLineChars="0"/>
        <w:rPr>
          <w:rFonts w:ascii="黑体" w:eastAsia="黑体" w:hAnsi="黑体"/>
          <w:color w:val="auto"/>
          <w:lang w:eastAsia="zh-CN"/>
        </w:rPr>
      </w:pPr>
      <w:r w:rsidRPr="00223645">
        <w:rPr>
          <w:rFonts w:ascii="黑体" w:eastAsia="黑体" w:hAnsi="黑体" w:hint="eastAsia"/>
          <w:color w:val="auto"/>
          <w:lang w:eastAsia="zh-CN"/>
        </w:rPr>
        <w:t>环境保护及安全措施</w:t>
      </w:r>
    </w:p>
    <w:p w:rsidR="00FC37F6" w:rsidRPr="00223645" w:rsidRDefault="00223645">
      <w:pPr>
        <w:widowControl/>
        <w:ind w:firstLine="560"/>
        <w:rPr>
          <w:rFonts w:ascii="黑体" w:eastAsia="黑体" w:hAnsi="黑体" w:cs="仿宋_GB2312"/>
          <w:color w:val="auto"/>
          <w:sz w:val="28"/>
          <w:szCs w:val="28"/>
          <w:lang w:eastAsia="zh-CN"/>
        </w:rPr>
      </w:pPr>
      <w:r>
        <w:t>对充电站/桩施工期及运营期的废气（扬尘）、废水、噪声以及固废等其对周围环境的影响和防护措施进行的阐述。安全方面对消防环境安全、选址规划安全、场址设计安全等三方面进行了介绍。</w:t>
      </w:r>
    </w:p>
    <w:p w:rsidR="00FC37F6" w:rsidRPr="00223645" w:rsidRDefault="00223645" w:rsidP="00223645">
      <w:pPr>
        <w:pStyle w:val="3"/>
        <w:numPr>
          <w:ilvl w:val="0"/>
          <w:numId w:val="12"/>
        </w:numPr>
        <w:ind w:firstLineChars="0"/>
        <w:rPr>
          <w:rFonts w:ascii="黑体" w:eastAsia="黑体" w:hAnsi="黑体"/>
          <w:color w:val="auto"/>
          <w:lang w:eastAsia="zh-CN"/>
        </w:rPr>
      </w:pPr>
      <w:r w:rsidRPr="00223645">
        <w:rPr>
          <w:rFonts w:ascii="黑体" w:eastAsia="黑体" w:hAnsi="黑体" w:hint="eastAsia"/>
          <w:color w:val="auto"/>
          <w:lang w:eastAsia="zh-CN"/>
        </w:rPr>
        <w:lastRenderedPageBreak/>
        <w:t>规划实施</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在规划实施过程中，分别有强化建设管理、完善配套电网、优化运营模式、加强宣传引导四个重点工作。保障措施方面需注重加强组织领导、细化责任分工以及强化政策支持。</w:t>
      </w:r>
    </w:p>
    <w:p w:rsidR="00FC37F6" w:rsidRPr="00223645" w:rsidRDefault="00FC37F6">
      <w:pPr>
        <w:ind w:firstLine="480"/>
        <w:rPr>
          <w:rFonts w:ascii="黑体" w:eastAsia="黑体" w:hAnsi="黑体"/>
          <w:color w:val="auto"/>
          <w:lang w:eastAsia="zh-CN"/>
        </w:rPr>
      </w:pPr>
    </w:p>
    <w:p w:rsidR="00FC37F6" w:rsidRPr="00223645" w:rsidRDefault="00223645" w:rsidP="00223645">
      <w:pPr>
        <w:pStyle w:val="3"/>
        <w:numPr>
          <w:ilvl w:val="0"/>
          <w:numId w:val="12"/>
        </w:numPr>
        <w:ind w:firstLineChars="0"/>
        <w:rPr>
          <w:rFonts w:ascii="黑体" w:eastAsia="黑体" w:hAnsi="黑体"/>
          <w:color w:val="auto"/>
          <w:lang w:eastAsia="zh-CN"/>
        </w:rPr>
      </w:pPr>
      <w:r w:rsidRPr="00223645">
        <w:rPr>
          <w:rFonts w:ascii="黑体" w:eastAsia="黑体" w:hAnsi="黑体" w:hint="eastAsia"/>
          <w:color w:val="auto"/>
          <w:lang w:eastAsia="zh-CN"/>
        </w:rPr>
        <w:t>相关案例</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本文搜集了省内省外共六个案例，供广汉市在充电桩基础设施后续的实施过程中进行参考建设。</w:t>
      </w:r>
    </w:p>
    <w:p w:rsidR="00FC37F6" w:rsidRPr="00223645" w:rsidRDefault="00223645">
      <w:pPr>
        <w:pStyle w:val="2"/>
        <w:ind w:firstLine="643"/>
        <w:jc w:val="center"/>
        <w:rPr>
          <w:rFonts w:ascii="黑体" w:hAnsi="黑体"/>
          <w:color w:val="auto"/>
          <w:lang w:eastAsia="zh-CN"/>
        </w:rPr>
      </w:pPr>
      <w:bookmarkStart w:id="13" w:name="_Toc17194"/>
      <w:r w:rsidRPr="00223645">
        <w:rPr>
          <w:rFonts w:ascii="黑体" w:hAnsi="黑体" w:hint="eastAsia"/>
          <w:color w:val="auto"/>
          <w:lang w:eastAsia="zh-CN"/>
        </w:rPr>
        <w:t>第五节 规划依据</w:t>
      </w:r>
      <w:bookmarkEnd w:id="13"/>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1.《 国务院办公厅关于印发新能源汽车产业发展规划（2021— 2035年）的通知》（国办发〔2020〕39号）</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2.《绿色出行行动计划（2019-2022年）》（交运发〔2019〕70号）</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3.《关于加快电动汽车充电基础设施建设的实施意见》（川办发〔2019〕19号）</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4.《德阳市“十四五”电动汽车充电基础设施专项规划》（德办发 〔2022〕20号）</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5.《四川省推进电动汽车充电基础设施建设工作实施方案》</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6.《广汉市国民经济和社会发展第十四个五年规划和二零三五年远景目标规划》</w:t>
      </w:r>
    </w:p>
    <w:p w:rsidR="00FC37F6" w:rsidRPr="00223645" w:rsidRDefault="00FC37F6">
      <w:pPr>
        <w:widowControl/>
        <w:ind w:firstLine="620"/>
        <w:rPr>
          <w:rFonts w:ascii="黑体" w:eastAsia="黑体" w:hAnsi="黑体" w:cs="仿宋_GB2312"/>
          <w:color w:val="auto"/>
          <w:sz w:val="31"/>
          <w:szCs w:val="31"/>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223645">
      <w:pPr>
        <w:pStyle w:val="1"/>
        <w:ind w:firstLineChars="0" w:firstLine="0"/>
        <w:rPr>
          <w:rFonts w:ascii="黑体" w:hAnsi="黑体"/>
          <w:color w:val="auto"/>
          <w:lang w:eastAsia="zh-CN"/>
        </w:rPr>
      </w:pPr>
      <w:bookmarkStart w:id="14" w:name="_Toc1673037447"/>
      <w:bookmarkStart w:id="15" w:name="_Toc3479"/>
      <w:r w:rsidRPr="00223645">
        <w:rPr>
          <w:rFonts w:ascii="黑体" w:hAnsi="黑体"/>
          <w:color w:val="auto"/>
          <w:lang w:eastAsia="zh-CN"/>
        </w:rPr>
        <w:t>第</w:t>
      </w:r>
      <w:r w:rsidRPr="00223645">
        <w:rPr>
          <w:rFonts w:ascii="黑体" w:hAnsi="黑体" w:hint="eastAsia"/>
          <w:color w:val="auto"/>
          <w:lang w:eastAsia="zh-CN"/>
        </w:rPr>
        <w:t>二</w:t>
      </w:r>
      <w:r w:rsidRPr="00223645">
        <w:rPr>
          <w:rFonts w:ascii="黑体" w:hAnsi="黑体"/>
          <w:color w:val="auto"/>
          <w:lang w:eastAsia="zh-CN"/>
        </w:rPr>
        <w:t xml:space="preserve">章 </w:t>
      </w:r>
      <w:r w:rsidRPr="00223645">
        <w:rPr>
          <w:rFonts w:ascii="黑体" w:hAnsi="黑体" w:hint="eastAsia"/>
          <w:color w:val="auto"/>
          <w:lang w:eastAsia="zh-CN"/>
        </w:rPr>
        <w:t>发展现状</w:t>
      </w:r>
      <w:bookmarkEnd w:id="1"/>
      <w:bookmarkEnd w:id="2"/>
      <w:bookmarkEnd w:id="14"/>
      <w:bookmarkEnd w:id="15"/>
    </w:p>
    <w:p w:rsidR="00FC37F6" w:rsidRPr="00223645" w:rsidRDefault="00223645" w:rsidP="00790609">
      <w:pPr>
        <w:pStyle w:val="2"/>
        <w:ind w:firstLineChars="0" w:firstLine="0"/>
        <w:jc w:val="center"/>
        <w:rPr>
          <w:rFonts w:ascii="黑体" w:hAnsi="黑体"/>
          <w:color w:val="auto"/>
          <w:lang w:eastAsia="zh-CN"/>
        </w:rPr>
      </w:pPr>
      <w:bookmarkStart w:id="16" w:name="_Toc1201"/>
      <w:bookmarkStart w:id="17" w:name="_Toc119319584"/>
      <w:bookmarkStart w:id="18" w:name="_Toc1736981558"/>
      <w:bookmarkStart w:id="19" w:name="_Toc30587"/>
      <w:bookmarkStart w:id="20" w:name="bookmark49"/>
      <w:bookmarkStart w:id="21" w:name="bookmark51"/>
      <w:bookmarkStart w:id="22" w:name="bookmark50"/>
      <w:bookmarkStart w:id="23" w:name="bookmark48"/>
      <w:r w:rsidRPr="00223645">
        <w:rPr>
          <w:rFonts w:ascii="黑体" w:hAnsi="黑体" w:hint="eastAsia"/>
          <w:color w:val="auto"/>
          <w:lang w:eastAsia="zh-CN"/>
        </w:rPr>
        <w:t>第一节 广汉概况</w:t>
      </w:r>
      <w:bookmarkEnd w:id="16"/>
      <w:bookmarkEnd w:id="17"/>
      <w:bookmarkEnd w:id="18"/>
      <w:bookmarkEnd w:id="19"/>
    </w:p>
    <w:p w:rsidR="00FC37F6" w:rsidRPr="00223645" w:rsidRDefault="00223645" w:rsidP="00223645">
      <w:pPr>
        <w:pStyle w:val="3"/>
        <w:numPr>
          <w:ilvl w:val="0"/>
          <w:numId w:val="16"/>
        </w:numPr>
        <w:ind w:firstLineChars="0"/>
        <w:rPr>
          <w:rFonts w:ascii="黑体" w:eastAsia="黑体" w:hAnsi="黑体"/>
          <w:color w:val="auto"/>
          <w:lang w:eastAsia="zh-CN"/>
        </w:rPr>
      </w:pPr>
      <w:r w:rsidRPr="00223645">
        <w:rPr>
          <w:rFonts w:ascii="黑体" w:eastAsia="黑体" w:hAnsi="黑体" w:hint="eastAsia"/>
          <w:color w:val="auto"/>
          <w:lang w:eastAsia="zh-CN"/>
        </w:rPr>
        <w:t>地理经济</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广汉市地处成都平原东北侧，与成都市青白江区、新都区、金堂县、彭州市及德阳市旌阳区、什邡市、中江县为邻。居东经104°6′43″至104°29′45”和北纬30°53′41″至31°8′38″之间。全境东西长36.2公里，南北宽27公里</w:t>
      </w:r>
      <w:r w:rsidR="00790609" w:rsidRPr="00223645">
        <w:rPr>
          <w:rFonts w:ascii="黑体" w:eastAsia="黑体" w:hAnsi="黑体" w:cs="仿宋_GB2312" w:hint="eastAsia"/>
          <w:color w:val="auto"/>
          <w:sz w:val="28"/>
          <w:szCs w:val="28"/>
          <w:lang w:eastAsia="zh-CN"/>
        </w:rPr>
        <w:t>，</w:t>
      </w:r>
      <w:r w:rsidRPr="00223645">
        <w:rPr>
          <w:rFonts w:ascii="黑体" w:eastAsia="黑体" w:hAnsi="黑体" w:cs="仿宋_GB2312" w:hint="eastAsia"/>
          <w:color w:val="auto"/>
          <w:sz w:val="28"/>
          <w:szCs w:val="28"/>
          <w:lang w:eastAsia="zh-CN"/>
        </w:rPr>
        <w:t>总面积548.69平方公里。</w:t>
      </w:r>
    </w:p>
    <w:p w:rsidR="00FC37F6" w:rsidRPr="00223645" w:rsidRDefault="00223645">
      <w:pPr>
        <w:widowControl/>
        <w:ind w:firstLine="620"/>
        <w:rPr>
          <w:rFonts w:ascii="黑体" w:eastAsia="黑体" w:hAnsi="黑体" w:cs="仿宋_GB2312"/>
          <w:color w:val="auto"/>
          <w:sz w:val="31"/>
          <w:szCs w:val="31"/>
          <w:lang w:eastAsia="zh-CN"/>
        </w:rPr>
      </w:pPr>
      <w:r w:rsidRPr="00223645">
        <w:rPr>
          <w:rFonts w:ascii="黑体" w:eastAsia="黑体" w:hAnsi="黑体" w:cs="仿宋_GB2312" w:hint="eastAsia"/>
          <w:noProof/>
          <w:color w:val="auto"/>
          <w:sz w:val="31"/>
          <w:szCs w:val="31"/>
          <w:lang w:eastAsia="zh-CN" w:bidi="ar-SA"/>
        </w:rPr>
        <w:drawing>
          <wp:inline distT="0" distB="0" distL="114300" distR="114300">
            <wp:extent cx="5474970" cy="389572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cstate="print"/>
                    <a:stretch>
                      <a:fillRect/>
                    </a:stretch>
                  </pic:blipFill>
                  <pic:spPr>
                    <a:xfrm>
                      <a:off x="0" y="0"/>
                      <a:ext cx="5474970" cy="3895725"/>
                    </a:xfrm>
                    <a:prstGeom prst="rect">
                      <a:avLst/>
                    </a:prstGeom>
                    <a:noFill/>
                    <a:ln>
                      <a:noFill/>
                    </a:ln>
                  </pic:spPr>
                </pic:pic>
              </a:graphicData>
            </a:graphic>
          </wp:inline>
        </w:drawing>
      </w:r>
    </w:p>
    <w:p w:rsidR="00FC37F6" w:rsidRPr="00223645" w:rsidRDefault="00223645">
      <w:pPr>
        <w:ind w:firstLine="480"/>
        <w:jc w:val="center"/>
        <w:rPr>
          <w:rFonts w:ascii="黑体" w:eastAsia="黑体" w:hAnsi="黑体" w:cs="仿宋"/>
          <w:color w:val="auto"/>
          <w:lang w:eastAsia="zh-CN"/>
        </w:rPr>
      </w:pPr>
      <w:r w:rsidRPr="00223645">
        <w:rPr>
          <w:rFonts w:ascii="黑体" w:eastAsia="黑体" w:hAnsi="黑体" w:cs="仿宋" w:hint="eastAsia"/>
          <w:color w:val="auto"/>
          <w:lang w:eastAsia="zh-CN"/>
        </w:rPr>
        <w:t>图2.1广汉市行政区划图</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br w:type="page"/>
      </w:r>
      <w:r w:rsidRPr="00223645">
        <w:rPr>
          <w:rFonts w:ascii="黑体" w:eastAsia="黑体" w:hAnsi="黑体" w:cs="仿宋_GB2312" w:hint="eastAsia"/>
          <w:color w:val="auto"/>
          <w:sz w:val="28"/>
          <w:szCs w:val="28"/>
          <w:lang w:eastAsia="zh-CN"/>
        </w:rPr>
        <w:lastRenderedPageBreak/>
        <w:t>广汉市辖3街道9镇，广汉市人民政府驻雒城街道汉口路二段102号。</w:t>
      </w:r>
    </w:p>
    <w:p w:rsidR="00FC37F6" w:rsidRPr="00223645" w:rsidRDefault="00223645" w:rsidP="0078294B">
      <w:pPr>
        <w:ind w:firstLine="480"/>
        <w:jc w:val="center"/>
        <w:rPr>
          <w:rFonts w:ascii="黑体" w:eastAsia="黑体" w:hAnsi="黑体" w:cs="仿宋"/>
          <w:color w:val="auto"/>
          <w:lang w:eastAsia="zh-CN"/>
        </w:rPr>
      </w:pPr>
      <w:r w:rsidRPr="00223645">
        <w:rPr>
          <w:rFonts w:ascii="黑体" w:eastAsia="黑体" w:hAnsi="黑体" w:cs="仿宋" w:hint="eastAsia"/>
          <w:color w:val="auto"/>
          <w:lang w:eastAsia="zh-CN"/>
        </w:rPr>
        <w:t>表2.1 广汉市行政区域划分</w:t>
      </w:r>
    </w:p>
    <w:tbl>
      <w:tblPr>
        <w:tblW w:w="0" w:type="auto"/>
        <w:jc w:val="center"/>
        <w:tblLook w:val="04A0"/>
      </w:tblPr>
      <w:tblGrid>
        <w:gridCol w:w="1176"/>
        <w:gridCol w:w="1296"/>
        <w:gridCol w:w="3096"/>
        <w:gridCol w:w="2016"/>
      </w:tblGrid>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地名</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区划代码</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(居)村民委员会</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政府驻地</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雒城街道</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510681001</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金领社区</w:t>
            </w:r>
            <w:r w:rsidRPr="00223645">
              <w:rPr>
                <w:rFonts w:ascii="黑体" w:eastAsia="黑体" w:hAnsi="黑体" w:cs="仿宋" w:hint="eastAsia"/>
                <w:color w:val="auto"/>
                <w:lang w:eastAsia="zh-CN"/>
              </w:rPr>
              <w:br/>
              <w:t>房湖社区</w:t>
            </w:r>
            <w:r w:rsidRPr="00223645">
              <w:rPr>
                <w:rFonts w:ascii="黑体" w:eastAsia="黑体" w:hAnsi="黑体" w:cs="仿宋" w:hint="eastAsia"/>
                <w:color w:val="auto"/>
                <w:lang w:eastAsia="zh-CN"/>
              </w:rPr>
              <w:br/>
              <w:t>学府社区</w:t>
            </w:r>
            <w:r w:rsidRPr="00223645">
              <w:rPr>
                <w:rFonts w:ascii="黑体" w:eastAsia="黑体" w:hAnsi="黑体" w:cs="仿宋" w:hint="eastAsia"/>
                <w:color w:val="auto"/>
                <w:lang w:eastAsia="zh-CN"/>
              </w:rPr>
              <w:br/>
              <w:t>三北社区</w:t>
            </w:r>
            <w:r w:rsidRPr="00223645">
              <w:rPr>
                <w:rFonts w:ascii="黑体" w:eastAsia="黑体" w:hAnsi="黑体" w:cs="仿宋" w:hint="eastAsia"/>
                <w:color w:val="auto"/>
                <w:lang w:eastAsia="zh-CN"/>
              </w:rPr>
              <w:br/>
              <w:t>西湖社区</w:t>
            </w:r>
            <w:r w:rsidRPr="00223645">
              <w:rPr>
                <w:rFonts w:ascii="黑体" w:eastAsia="黑体" w:hAnsi="黑体" w:cs="仿宋" w:hint="eastAsia"/>
                <w:color w:val="auto"/>
                <w:lang w:eastAsia="zh-CN"/>
              </w:rPr>
              <w:br/>
              <w:t>桂花社区</w:t>
            </w:r>
            <w:r w:rsidRPr="00223645">
              <w:rPr>
                <w:rFonts w:ascii="黑体" w:eastAsia="黑体" w:hAnsi="黑体" w:cs="仿宋" w:hint="eastAsia"/>
                <w:color w:val="auto"/>
                <w:lang w:eastAsia="zh-CN"/>
              </w:rPr>
              <w:br/>
              <w:t>光华社区</w:t>
            </w:r>
            <w:r w:rsidRPr="00223645">
              <w:rPr>
                <w:rFonts w:ascii="黑体" w:eastAsia="黑体" w:hAnsi="黑体" w:cs="仿宋" w:hint="eastAsia"/>
                <w:color w:val="auto"/>
                <w:lang w:eastAsia="zh-CN"/>
              </w:rPr>
              <w:br/>
              <w:t>西城社区</w:t>
            </w:r>
            <w:r w:rsidRPr="00223645">
              <w:rPr>
                <w:rFonts w:ascii="黑体" w:eastAsia="黑体" w:hAnsi="黑体" w:cs="仿宋" w:hint="eastAsia"/>
                <w:color w:val="auto"/>
                <w:lang w:eastAsia="zh-CN"/>
              </w:rPr>
              <w:br/>
              <w:t>常德社区</w:t>
            </w:r>
            <w:r w:rsidRPr="00223645">
              <w:rPr>
                <w:rFonts w:ascii="黑体" w:eastAsia="黑体" w:hAnsi="黑体" w:cs="仿宋" w:hint="eastAsia"/>
                <w:color w:val="auto"/>
                <w:lang w:eastAsia="zh-CN"/>
              </w:rPr>
              <w:br/>
              <w:t>书院社区</w:t>
            </w:r>
            <w:r w:rsidRPr="00223645">
              <w:rPr>
                <w:rFonts w:ascii="黑体" w:eastAsia="黑体" w:hAnsi="黑体" w:cs="仿宋" w:hint="eastAsia"/>
                <w:color w:val="auto"/>
                <w:lang w:eastAsia="zh-CN"/>
              </w:rPr>
              <w:br/>
              <w:t>金佛社区</w:t>
            </w:r>
            <w:r w:rsidRPr="00223645">
              <w:rPr>
                <w:rFonts w:ascii="黑体" w:eastAsia="黑体" w:hAnsi="黑体" w:cs="仿宋" w:hint="eastAsia"/>
                <w:color w:val="auto"/>
                <w:lang w:eastAsia="zh-CN"/>
              </w:rPr>
              <w:br/>
              <w:t>金华社区</w:t>
            </w:r>
            <w:r w:rsidRPr="00223645">
              <w:rPr>
                <w:rFonts w:ascii="黑体" w:eastAsia="黑体" w:hAnsi="黑体" w:cs="仿宋" w:hint="eastAsia"/>
                <w:color w:val="auto"/>
                <w:lang w:eastAsia="zh-CN"/>
              </w:rPr>
              <w:br/>
              <w:t>和平社区</w:t>
            </w:r>
            <w:r w:rsidRPr="00223645">
              <w:rPr>
                <w:rFonts w:ascii="黑体" w:eastAsia="黑体" w:hAnsi="黑体" w:cs="仿宋" w:hint="eastAsia"/>
                <w:color w:val="auto"/>
                <w:lang w:eastAsia="zh-CN"/>
              </w:rPr>
              <w:br/>
              <w:t>金山社区</w:t>
            </w:r>
            <w:r w:rsidRPr="00223645">
              <w:rPr>
                <w:rFonts w:ascii="黑体" w:eastAsia="黑体" w:hAnsi="黑体" w:cs="仿宋" w:hint="eastAsia"/>
                <w:color w:val="auto"/>
                <w:lang w:eastAsia="zh-CN"/>
              </w:rPr>
              <w:br/>
              <w:t>金谷社区</w:t>
            </w:r>
            <w:r w:rsidRPr="00223645">
              <w:rPr>
                <w:rFonts w:ascii="黑体" w:eastAsia="黑体" w:hAnsi="黑体" w:cs="仿宋" w:hint="eastAsia"/>
                <w:color w:val="auto"/>
                <w:lang w:eastAsia="zh-CN"/>
              </w:rPr>
              <w:br/>
              <w:t>狮堰社区</w:t>
            </w:r>
            <w:r w:rsidRPr="00223645">
              <w:rPr>
                <w:rFonts w:ascii="黑体" w:eastAsia="黑体" w:hAnsi="黑体" w:cs="仿宋" w:hint="eastAsia"/>
                <w:color w:val="auto"/>
                <w:lang w:eastAsia="zh-CN"/>
              </w:rPr>
              <w:br/>
              <w:t>中国民航飞行学院社区</w:t>
            </w:r>
            <w:r w:rsidRPr="00223645">
              <w:rPr>
                <w:rFonts w:ascii="黑体" w:eastAsia="黑体" w:hAnsi="黑体" w:cs="仿宋" w:hint="eastAsia"/>
                <w:color w:val="auto"/>
                <w:lang w:eastAsia="zh-CN"/>
              </w:rPr>
              <w:br/>
              <w:t>四川航天职业技术学院社区</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麦市街34号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汉州街道</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510681002</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新丰社区</w:t>
            </w:r>
            <w:r w:rsidRPr="00223645">
              <w:rPr>
                <w:rFonts w:ascii="黑体" w:eastAsia="黑体" w:hAnsi="黑体" w:cs="仿宋" w:hint="eastAsia"/>
                <w:color w:val="auto"/>
                <w:lang w:eastAsia="zh-CN"/>
              </w:rPr>
              <w:br/>
              <w:t>齐和社区</w:t>
            </w:r>
            <w:r w:rsidRPr="00223645">
              <w:rPr>
                <w:rFonts w:ascii="黑体" w:eastAsia="黑体" w:hAnsi="黑体" w:cs="仿宋" w:hint="eastAsia"/>
                <w:color w:val="auto"/>
                <w:lang w:eastAsia="zh-CN"/>
              </w:rPr>
              <w:br/>
              <w:t>龙居社区</w:t>
            </w:r>
            <w:r w:rsidRPr="00223645">
              <w:rPr>
                <w:rFonts w:ascii="黑体" w:eastAsia="黑体" w:hAnsi="黑体" w:cs="仿宋" w:hint="eastAsia"/>
                <w:color w:val="auto"/>
                <w:lang w:eastAsia="zh-CN"/>
              </w:rPr>
              <w:br/>
              <w:t>万福社区</w:t>
            </w:r>
            <w:r w:rsidRPr="00223645">
              <w:rPr>
                <w:rFonts w:ascii="黑体" w:eastAsia="黑体" w:hAnsi="黑体" w:cs="仿宋" w:hint="eastAsia"/>
                <w:color w:val="auto"/>
                <w:lang w:eastAsia="zh-CN"/>
              </w:rPr>
              <w:br/>
              <w:t>滨湖社区</w:t>
            </w:r>
            <w:r w:rsidRPr="00223645">
              <w:rPr>
                <w:rFonts w:ascii="黑体" w:eastAsia="黑体" w:hAnsi="黑体" w:cs="仿宋" w:hint="eastAsia"/>
                <w:color w:val="auto"/>
                <w:lang w:eastAsia="zh-CN"/>
              </w:rPr>
              <w:br/>
              <w:t>顺河社区</w:t>
            </w:r>
            <w:r w:rsidRPr="00223645">
              <w:rPr>
                <w:rFonts w:ascii="黑体" w:eastAsia="黑体" w:hAnsi="黑体" w:cs="仿宋" w:hint="eastAsia"/>
                <w:color w:val="auto"/>
                <w:lang w:eastAsia="zh-CN"/>
              </w:rPr>
              <w:br/>
              <w:t>京皇社区</w:t>
            </w:r>
            <w:r w:rsidRPr="00223645">
              <w:rPr>
                <w:rFonts w:ascii="黑体" w:eastAsia="黑体" w:hAnsi="黑体" w:cs="仿宋" w:hint="eastAsia"/>
                <w:color w:val="auto"/>
                <w:lang w:eastAsia="zh-CN"/>
              </w:rPr>
              <w:br/>
            </w:r>
            <w:r w:rsidRPr="00223645">
              <w:rPr>
                <w:rFonts w:ascii="黑体" w:eastAsia="黑体" w:hAnsi="黑体" w:cs="仿宋" w:hint="eastAsia"/>
                <w:color w:val="auto"/>
                <w:lang w:eastAsia="zh-CN"/>
              </w:rPr>
              <w:lastRenderedPageBreak/>
              <w:t>翰翔社区</w:t>
            </w:r>
            <w:r w:rsidRPr="00223645">
              <w:rPr>
                <w:rFonts w:ascii="黑体" w:eastAsia="黑体" w:hAnsi="黑体" w:cs="仿宋" w:hint="eastAsia"/>
                <w:color w:val="auto"/>
                <w:lang w:eastAsia="zh-CN"/>
              </w:rPr>
              <w:br/>
              <w:t>连江社区</w:t>
            </w:r>
            <w:r w:rsidRPr="00223645">
              <w:rPr>
                <w:rFonts w:ascii="黑体" w:eastAsia="黑体" w:hAnsi="黑体" w:cs="仿宋" w:hint="eastAsia"/>
                <w:color w:val="auto"/>
                <w:lang w:eastAsia="zh-CN"/>
              </w:rPr>
              <w:br/>
              <w:t>马牧社区</w:t>
            </w:r>
            <w:r w:rsidRPr="00223645">
              <w:rPr>
                <w:rFonts w:ascii="黑体" w:eastAsia="黑体" w:hAnsi="黑体" w:cs="仿宋" w:hint="eastAsia"/>
                <w:color w:val="auto"/>
                <w:lang w:eastAsia="zh-CN"/>
              </w:rPr>
              <w:br/>
              <w:t>大塘社区</w:t>
            </w:r>
            <w:r w:rsidRPr="00223645">
              <w:rPr>
                <w:rFonts w:ascii="黑体" w:eastAsia="黑体" w:hAnsi="黑体" w:cs="仿宋" w:hint="eastAsia"/>
                <w:color w:val="auto"/>
                <w:lang w:eastAsia="zh-CN"/>
              </w:rPr>
              <w:br/>
              <w:t>奎楼社区</w:t>
            </w:r>
            <w:r w:rsidRPr="00223645">
              <w:rPr>
                <w:rFonts w:ascii="黑体" w:eastAsia="黑体" w:hAnsi="黑体" w:cs="仿宋" w:hint="eastAsia"/>
                <w:color w:val="auto"/>
                <w:lang w:eastAsia="zh-CN"/>
              </w:rPr>
              <w:br/>
              <w:t>卡房村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lastRenderedPageBreak/>
              <w:t>深圳路18号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金雁街道</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510681003</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沱水社区</w:t>
            </w:r>
            <w:r w:rsidRPr="00223645">
              <w:rPr>
                <w:rFonts w:ascii="黑体" w:eastAsia="黑体" w:hAnsi="黑体" w:cs="仿宋" w:hint="eastAsia"/>
                <w:color w:val="auto"/>
                <w:lang w:eastAsia="zh-CN"/>
              </w:rPr>
              <w:br/>
              <w:t>大同社区</w:t>
            </w:r>
            <w:r w:rsidRPr="00223645">
              <w:rPr>
                <w:rFonts w:ascii="黑体" w:eastAsia="黑体" w:hAnsi="黑体" w:cs="仿宋" w:hint="eastAsia"/>
                <w:color w:val="auto"/>
                <w:lang w:eastAsia="zh-CN"/>
              </w:rPr>
              <w:br/>
              <w:t>檀林社区</w:t>
            </w:r>
            <w:r w:rsidRPr="00223645">
              <w:rPr>
                <w:rFonts w:ascii="黑体" w:eastAsia="黑体" w:hAnsi="黑体" w:cs="仿宋" w:hint="eastAsia"/>
                <w:color w:val="auto"/>
                <w:lang w:eastAsia="zh-CN"/>
              </w:rPr>
              <w:br/>
              <w:t>君平社区</w:t>
            </w:r>
            <w:r w:rsidRPr="00223645">
              <w:rPr>
                <w:rFonts w:ascii="黑体" w:eastAsia="黑体" w:hAnsi="黑体" w:cs="仿宋" w:hint="eastAsia"/>
                <w:color w:val="auto"/>
                <w:lang w:eastAsia="zh-CN"/>
              </w:rPr>
              <w:br/>
              <w:t>金雁湖社区</w:t>
            </w:r>
            <w:r w:rsidRPr="00223645">
              <w:rPr>
                <w:rFonts w:ascii="黑体" w:eastAsia="黑体" w:hAnsi="黑体" w:cs="仿宋" w:hint="eastAsia"/>
                <w:color w:val="auto"/>
                <w:lang w:eastAsia="zh-CN"/>
              </w:rPr>
              <w:br/>
              <w:t>白鱼村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黑塔街86号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三水镇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510681101</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石观社区</w:t>
            </w:r>
            <w:r w:rsidRPr="00223645">
              <w:rPr>
                <w:rFonts w:ascii="黑体" w:eastAsia="黑体" w:hAnsi="黑体" w:cs="仿宋" w:hint="eastAsia"/>
                <w:color w:val="auto"/>
                <w:lang w:eastAsia="zh-CN"/>
              </w:rPr>
              <w:br/>
              <w:t>航空社区</w:t>
            </w:r>
            <w:r w:rsidRPr="00223645">
              <w:rPr>
                <w:rFonts w:ascii="黑体" w:eastAsia="黑体" w:hAnsi="黑体" w:cs="仿宋" w:hint="eastAsia"/>
                <w:color w:val="auto"/>
                <w:lang w:eastAsia="zh-CN"/>
              </w:rPr>
              <w:br/>
              <w:t>高店社区</w:t>
            </w:r>
            <w:r w:rsidRPr="00223645">
              <w:rPr>
                <w:rFonts w:ascii="黑体" w:eastAsia="黑体" w:hAnsi="黑体" w:cs="仿宋" w:hint="eastAsia"/>
                <w:color w:val="auto"/>
                <w:lang w:eastAsia="zh-CN"/>
              </w:rPr>
              <w:br/>
              <w:t>光明社区</w:t>
            </w:r>
            <w:r w:rsidRPr="00223645">
              <w:rPr>
                <w:rFonts w:ascii="黑体" w:eastAsia="黑体" w:hAnsi="黑体" w:cs="仿宋" w:hint="eastAsia"/>
                <w:color w:val="auto"/>
                <w:lang w:eastAsia="zh-CN"/>
              </w:rPr>
              <w:br/>
              <w:t>常乐社区</w:t>
            </w:r>
            <w:r w:rsidRPr="00223645">
              <w:rPr>
                <w:rFonts w:ascii="黑体" w:eastAsia="黑体" w:hAnsi="黑体" w:cs="仿宋" w:hint="eastAsia"/>
                <w:color w:val="auto"/>
                <w:lang w:eastAsia="zh-CN"/>
              </w:rPr>
              <w:br/>
              <w:t>友谊村</w:t>
            </w:r>
            <w:r w:rsidRPr="00223645">
              <w:rPr>
                <w:rFonts w:ascii="黑体" w:eastAsia="黑体" w:hAnsi="黑体" w:cs="仿宋" w:hint="eastAsia"/>
                <w:color w:val="auto"/>
                <w:lang w:eastAsia="zh-CN"/>
              </w:rPr>
              <w:br/>
              <w:t>高原村</w:t>
            </w:r>
            <w:r w:rsidRPr="00223645">
              <w:rPr>
                <w:rFonts w:ascii="黑体" w:eastAsia="黑体" w:hAnsi="黑体" w:cs="仿宋" w:hint="eastAsia"/>
                <w:color w:val="auto"/>
                <w:lang w:eastAsia="zh-CN"/>
              </w:rPr>
              <w:br/>
              <w:t>宝莲村</w:t>
            </w:r>
            <w:r w:rsidRPr="00223645">
              <w:rPr>
                <w:rFonts w:ascii="黑体" w:eastAsia="黑体" w:hAnsi="黑体" w:cs="仿宋" w:hint="eastAsia"/>
                <w:color w:val="auto"/>
                <w:lang w:eastAsia="zh-CN"/>
              </w:rPr>
              <w:br/>
              <w:t>中心村</w:t>
            </w:r>
            <w:r w:rsidRPr="00223645">
              <w:rPr>
                <w:rFonts w:ascii="黑体" w:eastAsia="黑体" w:hAnsi="黑体" w:cs="仿宋" w:hint="eastAsia"/>
                <w:color w:val="auto"/>
                <w:lang w:eastAsia="zh-CN"/>
              </w:rPr>
              <w:br/>
              <w:t>国防村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九一街北段90号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连山镇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510681102</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桔苹社区</w:t>
            </w:r>
            <w:r w:rsidRPr="00223645">
              <w:rPr>
                <w:rFonts w:ascii="黑体" w:eastAsia="黑体" w:hAnsi="黑体" w:cs="仿宋" w:hint="eastAsia"/>
                <w:color w:val="auto"/>
                <w:lang w:eastAsia="zh-CN"/>
              </w:rPr>
              <w:br/>
              <w:t>乌木社区</w:t>
            </w:r>
            <w:r w:rsidRPr="00223645">
              <w:rPr>
                <w:rFonts w:ascii="黑体" w:eastAsia="黑体" w:hAnsi="黑体" w:cs="仿宋" w:hint="eastAsia"/>
                <w:color w:val="auto"/>
                <w:lang w:eastAsia="zh-CN"/>
              </w:rPr>
              <w:br/>
              <w:t>川江村</w:t>
            </w:r>
            <w:r w:rsidRPr="00223645">
              <w:rPr>
                <w:rFonts w:ascii="黑体" w:eastAsia="黑体" w:hAnsi="黑体" w:cs="仿宋" w:hint="eastAsia"/>
                <w:color w:val="auto"/>
                <w:lang w:eastAsia="zh-CN"/>
              </w:rPr>
              <w:br/>
              <w:t>石梯村</w:t>
            </w:r>
            <w:r w:rsidRPr="00223645">
              <w:rPr>
                <w:rFonts w:ascii="黑体" w:eastAsia="黑体" w:hAnsi="黑体" w:cs="仿宋" w:hint="eastAsia"/>
                <w:color w:val="auto"/>
                <w:lang w:eastAsia="zh-CN"/>
              </w:rPr>
              <w:br/>
              <w:t>锦花村</w:t>
            </w:r>
            <w:r w:rsidRPr="00223645">
              <w:rPr>
                <w:rFonts w:ascii="黑体" w:eastAsia="黑体" w:hAnsi="黑体" w:cs="仿宋" w:hint="eastAsia"/>
                <w:color w:val="auto"/>
                <w:lang w:eastAsia="zh-CN"/>
              </w:rPr>
              <w:br/>
              <w:t>沙堆村</w:t>
            </w:r>
            <w:r w:rsidRPr="00223645">
              <w:rPr>
                <w:rFonts w:ascii="黑体" w:eastAsia="黑体" w:hAnsi="黑体" w:cs="仿宋" w:hint="eastAsia"/>
                <w:color w:val="auto"/>
                <w:lang w:eastAsia="zh-CN"/>
              </w:rPr>
              <w:br/>
              <w:t>涌泉村</w:t>
            </w:r>
            <w:r w:rsidRPr="00223645">
              <w:rPr>
                <w:rFonts w:ascii="黑体" w:eastAsia="黑体" w:hAnsi="黑体" w:cs="仿宋" w:hint="eastAsia"/>
                <w:color w:val="auto"/>
                <w:lang w:eastAsia="zh-CN"/>
              </w:rPr>
              <w:br/>
            </w:r>
            <w:r w:rsidRPr="00223645">
              <w:rPr>
                <w:rFonts w:ascii="黑体" w:eastAsia="黑体" w:hAnsi="黑体" w:cs="仿宋" w:hint="eastAsia"/>
                <w:color w:val="auto"/>
                <w:lang w:eastAsia="zh-CN"/>
              </w:rPr>
              <w:lastRenderedPageBreak/>
              <w:t>龙泉村</w:t>
            </w:r>
            <w:r w:rsidRPr="00223645">
              <w:rPr>
                <w:rFonts w:ascii="黑体" w:eastAsia="黑体" w:hAnsi="黑体" w:cs="仿宋" w:hint="eastAsia"/>
                <w:color w:val="auto"/>
                <w:lang w:eastAsia="zh-CN"/>
              </w:rPr>
              <w:br/>
              <w:t>沙田村</w:t>
            </w:r>
            <w:r w:rsidRPr="00223645">
              <w:rPr>
                <w:rFonts w:ascii="黑体" w:eastAsia="黑体" w:hAnsi="黑体" w:cs="仿宋" w:hint="eastAsia"/>
                <w:color w:val="auto"/>
                <w:lang w:eastAsia="zh-CN"/>
              </w:rPr>
              <w:br/>
              <w:t>滴水村</w:t>
            </w:r>
            <w:r w:rsidRPr="00223645">
              <w:rPr>
                <w:rFonts w:ascii="黑体" w:eastAsia="黑体" w:hAnsi="黑体" w:cs="仿宋" w:hint="eastAsia"/>
                <w:color w:val="auto"/>
                <w:lang w:eastAsia="zh-CN"/>
              </w:rPr>
              <w:br/>
              <w:t>松林村</w:t>
            </w:r>
            <w:r w:rsidRPr="00223645">
              <w:rPr>
                <w:rFonts w:ascii="黑体" w:eastAsia="黑体" w:hAnsi="黑体" w:cs="仿宋" w:hint="eastAsia"/>
                <w:color w:val="auto"/>
                <w:lang w:eastAsia="zh-CN"/>
              </w:rPr>
              <w:br/>
              <w:t>太阳村</w:t>
            </w:r>
            <w:r w:rsidRPr="00223645">
              <w:rPr>
                <w:rFonts w:ascii="黑体" w:eastAsia="黑体" w:hAnsi="黑体" w:cs="仿宋" w:hint="eastAsia"/>
                <w:color w:val="auto"/>
                <w:lang w:eastAsia="zh-CN"/>
              </w:rPr>
              <w:br/>
              <w:t>柳埝村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lastRenderedPageBreak/>
              <w:t>绵远路中段5号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高坪镇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510681103</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白里社区</w:t>
            </w:r>
            <w:r w:rsidRPr="00223645">
              <w:rPr>
                <w:rFonts w:ascii="黑体" w:eastAsia="黑体" w:hAnsi="黑体" w:cs="仿宋" w:hint="eastAsia"/>
                <w:color w:val="auto"/>
                <w:lang w:eastAsia="zh-CN"/>
              </w:rPr>
              <w:br/>
              <w:t>龙潭社区</w:t>
            </w:r>
            <w:r w:rsidRPr="00223645">
              <w:rPr>
                <w:rFonts w:ascii="黑体" w:eastAsia="黑体" w:hAnsi="黑体" w:cs="仿宋" w:hint="eastAsia"/>
                <w:color w:val="auto"/>
                <w:lang w:eastAsia="zh-CN"/>
              </w:rPr>
              <w:br/>
              <w:t>金九村</w:t>
            </w:r>
            <w:r w:rsidRPr="00223645">
              <w:rPr>
                <w:rFonts w:ascii="黑体" w:eastAsia="黑体" w:hAnsi="黑体" w:cs="仿宋" w:hint="eastAsia"/>
                <w:color w:val="auto"/>
                <w:lang w:eastAsia="zh-CN"/>
              </w:rPr>
              <w:br/>
              <w:t>高拱桥村</w:t>
            </w:r>
            <w:r w:rsidRPr="00223645">
              <w:rPr>
                <w:rFonts w:ascii="黑体" w:eastAsia="黑体" w:hAnsi="黑体" w:cs="仿宋" w:hint="eastAsia"/>
                <w:color w:val="auto"/>
                <w:lang w:eastAsia="zh-CN"/>
              </w:rPr>
              <w:br/>
              <w:t>园龙村</w:t>
            </w:r>
            <w:r w:rsidRPr="00223645">
              <w:rPr>
                <w:rFonts w:ascii="黑体" w:eastAsia="黑体" w:hAnsi="黑体" w:cs="仿宋" w:hint="eastAsia"/>
                <w:color w:val="auto"/>
                <w:lang w:eastAsia="zh-CN"/>
              </w:rPr>
              <w:br/>
              <w:t>水磨村</w:t>
            </w:r>
            <w:r w:rsidRPr="00223645">
              <w:rPr>
                <w:rFonts w:ascii="黑体" w:eastAsia="黑体" w:hAnsi="黑体" w:cs="仿宋" w:hint="eastAsia"/>
                <w:color w:val="auto"/>
                <w:lang w:eastAsia="zh-CN"/>
              </w:rPr>
              <w:br/>
              <w:t>文河村</w:t>
            </w:r>
            <w:r w:rsidRPr="00223645">
              <w:rPr>
                <w:rFonts w:ascii="黑体" w:eastAsia="黑体" w:hAnsi="黑体" w:cs="仿宋" w:hint="eastAsia"/>
                <w:color w:val="auto"/>
                <w:lang w:eastAsia="zh-CN"/>
              </w:rPr>
              <w:br/>
              <w:t>李堰村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东升街西段6号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ind w:firstLineChars="0" w:firstLine="0"/>
              <w:jc w:val="center"/>
              <w:rPr>
                <w:rFonts w:ascii="黑体" w:eastAsia="黑体" w:hAnsi="黑体" w:cs="仿宋"/>
                <w:color w:val="auto"/>
              </w:rPr>
            </w:pPr>
            <w:r w:rsidRPr="00223645">
              <w:rPr>
                <w:rFonts w:ascii="黑体" w:eastAsia="黑体" w:hAnsi="黑体" w:cs="仿宋" w:hint="eastAsia"/>
                <w:color w:val="auto"/>
              </w:rPr>
              <w:t>f</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向阳镇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510681105</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向兴社区</w:t>
            </w:r>
            <w:r w:rsidRPr="00223645">
              <w:rPr>
                <w:rFonts w:ascii="黑体" w:eastAsia="黑体" w:hAnsi="黑体" w:cs="仿宋" w:hint="eastAsia"/>
                <w:color w:val="auto"/>
                <w:lang w:eastAsia="zh-CN"/>
              </w:rPr>
              <w:br/>
              <w:t>荣升社区</w:t>
            </w:r>
            <w:r w:rsidRPr="00223645">
              <w:rPr>
                <w:rFonts w:ascii="黑体" w:eastAsia="黑体" w:hAnsi="黑体" w:cs="仿宋" w:hint="eastAsia"/>
                <w:color w:val="auto"/>
                <w:lang w:eastAsia="zh-CN"/>
              </w:rPr>
              <w:br/>
              <w:t>张化社区</w:t>
            </w:r>
            <w:r w:rsidRPr="00223645">
              <w:rPr>
                <w:rFonts w:ascii="黑体" w:eastAsia="黑体" w:hAnsi="黑体" w:cs="仿宋" w:hint="eastAsia"/>
                <w:color w:val="auto"/>
                <w:lang w:eastAsia="zh-CN"/>
              </w:rPr>
              <w:br/>
              <w:t>同花社区</w:t>
            </w:r>
            <w:r w:rsidRPr="00223645">
              <w:rPr>
                <w:rFonts w:ascii="黑体" w:eastAsia="黑体" w:hAnsi="黑体" w:cs="仿宋" w:hint="eastAsia"/>
                <w:color w:val="auto"/>
                <w:lang w:eastAsia="zh-CN"/>
              </w:rPr>
              <w:br/>
              <w:t>青月村</w:t>
            </w:r>
            <w:r w:rsidRPr="00223645">
              <w:rPr>
                <w:rFonts w:ascii="黑体" w:eastAsia="黑体" w:hAnsi="黑体" w:cs="仿宋" w:hint="eastAsia"/>
                <w:color w:val="auto"/>
                <w:lang w:eastAsia="zh-CN"/>
              </w:rPr>
              <w:br/>
              <w:t>三界村</w:t>
            </w:r>
            <w:r w:rsidRPr="00223645">
              <w:rPr>
                <w:rFonts w:ascii="黑体" w:eastAsia="黑体" w:hAnsi="黑体" w:cs="仿宋" w:hint="eastAsia"/>
                <w:color w:val="auto"/>
                <w:lang w:eastAsia="zh-CN"/>
              </w:rPr>
              <w:br/>
              <w:t>高寿村</w:t>
            </w:r>
            <w:r w:rsidRPr="00223645">
              <w:rPr>
                <w:rFonts w:ascii="黑体" w:eastAsia="黑体" w:hAnsi="黑体" w:cs="仿宋" w:hint="eastAsia"/>
                <w:color w:val="auto"/>
                <w:lang w:eastAsia="zh-CN"/>
              </w:rPr>
              <w:br/>
              <w:t>同兴村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顺江北路29号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小汉镇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510681106</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上林社区</w:t>
            </w:r>
            <w:r w:rsidRPr="00223645">
              <w:rPr>
                <w:rFonts w:ascii="黑体" w:eastAsia="黑体" w:hAnsi="黑体" w:cs="仿宋" w:hint="eastAsia"/>
                <w:color w:val="auto"/>
                <w:lang w:eastAsia="zh-CN"/>
              </w:rPr>
              <w:br/>
              <w:t>康营社区</w:t>
            </w:r>
            <w:r w:rsidRPr="00223645">
              <w:rPr>
                <w:rFonts w:ascii="黑体" w:eastAsia="黑体" w:hAnsi="黑体" w:cs="仿宋" w:hint="eastAsia"/>
                <w:color w:val="auto"/>
                <w:lang w:eastAsia="zh-CN"/>
              </w:rPr>
              <w:br/>
              <w:t>小南社区</w:t>
            </w:r>
            <w:r w:rsidRPr="00223645">
              <w:rPr>
                <w:rFonts w:ascii="黑体" w:eastAsia="黑体" w:hAnsi="黑体" w:cs="仿宋" w:hint="eastAsia"/>
                <w:color w:val="auto"/>
                <w:lang w:eastAsia="zh-CN"/>
              </w:rPr>
              <w:br/>
              <w:t>新华社区</w:t>
            </w:r>
            <w:r w:rsidRPr="00223645">
              <w:rPr>
                <w:rFonts w:ascii="黑体" w:eastAsia="黑体" w:hAnsi="黑体" w:cs="仿宋" w:hint="eastAsia"/>
                <w:color w:val="auto"/>
                <w:lang w:eastAsia="zh-CN"/>
              </w:rPr>
              <w:br/>
              <w:t>凤凰村</w:t>
            </w:r>
            <w:r w:rsidRPr="00223645">
              <w:rPr>
                <w:rFonts w:ascii="黑体" w:eastAsia="黑体" w:hAnsi="黑体" w:cs="仿宋" w:hint="eastAsia"/>
                <w:color w:val="auto"/>
                <w:lang w:eastAsia="zh-CN"/>
              </w:rPr>
              <w:br/>
              <w:t>团结村</w:t>
            </w:r>
            <w:r w:rsidRPr="00223645">
              <w:rPr>
                <w:rFonts w:ascii="黑体" w:eastAsia="黑体" w:hAnsi="黑体" w:cs="仿宋" w:hint="eastAsia"/>
                <w:color w:val="auto"/>
                <w:lang w:eastAsia="zh-CN"/>
              </w:rPr>
              <w:br/>
              <w:t>八角村</w:t>
            </w:r>
            <w:r w:rsidRPr="00223645">
              <w:rPr>
                <w:rFonts w:ascii="黑体" w:eastAsia="黑体" w:hAnsi="黑体" w:cs="仿宋" w:hint="eastAsia"/>
                <w:color w:val="auto"/>
                <w:lang w:eastAsia="zh-CN"/>
              </w:rPr>
              <w:br/>
            </w:r>
            <w:r w:rsidRPr="00223645">
              <w:rPr>
                <w:rFonts w:ascii="黑体" w:eastAsia="黑体" w:hAnsi="黑体" w:cs="仿宋" w:hint="eastAsia"/>
                <w:color w:val="auto"/>
                <w:lang w:eastAsia="zh-CN"/>
              </w:rPr>
              <w:lastRenderedPageBreak/>
              <w:t>新兴村</w:t>
            </w:r>
            <w:r w:rsidRPr="00223645">
              <w:rPr>
                <w:rFonts w:ascii="黑体" w:eastAsia="黑体" w:hAnsi="黑体" w:cs="仿宋" w:hint="eastAsia"/>
                <w:color w:val="auto"/>
                <w:lang w:eastAsia="zh-CN"/>
              </w:rPr>
              <w:br/>
              <w:t>桂园村</w:t>
            </w:r>
            <w:r w:rsidRPr="00223645">
              <w:rPr>
                <w:rFonts w:ascii="黑体" w:eastAsia="黑体" w:hAnsi="黑体" w:cs="仿宋" w:hint="eastAsia"/>
                <w:color w:val="auto"/>
                <w:lang w:eastAsia="zh-CN"/>
              </w:rPr>
              <w:br/>
              <w:t>峰昌村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lastRenderedPageBreak/>
              <w:t>兴镇街20号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金轮镇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510681107</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兴隆社区</w:t>
            </w:r>
            <w:r w:rsidRPr="00223645">
              <w:rPr>
                <w:rFonts w:ascii="黑体" w:eastAsia="黑体" w:hAnsi="黑体" w:cs="仿宋" w:hint="eastAsia"/>
                <w:color w:val="auto"/>
                <w:lang w:eastAsia="zh-CN"/>
              </w:rPr>
              <w:br/>
              <w:t>摇亭社区</w:t>
            </w:r>
            <w:r w:rsidRPr="00223645">
              <w:rPr>
                <w:rFonts w:ascii="黑体" w:eastAsia="黑体" w:hAnsi="黑体" w:cs="仿宋" w:hint="eastAsia"/>
                <w:color w:val="auto"/>
                <w:lang w:eastAsia="zh-CN"/>
              </w:rPr>
              <w:br/>
              <w:t>金角村</w:t>
            </w:r>
            <w:r w:rsidRPr="00223645">
              <w:rPr>
                <w:rFonts w:ascii="黑体" w:eastAsia="黑体" w:hAnsi="黑体" w:cs="仿宋" w:hint="eastAsia"/>
                <w:color w:val="auto"/>
                <w:lang w:eastAsia="zh-CN"/>
              </w:rPr>
              <w:br/>
              <w:t>五里村</w:t>
            </w:r>
            <w:r w:rsidRPr="00223645">
              <w:rPr>
                <w:rFonts w:ascii="黑体" w:eastAsia="黑体" w:hAnsi="黑体" w:cs="仿宋" w:hint="eastAsia"/>
                <w:color w:val="auto"/>
                <w:lang w:eastAsia="zh-CN"/>
              </w:rPr>
              <w:br/>
              <w:t>桂花村</w:t>
            </w:r>
            <w:r w:rsidRPr="00223645">
              <w:rPr>
                <w:rFonts w:ascii="黑体" w:eastAsia="黑体" w:hAnsi="黑体" w:cs="仿宋" w:hint="eastAsia"/>
                <w:color w:val="auto"/>
                <w:lang w:eastAsia="zh-CN"/>
              </w:rPr>
              <w:br/>
              <w:t>樊池村</w:t>
            </w:r>
            <w:r w:rsidRPr="00223645">
              <w:rPr>
                <w:rFonts w:ascii="黑体" w:eastAsia="黑体" w:hAnsi="黑体" w:cs="仿宋" w:hint="eastAsia"/>
                <w:color w:val="auto"/>
                <w:lang w:eastAsia="zh-CN"/>
              </w:rPr>
              <w:br/>
              <w:t>东禅寺村</w:t>
            </w:r>
            <w:r w:rsidRPr="00223645">
              <w:rPr>
                <w:rFonts w:ascii="黑体" w:eastAsia="黑体" w:hAnsi="黑体" w:cs="仿宋" w:hint="eastAsia"/>
                <w:color w:val="auto"/>
                <w:lang w:eastAsia="zh-CN"/>
              </w:rPr>
              <w:br/>
              <w:t>鸹林村</w:t>
            </w:r>
            <w:r w:rsidRPr="00223645">
              <w:rPr>
                <w:rFonts w:ascii="黑体" w:eastAsia="黑体" w:hAnsi="黑体" w:cs="仿宋" w:hint="eastAsia"/>
                <w:color w:val="auto"/>
                <w:lang w:eastAsia="zh-CN"/>
              </w:rPr>
              <w:br/>
              <w:t>寨子村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摇亭街北段85号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金鱼镇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510681114</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和兴社区</w:t>
            </w:r>
            <w:r w:rsidRPr="00223645">
              <w:rPr>
                <w:rFonts w:ascii="黑体" w:eastAsia="黑体" w:hAnsi="黑体" w:cs="仿宋" w:hint="eastAsia"/>
                <w:color w:val="auto"/>
                <w:lang w:eastAsia="zh-CN"/>
              </w:rPr>
              <w:br/>
              <w:t>凉水井社区</w:t>
            </w:r>
            <w:r w:rsidRPr="00223645">
              <w:rPr>
                <w:rFonts w:ascii="黑体" w:eastAsia="黑体" w:hAnsi="黑体" w:cs="仿宋" w:hint="eastAsia"/>
                <w:color w:val="auto"/>
                <w:lang w:eastAsia="zh-CN"/>
              </w:rPr>
              <w:br/>
              <w:t>亭江社区</w:t>
            </w:r>
            <w:r w:rsidRPr="00223645">
              <w:rPr>
                <w:rFonts w:ascii="黑体" w:eastAsia="黑体" w:hAnsi="黑体" w:cs="仿宋" w:hint="eastAsia"/>
                <w:color w:val="auto"/>
                <w:lang w:eastAsia="zh-CN"/>
              </w:rPr>
              <w:br/>
              <w:t>鹄鸣村</w:t>
            </w:r>
            <w:r w:rsidRPr="00223645">
              <w:rPr>
                <w:rFonts w:ascii="黑体" w:eastAsia="黑体" w:hAnsi="黑体" w:cs="仿宋" w:hint="eastAsia"/>
                <w:color w:val="auto"/>
                <w:lang w:eastAsia="zh-CN"/>
              </w:rPr>
              <w:br/>
              <w:t>黄家店村</w:t>
            </w:r>
            <w:r w:rsidRPr="00223645">
              <w:rPr>
                <w:rFonts w:ascii="黑体" w:eastAsia="黑体" w:hAnsi="黑体" w:cs="仿宋" w:hint="eastAsia"/>
                <w:color w:val="auto"/>
                <w:lang w:eastAsia="zh-CN"/>
              </w:rPr>
              <w:br/>
              <w:t>月湾村</w:t>
            </w:r>
            <w:r w:rsidRPr="00223645">
              <w:rPr>
                <w:rFonts w:ascii="黑体" w:eastAsia="黑体" w:hAnsi="黑体" w:cs="仿宋" w:hint="eastAsia"/>
                <w:color w:val="auto"/>
                <w:lang w:eastAsia="zh-CN"/>
              </w:rPr>
              <w:br/>
              <w:t>永和村</w:t>
            </w:r>
            <w:r w:rsidRPr="00223645">
              <w:rPr>
                <w:rFonts w:ascii="黑体" w:eastAsia="黑体" w:hAnsi="黑体" w:cs="仿宋" w:hint="eastAsia"/>
                <w:color w:val="auto"/>
                <w:lang w:eastAsia="zh-CN"/>
              </w:rPr>
              <w:br/>
              <w:t>红安村</w:t>
            </w:r>
            <w:r w:rsidRPr="00223645">
              <w:rPr>
                <w:rFonts w:ascii="黑体" w:eastAsia="黑体" w:hAnsi="黑体" w:cs="仿宋" w:hint="eastAsia"/>
                <w:color w:val="auto"/>
                <w:lang w:eastAsia="zh-CN"/>
              </w:rPr>
              <w:br/>
              <w:t>两江村</w:t>
            </w:r>
            <w:r w:rsidRPr="00223645">
              <w:rPr>
                <w:rFonts w:ascii="黑体" w:eastAsia="黑体" w:hAnsi="黑体" w:cs="仿宋" w:hint="eastAsia"/>
                <w:color w:val="auto"/>
                <w:lang w:eastAsia="zh-CN"/>
              </w:rPr>
              <w:br/>
              <w:t>上岺村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金小路1号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南丰镇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510681116</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太平场社区</w:t>
            </w:r>
            <w:r w:rsidRPr="00223645">
              <w:rPr>
                <w:rFonts w:ascii="黑体" w:eastAsia="黑体" w:hAnsi="黑体" w:cs="仿宋" w:hint="eastAsia"/>
                <w:color w:val="auto"/>
                <w:lang w:eastAsia="zh-CN"/>
              </w:rPr>
              <w:br/>
              <w:t>建新社区</w:t>
            </w:r>
            <w:r w:rsidRPr="00223645">
              <w:rPr>
                <w:rFonts w:ascii="黑体" w:eastAsia="黑体" w:hAnsi="黑体" w:cs="仿宋" w:hint="eastAsia"/>
                <w:color w:val="auto"/>
                <w:lang w:eastAsia="zh-CN"/>
              </w:rPr>
              <w:br/>
              <w:t>七玉村</w:t>
            </w:r>
            <w:r w:rsidRPr="00223645">
              <w:rPr>
                <w:rFonts w:ascii="黑体" w:eastAsia="黑体" w:hAnsi="黑体" w:cs="仿宋" w:hint="eastAsia"/>
                <w:color w:val="auto"/>
                <w:lang w:eastAsia="zh-CN"/>
              </w:rPr>
              <w:br/>
              <w:t>双福村</w:t>
            </w:r>
            <w:r w:rsidRPr="00223645">
              <w:rPr>
                <w:rFonts w:ascii="黑体" w:eastAsia="黑体" w:hAnsi="黑体" w:cs="仿宋" w:hint="eastAsia"/>
                <w:color w:val="auto"/>
                <w:lang w:eastAsia="zh-CN"/>
              </w:rPr>
              <w:br/>
              <w:t>元盛村</w:t>
            </w:r>
            <w:r w:rsidRPr="00223645">
              <w:rPr>
                <w:rFonts w:ascii="黑体" w:eastAsia="黑体" w:hAnsi="黑体" w:cs="仿宋" w:hint="eastAsia"/>
                <w:color w:val="auto"/>
                <w:lang w:eastAsia="zh-CN"/>
              </w:rPr>
              <w:br/>
              <w:t>阳关村</w:t>
            </w:r>
            <w:r w:rsidRPr="00223645">
              <w:rPr>
                <w:rFonts w:ascii="黑体" w:eastAsia="黑体" w:hAnsi="黑体" w:cs="仿宋" w:hint="eastAsia"/>
                <w:color w:val="auto"/>
                <w:lang w:eastAsia="zh-CN"/>
              </w:rPr>
              <w:br/>
              <w:t>新城村</w:t>
            </w:r>
            <w:r w:rsidRPr="00223645">
              <w:rPr>
                <w:rFonts w:ascii="黑体" w:eastAsia="黑体" w:hAnsi="黑体" w:cs="仿宋" w:hint="eastAsia"/>
                <w:color w:val="auto"/>
                <w:lang w:eastAsia="zh-CN"/>
              </w:rPr>
              <w:br/>
            </w:r>
            <w:r w:rsidRPr="00223645">
              <w:rPr>
                <w:rFonts w:ascii="黑体" w:eastAsia="黑体" w:hAnsi="黑体" w:cs="仿宋" w:hint="eastAsia"/>
                <w:color w:val="auto"/>
                <w:lang w:eastAsia="zh-CN"/>
              </w:rPr>
              <w:lastRenderedPageBreak/>
              <w:t>桂红村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lastRenderedPageBreak/>
              <w:t>凤仙街52号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Chars="0" w:firstLine="0"/>
              <w:jc w:val="center"/>
              <w:rPr>
                <w:rFonts w:ascii="黑体" w:eastAsia="黑体" w:hAnsi="黑体" w:cs="仿宋"/>
                <w:color w:val="auto"/>
              </w:rPr>
            </w:pPr>
          </w:p>
        </w:tc>
      </w:tr>
      <w:tr w:rsidR="00FC37F6" w:rsidRPr="00223645">
        <w:trPr>
          <w:trHeight w:val="467"/>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lastRenderedPageBreak/>
              <w:t>三星堆镇</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510681117</w:t>
            </w:r>
          </w:p>
        </w:tc>
        <w:tc>
          <w:tcPr>
            <w:tcW w:w="0" w:type="auto"/>
            <w:vMerge w:val="restart"/>
            <w:tcBorders>
              <w:top w:val="single" w:sz="4" w:space="0" w:color="000000"/>
              <w:left w:val="single" w:sz="4" w:space="0" w:color="000000"/>
              <w:bottom w:val="single" w:sz="4" w:space="0" w:color="000000"/>
              <w:right w:val="single" w:sz="4" w:space="0" w:color="000000"/>
            </w:tcBorders>
          </w:tcPr>
          <w:p w:rsidR="00FC37F6" w:rsidRPr="00223645" w:rsidRDefault="00223645">
            <w:pPr>
              <w:widowControl/>
              <w:ind w:firstLineChars="0" w:firstLine="0"/>
              <w:jc w:val="center"/>
              <w:textAlignment w:val="top"/>
              <w:rPr>
                <w:rFonts w:ascii="黑体" w:eastAsia="黑体" w:hAnsi="黑体" w:cs="仿宋"/>
                <w:color w:val="auto"/>
                <w:lang w:eastAsia="zh-CN"/>
              </w:rPr>
            </w:pPr>
            <w:r w:rsidRPr="00223645">
              <w:rPr>
                <w:rFonts w:ascii="黑体" w:eastAsia="黑体" w:hAnsi="黑体" w:cs="仿宋" w:hint="eastAsia"/>
                <w:color w:val="auto"/>
                <w:lang w:eastAsia="zh-CN"/>
              </w:rPr>
              <w:t>南兴社区</w:t>
            </w:r>
            <w:r w:rsidRPr="00223645">
              <w:rPr>
                <w:rFonts w:ascii="黑体" w:eastAsia="黑体" w:hAnsi="黑体" w:cs="仿宋" w:hint="eastAsia"/>
                <w:color w:val="auto"/>
                <w:lang w:eastAsia="zh-CN"/>
              </w:rPr>
              <w:br/>
              <w:t>高涧社区</w:t>
            </w:r>
            <w:r w:rsidRPr="00223645">
              <w:rPr>
                <w:rFonts w:ascii="黑体" w:eastAsia="黑体" w:hAnsi="黑体" w:cs="仿宋" w:hint="eastAsia"/>
                <w:color w:val="auto"/>
                <w:lang w:eastAsia="zh-CN"/>
              </w:rPr>
              <w:br/>
              <w:t>仁和社区</w:t>
            </w:r>
            <w:r w:rsidRPr="00223645">
              <w:rPr>
                <w:rFonts w:ascii="黑体" w:eastAsia="黑体" w:hAnsi="黑体" w:cs="仿宋" w:hint="eastAsia"/>
                <w:color w:val="auto"/>
                <w:lang w:eastAsia="zh-CN"/>
              </w:rPr>
              <w:br/>
              <w:t>三星村</w:t>
            </w:r>
            <w:r w:rsidRPr="00223645">
              <w:rPr>
                <w:rFonts w:ascii="黑体" w:eastAsia="黑体" w:hAnsi="黑体" w:cs="仿宋" w:hint="eastAsia"/>
                <w:color w:val="auto"/>
                <w:lang w:eastAsia="zh-CN"/>
              </w:rPr>
              <w:br/>
              <w:t>仁义村</w:t>
            </w:r>
            <w:r w:rsidRPr="00223645">
              <w:rPr>
                <w:rFonts w:ascii="黑体" w:eastAsia="黑体" w:hAnsi="黑体" w:cs="仿宋" w:hint="eastAsia"/>
                <w:color w:val="auto"/>
                <w:lang w:eastAsia="zh-CN"/>
              </w:rPr>
              <w:br/>
              <w:t>欢喜村</w:t>
            </w:r>
            <w:r w:rsidRPr="00223645">
              <w:rPr>
                <w:rFonts w:ascii="黑体" w:eastAsia="黑体" w:hAnsi="黑体" w:cs="仿宋" w:hint="eastAsia"/>
                <w:color w:val="auto"/>
                <w:lang w:eastAsia="zh-CN"/>
              </w:rPr>
              <w:br/>
              <w:t>朝阳村</w:t>
            </w:r>
            <w:r w:rsidRPr="00223645">
              <w:rPr>
                <w:rFonts w:ascii="黑体" w:eastAsia="黑体" w:hAnsi="黑体" w:cs="仿宋" w:hint="eastAsia"/>
                <w:color w:val="auto"/>
                <w:lang w:eastAsia="zh-CN"/>
              </w:rPr>
              <w:br/>
              <w:t>楠林村</w:t>
            </w:r>
            <w:r w:rsidRPr="00223645">
              <w:rPr>
                <w:rFonts w:ascii="黑体" w:eastAsia="黑体" w:hAnsi="黑体" w:cs="仿宋" w:hint="eastAsia"/>
                <w:color w:val="auto"/>
                <w:lang w:eastAsia="zh-CN"/>
              </w:rPr>
              <w:br/>
              <w:t>仁圣村</w:t>
            </w:r>
            <w:r w:rsidRPr="00223645">
              <w:rPr>
                <w:rFonts w:ascii="黑体" w:eastAsia="黑体" w:hAnsi="黑体" w:cs="仿宋" w:hint="eastAsia"/>
                <w:color w:val="auto"/>
                <w:lang w:eastAsia="zh-CN"/>
              </w:rPr>
              <w:br/>
              <w:t>龙兴村</w:t>
            </w:r>
            <w:r w:rsidRPr="00223645">
              <w:rPr>
                <w:rFonts w:ascii="黑体" w:eastAsia="黑体" w:hAnsi="黑体" w:cs="仿宋" w:hint="eastAsia"/>
                <w:color w:val="auto"/>
                <w:lang w:eastAsia="zh-CN"/>
              </w:rPr>
              <w:br/>
              <w:t>中兴村</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223645">
            <w:pPr>
              <w:widowControl/>
              <w:ind w:firstLineChars="0" w:firstLine="0"/>
              <w:jc w:val="center"/>
              <w:textAlignment w:val="center"/>
              <w:rPr>
                <w:rFonts w:ascii="黑体" w:eastAsia="黑体" w:hAnsi="黑体" w:cs="仿宋"/>
                <w:color w:val="auto"/>
              </w:rPr>
            </w:pPr>
            <w:r w:rsidRPr="00223645">
              <w:rPr>
                <w:rFonts w:ascii="黑体" w:eastAsia="黑体" w:hAnsi="黑体" w:cs="仿宋" w:hint="eastAsia"/>
                <w:color w:val="auto"/>
                <w:lang w:eastAsia="zh-CN"/>
              </w:rPr>
              <w:t>兴华东街253号</w:t>
            </w: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r w:rsidR="00FC37F6" w:rsidRPr="00223645">
        <w:trPr>
          <w:trHeight w:val="467"/>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tcPr>
          <w:p w:rsidR="00FC37F6" w:rsidRPr="00223645" w:rsidRDefault="00FC37F6">
            <w:pPr>
              <w:ind w:firstLine="480"/>
              <w:jc w:val="center"/>
              <w:rPr>
                <w:rFonts w:ascii="黑体" w:eastAsia="黑体" w:hAnsi="黑体" w:cs="仿宋"/>
                <w:color w:val="auto"/>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223645" w:rsidRDefault="00FC37F6">
            <w:pPr>
              <w:ind w:firstLine="480"/>
              <w:jc w:val="center"/>
              <w:rPr>
                <w:rFonts w:ascii="黑体" w:eastAsia="黑体" w:hAnsi="黑体" w:cs="仿宋"/>
                <w:color w:val="auto"/>
              </w:rPr>
            </w:pPr>
          </w:p>
        </w:tc>
      </w:tr>
    </w:tbl>
    <w:p w:rsidR="00FC37F6" w:rsidRPr="00223645" w:rsidRDefault="00FC37F6">
      <w:pPr>
        <w:spacing w:line="240" w:lineRule="auto"/>
        <w:ind w:firstLineChars="0" w:firstLine="0"/>
        <w:rPr>
          <w:rFonts w:ascii="黑体" w:eastAsia="黑体" w:hAnsi="黑体"/>
          <w:color w:val="auto"/>
          <w:lang w:eastAsia="zh-CN"/>
        </w:rPr>
      </w:pP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根据第七次人口普查数据，截至</w:t>
      </w:r>
      <w:r w:rsidRPr="00223645">
        <w:rPr>
          <w:rFonts w:ascii="黑体" w:eastAsia="黑体" w:hAnsi="黑体" w:cs="仿宋" w:hint="eastAsia"/>
          <w:color w:val="auto"/>
          <w:sz w:val="28"/>
          <w:szCs w:val="28"/>
          <w:shd w:val="clear" w:color="auto" w:fill="FFFFFF"/>
          <w:lang w:eastAsia="zh-CN"/>
        </w:rPr>
        <w:t>2021年末，全市总户数为228401户，户籍人口596311人。其中，城镇人口271615人，</w:t>
      </w:r>
      <w:r w:rsidRPr="00223645">
        <w:rPr>
          <w:rFonts w:ascii="黑体" w:eastAsia="黑体" w:hAnsi="黑体" w:cs="仿宋" w:hint="eastAsia"/>
          <w:color w:val="auto"/>
          <w:sz w:val="28"/>
          <w:szCs w:val="28"/>
          <w:lang w:eastAsia="zh-CN"/>
        </w:rPr>
        <w:t>乡村人口324696人。全年出生人口</w:t>
      </w:r>
      <w:r w:rsidRPr="00223645">
        <w:rPr>
          <w:rFonts w:ascii="宋体" w:eastAsia="黑体" w:hAnsi="宋体" w:cs="仿宋" w:hint="eastAsia"/>
          <w:color w:val="auto"/>
          <w:sz w:val="28"/>
          <w:szCs w:val="28"/>
          <w:lang w:eastAsia="zh-CN"/>
        </w:rPr>
        <w:t> </w:t>
      </w:r>
      <w:r w:rsidRPr="00223645">
        <w:rPr>
          <w:rFonts w:ascii="黑体" w:eastAsia="黑体" w:hAnsi="黑体" w:cs="仿宋" w:hint="eastAsia"/>
          <w:color w:val="auto"/>
          <w:sz w:val="28"/>
          <w:szCs w:val="28"/>
          <w:lang w:eastAsia="zh-CN"/>
        </w:rPr>
        <w:t>3398人，人口出生率5.7‰；死亡人口3579人，人口死亡率6.0‰；人口自然增长率-0.3‰。年末常住人口62.6万人，城镇化率59.9%。“十三五”时期经济发展取得的主要成就如下：</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经济发展水平显著提升。经济总量稳步增长，2021年实现地区生产总值480.2亿元，同比增长8.4%。其中，第一产业增加值41.1亿元，增长7.3%；第二产业增加值247.4亿元，增长7.9%；第三产业增加值191.7亿元，增长9.2%。三次产业结构由上年的9.0:50.8:40.2调整为8.6:51.5:39.9。人均GDP达到76709元，比上年增加8075元，增长8.2%。</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工业经济加快转型升级。积极实施供给侧结构性改革，促进新旧动能转换，进一步提高质量效益。2021年规模以上工业企业达到347家，增长3.9%。“十三五”期间，工业总产值年均增长9.1%，累计实现利税总额397.8亿元，工业税收占比达51.4%，对经济增长贡献率达61.3%，实施工业项目417个。新引入一汽解放商用车、兴顺风等新动能积蓄项目207个，5亿元</w:t>
      </w:r>
      <w:r w:rsidRPr="00223645">
        <w:rPr>
          <w:rFonts w:ascii="黑体" w:eastAsia="黑体" w:hAnsi="黑体" w:cs="仿宋" w:hint="eastAsia"/>
          <w:color w:val="auto"/>
          <w:sz w:val="28"/>
          <w:szCs w:val="28"/>
          <w:lang w:eastAsia="zh-CN"/>
        </w:rPr>
        <w:lastRenderedPageBreak/>
        <w:t>以上项目28个。产业集聚步伐进一步加快，依托油气装备、医药、食品、通用航空等相关优势产业，逐步引导企业向产业功能区集聚，装备制造、医药、食品三大主导产业集聚度达70%以上，工业总产值占比近50%。</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全域旅游格局基本形成。“全域旅游”发展战略深入实施，成为首批天府旅游名县候选县，成功创建首批省级全域旅游示范区，四川广汉三星堆国家文物保护利用示范区列入第一批国家文物保护利用示范区创建名单。文旅融合发展不断推进，“三九大”文旅联盟正式成立，发起组建“大遗址”文旅发展联盟，以“三星堆”为核心的文化旅游业迎来重大发展机遇。旅游景区标准化创建工作全力推进，房湖景区、易家河坝成功创建3A、4A级旅游景区，高星级旅游饭店实现零的突破。文旅强市加快建设，累计接待游客近5000万人次，旅游收入396.64亿元。</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乡村振兴战略深入推进。现代农业提质增效，粮食总产稳定在30万吨以上，高标准农田建设从12.68万亩增加到30.76万亩，主要农作物农机化综合作业水平从77.16%提高到84.1%，“三品一标”农产品认证从108个增加到146个，成功创建国家现代农业产业园、全省首批“数字三农大数据平台”建设试点县，建成西南地区规模最大的肉牛屠宰场和食用油加工基地。乡村振兴战略稳步实施，入列全省首批乡村振兴规划试点县。脱贫攻坚实现全面胜利，累计实施扶贫项目175项，投入各级专项扶贫资金9371.5万元，累计完成7191户15331名贫困人口脱贫，如期全面完成减贫任务。</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基础设施得到全面改善。交通、水利、市政等基础设施建设步伐加快，中山大道改造、马牧河湿地景观工程、北区公共停车场等工程竣工；高新区水系综合整治、第二水厂等建设项目稳步实施。“四纵四横多轨”干线交通网络框架逐渐形成，“两环三射”内部区域交通路网加快构建。天府大道北延线、天府机场快速路项目加快推进，轨道交通S11线已开工建设。</w:t>
      </w:r>
      <w:r w:rsidRPr="00223645">
        <w:rPr>
          <w:rFonts w:ascii="黑体" w:eastAsia="黑体" w:hAnsi="黑体" w:cs="仿宋" w:hint="eastAsia"/>
          <w:color w:val="auto"/>
          <w:sz w:val="28"/>
          <w:szCs w:val="28"/>
          <w:lang w:eastAsia="zh-CN"/>
        </w:rPr>
        <w:lastRenderedPageBreak/>
        <w:t>农村公路建设全面提速，累计完成城乡公路建设233.2公里。水利工程有序推进，完成22个水利工程项目建设。</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生态文明建设不断加强。全面落实大规模绿化全川行动，生态环境显著改善，蓝天碧水明显增多，空气质量优良率由51.4%提升至90.4%，升级为达标县（市区）。流域水污染防治工作全面推进，城市污水处理率提升至95.04%，4个国控流域考核断面综合水体提升至Ⅲ类，饮用水源达到或优于Ⅲ类。节能减排工作成效显著，清理整顿环保违法违规建设项目1047个，排污许可登记发证2701家。生态保护工作持续加强，建成德阳市首家水资源环境保护主题教育基地，环城防护林生态屏障、狮子堰市政公园等绿化工程全面完成，森林面积新增0.33万亩，森林覆盖率提升至14.22%。</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改革开放取得明显成效。全面创新成效显著，供给侧结构性改革有序推进。投融资体制改革、乡镇财政体制改革稳步实施。行政体制改革初见成效，“放管服”改革全面落实，商事制度改革顺利推进。农村改革深化拓展，农村集体产权制度改革、供销合作社农民合作社综合改革等试点全面推进。成德同城率先突破，与青白江区、新都区边界合作步伐加快，成为中国（四川）自由贸易试验区德阳协同改革先行区落地片区。成功举办两届“四川国际航空航天展览会”。外经贸支点作用加快形成，进出口总额累计达到166.61亿元，位居全省前列。</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社会民生福祉持续增进。人民生活水平大幅提高，就业规模持续扩大，累计实现新增就业3万余人，登记失业率控制在4%以内。教育事业稳步提升，教育投资力度不断加大，广中迁建等重大项目基本完工。全民健康深入推进，与省人民医院签订托管协议，医联体体系基本形成，成功创建国家慢性病综合防控示范区、全国第三批健康促进县，新建人民医院等重大项目基本完工。民生保障体系不断完善，城乡低保、特困供养、重残帮扶等持续优化。基层社会养老服务水平不断提升，社区15分钟养老圈初步形</w:t>
      </w:r>
      <w:r w:rsidRPr="00223645">
        <w:rPr>
          <w:rFonts w:ascii="黑体" w:eastAsia="黑体" w:hAnsi="黑体" w:cs="仿宋" w:hint="eastAsia"/>
          <w:color w:val="auto"/>
          <w:sz w:val="28"/>
          <w:szCs w:val="28"/>
          <w:lang w:eastAsia="zh-CN"/>
        </w:rPr>
        <w:lastRenderedPageBreak/>
        <w:t>成。食品安全有序可控，成功创建第一批全省食品安全示范县。文化事业繁荣发展，被评为全国文化先进县。</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社会治理能力有效提升。全面依法治市取得重大进展，城乡基层治理制度创新和能力建设全面提升，乡镇行政区划和村级建制调整改革顺利实施，“一核三治”基层治理体系不断完善，智慧化治理体系和覆盖城乡的法律服务网络基本形成。扫黑除恶、禁毒防艾专项斗争有力推进，刑事警情、信访走访率持续下降，新冠肺炎疫情防控等重大突发事件妥善应对，重大风险防范有力有效，社会大局和谐稳定。安全生产形势总体平稳，应急管理工作机制进一步健全。全面从严治党纵深推进，清廉广汉建设全面加强，政治生态和发展环境持续优化，群众的获得感幸福感安全感持续提升。</w:t>
      </w:r>
    </w:p>
    <w:p w:rsidR="00FC37F6" w:rsidRPr="00223645" w:rsidRDefault="00223645" w:rsidP="00223645">
      <w:pPr>
        <w:pStyle w:val="3"/>
        <w:numPr>
          <w:ilvl w:val="0"/>
          <w:numId w:val="16"/>
        </w:numPr>
        <w:ind w:firstLineChars="0"/>
        <w:rPr>
          <w:rFonts w:ascii="黑体" w:eastAsia="黑体" w:hAnsi="黑体"/>
          <w:color w:val="auto"/>
          <w:lang w:eastAsia="zh-CN"/>
        </w:rPr>
      </w:pPr>
      <w:bookmarkStart w:id="24" w:name="_Toc119319586"/>
      <w:r w:rsidRPr="00223645">
        <w:rPr>
          <w:rFonts w:ascii="黑体" w:eastAsia="黑体" w:hAnsi="黑体" w:hint="eastAsia"/>
          <w:color w:val="auto"/>
          <w:lang w:eastAsia="zh-CN"/>
        </w:rPr>
        <w:t>交通运输</w:t>
      </w:r>
      <w:bookmarkEnd w:id="24"/>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（1）广汉主要对外交通概况</w:t>
      </w:r>
    </w:p>
    <w:p w:rsidR="00FC37F6" w:rsidRPr="00223645" w:rsidRDefault="00FC37F6" w:rsidP="00223645">
      <w:pPr>
        <w:widowControl/>
        <w:ind w:firstLine="482"/>
        <w:jc w:val="center"/>
        <w:rPr>
          <w:rFonts w:ascii="黑体" w:eastAsia="黑体" w:hAnsi="黑体" w:cs="仿宋_GB2312"/>
          <w:b/>
          <w:bCs/>
          <w:color w:val="auto"/>
          <w:lang w:eastAsia="zh-CN"/>
        </w:rPr>
      </w:pPr>
    </w:p>
    <w:p w:rsidR="00FC37F6" w:rsidRPr="00223645" w:rsidRDefault="00223645">
      <w:pPr>
        <w:widowControl/>
        <w:ind w:firstLine="620"/>
        <w:rPr>
          <w:rFonts w:ascii="黑体" w:eastAsia="黑体" w:hAnsi="黑体" w:cs="仿宋_GB2312"/>
          <w:color w:val="auto"/>
          <w:sz w:val="31"/>
          <w:szCs w:val="31"/>
          <w:lang w:eastAsia="zh-CN"/>
        </w:rPr>
      </w:pPr>
      <w:r w:rsidRPr="00223645">
        <w:rPr>
          <w:rFonts w:ascii="黑体" w:eastAsia="黑体" w:hAnsi="黑体" w:cs="仿宋_GB2312" w:hint="eastAsia"/>
          <w:noProof/>
          <w:color w:val="auto"/>
          <w:sz w:val="31"/>
          <w:szCs w:val="31"/>
          <w:lang w:eastAsia="zh-CN" w:bidi="ar-SA"/>
        </w:rPr>
        <w:lastRenderedPageBreak/>
        <w:drawing>
          <wp:inline distT="0" distB="0" distL="114300" distR="114300">
            <wp:extent cx="5013325" cy="388366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cstate="print"/>
                    <a:stretch>
                      <a:fillRect/>
                    </a:stretch>
                  </pic:blipFill>
                  <pic:spPr>
                    <a:xfrm>
                      <a:off x="0" y="0"/>
                      <a:ext cx="5013325" cy="3883660"/>
                    </a:xfrm>
                    <a:prstGeom prst="rect">
                      <a:avLst/>
                    </a:prstGeom>
                    <a:noFill/>
                    <a:ln>
                      <a:noFill/>
                    </a:ln>
                  </pic:spPr>
                </pic:pic>
              </a:graphicData>
            </a:graphic>
          </wp:inline>
        </w:drawing>
      </w: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图2.2 广汉市市域现状路网图</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对外联系道路四通八达，是“成都—德阳”之间的黄金通道，主要过境道路包括：</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天府大道北延线（在建）：连接成都——德阳</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成德大道：连接成都——德阳</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成绵高速：连接成都——德阳</w:t>
      </w:r>
      <w:r w:rsidRPr="00223645">
        <w:rPr>
          <w:rFonts w:ascii="黑体" w:eastAsia="黑体" w:hAnsi="黑体" w:cs="仿宋_GB2312" w:hint="eastAsia"/>
          <w:color w:val="auto"/>
          <w:sz w:val="28"/>
          <w:szCs w:val="28"/>
          <w:lang w:eastAsia="zh-CN"/>
        </w:rPr>
        <w:t></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G108线：连接成都——德阳</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旌江干道：连接</w:t>
      </w:r>
      <w:r w:rsidR="000E4ED4">
        <w:rPr>
          <w:rFonts w:ascii="黑体" w:eastAsia="黑体" w:hAnsi="黑体" w:cs="仿宋_GB2312" w:hint="eastAsia"/>
          <w:color w:val="auto"/>
          <w:sz w:val="28"/>
          <w:szCs w:val="28"/>
          <w:lang w:eastAsia="zh-CN"/>
        </w:rPr>
        <w:t>青</w:t>
      </w:r>
      <w:r w:rsidRPr="00223645">
        <w:rPr>
          <w:rFonts w:ascii="黑体" w:eastAsia="黑体" w:hAnsi="黑体" w:cs="仿宋_GB2312" w:hint="eastAsia"/>
          <w:color w:val="auto"/>
          <w:sz w:val="28"/>
          <w:szCs w:val="28"/>
          <w:lang w:eastAsia="zh-CN"/>
        </w:rPr>
        <w:t>白江——德阳</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成都二绕：连接新都——广汉（德阳）——青白江</w:t>
      </w:r>
      <w:r w:rsidRPr="00223645">
        <w:rPr>
          <w:rFonts w:ascii="黑体" w:eastAsia="黑体" w:hAnsi="黑体" w:cs="仿宋_GB2312" w:hint="eastAsia"/>
          <w:color w:val="auto"/>
          <w:sz w:val="28"/>
          <w:szCs w:val="28"/>
          <w:lang w:eastAsia="zh-CN"/>
        </w:rPr>
        <w:t></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S422线：连接彭州市——广汉——金堂</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S401线：连接什邡——广汉——中江</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（2）城区主要交通现状</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广汉城区现状路网结构基本按方格网式道路系统形成骨架路网。</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lastRenderedPageBreak/>
        <w:t>其中南北向道路主要有：成绵高速、G108线、中山大道、三星堆大道、三亚路；东西向主要道路有：北京大道、雁江南路、高雄路、深圳路、成都二绕。</w:t>
      </w:r>
    </w:p>
    <w:p w:rsidR="00FC37F6" w:rsidRPr="00223645" w:rsidRDefault="00223645">
      <w:pPr>
        <w:widowControl/>
        <w:ind w:firstLine="560"/>
        <w:rPr>
          <w:rFonts w:ascii="黑体" w:eastAsia="黑体" w:hAnsi="黑体" w:cs="仿宋"/>
          <w:color w:val="auto"/>
          <w:sz w:val="28"/>
          <w:szCs w:val="28"/>
          <w:lang w:eastAsia="zh-CN"/>
        </w:rPr>
      </w:pPr>
      <w:r w:rsidRPr="00223645">
        <w:rPr>
          <w:rFonts w:ascii="黑体" w:eastAsia="黑体" w:hAnsi="黑体" w:cs="仿宋" w:hint="eastAsia"/>
          <w:color w:val="auto"/>
          <w:sz w:val="28"/>
          <w:szCs w:val="28"/>
          <w:lang w:eastAsia="zh-CN"/>
        </w:rPr>
        <w:t>全市境内公路总里程1381.5公里。完成交通固定资产投资  22.6亿元，建成县乡村道54.5公里，改造桥梁2座。完成公路运输客运周转量8.0亿人公里，增长4.5％；完成货运周转量10.5亿吨公里，增长4.4％。境内铁路营运里程72公里，境内火车站 3个，铁路旅客运量201.2万人，铁路货运量244.5万吨。</w:t>
      </w:r>
    </w:p>
    <w:p w:rsidR="00FC37F6" w:rsidRPr="00223645" w:rsidRDefault="00223645">
      <w:pPr>
        <w:widowControl/>
        <w:ind w:firstLine="620"/>
        <w:rPr>
          <w:rFonts w:ascii="黑体" w:eastAsia="黑体" w:hAnsi="黑体" w:cs="仿宋_GB2312"/>
          <w:color w:val="auto"/>
          <w:sz w:val="31"/>
          <w:szCs w:val="31"/>
          <w:lang w:eastAsia="zh-CN"/>
        </w:rPr>
      </w:pPr>
      <w:r w:rsidRPr="00223645">
        <w:rPr>
          <w:rFonts w:ascii="黑体" w:eastAsia="黑体" w:hAnsi="黑体" w:cs="仿宋_GB2312" w:hint="eastAsia"/>
          <w:noProof/>
          <w:color w:val="auto"/>
          <w:sz w:val="31"/>
          <w:szCs w:val="31"/>
          <w:lang w:eastAsia="zh-CN" w:bidi="ar-SA"/>
        </w:rPr>
        <w:drawing>
          <wp:inline distT="0" distB="0" distL="114300" distR="114300">
            <wp:extent cx="4976495" cy="389255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cstate="print"/>
                    <a:stretch>
                      <a:fillRect/>
                    </a:stretch>
                  </pic:blipFill>
                  <pic:spPr>
                    <a:xfrm>
                      <a:off x="0" y="0"/>
                      <a:ext cx="4976495" cy="3892550"/>
                    </a:xfrm>
                    <a:prstGeom prst="rect">
                      <a:avLst/>
                    </a:prstGeom>
                    <a:noFill/>
                    <a:ln>
                      <a:noFill/>
                    </a:ln>
                  </pic:spPr>
                </pic:pic>
              </a:graphicData>
            </a:graphic>
          </wp:inline>
        </w:drawing>
      </w: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图2.3 广汉市城区现状路网图</w:t>
      </w:r>
    </w:p>
    <w:p w:rsidR="00FC37F6" w:rsidRPr="00223645" w:rsidRDefault="00223645">
      <w:pPr>
        <w:pStyle w:val="2"/>
        <w:ind w:firstLine="643"/>
        <w:jc w:val="center"/>
        <w:rPr>
          <w:rFonts w:ascii="黑体" w:hAnsi="黑体"/>
          <w:color w:val="auto"/>
          <w:lang w:eastAsia="zh-CN"/>
        </w:rPr>
      </w:pPr>
      <w:bookmarkStart w:id="25" w:name="_Toc556347988"/>
      <w:bookmarkStart w:id="26" w:name="_Toc119319587"/>
      <w:bookmarkStart w:id="27" w:name="_Toc30190"/>
      <w:bookmarkStart w:id="28" w:name="_Toc30641"/>
      <w:r w:rsidRPr="00223645">
        <w:rPr>
          <w:rFonts w:ascii="黑体" w:hAnsi="黑体" w:hint="eastAsia"/>
          <w:color w:val="auto"/>
          <w:lang w:eastAsia="zh-CN"/>
        </w:rPr>
        <w:t>第二节</w:t>
      </w:r>
      <w:bookmarkEnd w:id="20"/>
      <w:bookmarkEnd w:id="21"/>
      <w:bookmarkEnd w:id="22"/>
      <w:bookmarkEnd w:id="23"/>
      <w:r w:rsidRPr="00223645">
        <w:rPr>
          <w:rFonts w:ascii="黑体" w:hAnsi="黑体" w:hint="eastAsia"/>
          <w:color w:val="auto"/>
          <w:lang w:eastAsia="zh-CN"/>
        </w:rPr>
        <w:t xml:space="preserve"> 主要成就</w:t>
      </w:r>
      <w:bookmarkEnd w:id="25"/>
      <w:bookmarkEnd w:id="26"/>
      <w:bookmarkEnd w:id="27"/>
      <w:bookmarkEnd w:id="28"/>
    </w:p>
    <w:p w:rsidR="00FC37F6" w:rsidRPr="00223645" w:rsidRDefault="00223645" w:rsidP="00223645">
      <w:pPr>
        <w:pStyle w:val="3"/>
        <w:numPr>
          <w:ilvl w:val="0"/>
          <w:numId w:val="17"/>
        </w:numPr>
        <w:ind w:firstLineChars="0"/>
        <w:rPr>
          <w:rFonts w:ascii="黑体" w:eastAsia="黑体" w:hAnsi="黑体"/>
          <w:color w:val="auto"/>
          <w:lang w:eastAsia="zh-CN"/>
        </w:rPr>
      </w:pPr>
      <w:bookmarkStart w:id="29" w:name="_Toc119319588"/>
      <w:bookmarkStart w:id="30" w:name="bookmark58"/>
      <w:bookmarkStart w:id="31" w:name="bookmark60"/>
      <w:bookmarkStart w:id="32" w:name="bookmark59"/>
      <w:r w:rsidRPr="00223645">
        <w:rPr>
          <w:rFonts w:ascii="黑体" w:eastAsia="黑体" w:hAnsi="黑体" w:hint="eastAsia"/>
          <w:color w:val="auto"/>
          <w:lang w:eastAsia="zh-CN"/>
        </w:rPr>
        <w:t>电动汽车发展现状</w:t>
      </w:r>
      <w:bookmarkEnd w:id="29"/>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 xml:space="preserve"> </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lastRenderedPageBreak/>
        <w:t>截止2022年11月底，广汉市机动车保有量达到100942辆，电动公交车60辆占比0.059%，电动商用车63辆占比0.06%，电动乘用车1723辆，占比1.7%，合计电动机动车达到1846辆，占比达到1.8%。电动乘用车增长较快，单年电动乘用车增长716辆，同比增长率为63.3%。城市每万人拥有公共电(汽)车量5.64 辆/万人。</w:t>
      </w:r>
    </w:p>
    <w:p w:rsidR="00FC37F6" w:rsidRPr="00223645" w:rsidRDefault="00223645" w:rsidP="00223645">
      <w:pPr>
        <w:pStyle w:val="3"/>
        <w:numPr>
          <w:ilvl w:val="0"/>
          <w:numId w:val="17"/>
        </w:numPr>
        <w:ind w:firstLineChars="0"/>
        <w:rPr>
          <w:rFonts w:ascii="黑体" w:eastAsia="黑体" w:hAnsi="黑体"/>
          <w:color w:val="auto"/>
          <w:lang w:eastAsia="zh-CN"/>
        </w:rPr>
      </w:pPr>
      <w:bookmarkStart w:id="33" w:name="_Toc119319589"/>
      <w:r w:rsidRPr="00223645">
        <w:rPr>
          <w:rFonts w:ascii="黑体" w:eastAsia="黑体" w:hAnsi="黑体" w:hint="eastAsia"/>
          <w:color w:val="auto"/>
          <w:lang w:eastAsia="zh-CN"/>
        </w:rPr>
        <w:t>充电</w:t>
      </w:r>
      <w:r w:rsidR="00CA3E26">
        <w:rPr>
          <w:rFonts w:ascii="黑体" w:eastAsia="黑体" w:hAnsi="黑体" w:hint="eastAsia"/>
          <w:color w:val="auto"/>
          <w:lang w:eastAsia="zh-CN"/>
        </w:rPr>
        <w:t>基础设施建设</w:t>
      </w:r>
      <w:bookmarkEnd w:id="33"/>
    </w:p>
    <w:p w:rsidR="00FC37F6" w:rsidRPr="00223645" w:rsidRDefault="00223645">
      <w:pPr>
        <w:ind w:firstLine="560"/>
        <w:rPr>
          <w:rFonts w:ascii="黑体" w:eastAsia="黑体" w:hAnsi="黑体" w:cs="仿宋_GB2312"/>
          <w:color w:val="auto"/>
          <w:sz w:val="28"/>
          <w:szCs w:val="28"/>
          <w:lang w:eastAsia="zh-CN"/>
        </w:rPr>
      </w:pPr>
      <w:bookmarkStart w:id="34" w:name="_Toc13490"/>
      <w:r w:rsidRPr="00223645">
        <w:rPr>
          <w:rFonts w:ascii="黑体" w:eastAsia="黑体" w:hAnsi="黑体" w:cs="仿宋_GB2312" w:hint="eastAsia"/>
          <w:color w:val="auto"/>
          <w:sz w:val="28"/>
          <w:szCs w:val="28"/>
          <w:lang w:eastAsia="zh-CN"/>
        </w:rPr>
        <w:t>（1）集中式充电站建设情况</w:t>
      </w:r>
      <w:bookmarkEnd w:id="34"/>
    </w:p>
    <w:p w:rsidR="00FC37F6" w:rsidRPr="00223645" w:rsidRDefault="00223645">
      <w:pPr>
        <w:widowControl/>
        <w:ind w:firstLine="560"/>
        <w:rPr>
          <w:rFonts w:ascii="黑体" w:eastAsia="黑体" w:hAnsi="黑体"/>
          <w:b/>
          <w:bCs/>
          <w:color w:val="auto"/>
          <w:sz w:val="28"/>
          <w:szCs w:val="28"/>
          <w:lang w:eastAsia="zh-CN"/>
        </w:rPr>
      </w:pPr>
      <w:bookmarkStart w:id="35" w:name="_Hlk121823355"/>
      <w:r w:rsidRPr="00223645">
        <w:rPr>
          <w:rFonts w:ascii="黑体" w:eastAsia="黑体" w:hAnsi="黑体" w:cs="仿宋_GB2312" w:hint="eastAsia"/>
          <w:color w:val="auto"/>
          <w:sz w:val="28"/>
          <w:szCs w:val="28"/>
          <w:lang w:eastAsia="zh-CN"/>
        </w:rPr>
        <w:t>据统计，截止2022年，广汉市共建成集中式充电站17座，</w:t>
      </w:r>
      <w:bookmarkEnd w:id="35"/>
      <w:r w:rsidRPr="00223645">
        <w:rPr>
          <w:rFonts w:ascii="黑体" w:eastAsia="黑体" w:hAnsi="黑体" w:cs="仿宋_GB2312" w:hint="eastAsia"/>
          <w:color w:val="auto"/>
          <w:sz w:val="28"/>
          <w:szCs w:val="28"/>
          <w:lang w:eastAsia="zh-CN"/>
        </w:rPr>
        <w:t>合计快充桩203根，慢充桩54根。</w:t>
      </w:r>
    </w:p>
    <w:p w:rsidR="00FC37F6" w:rsidRPr="00223645" w:rsidRDefault="00FC37F6">
      <w:pPr>
        <w:ind w:firstLineChars="0" w:firstLine="0"/>
        <w:jc w:val="both"/>
        <w:rPr>
          <w:rFonts w:ascii="黑体" w:eastAsia="黑体" w:hAnsi="黑体"/>
          <w:b/>
          <w:bCs/>
          <w:color w:val="auto"/>
          <w:lang w:eastAsia="zh-CN"/>
        </w:rPr>
      </w:pP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表2.2 广汉市已建成充电站</w:t>
      </w:r>
    </w:p>
    <w:tbl>
      <w:tblPr>
        <w:tblW w:w="0" w:type="auto"/>
        <w:jc w:val="center"/>
        <w:tblLook w:val="04A0"/>
      </w:tblPr>
      <w:tblGrid>
        <w:gridCol w:w="696"/>
        <w:gridCol w:w="2503"/>
        <w:gridCol w:w="2841"/>
        <w:gridCol w:w="749"/>
        <w:gridCol w:w="708"/>
        <w:gridCol w:w="1800"/>
      </w:tblGrid>
      <w:tr w:rsidR="00FC37F6" w:rsidRPr="00223645">
        <w:trPr>
          <w:trHeight w:val="332"/>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序号</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名称</w:t>
            </w:r>
          </w:p>
        </w:tc>
        <w:tc>
          <w:tcPr>
            <w:tcW w:w="2841" w:type="dxa"/>
            <w:vMerge w:val="restart"/>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rsidP="00A41175">
            <w:pPr>
              <w:widowControl/>
              <w:ind w:firstLine="480"/>
              <w:jc w:val="center"/>
              <w:textAlignment w:val="center"/>
              <w:rPr>
                <w:rFonts w:ascii="黑体" w:eastAsia="黑体" w:hAnsi="黑体" w:cs="仿宋"/>
                <w:color w:val="auto"/>
              </w:rPr>
            </w:pPr>
            <w:r w:rsidRPr="00A41175">
              <w:rPr>
                <w:rFonts w:ascii="黑体" w:eastAsia="黑体" w:hAnsi="黑体" w:cs="仿宋" w:hint="eastAsia"/>
                <w:color w:val="auto"/>
                <w:lang w:eastAsia="zh-CN"/>
              </w:rPr>
              <w:t>地址</w:t>
            </w:r>
          </w:p>
        </w:tc>
        <w:tc>
          <w:tcPr>
            <w:tcW w:w="1457" w:type="dxa"/>
            <w:gridSpan w:val="2"/>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充电桩数量</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建成时间</w:t>
            </w:r>
          </w:p>
        </w:tc>
      </w:tr>
      <w:tr w:rsidR="00FC37F6" w:rsidRPr="00223645">
        <w:trPr>
          <w:trHeight w:val="103"/>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A41175" w:rsidRDefault="00FC37F6">
            <w:pPr>
              <w:widowControl/>
              <w:ind w:firstLineChars="0" w:firstLine="0"/>
              <w:jc w:val="center"/>
              <w:textAlignment w:val="center"/>
              <w:rPr>
                <w:rFonts w:ascii="黑体" w:eastAsia="黑体" w:hAnsi="黑体" w:cs="仿宋"/>
                <w:color w:val="auto"/>
                <w:lang w:eastAsia="zh-CN"/>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FC37F6" w:rsidRPr="00A41175" w:rsidRDefault="00FC37F6" w:rsidP="00A41175">
            <w:pPr>
              <w:ind w:firstLine="480"/>
              <w:jc w:val="center"/>
              <w:rPr>
                <w:rFonts w:ascii="黑体" w:eastAsia="黑体" w:hAnsi="黑体" w:cs="仿宋"/>
                <w:color w:val="auto"/>
              </w:rPr>
            </w:pPr>
          </w:p>
        </w:tc>
        <w:tc>
          <w:tcPr>
            <w:tcW w:w="2841" w:type="dxa"/>
            <w:vMerge/>
            <w:tcBorders>
              <w:top w:val="single" w:sz="4" w:space="0" w:color="000000"/>
              <w:left w:val="single" w:sz="4" w:space="0" w:color="000000"/>
              <w:bottom w:val="single" w:sz="4" w:space="0" w:color="000000"/>
              <w:right w:val="single" w:sz="4" w:space="0" w:color="000000"/>
            </w:tcBorders>
            <w:vAlign w:val="center"/>
          </w:tcPr>
          <w:p w:rsidR="00FC37F6" w:rsidRPr="00A41175" w:rsidRDefault="00FC37F6" w:rsidP="00A41175">
            <w:pPr>
              <w:ind w:firstLine="480"/>
              <w:jc w:val="center"/>
              <w:rPr>
                <w:rFonts w:ascii="黑体" w:eastAsia="黑体" w:hAnsi="黑体" w:cs="仿宋"/>
                <w:color w:val="auto"/>
              </w:rPr>
            </w:pP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快充</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慢充</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C37F6" w:rsidRPr="00A41175" w:rsidRDefault="00FC37F6">
            <w:pPr>
              <w:ind w:firstLineChars="0" w:firstLine="0"/>
              <w:jc w:val="center"/>
              <w:rPr>
                <w:rFonts w:ascii="黑体" w:eastAsia="黑体" w:hAnsi="黑体" w:cs="仿宋"/>
                <w:color w:val="auto"/>
              </w:rPr>
            </w:pPr>
          </w:p>
        </w:tc>
      </w:tr>
      <w:tr w:rsidR="00FC37F6" w:rsidRPr="00223645">
        <w:trPr>
          <w:trHeight w:val="638"/>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w:t>
            </w:r>
          </w:p>
        </w:tc>
        <w:tc>
          <w:tcPr>
            <w:tcW w:w="0" w:type="auto"/>
            <w:tcBorders>
              <w:top w:val="nil"/>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四川省广汉市城市公共汽车有限公司充电站</w:t>
            </w:r>
          </w:p>
        </w:tc>
        <w:tc>
          <w:tcPr>
            <w:tcW w:w="2841" w:type="dxa"/>
            <w:tcBorders>
              <w:top w:val="nil"/>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广汉市城市公共汽车有限公司停车场内</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74</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nil"/>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（已建成）分两期，2019、2022</w:t>
            </w:r>
          </w:p>
        </w:tc>
      </w:tr>
      <w:tr w:rsidR="00FC37F6" w:rsidRPr="00223645">
        <w:trPr>
          <w:trHeight w:val="66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特来电充电站（北新机械城）</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广汉市北京大道一段东100米</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2019</w:t>
            </w:r>
          </w:p>
        </w:tc>
      </w:tr>
      <w:tr w:rsidR="00FC37F6" w:rsidRPr="00223645">
        <w:trPr>
          <w:trHeight w:val="82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特来电充电站（广汉新顺达车业）</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广汉市金雁街道云盘村三社</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2019</w:t>
            </w:r>
          </w:p>
        </w:tc>
      </w:tr>
      <w:tr w:rsidR="00FC37F6" w:rsidRPr="00223645">
        <w:trPr>
          <w:trHeight w:val="74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明源电力北新国际充电站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广汉市北新国际农产品中心A2栋东北门停车场</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72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驴充充汽车充电站（广信鹭岛）</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广汉市北京路二段与天津路交汇处</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102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汇来电充电站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广汉市天津路西一段与银川路交叉口东北180米（汽车公园内）</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96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lastRenderedPageBreak/>
              <w:t>7</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广汉市中岭燃气有限公司南昌路CNG加气站及充电桩项目</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广汉市南昌路二段38号</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2020</w:t>
            </w:r>
          </w:p>
        </w:tc>
      </w:tr>
      <w:tr w:rsidR="00FC37F6" w:rsidRPr="00223645">
        <w:trPr>
          <w:trHeight w:val="112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开迈斯充电站德阳市万年华地财富广场直流站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广汉市华地财富广场地下停车场</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68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广汉飞行学院充电站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中国民航飞行学院内</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76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明源广汉天旭物流园充电站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广汉市成都大道天旭物流城内</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80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11</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特来电充电站（德阳广汉西林凤腾）</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广汉市中山大道南二段广汉西林汽车产业园区</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2019</w:t>
            </w:r>
          </w:p>
        </w:tc>
      </w:tr>
      <w:tr w:rsidR="00FC37F6" w:rsidRPr="00223645">
        <w:trPr>
          <w:trHeight w:val="78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云快充普洛斯广汉物流园区充电站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四川省广汉市新丰镇阳江路一段2号 普洛斯广汉物流园</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2020</w:t>
            </w:r>
          </w:p>
        </w:tc>
      </w:tr>
      <w:tr w:rsidR="00FC37F6" w:rsidRPr="00223645">
        <w:trPr>
          <w:trHeight w:val="78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特来电充电站（广汉向阳镇）</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广汉市向阳镇客运站内</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2022</w:t>
            </w:r>
          </w:p>
        </w:tc>
      </w:tr>
      <w:tr w:rsidR="00FC37F6" w:rsidRPr="00223645">
        <w:trPr>
          <w:trHeight w:val="72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思极能广汉停车区东区充电站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成都第二绕城高速广汉停车区</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80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思极能广汉停车区西区充电站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成都第二绕城高速广汉停车区</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2021</w:t>
            </w:r>
          </w:p>
        </w:tc>
      </w:tr>
      <w:tr w:rsidR="00FC37F6" w:rsidRPr="00223645">
        <w:trPr>
          <w:trHeight w:val="820"/>
          <w:jc w:val="center"/>
        </w:trPr>
        <w:tc>
          <w:tcPr>
            <w:tcW w:w="0" w:type="auto"/>
            <w:tcBorders>
              <w:top w:val="nil"/>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spacing w:line="240" w:lineRule="auto"/>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京东广汉亚洲一号物流园充电站</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工业集中发展区京东大道西二段一号（一号楼后）</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2022</w:t>
            </w:r>
          </w:p>
        </w:tc>
      </w:tr>
      <w:tr w:rsidR="00FC37F6" w:rsidRPr="00223645">
        <w:trPr>
          <w:trHeight w:val="82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17</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031221">
            <w:pPr>
              <w:widowControl/>
              <w:spacing w:line="240" w:lineRule="auto"/>
              <w:ind w:firstLineChars="0" w:firstLine="0"/>
              <w:jc w:val="center"/>
              <w:textAlignment w:val="center"/>
              <w:rPr>
                <w:rFonts w:ascii="黑体" w:eastAsia="黑体" w:hAnsi="黑体" w:cs="仿宋"/>
                <w:color w:val="auto"/>
                <w:lang w:eastAsia="zh-CN"/>
              </w:rPr>
            </w:pPr>
            <w:r>
              <w:rPr>
                <w:rFonts w:ascii="黑体" w:eastAsia="黑体" w:hAnsi="黑体" w:cs="仿宋" w:hint="eastAsia"/>
                <w:color w:val="auto"/>
                <w:lang w:eastAsia="zh-CN"/>
              </w:rPr>
              <w:t>广汉市</w:t>
            </w:r>
            <w:r w:rsidR="00223645" w:rsidRPr="00A41175">
              <w:rPr>
                <w:rFonts w:ascii="黑体" w:eastAsia="黑体" w:hAnsi="黑体" w:cs="仿宋" w:hint="eastAsia"/>
                <w:color w:val="auto"/>
                <w:lang w:eastAsia="zh-CN"/>
              </w:rPr>
              <w:t>委充电站（一期）</w:t>
            </w: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广汉市成都路西段1号</w:t>
            </w: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FC37F6">
            <w:pPr>
              <w:ind w:firstLineChars="0" w:firstLine="0"/>
              <w:jc w:val="center"/>
              <w:rPr>
                <w:rFonts w:ascii="黑体" w:eastAsia="黑体" w:hAnsi="黑体" w:cs="仿宋"/>
                <w:color w:val="auto"/>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rPr>
            </w:pPr>
            <w:r w:rsidRPr="00A41175">
              <w:rPr>
                <w:rFonts w:ascii="黑体" w:eastAsia="黑体" w:hAnsi="黑体" w:cs="仿宋" w:hint="eastAsia"/>
                <w:color w:val="auto"/>
                <w:lang w:eastAsia="zh-CN"/>
              </w:rPr>
              <w:t>2022</w:t>
            </w:r>
          </w:p>
        </w:tc>
      </w:tr>
      <w:tr w:rsidR="00FC37F6" w:rsidRPr="00223645">
        <w:trPr>
          <w:trHeight w:val="82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总计</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FC37F6" w:rsidP="00A41175">
            <w:pPr>
              <w:widowControl/>
              <w:ind w:firstLine="480"/>
              <w:jc w:val="center"/>
              <w:textAlignment w:val="center"/>
              <w:rPr>
                <w:rFonts w:ascii="黑体" w:eastAsia="黑体" w:hAnsi="黑体" w:cs="仿宋"/>
                <w:color w:val="auto"/>
                <w:lang w:eastAsia="zh-CN"/>
              </w:rPr>
            </w:pPr>
          </w:p>
        </w:tc>
        <w:tc>
          <w:tcPr>
            <w:tcW w:w="2841"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FC37F6" w:rsidP="00A41175">
            <w:pPr>
              <w:widowControl/>
              <w:ind w:firstLine="480"/>
              <w:jc w:val="center"/>
              <w:textAlignment w:val="center"/>
              <w:rPr>
                <w:rFonts w:ascii="黑体" w:eastAsia="黑体" w:hAnsi="黑体" w:cs="仿宋"/>
                <w:color w:val="auto"/>
                <w:lang w:eastAsia="zh-CN"/>
              </w:rPr>
            </w:pPr>
          </w:p>
        </w:tc>
        <w:tc>
          <w:tcPr>
            <w:tcW w:w="749"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ind w:firstLineChars="0" w:firstLine="0"/>
              <w:jc w:val="center"/>
              <w:rPr>
                <w:rFonts w:ascii="黑体" w:eastAsia="黑体" w:hAnsi="黑体" w:cs="仿宋"/>
                <w:color w:val="auto"/>
                <w:lang w:eastAsia="zh-CN"/>
              </w:rPr>
            </w:pPr>
            <w:r w:rsidRPr="00A41175">
              <w:rPr>
                <w:rFonts w:ascii="黑体" w:eastAsia="黑体" w:hAnsi="黑体" w:cs="仿宋" w:hint="eastAsia"/>
                <w:color w:val="auto"/>
                <w:lang w:eastAsia="zh-CN"/>
              </w:rPr>
              <w:t>203</w:t>
            </w:r>
          </w:p>
        </w:tc>
        <w:tc>
          <w:tcPr>
            <w:tcW w:w="708" w:type="dxa"/>
            <w:tcBorders>
              <w:top w:val="single" w:sz="4" w:space="0" w:color="000000"/>
              <w:left w:val="single" w:sz="4" w:space="0" w:color="000000"/>
              <w:bottom w:val="single" w:sz="4" w:space="0" w:color="000000"/>
              <w:right w:val="single" w:sz="4" w:space="0" w:color="000000"/>
            </w:tcBorders>
            <w:vAlign w:val="center"/>
          </w:tcPr>
          <w:p w:rsidR="00FC37F6" w:rsidRPr="00A41175" w:rsidRDefault="00223645">
            <w:pPr>
              <w:widowControl/>
              <w:ind w:firstLineChars="0" w:firstLine="0"/>
              <w:jc w:val="center"/>
              <w:textAlignment w:val="center"/>
              <w:rPr>
                <w:rFonts w:ascii="黑体" w:eastAsia="黑体" w:hAnsi="黑体" w:cs="仿宋"/>
                <w:color w:val="auto"/>
                <w:lang w:eastAsia="zh-CN"/>
              </w:rPr>
            </w:pPr>
            <w:r w:rsidRPr="00A41175">
              <w:rPr>
                <w:rFonts w:ascii="黑体" w:eastAsia="黑体" w:hAnsi="黑体" w:cs="仿宋" w:hint="eastAsia"/>
                <w:color w:val="auto"/>
                <w:lang w:eastAsia="zh-CN"/>
              </w:rPr>
              <w:t>54</w:t>
            </w:r>
          </w:p>
        </w:tc>
        <w:tc>
          <w:tcPr>
            <w:tcW w:w="0" w:type="auto"/>
            <w:tcBorders>
              <w:top w:val="single" w:sz="4" w:space="0" w:color="000000"/>
              <w:left w:val="single" w:sz="4" w:space="0" w:color="000000"/>
              <w:bottom w:val="single" w:sz="4" w:space="0" w:color="000000"/>
              <w:right w:val="single" w:sz="4" w:space="0" w:color="000000"/>
            </w:tcBorders>
            <w:vAlign w:val="center"/>
          </w:tcPr>
          <w:p w:rsidR="00FC37F6" w:rsidRPr="00A41175" w:rsidRDefault="00FC37F6" w:rsidP="00A41175">
            <w:pPr>
              <w:widowControl/>
              <w:ind w:firstLine="480"/>
              <w:jc w:val="center"/>
              <w:textAlignment w:val="center"/>
              <w:rPr>
                <w:rFonts w:ascii="黑体" w:eastAsia="黑体" w:hAnsi="黑体" w:cs="仿宋"/>
                <w:color w:val="auto"/>
                <w:lang w:eastAsia="zh-CN"/>
              </w:rPr>
            </w:pPr>
          </w:p>
        </w:tc>
      </w:tr>
    </w:tbl>
    <w:p w:rsidR="00FC37F6" w:rsidRPr="00223645" w:rsidRDefault="00FC37F6">
      <w:pPr>
        <w:ind w:firstLine="482"/>
        <w:jc w:val="center"/>
        <w:rPr>
          <w:rFonts w:ascii="黑体" w:eastAsia="黑体" w:hAnsi="黑体"/>
          <w:b/>
          <w:bCs/>
          <w:color w:val="auto"/>
          <w:lang w:eastAsia="zh-CN"/>
        </w:rPr>
      </w:pPr>
    </w:p>
    <w:p w:rsidR="00FC37F6" w:rsidRPr="00223645" w:rsidRDefault="00FC37F6">
      <w:pPr>
        <w:ind w:firstLine="482"/>
        <w:jc w:val="center"/>
        <w:rPr>
          <w:rFonts w:ascii="黑体" w:eastAsia="黑体" w:hAnsi="黑体"/>
          <w:b/>
          <w:bCs/>
          <w:color w:val="auto"/>
          <w:lang w:eastAsia="zh-CN"/>
        </w:rPr>
      </w:pPr>
    </w:p>
    <w:p w:rsidR="00FC37F6" w:rsidRPr="00223645" w:rsidRDefault="00223645">
      <w:pPr>
        <w:widowControl/>
        <w:ind w:firstLine="480"/>
        <w:rPr>
          <w:rFonts w:ascii="黑体" w:eastAsia="黑体" w:hAnsi="黑体"/>
          <w:color w:val="auto"/>
          <w:lang w:eastAsia="zh-CN"/>
        </w:rPr>
      </w:pPr>
      <w:r w:rsidRPr="00223645">
        <w:rPr>
          <w:rFonts w:ascii="黑体" w:eastAsia="黑体" w:hAnsi="黑体" w:hint="eastAsia"/>
          <w:noProof/>
          <w:color w:val="auto"/>
          <w:lang w:eastAsia="zh-CN" w:bidi="ar-SA"/>
        </w:rPr>
        <w:lastRenderedPageBreak/>
        <w:drawing>
          <wp:inline distT="0" distB="0" distL="114300" distR="114300">
            <wp:extent cx="5271135" cy="3768725"/>
            <wp:effectExtent l="0" t="0" r="0" b="0"/>
            <wp:docPr id="4" name="图片 2" descr="工作任务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工作任务02"/>
                    <pic:cNvPicPr>
                      <a:picLocks noChangeAspect="1"/>
                    </pic:cNvPicPr>
                  </pic:nvPicPr>
                  <pic:blipFill>
                    <a:blip r:embed="rId12" cstate="print"/>
                    <a:stretch>
                      <a:fillRect/>
                    </a:stretch>
                  </pic:blipFill>
                  <pic:spPr>
                    <a:xfrm>
                      <a:off x="0" y="0"/>
                      <a:ext cx="5271135" cy="3768725"/>
                    </a:xfrm>
                    <a:prstGeom prst="rect">
                      <a:avLst/>
                    </a:prstGeom>
                    <a:noFill/>
                    <a:ln>
                      <a:noFill/>
                    </a:ln>
                  </pic:spPr>
                </pic:pic>
              </a:graphicData>
            </a:graphic>
          </wp:inline>
        </w:drawing>
      </w: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图2.4 广汉市已建成充电站分布图</w:t>
      </w:r>
    </w:p>
    <w:p w:rsidR="00FC37F6" w:rsidRPr="00223645" w:rsidRDefault="00223645">
      <w:pPr>
        <w:widowControl/>
        <w:ind w:firstLine="560"/>
        <w:rPr>
          <w:rFonts w:ascii="黑体" w:eastAsia="黑体" w:hAnsi="黑体" w:cs="仿宋_GB2312"/>
          <w:color w:val="auto"/>
          <w:sz w:val="28"/>
          <w:szCs w:val="28"/>
          <w:lang w:eastAsia="zh-CN"/>
        </w:rPr>
      </w:pPr>
      <w:bookmarkStart w:id="36" w:name="_Hlk121823371"/>
      <w:r w:rsidRPr="00223645">
        <w:rPr>
          <w:rFonts w:ascii="黑体" w:eastAsia="黑体" w:hAnsi="黑体" w:cs="仿宋_GB2312" w:hint="eastAsia"/>
          <w:color w:val="auto"/>
          <w:sz w:val="28"/>
          <w:szCs w:val="28"/>
          <w:lang w:eastAsia="zh-CN"/>
        </w:rPr>
        <w:t>（2）分散式充电桩</w:t>
      </w:r>
      <w:bookmarkEnd w:id="36"/>
      <w:r w:rsidRPr="00223645">
        <w:rPr>
          <w:rFonts w:ascii="黑体" w:eastAsia="黑体" w:hAnsi="黑体" w:cs="仿宋_GB2312" w:hint="eastAsia"/>
          <w:color w:val="auto"/>
          <w:sz w:val="28"/>
          <w:szCs w:val="28"/>
          <w:lang w:eastAsia="zh-CN"/>
        </w:rPr>
        <w:t>建设情况</w:t>
      </w:r>
    </w:p>
    <w:p w:rsidR="00FC37F6" w:rsidRPr="00223645" w:rsidRDefault="00223645">
      <w:pPr>
        <w:widowControl/>
        <w:ind w:firstLine="560"/>
        <w:rPr>
          <w:rFonts w:ascii="黑体" w:eastAsia="黑体" w:hAnsi="黑体" w:cs="仿宋_GB2312"/>
          <w:color w:val="auto"/>
          <w:sz w:val="31"/>
          <w:szCs w:val="31"/>
          <w:lang w:eastAsia="zh-CN"/>
        </w:rPr>
      </w:pPr>
      <w:r w:rsidRPr="00223645">
        <w:rPr>
          <w:rFonts w:ascii="黑体" w:eastAsia="黑体" w:hAnsi="黑体" w:cs="仿宋_GB2312" w:hint="eastAsia"/>
          <w:color w:val="auto"/>
          <w:sz w:val="28"/>
          <w:szCs w:val="28"/>
          <w:lang w:eastAsia="zh-CN"/>
        </w:rPr>
        <w:t>截止2022年，广汉市共建成分散式充电桩144个，其中分散式公共充电桩100个、分散式专用充电桩44个，合计：144个。</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（3）充电设施布局情况</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充电站辐射半径（米）=</w:t>
      </w:r>
      <m:oMath>
        <m:rad>
          <m:radPr>
            <m:degHide m:val="on"/>
            <m:ctrlPr>
              <w:rPr>
                <w:rFonts w:ascii="Cambria Math" w:eastAsia="黑体" w:hAnsi="黑体" w:cs="仿宋_GB2312" w:hint="eastAsia"/>
                <w:color w:val="auto"/>
                <w:sz w:val="31"/>
                <w:szCs w:val="31"/>
                <w:lang w:eastAsia="zh-CN" w:bidi="ar-SA"/>
              </w:rPr>
            </m:ctrlPr>
          </m:radPr>
          <m:deg/>
          <m:e>
            <m:r>
              <m:rPr>
                <m:sty m:val="p"/>
              </m:rPr>
              <w:rPr>
                <w:rFonts w:ascii="黑体" w:eastAsia="黑体" w:hAnsi="黑体" w:cs="仿宋_GB2312" w:hint="eastAsia"/>
                <w:color w:val="auto"/>
                <w:sz w:val="31"/>
                <w:szCs w:val="31"/>
                <w:lang w:eastAsia="zh-CN" w:bidi="ar-SA"/>
              </w:rPr>
              <m:t>（行政面积</m:t>
            </m:r>
            <m:r>
              <m:rPr>
                <m:sty m:val="p"/>
              </m:rPr>
              <w:rPr>
                <w:rFonts w:ascii="黑体" w:eastAsia="黑体" w:hAnsi="黑体" w:cs="仿宋_GB2312"/>
                <w:color w:val="auto"/>
                <w:sz w:val="31"/>
                <w:szCs w:val="31"/>
                <w:lang w:eastAsia="zh-CN" w:bidi="ar-SA"/>
              </w:rPr>
              <m:t>（</m:t>
            </m:r>
            <m:sSup>
              <m:sSupPr>
                <m:ctrlPr>
                  <w:rPr>
                    <w:rFonts w:ascii="Cambria Math" w:eastAsia="黑体" w:hAnsi="黑体" w:cs="仿宋_GB2312"/>
                    <w:color w:val="auto"/>
                    <w:sz w:val="31"/>
                    <w:szCs w:val="31"/>
                    <w:lang w:eastAsia="zh-CN" w:bidi="ar-SA"/>
                  </w:rPr>
                </m:ctrlPr>
              </m:sSupPr>
              <m:e>
                <m:r>
                  <m:rPr>
                    <m:sty m:val="p"/>
                  </m:rPr>
                  <w:rPr>
                    <w:rFonts w:ascii="黑体" w:eastAsia="黑体" w:hAnsi="黑体" w:cs="仿宋_GB2312"/>
                    <w:color w:val="auto"/>
                    <w:sz w:val="31"/>
                    <w:szCs w:val="31"/>
                    <w:lang w:eastAsia="zh-CN" w:bidi="ar-SA"/>
                  </w:rPr>
                  <m:t>米</m:t>
                </m:r>
              </m:e>
              <m:sup>
                <m:r>
                  <w:rPr>
                    <w:rFonts w:ascii="Cambria Math" w:eastAsia="黑体" w:hAnsi="黑体" w:cs="仿宋_GB2312"/>
                    <w:color w:val="auto"/>
                    <w:sz w:val="31"/>
                    <w:szCs w:val="31"/>
                    <w:lang w:eastAsia="zh-CN" w:bidi="ar-SA"/>
                  </w:rPr>
                  <m:t>2</m:t>
                </m:r>
              </m:sup>
            </m:sSup>
            <m:r>
              <m:rPr>
                <m:sty m:val="p"/>
              </m:rPr>
              <w:rPr>
                <w:rFonts w:ascii="黑体" w:eastAsia="黑体" w:hAnsi="黑体" w:cs="仿宋_GB2312"/>
                <w:color w:val="auto"/>
                <w:sz w:val="31"/>
                <w:szCs w:val="31"/>
                <w:lang w:eastAsia="zh-CN" w:bidi="ar-SA"/>
              </w:rPr>
              <m:t>）</m:t>
            </m:r>
            <m:r>
              <m:rPr>
                <m:sty m:val="p"/>
              </m:rPr>
              <w:rPr>
                <w:rFonts w:ascii="Cambria Math" w:eastAsia="黑体" w:hAnsi="黑体" w:cs="仿宋_GB2312" w:hint="eastAsia"/>
                <w:color w:val="auto"/>
                <w:sz w:val="31"/>
                <w:szCs w:val="31"/>
                <w:lang w:eastAsia="zh-CN" w:bidi="ar-SA"/>
              </w:rPr>
              <m:t>/</m:t>
            </m:r>
            <m:r>
              <m:rPr>
                <m:sty m:val="p"/>
              </m:rPr>
              <w:rPr>
                <w:rFonts w:ascii="黑体" w:eastAsia="黑体" w:hAnsi="黑体" w:cs="仿宋_GB2312" w:hint="eastAsia"/>
                <w:color w:val="auto"/>
                <w:sz w:val="31"/>
                <w:szCs w:val="31"/>
                <w:lang w:eastAsia="zh-CN" w:bidi="ar-SA"/>
              </w:rPr>
              <m:t>集中式充电站数量</m:t>
            </m:r>
            <m:r>
              <m:rPr>
                <m:sty m:val="p"/>
              </m:rPr>
              <w:rPr>
                <w:rFonts w:ascii="Cambria Math" w:eastAsia="黑体" w:hAnsi="黑体" w:cs="仿宋_GB2312" w:hint="eastAsia"/>
                <w:color w:val="auto"/>
                <w:sz w:val="31"/>
                <w:szCs w:val="31"/>
                <w:lang w:eastAsia="zh-CN" w:bidi="ar-SA"/>
              </w:rPr>
              <m:t>/3.14</m:t>
            </m:r>
            <m:r>
              <m:rPr>
                <m:sty m:val="p"/>
              </m:rPr>
              <w:rPr>
                <w:rFonts w:ascii="黑体" w:eastAsia="黑体" w:hAnsi="黑体" w:cs="仿宋_GB2312" w:hint="eastAsia"/>
                <w:color w:val="auto"/>
                <w:sz w:val="31"/>
                <w:szCs w:val="31"/>
                <w:lang w:eastAsia="zh-CN" w:bidi="ar-SA"/>
              </w:rPr>
              <m:t>）</m:t>
            </m:r>
          </m:e>
        </m:rad>
      </m:oMath>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公共配置比=分散式公共充电桩的数量/行政面积</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根据以上公式，广汉市集中式充电站辐射半径、公共配置比如下：</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集中式充电站：17座；</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分散式公共充电桩：100个；</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面积：549km</w:t>
      </w:r>
      <w:r w:rsidRPr="00223645">
        <w:rPr>
          <w:rFonts w:ascii="黑体" w:eastAsia="黑体" w:hAnsi="黑体" w:cs="仿宋_GB2312" w:hint="eastAsia"/>
          <w:color w:val="auto"/>
          <w:sz w:val="28"/>
          <w:szCs w:val="28"/>
          <w:vertAlign w:val="superscript"/>
          <w:lang w:eastAsia="zh-CN"/>
        </w:rPr>
        <w:t>2</w:t>
      </w:r>
      <w:r w:rsidRPr="00223645">
        <w:rPr>
          <w:rFonts w:ascii="黑体" w:eastAsia="黑体" w:hAnsi="黑体" w:cs="仿宋_GB2312" w:hint="eastAsia"/>
          <w:color w:val="auto"/>
          <w:sz w:val="28"/>
          <w:szCs w:val="28"/>
          <w:lang w:eastAsia="zh-CN"/>
        </w:rPr>
        <w:t>；</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集中式充电站辐射半径：</w:t>
      </w:r>
      <w:r w:rsidRPr="00223645">
        <w:rPr>
          <w:rFonts w:ascii="黑体" w:eastAsia="黑体" w:hAnsi="黑体" w:cs="仿宋_GB2312"/>
          <w:color w:val="auto"/>
          <w:sz w:val="28"/>
          <w:szCs w:val="28"/>
          <w:lang w:eastAsia="zh-CN"/>
        </w:rPr>
        <w:t>3</w:t>
      </w:r>
      <w:r w:rsidRPr="00223645">
        <w:rPr>
          <w:rFonts w:ascii="黑体" w:eastAsia="黑体" w:hAnsi="黑体" w:cs="仿宋_GB2312" w:hint="eastAsia"/>
          <w:color w:val="auto"/>
          <w:sz w:val="28"/>
          <w:szCs w:val="28"/>
          <w:lang w:eastAsia="zh-CN"/>
        </w:rPr>
        <w:t>.</w:t>
      </w:r>
      <w:r w:rsidRPr="00223645">
        <w:rPr>
          <w:rFonts w:ascii="黑体" w:eastAsia="黑体" w:hAnsi="黑体" w:cs="仿宋_GB2312"/>
          <w:color w:val="auto"/>
          <w:sz w:val="28"/>
          <w:szCs w:val="28"/>
          <w:lang w:eastAsia="zh-CN"/>
        </w:rPr>
        <w:t>2</w:t>
      </w:r>
      <w:r w:rsidRPr="00223645">
        <w:rPr>
          <w:rFonts w:ascii="黑体" w:eastAsia="黑体" w:hAnsi="黑体" w:cs="仿宋_GB2312" w:hint="eastAsia"/>
          <w:color w:val="auto"/>
          <w:sz w:val="28"/>
          <w:szCs w:val="28"/>
          <w:lang w:eastAsia="zh-CN"/>
        </w:rPr>
        <w:t>km；</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公共配置比: 0.18个/km</w:t>
      </w:r>
      <w:r w:rsidRPr="00223645">
        <w:rPr>
          <w:rFonts w:ascii="黑体" w:eastAsia="黑体" w:hAnsi="黑体" w:cs="仿宋_GB2312" w:hint="eastAsia"/>
          <w:color w:val="auto"/>
          <w:sz w:val="28"/>
          <w:szCs w:val="28"/>
          <w:vertAlign w:val="superscript"/>
          <w:lang w:eastAsia="zh-CN"/>
        </w:rPr>
        <w:t>2</w:t>
      </w:r>
      <w:r w:rsidRPr="00223645">
        <w:rPr>
          <w:rFonts w:ascii="黑体" w:eastAsia="黑体" w:hAnsi="黑体" w:cs="仿宋_GB2312" w:hint="eastAsia"/>
          <w:color w:val="auto"/>
          <w:sz w:val="28"/>
          <w:szCs w:val="28"/>
          <w:lang w:eastAsia="zh-CN"/>
        </w:rPr>
        <w:t>；</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lastRenderedPageBreak/>
        <w:t>公共桩车比：约 1：12.8。从上述数据可以看到，广汉市充电基础设施建设相比于广汉市电动汽车发展，仍相对滞后。</w:t>
      </w:r>
    </w:p>
    <w:p w:rsidR="00FC37F6" w:rsidRPr="00223645" w:rsidRDefault="00223645">
      <w:pPr>
        <w:pStyle w:val="2"/>
        <w:ind w:firstLine="643"/>
        <w:jc w:val="center"/>
        <w:rPr>
          <w:rFonts w:ascii="黑体" w:hAnsi="黑体"/>
          <w:color w:val="auto"/>
          <w:lang w:eastAsia="zh-CN"/>
        </w:rPr>
      </w:pPr>
      <w:bookmarkStart w:id="37" w:name="_Toc396835278"/>
      <w:bookmarkStart w:id="38" w:name="_Toc17267"/>
      <w:bookmarkStart w:id="39" w:name="_Toc16894"/>
      <w:bookmarkStart w:id="40" w:name="_Toc119319592"/>
      <w:r w:rsidRPr="00223645">
        <w:rPr>
          <w:rFonts w:ascii="黑体" w:hAnsi="黑体" w:hint="eastAsia"/>
          <w:color w:val="auto"/>
          <w:lang w:eastAsia="zh-CN"/>
        </w:rPr>
        <w:t>第三节</w:t>
      </w:r>
      <w:bookmarkEnd w:id="30"/>
      <w:bookmarkEnd w:id="31"/>
      <w:bookmarkEnd w:id="32"/>
      <w:r w:rsidRPr="00223645">
        <w:rPr>
          <w:rFonts w:ascii="黑体" w:hAnsi="黑体" w:hint="eastAsia"/>
          <w:color w:val="auto"/>
          <w:lang w:eastAsia="zh-CN"/>
        </w:rPr>
        <w:t xml:space="preserve"> 存在问题</w:t>
      </w:r>
      <w:bookmarkEnd w:id="37"/>
      <w:bookmarkEnd w:id="38"/>
      <w:bookmarkEnd w:id="39"/>
      <w:bookmarkEnd w:id="40"/>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虽在各级政府的鼓励政策下，充电基础设施在“十三五”期间得到了一定的发展，但在其建设及运营方面仍存在问题和短板。</w:t>
      </w:r>
    </w:p>
    <w:p w:rsidR="00FC37F6" w:rsidRPr="00223645" w:rsidRDefault="00223645" w:rsidP="00223645">
      <w:pPr>
        <w:widowControl/>
        <w:ind w:firstLine="562"/>
        <w:rPr>
          <w:rFonts w:ascii="黑体" w:eastAsia="黑体" w:hAnsi="黑体" w:cs="仿宋_GB2312"/>
          <w:b/>
          <w:bCs/>
          <w:color w:val="auto"/>
          <w:sz w:val="28"/>
          <w:szCs w:val="28"/>
          <w:lang w:eastAsia="zh-CN"/>
        </w:rPr>
      </w:pPr>
      <w:bookmarkStart w:id="41" w:name="_Toc21292"/>
      <w:r w:rsidRPr="00223645">
        <w:rPr>
          <w:rFonts w:ascii="黑体" w:eastAsia="黑体" w:hAnsi="黑体" w:cs="仿宋_GB2312" w:hint="eastAsia"/>
          <w:b/>
          <w:bCs/>
          <w:color w:val="auto"/>
          <w:sz w:val="28"/>
          <w:szCs w:val="28"/>
          <w:lang w:eastAsia="zh-CN"/>
        </w:rPr>
        <w:t>（1）充电站点结构性不均衡</w:t>
      </w:r>
      <w:bookmarkStart w:id="42" w:name="_Toc30618"/>
      <w:bookmarkEnd w:id="41"/>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目前，广汉市已建成的充电站主要集中分布在市域中心核心位置，周边区域内充电站数量相对较少。随着电动车渗透率的不断增加，部分区域将面临较大的充电缺口。</w:t>
      </w:r>
      <w:bookmarkEnd w:id="42"/>
    </w:p>
    <w:p w:rsidR="00FC37F6" w:rsidRPr="00223645" w:rsidRDefault="00223645" w:rsidP="00223645">
      <w:pPr>
        <w:widowControl/>
        <w:ind w:firstLine="562"/>
        <w:rPr>
          <w:rFonts w:ascii="黑体" w:eastAsia="黑体" w:hAnsi="黑体" w:cs="仿宋_GB2312"/>
          <w:b/>
          <w:bCs/>
          <w:color w:val="auto"/>
          <w:sz w:val="28"/>
          <w:szCs w:val="28"/>
          <w:lang w:eastAsia="zh-CN"/>
        </w:rPr>
      </w:pPr>
      <w:bookmarkStart w:id="43" w:name="_Toc13621"/>
      <w:r w:rsidRPr="00223645">
        <w:rPr>
          <w:rFonts w:ascii="黑体" w:eastAsia="黑体" w:hAnsi="黑体" w:cs="仿宋_GB2312" w:hint="eastAsia"/>
          <w:b/>
          <w:bCs/>
          <w:color w:val="auto"/>
          <w:sz w:val="28"/>
          <w:szCs w:val="28"/>
          <w:lang w:eastAsia="zh-CN"/>
        </w:rPr>
        <w:t>（2）电网供电保障困难</w:t>
      </w:r>
    </w:p>
    <w:p w:rsidR="00FC37F6" w:rsidRPr="00223645" w:rsidRDefault="00223645">
      <w:pPr>
        <w:widowControl/>
        <w:ind w:firstLine="560"/>
        <w:rPr>
          <w:rFonts w:ascii="黑体" w:eastAsia="黑体" w:hAnsi="黑体" w:cs="仿宋_GB2312"/>
          <w:b/>
          <w:bCs/>
          <w:color w:val="auto"/>
          <w:sz w:val="28"/>
          <w:szCs w:val="28"/>
          <w:lang w:eastAsia="zh-CN"/>
        </w:rPr>
      </w:pPr>
      <w:r w:rsidRPr="00223645">
        <w:rPr>
          <w:rFonts w:ascii="黑体" w:eastAsia="黑体" w:hAnsi="黑体" w:cs="仿宋_GB2312" w:hint="eastAsia"/>
          <w:color w:val="auto"/>
          <w:sz w:val="28"/>
          <w:szCs w:val="28"/>
          <w:lang w:eastAsia="zh-CN"/>
        </w:rPr>
        <w:t>充电基础设施一般建于人口密集区，这些区域往往意味着电力负荷密集，但老的片区往往未进行考虑电动汽车充电负荷的配电网规划，充电站的配套供电常面临电源不足的问题。</w:t>
      </w:r>
    </w:p>
    <w:p w:rsidR="00FC37F6" w:rsidRPr="00223645" w:rsidRDefault="00223645" w:rsidP="00223645">
      <w:pPr>
        <w:widowControl/>
        <w:ind w:firstLine="562"/>
        <w:rPr>
          <w:rFonts w:ascii="黑体" w:eastAsia="黑体" w:hAnsi="黑体" w:cs="仿宋_GB2312"/>
          <w:b/>
          <w:bCs/>
          <w:color w:val="auto"/>
          <w:sz w:val="28"/>
          <w:szCs w:val="28"/>
          <w:lang w:eastAsia="zh-CN"/>
        </w:rPr>
      </w:pPr>
      <w:r w:rsidRPr="00223645">
        <w:rPr>
          <w:rFonts w:ascii="黑体" w:eastAsia="黑体" w:hAnsi="黑体" w:cs="仿宋_GB2312" w:hint="eastAsia"/>
          <w:b/>
          <w:bCs/>
          <w:color w:val="auto"/>
          <w:sz w:val="28"/>
          <w:szCs w:val="28"/>
          <w:lang w:eastAsia="zh-CN"/>
        </w:rPr>
        <w:t>（3）充电满意度亟需提升</w:t>
      </w:r>
      <w:bookmarkStart w:id="44" w:name="_Toc25763"/>
      <w:bookmarkEnd w:id="43"/>
    </w:p>
    <w:p w:rsidR="00FC37F6" w:rsidRPr="00223645" w:rsidRDefault="00223645">
      <w:pPr>
        <w:widowControl/>
        <w:ind w:firstLine="560"/>
        <w:rPr>
          <w:rFonts w:ascii="黑体" w:eastAsia="黑体" w:hAnsi="黑体" w:cs="仿宋_GB2312"/>
          <w:b/>
          <w:bCs/>
          <w:color w:val="auto"/>
          <w:sz w:val="28"/>
          <w:szCs w:val="28"/>
          <w:lang w:eastAsia="zh-CN"/>
        </w:rPr>
      </w:pPr>
      <w:r w:rsidRPr="00223645">
        <w:rPr>
          <w:rFonts w:ascii="黑体" w:eastAsia="黑体" w:hAnsi="黑体" w:cs="仿宋_GB2312" w:hint="eastAsia"/>
          <w:color w:val="auto"/>
          <w:sz w:val="28"/>
          <w:szCs w:val="28"/>
          <w:lang w:eastAsia="zh-CN"/>
        </w:rPr>
        <w:t>当前，广汉市已建设了一些充电基础设施，但由于企业运营管理水平参差不齐，充电基础设施企业运营管理缺乏明确行业的管理规范。部分充电桩由于利用率较低，使得充电桩的运营商长期疏于桩的管理维护，导致部分桩存在性能下降甚至安全隐患，使得在实际充电过程中体验交叉；并且多数运营商也缺乏多潜在充电客户进行挖掘和引导，导致充电桩和充电需求并不能很好的进行匹配。</w:t>
      </w:r>
      <w:bookmarkEnd w:id="44"/>
    </w:p>
    <w:p w:rsidR="00FC37F6" w:rsidRPr="00223645" w:rsidRDefault="00223645" w:rsidP="00223645">
      <w:pPr>
        <w:widowControl/>
        <w:ind w:firstLine="562"/>
        <w:rPr>
          <w:rFonts w:ascii="黑体" w:eastAsia="黑体" w:hAnsi="黑体" w:cs="仿宋_GB2312"/>
          <w:b/>
          <w:bCs/>
          <w:color w:val="auto"/>
          <w:sz w:val="28"/>
          <w:szCs w:val="28"/>
          <w:lang w:eastAsia="zh-CN"/>
        </w:rPr>
      </w:pPr>
      <w:bookmarkStart w:id="45" w:name="_Toc8905"/>
      <w:r w:rsidRPr="00223645">
        <w:rPr>
          <w:rFonts w:ascii="黑体" w:eastAsia="黑体" w:hAnsi="黑体" w:cs="仿宋_GB2312" w:hint="eastAsia"/>
          <w:b/>
          <w:bCs/>
          <w:color w:val="auto"/>
          <w:sz w:val="28"/>
          <w:szCs w:val="28"/>
          <w:lang w:eastAsia="zh-CN"/>
        </w:rPr>
        <w:t>（4）充电设施建设协调难度大</w:t>
      </w:r>
      <w:bookmarkEnd w:id="45"/>
    </w:p>
    <w:p w:rsidR="00FC37F6" w:rsidRPr="00223645" w:rsidRDefault="00223645">
      <w:pPr>
        <w:widowControl/>
        <w:ind w:firstLine="560"/>
        <w:rPr>
          <w:rFonts w:ascii="黑体" w:eastAsia="黑体" w:hAnsi="黑体" w:cs="仿宋_GB2312"/>
          <w:b/>
          <w:bCs/>
          <w:color w:val="auto"/>
          <w:sz w:val="28"/>
          <w:szCs w:val="28"/>
          <w:lang w:eastAsia="zh-CN"/>
        </w:rPr>
      </w:pPr>
      <w:bookmarkStart w:id="46" w:name="_Toc13170"/>
      <w:r w:rsidRPr="00223645">
        <w:rPr>
          <w:rFonts w:ascii="黑体" w:eastAsia="黑体" w:hAnsi="黑体" w:cs="仿宋_GB2312" w:hint="eastAsia"/>
          <w:color w:val="auto"/>
          <w:sz w:val="28"/>
          <w:szCs w:val="28"/>
          <w:lang w:eastAsia="zh-CN"/>
        </w:rPr>
        <w:t>公共充电需求的位置主要集中在城市的集中商圈、公共停车场、居民小区停车场等公共区域。硬件设施建设也涉及到城市规划、建设用地、建</w:t>
      </w:r>
      <w:r w:rsidRPr="00223645">
        <w:rPr>
          <w:rFonts w:ascii="黑体" w:eastAsia="黑体" w:hAnsi="黑体" w:cs="仿宋_GB2312" w:hint="eastAsia"/>
          <w:color w:val="auto"/>
          <w:sz w:val="28"/>
          <w:szCs w:val="28"/>
          <w:lang w:eastAsia="zh-CN"/>
        </w:rPr>
        <w:lastRenderedPageBreak/>
        <w:t>筑不动产及配电网改造、地上地下管线迁改等问题。实施过程中涉及多个主管部门和相关单位，涉及主体多，利益诉求不一致，协调推进难度较大。</w:t>
      </w:r>
      <w:bookmarkEnd w:id="46"/>
    </w:p>
    <w:p w:rsidR="00FC37F6" w:rsidRPr="00223645" w:rsidRDefault="00223645" w:rsidP="00223645">
      <w:pPr>
        <w:widowControl/>
        <w:ind w:firstLine="562"/>
        <w:rPr>
          <w:rFonts w:ascii="黑体" w:eastAsia="黑体" w:hAnsi="黑体" w:cs="仿宋_GB2312"/>
          <w:b/>
          <w:bCs/>
          <w:color w:val="auto"/>
          <w:sz w:val="28"/>
          <w:szCs w:val="28"/>
          <w:lang w:eastAsia="zh-CN"/>
        </w:rPr>
      </w:pPr>
      <w:r w:rsidRPr="00223645">
        <w:rPr>
          <w:rFonts w:ascii="黑体" w:eastAsia="黑体" w:hAnsi="黑体" w:cs="仿宋_GB2312" w:hint="eastAsia"/>
          <w:b/>
          <w:bCs/>
          <w:color w:val="auto"/>
          <w:sz w:val="28"/>
          <w:szCs w:val="28"/>
          <w:lang w:eastAsia="zh-CN"/>
        </w:rPr>
        <w:t>（5）运营企业盈利难</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目前充电站运营企业主要是靠专区充电服务费和相关广告费。其主要原因是需要充电服务的电动汽车数量总量还不足以支撑起充电站现下的运营盈利模式，目前我国公共充电桩的利用率仅为3%-5%。其次消费者对于充电服务费价格较为敏感，充电桩准入门槛较低，同行企业的激烈竞争导致竞相压低价格使得盈利更为困难。</w:t>
      </w:r>
    </w:p>
    <w:p w:rsidR="00FC37F6" w:rsidRPr="00223645" w:rsidRDefault="00223645">
      <w:pPr>
        <w:pStyle w:val="2"/>
        <w:ind w:firstLine="643"/>
        <w:jc w:val="center"/>
        <w:rPr>
          <w:rFonts w:ascii="黑体" w:hAnsi="黑体"/>
          <w:color w:val="auto"/>
          <w:lang w:eastAsia="zh-CN"/>
        </w:rPr>
      </w:pPr>
      <w:bookmarkStart w:id="47" w:name="_Toc10460"/>
      <w:r w:rsidRPr="00223645">
        <w:rPr>
          <w:rFonts w:ascii="黑体" w:hAnsi="黑体" w:hint="eastAsia"/>
          <w:color w:val="auto"/>
          <w:lang w:eastAsia="zh-CN"/>
        </w:rPr>
        <w:t>第四节 充电基础设施政策环境</w:t>
      </w:r>
      <w:bookmarkEnd w:id="47"/>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color w:val="auto"/>
          <w:sz w:val="28"/>
          <w:szCs w:val="28"/>
          <w:lang w:eastAsia="zh-CN"/>
        </w:rPr>
        <w:t>在积极出台电动汽车相关支持政策的同时</w:t>
      </w:r>
      <w:r w:rsidRPr="00223645">
        <w:rPr>
          <w:rFonts w:ascii="黑体" w:eastAsia="黑体" w:hAnsi="黑体" w:cs="仿宋_GB2312" w:hint="eastAsia"/>
          <w:color w:val="auto"/>
          <w:sz w:val="28"/>
          <w:szCs w:val="28"/>
          <w:lang w:eastAsia="zh-CN"/>
        </w:rPr>
        <w:t>，</w:t>
      </w:r>
      <w:r w:rsidRPr="00223645">
        <w:rPr>
          <w:rFonts w:ascii="黑体" w:eastAsia="黑体" w:hAnsi="黑体" w:cs="仿宋_GB2312"/>
          <w:color w:val="auto"/>
          <w:sz w:val="28"/>
          <w:szCs w:val="28"/>
          <w:lang w:eastAsia="zh-CN"/>
        </w:rPr>
        <w:t>国务院、相关部委及各级地方政府陆续出台一系列充电基础设施建设的支持政策</w:t>
      </w:r>
      <w:r w:rsidRPr="00223645">
        <w:rPr>
          <w:rFonts w:ascii="黑体" w:eastAsia="黑体" w:hAnsi="黑体" w:cs="仿宋_GB2312" w:hint="eastAsia"/>
          <w:color w:val="auto"/>
          <w:sz w:val="28"/>
          <w:szCs w:val="28"/>
          <w:lang w:eastAsia="zh-CN"/>
        </w:rPr>
        <w:t>，</w:t>
      </w:r>
      <w:r w:rsidRPr="00223645">
        <w:rPr>
          <w:rFonts w:ascii="黑体" w:eastAsia="黑体" w:hAnsi="黑体" w:cs="仿宋_GB2312"/>
          <w:color w:val="auto"/>
          <w:sz w:val="28"/>
          <w:szCs w:val="28"/>
          <w:lang w:eastAsia="zh-CN"/>
        </w:rPr>
        <w:t>覆盖了顶层设计 指导、财政奖补、电价优惠、建筑物配建要求与相关标准规范、地方专项规划、数字化监管平台、充电基础设施建设运营监管、安全生产等各方面。 国家和地方层面均形成了较为完善的充电基础设施建设和发展的政策支持体系。</w:t>
      </w:r>
    </w:p>
    <w:p w:rsidR="00FC37F6" w:rsidRPr="00223645" w:rsidRDefault="00223645" w:rsidP="00223645">
      <w:pPr>
        <w:pStyle w:val="3"/>
        <w:numPr>
          <w:ilvl w:val="0"/>
          <w:numId w:val="18"/>
        </w:numPr>
        <w:ind w:firstLineChars="0"/>
        <w:rPr>
          <w:rFonts w:ascii="黑体" w:eastAsia="黑体" w:hAnsi="黑体"/>
          <w:color w:val="auto"/>
          <w:lang w:eastAsia="zh-CN"/>
        </w:rPr>
      </w:pPr>
      <w:r w:rsidRPr="00223645">
        <w:rPr>
          <w:rFonts w:ascii="黑体" w:eastAsia="黑体" w:hAnsi="黑体" w:hint="eastAsia"/>
          <w:color w:val="auto"/>
          <w:lang w:eastAsia="zh-CN"/>
        </w:rPr>
        <w:t xml:space="preserve">国家政策 </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国家层面政策主要分为发展规划、财政补贴、管理规范三种类型。2014年，制定电动汽车充用电价格政策以及对地方充电基础设施建设奖励的支持政策，并在2016、2019年进行延续；2015年，制 定充电基础设施指导意见和发展指南等顶层规划；2016年及201</w:t>
      </w:r>
      <w:r w:rsidRPr="00C95BD9">
        <w:rPr>
          <w:rFonts w:ascii="黑体" w:eastAsia="黑体" w:hAnsi="黑体" w:cs="仿宋_GB2312" w:hint="eastAsia"/>
          <w:color w:val="auto"/>
          <w:sz w:val="28"/>
          <w:szCs w:val="28"/>
          <w:lang w:eastAsia="zh-CN"/>
        </w:rPr>
        <w:t>7</w:t>
      </w:r>
      <w:r w:rsidRPr="00C95BD9">
        <w:rPr>
          <w:rFonts w:ascii="黑体" w:eastAsia="黑体" w:hAnsi="黑体" w:cs="仿宋_GB2312"/>
          <w:color w:val="auto"/>
          <w:sz w:val="28"/>
          <w:szCs w:val="28"/>
          <w:lang w:eastAsia="zh-CN"/>
        </w:rPr>
        <w:t>年，制定充电基础设施接口新国标的实施方案以及居民区、单位内部、停车场等不同区域的充电桩建设支持措施；2020年，发布</w:t>
      </w:r>
      <w:r w:rsidRPr="00C95BD9">
        <w:rPr>
          <w:rFonts w:ascii="黑体" w:eastAsia="黑体" w:hAnsi="黑体" w:cs="仿宋_GB2312" w:hint="eastAsia"/>
          <w:color w:val="auto"/>
          <w:sz w:val="28"/>
          <w:szCs w:val="28"/>
          <w:lang w:eastAsia="zh-CN"/>
        </w:rPr>
        <w:t>了展望十五年的</w:t>
      </w:r>
      <w:r w:rsidRPr="00C95BD9">
        <w:rPr>
          <w:rFonts w:ascii="黑体" w:eastAsia="黑体" w:hAnsi="黑体" w:cs="仿宋_GB2312"/>
          <w:color w:val="auto"/>
          <w:sz w:val="28"/>
          <w:szCs w:val="28"/>
          <w:lang w:eastAsia="zh-CN"/>
        </w:rPr>
        <w:t>新能源汽车产业发展规划</w:t>
      </w:r>
      <w:r w:rsidRPr="00C95BD9">
        <w:rPr>
          <w:rFonts w:ascii="黑体" w:eastAsia="黑体" w:hAnsi="黑体" w:cs="仿宋_GB2312" w:hint="eastAsia"/>
          <w:color w:val="auto"/>
          <w:sz w:val="28"/>
          <w:szCs w:val="28"/>
          <w:lang w:eastAsia="zh-CN"/>
        </w:rPr>
        <w:t>，</w:t>
      </w:r>
      <w:r w:rsidRPr="00C95BD9">
        <w:rPr>
          <w:rFonts w:ascii="黑体" w:eastAsia="黑体" w:hAnsi="黑体" w:cs="仿宋_GB2312"/>
          <w:color w:val="auto"/>
          <w:sz w:val="28"/>
          <w:szCs w:val="28"/>
          <w:lang w:eastAsia="zh-CN"/>
        </w:rPr>
        <w:t>对充电基础设施建设提出了新要求。</w:t>
      </w:r>
    </w:p>
    <w:p w:rsidR="00FC37F6" w:rsidRPr="00223645" w:rsidRDefault="00FC37F6">
      <w:pPr>
        <w:ind w:firstLineChars="0" w:firstLine="0"/>
        <w:jc w:val="center"/>
        <w:rPr>
          <w:rFonts w:ascii="黑体" w:eastAsia="黑体" w:hAnsi="黑体" w:cs="黑体"/>
          <w:color w:val="auto"/>
          <w:lang w:eastAsia="zh-CN"/>
        </w:rPr>
      </w:pPr>
    </w:p>
    <w:p w:rsidR="00FC37F6" w:rsidRPr="00223645" w:rsidRDefault="00FC37F6">
      <w:pPr>
        <w:ind w:firstLineChars="0" w:firstLine="0"/>
        <w:jc w:val="center"/>
        <w:rPr>
          <w:rFonts w:ascii="黑体" w:eastAsia="黑体" w:hAnsi="黑体" w:cs="黑体"/>
          <w:color w:val="auto"/>
          <w:lang w:eastAsia="zh-CN"/>
        </w:rPr>
      </w:pPr>
    </w:p>
    <w:p w:rsidR="00FC37F6" w:rsidRPr="00223645" w:rsidRDefault="00FC37F6">
      <w:pPr>
        <w:ind w:firstLineChars="0" w:firstLine="0"/>
        <w:jc w:val="center"/>
        <w:rPr>
          <w:rFonts w:ascii="黑体" w:eastAsia="黑体" w:hAnsi="黑体" w:cs="黑体"/>
          <w:color w:val="auto"/>
          <w:lang w:eastAsia="zh-CN"/>
        </w:rPr>
      </w:pPr>
    </w:p>
    <w:p w:rsidR="00FC37F6" w:rsidRPr="00223645" w:rsidRDefault="00223645" w:rsidP="00894E81">
      <w:pPr>
        <w:ind w:firstLine="480"/>
        <w:jc w:val="center"/>
        <w:rPr>
          <w:rFonts w:ascii="黑体" w:eastAsia="黑体" w:hAnsi="黑体"/>
          <w:color w:val="auto"/>
          <w:lang w:eastAsia="zh-CN"/>
        </w:rPr>
      </w:pPr>
      <w:r w:rsidRPr="00223645">
        <w:rPr>
          <w:rFonts w:ascii="黑体" w:eastAsia="黑体" w:hAnsi="黑体" w:cs="黑体" w:hint="eastAsia"/>
          <w:color w:val="auto"/>
          <w:lang w:eastAsia="zh-CN"/>
        </w:rPr>
        <w:t>表2.3 充电基础设施相关的国家政策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555"/>
        <w:gridCol w:w="1170"/>
        <w:gridCol w:w="2858"/>
        <w:gridCol w:w="1525"/>
        <w:gridCol w:w="1513"/>
      </w:tblGrid>
      <w:tr w:rsidR="00FC37F6" w:rsidRPr="00223645" w:rsidTr="00894E81">
        <w:tc>
          <w:tcPr>
            <w:tcW w:w="676"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序号</w:t>
            </w:r>
          </w:p>
        </w:tc>
        <w:tc>
          <w:tcPr>
            <w:tcW w:w="1555"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发布部门</w:t>
            </w:r>
          </w:p>
        </w:tc>
        <w:tc>
          <w:tcPr>
            <w:tcW w:w="1170"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发布时间</w:t>
            </w:r>
          </w:p>
        </w:tc>
        <w:tc>
          <w:tcPr>
            <w:tcW w:w="2858"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政策名称</w:t>
            </w:r>
          </w:p>
        </w:tc>
        <w:tc>
          <w:tcPr>
            <w:tcW w:w="1525"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文号</w:t>
            </w:r>
          </w:p>
        </w:tc>
        <w:tc>
          <w:tcPr>
            <w:tcW w:w="1513"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政策类别</w:t>
            </w:r>
          </w:p>
        </w:tc>
      </w:tr>
      <w:tr w:rsidR="00FC37F6" w:rsidRPr="00223645" w:rsidTr="00894E81">
        <w:trPr>
          <w:trHeight w:val="1031"/>
        </w:trPr>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国务院办公厅</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2014年7月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《关于电动汽车用电价格有关问题的通知》</w:t>
            </w:r>
          </w:p>
        </w:tc>
        <w:tc>
          <w:tcPr>
            <w:tcW w:w="152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国办发(2014)35号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财政补贴</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财政部、科技部、工信部、国家发改委</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2014年11月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《关于新能源汽车充电设施建设奖励的通知》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财建(2014)692号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财政补贴</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3</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国务院办公厅</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2015年9月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《关于加快电动汽车充电基础设施建设的指导意见》</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国办发(2015)73号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4</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财政部、科技部、工信部、国家发改委、住建部</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2015年11月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《电动汽车充电基础设施发展指南(2015年-2020年)》</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发改能源(2015)1454号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5</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财政部、科技部、工信部、国家发改委、国家能源局</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2016年1月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《关于“十三五”新能源汽车充电基础设施奖励政策及加强新能源汽车推广应用的通知》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财建(2016)7号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财政补贴</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6</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国家能源局</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2016年3月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《2016年能源工作指导意见》</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国能规划(2016)89号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7</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国家发改委、国家能源局、工信部、住建部</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2016年8月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《关于加快居民区电动汽车充电基础设施建设的通知》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发改能源(2016)1611号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管理规范</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8</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国家发改委、</w:t>
            </w:r>
            <w:r w:rsidRPr="00A41175">
              <w:rPr>
                <w:rFonts w:ascii="黑体" w:eastAsia="黑体" w:hAnsi="黑体" w:cs="宋体" w:hint="eastAsia"/>
                <w:color w:val="auto"/>
                <w:lang w:eastAsia="zh-CN"/>
              </w:rPr>
              <w:lastRenderedPageBreak/>
              <w:t>国家能源局、住建部、交通运输部</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lastRenderedPageBreak/>
              <w:t>2016年</w:t>
            </w:r>
            <w:r w:rsidRPr="00A41175">
              <w:rPr>
                <w:rFonts w:ascii="黑体" w:eastAsia="黑体" w:hAnsi="黑体" w:hint="eastAsia"/>
                <w:color w:val="auto"/>
                <w:lang w:eastAsia="zh-CN"/>
              </w:rPr>
              <w:lastRenderedPageBreak/>
              <w:t>12月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lastRenderedPageBreak/>
              <w:t>《关于统筹加快推进停车</w:t>
            </w:r>
            <w:r w:rsidRPr="00A41175">
              <w:rPr>
                <w:rFonts w:ascii="黑体" w:eastAsia="黑体" w:hAnsi="黑体" w:cs="宋体" w:hint="eastAsia"/>
                <w:color w:val="auto"/>
                <w:lang w:eastAsia="zh-CN"/>
              </w:rPr>
              <w:lastRenderedPageBreak/>
              <w:t>场与充电基础设施一体化建设的通知》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lastRenderedPageBreak/>
              <w:t>发改基础</w:t>
            </w:r>
            <w:r w:rsidRPr="00A41175">
              <w:rPr>
                <w:rFonts w:ascii="黑体" w:eastAsia="黑体" w:hAnsi="黑体" w:cs="宋体" w:hint="eastAsia"/>
                <w:color w:val="auto"/>
                <w:lang w:eastAsia="zh-CN"/>
              </w:rPr>
              <w:lastRenderedPageBreak/>
              <w:t>(2016)2826号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lastRenderedPageBreak/>
              <w:t>管理规范</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lastRenderedPageBreak/>
              <w:t>9</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国家发改委、国家能源局、工信部</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2016年12月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《关于印发电动汽车充电基础设施接口新国标的实施方案的通知》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发改能源(2016)2668号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管理规范</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10</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国家发改委、国资委、国管局</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2017年1月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《关于加快单位内部电动汽车充电基础设施建设的通知》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国能电力(2017)19号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管理规范</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11</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国家能源局</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2017年2月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《2017年能源工作指导意见》</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国能规划(2017)46号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12</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国家能源局</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2018年2月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《2018年能源工作指导意见》</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国能规划(2018)22号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13</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国家发改委、国家能源局、工信部、财政部</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2018年11月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《提升新能源汽车充电保障能力行动计划》</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发改能源(2018)1698号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管理规范</w:t>
            </w:r>
          </w:p>
        </w:tc>
      </w:tr>
      <w:tr w:rsidR="00FC37F6" w:rsidRPr="00223645" w:rsidTr="00894E81">
        <w:tc>
          <w:tcPr>
            <w:tcW w:w="676"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hint="eastAsia"/>
                <w:color w:val="auto"/>
                <w:lang w:eastAsia="zh-CN"/>
              </w:rPr>
              <w:t>14</w:t>
            </w:r>
          </w:p>
        </w:tc>
        <w:tc>
          <w:tcPr>
            <w:tcW w:w="1555"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hint="eastAsia"/>
                <w:color w:val="auto"/>
                <w:lang w:eastAsia="zh-CN"/>
              </w:rPr>
              <w:t>财政部、工信部、科技部、国家发改委</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2019年3月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《关于进一步完善新能源汽车推广应用财政补贴政策的通知》</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财建(2019)138号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财政补贴</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15</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交通运输部、中宣部、国家发改委等部门</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2019年5月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《绿色出行行动计划（2019—2022年）》</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交运发(2019)70号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管理规范</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16</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国务院办公厅</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2020年10月</w:t>
            </w:r>
          </w:p>
        </w:tc>
        <w:tc>
          <w:tcPr>
            <w:tcW w:w="2858"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《新能源汽车产业发展规划（2021—2035年）》</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国办发(2020)39号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bl>
    <w:p w:rsidR="00FC37F6" w:rsidRPr="00223645" w:rsidRDefault="00FC37F6">
      <w:pPr>
        <w:widowControl/>
        <w:ind w:firstLine="620"/>
        <w:rPr>
          <w:rFonts w:ascii="黑体" w:eastAsia="黑体" w:hAnsi="黑体" w:cs="仿宋_GB2312"/>
          <w:color w:val="auto"/>
          <w:sz w:val="31"/>
          <w:szCs w:val="31"/>
          <w:lang w:eastAsia="zh-CN"/>
        </w:rPr>
      </w:pP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相关国家政策变化趋势分析如下：</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（1）发展规划方面</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lastRenderedPageBreak/>
        <w:t>截至2020年底，全国新能源汽车（纯电动车、混动车及氢燃料电池车）保有量492万辆，其中纯电动汽车保有量400万辆，占新能源汽车总量的81.32%。截至2020年底全国充电基础设施保有量168.1万台。按照《新能源汽车产业发展规划（2021—2035年）》的发展目标，到2025年新能源汽车新车销量占比达到20%左右，未来充电基础设施的建设依然存在较大压力。《2020年国务院政府工作报告》中，“新能源汽车”首次缺席，“建设充电桩”扩展为“增加充电桩、换电站等设施”，表明国家对新能源汽车产业的引导和扶持重心从前端转入后端即使用端上，换电模式未来将与</w:t>
      </w:r>
      <w:r w:rsidRPr="00C95BD9">
        <w:rPr>
          <w:rFonts w:ascii="黑体" w:eastAsia="黑体" w:hAnsi="黑体" w:cs="仿宋_GB2312" w:hint="eastAsia"/>
          <w:color w:val="auto"/>
          <w:sz w:val="28"/>
          <w:szCs w:val="28"/>
          <w:lang w:eastAsia="zh-CN"/>
        </w:rPr>
        <w:t>充</w:t>
      </w:r>
      <w:r w:rsidRPr="00C95BD9">
        <w:rPr>
          <w:rFonts w:ascii="黑体" w:eastAsia="黑体" w:hAnsi="黑体" w:cs="仿宋_GB2312"/>
          <w:color w:val="auto"/>
          <w:sz w:val="28"/>
          <w:szCs w:val="28"/>
          <w:lang w:eastAsia="zh-CN"/>
        </w:rPr>
        <w:t>电模式并行，步入积极发展轨道。</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（2）财政补贴方面</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财政补贴政策总体呈现三大趋势：一是由补贴电动汽车逐渐过渡到补贴充电基础设施；二是随着电动汽车推广数量增加相应的充电基础设施补贴力度逐步加大；三是补贴由最初侧重基础设施建设逐渐向配套运营方面倾斜。</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（3）管理规范方面</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从居民区、停车场、单位内部、城市公交枢纽、高速公路服务区等方面对充电基础设施进行了优化布局，并以政策形式保障了充电接口新国标的落实，提升了充电基础设施互联互通能力。</w:t>
      </w:r>
    </w:p>
    <w:p w:rsidR="00FC37F6" w:rsidRPr="00223645" w:rsidRDefault="00223645" w:rsidP="00223645">
      <w:pPr>
        <w:pStyle w:val="3"/>
        <w:numPr>
          <w:ilvl w:val="0"/>
          <w:numId w:val="18"/>
        </w:numPr>
        <w:ind w:firstLineChars="0"/>
        <w:rPr>
          <w:rFonts w:ascii="黑体" w:eastAsia="黑体" w:hAnsi="黑体"/>
          <w:color w:val="auto"/>
          <w:lang w:eastAsia="zh-CN"/>
        </w:rPr>
      </w:pPr>
      <w:r w:rsidRPr="00223645">
        <w:rPr>
          <w:rFonts w:ascii="黑体" w:eastAsia="黑体" w:hAnsi="黑体"/>
          <w:color w:val="auto"/>
          <w:lang w:eastAsia="zh-CN"/>
        </w:rPr>
        <w:t>四川省政策</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四川省政府承接国家规划和有关政策，出台充电设施建设相关规划和补贴鼓励政策。《四川省</w:t>
      </w:r>
      <w:r w:rsidRPr="00C95BD9">
        <w:rPr>
          <w:rFonts w:ascii="黑体" w:eastAsia="黑体" w:hAnsi="黑体" w:cs="仿宋_GB2312" w:hint="eastAsia"/>
          <w:color w:val="auto"/>
          <w:sz w:val="28"/>
          <w:szCs w:val="28"/>
          <w:lang w:eastAsia="zh-CN"/>
        </w:rPr>
        <w:t>推进电动汽车充电基础设施建设工作方案</w:t>
      </w:r>
      <w:r w:rsidRPr="00C95BD9">
        <w:rPr>
          <w:rFonts w:ascii="黑体" w:eastAsia="黑体" w:hAnsi="黑体" w:cs="仿宋_GB2312"/>
          <w:color w:val="auto"/>
          <w:sz w:val="28"/>
          <w:szCs w:val="28"/>
          <w:lang w:eastAsia="zh-CN"/>
        </w:rPr>
        <w:t>》中要求</w:t>
      </w:r>
      <w:r w:rsidRPr="00C95BD9">
        <w:rPr>
          <w:rFonts w:ascii="黑体" w:eastAsia="黑体" w:hAnsi="黑体" w:cs="仿宋_GB2312" w:hint="eastAsia"/>
          <w:color w:val="auto"/>
          <w:sz w:val="28"/>
          <w:szCs w:val="28"/>
          <w:lang w:eastAsia="zh-CN"/>
        </w:rPr>
        <w:t>按照“车桩相宜、适度超前”的原则，建成布局合理、运行高效、安全稳定的充电基础设施体系，基本满足全省电动汽车充电需求。到</w:t>
      </w:r>
      <w:r w:rsidRPr="00C95BD9">
        <w:rPr>
          <w:rFonts w:ascii="黑体" w:eastAsia="黑体" w:hAnsi="黑体" w:cs="仿宋_GB2312"/>
          <w:color w:val="auto"/>
          <w:sz w:val="28"/>
          <w:szCs w:val="28"/>
          <w:lang w:eastAsia="zh-CN"/>
        </w:rPr>
        <w:t>2025年，全省建成充电设施20万个，基本实现电动汽车充电</w:t>
      </w:r>
      <w:r w:rsidRPr="00C95BD9">
        <w:rPr>
          <w:rFonts w:ascii="黑体" w:eastAsia="黑体" w:hAnsi="黑体" w:cs="仿宋_GB2312" w:hint="eastAsia"/>
          <w:color w:val="auto"/>
          <w:sz w:val="28"/>
          <w:szCs w:val="28"/>
          <w:lang w:eastAsia="zh-CN"/>
        </w:rPr>
        <w:t>站</w:t>
      </w:r>
      <w:r w:rsidRPr="00C95BD9">
        <w:rPr>
          <w:rFonts w:ascii="黑体" w:eastAsia="黑体" w:hAnsi="黑体" w:cs="仿宋_GB2312"/>
          <w:color w:val="auto"/>
          <w:sz w:val="28"/>
          <w:szCs w:val="28"/>
          <w:lang w:eastAsia="zh-CN"/>
        </w:rPr>
        <w:t>县县全覆盖、电动汽车充电桩乡乡全覆盖。</w:t>
      </w:r>
    </w:p>
    <w:p w:rsidR="00FC37F6" w:rsidRPr="00223645" w:rsidRDefault="00FC37F6">
      <w:pPr>
        <w:pStyle w:val="a0"/>
        <w:ind w:firstLine="480"/>
        <w:rPr>
          <w:rFonts w:ascii="黑体" w:eastAsia="黑体" w:hAnsi="黑体"/>
          <w:color w:val="auto"/>
          <w:szCs w:val="32"/>
          <w:lang w:eastAsia="zh-CN"/>
        </w:rPr>
      </w:pPr>
    </w:p>
    <w:p w:rsidR="00FC37F6" w:rsidRPr="00223645" w:rsidRDefault="00FC37F6">
      <w:pPr>
        <w:pStyle w:val="a0"/>
        <w:ind w:firstLine="480"/>
        <w:rPr>
          <w:rFonts w:ascii="黑体" w:eastAsia="黑体" w:hAnsi="黑体"/>
          <w:color w:val="auto"/>
          <w:szCs w:val="32"/>
          <w:lang w:eastAsia="zh-CN"/>
        </w:rPr>
      </w:pPr>
    </w:p>
    <w:p w:rsidR="00FC37F6" w:rsidRPr="00223645" w:rsidRDefault="00FC37F6">
      <w:pPr>
        <w:pStyle w:val="a0"/>
        <w:ind w:firstLine="480"/>
        <w:rPr>
          <w:rFonts w:ascii="黑体" w:eastAsia="黑体" w:hAnsi="黑体"/>
          <w:color w:val="auto"/>
          <w:szCs w:val="32"/>
          <w:lang w:eastAsia="zh-CN"/>
        </w:rPr>
      </w:pPr>
    </w:p>
    <w:p w:rsidR="00FC37F6" w:rsidRPr="00223645" w:rsidRDefault="00FC37F6">
      <w:pPr>
        <w:pStyle w:val="a0"/>
        <w:ind w:firstLine="480"/>
        <w:rPr>
          <w:rFonts w:ascii="黑体" w:eastAsia="黑体" w:hAnsi="黑体"/>
          <w:color w:val="auto"/>
          <w:szCs w:val="32"/>
          <w:lang w:eastAsia="zh-CN"/>
        </w:rPr>
      </w:pPr>
    </w:p>
    <w:p w:rsidR="00FC37F6" w:rsidRPr="00223645" w:rsidRDefault="00223645" w:rsidP="00894E81">
      <w:pPr>
        <w:ind w:firstLine="480"/>
        <w:jc w:val="center"/>
        <w:rPr>
          <w:rFonts w:ascii="黑体" w:eastAsia="黑体" w:hAnsi="黑体" w:cs="仿宋_GB2312"/>
          <w:color w:val="auto"/>
          <w:sz w:val="31"/>
          <w:szCs w:val="31"/>
          <w:lang w:eastAsia="zh-CN"/>
        </w:rPr>
      </w:pPr>
      <w:r w:rsidRPr="00223645">
        <w:rPr>
          <w:rFonts w:ascii="黑体" w:eastAsia="黑体" w:hAnsi="黑体" w:cs="黑体" w:hint="eastAsia"/>
          <w:color w:val="auto"/>
          <w:lang w:eastAsia="zh-CN"/>
        </w:rPr>
        <w:t>表2.4  充电基础设施相关的四川省政策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555"/>
        <w:gridCol w:w="1170"/>
        <w:gridCol w:w="2858"/>
        <w:gridCol w:w="1525"/>
        <w:gridCol w:w="1513"/>
      </w:tblGrid>
      <w:tr w:rsidR="00FC37F6" w:rsidRPr="00223645" w:rsidTr="00894E81">
        <w:tc>
          <w:tcPr>
            <w:tcW w:w="676"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序号</w:t>
            </w:r>
          </w:p>
        </w:tc>
        <w:tc>
          <w:tcPr>
            <w:tcW w:w="1555"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发布部门</w:t>
            </w:r>
          </w:p>
        </w:tc>
        <w:tc>
          <w:tcPr>
            <w:tcW w:w="1170"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发布时间</w:t>
            </w:r>
          </w:p>
        </w:tc>
        <w:tc>
          <w:tcPr>
            <w:tcW w:w="2858"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政策名称</w:t>
            </w:r>
          </w:p>
        </w:tc>
        <w:tc>
          <w:tcPr>
            <w:tcW w:w="1525"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文号</w:t>
            </w:r>
          </w:p>
        </w:tc>
        <w:tc>
          <w:tcPr>
            <w:tcW w:w="1513" w:type="dxa"/>
            <w:vAlign w:val="center"/>
          </w:tcPr>
          <w:p w:rsidR="00FC37F6" w:rsidRPr="00A41175" w:rsidRDefault="00223645">
            <w:pPr>
              <w:ind w:firstLineChars="0" w:firstLine="0"/>
              <w:jc w:val="center"/>
              <w:rPr>
                <w:rFonts w:ascii="黑体" w:eastAsia="黑体" w:hAnsi="黑体"/>
                <w:color w:val="auto"/>
                <w:lang w:eastAsia="zh-CN"/>
              </w:rPr>
            </w:pPr>
            <w:r w:rsidRPr="00A41175">
              <w:rPr>
                <w:rFonts w:ascii="黑体" w:eastAsia="黑体" w:hAnsi="黑体" w:hint="eastAsia"/>
                <w:color w:val="auto"/>
                <w:lang w:eastAsia="zh-CN"/>
              </w:rPr>
              <w:t>政策类别</w:t>
            </w:r>
          </w:p>
        </w:tc>
      </w:tr>
      <w:tr w:rsidR="00FC37F6" w:rsidRPr="00223645" w:rsidTr="00894E81">
        <w:trPr>
          <w:trHeight w:val="1031"/>
        </w:trPr>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color w:val="auto"/>
                <w:lang w:eastAsia="zh-CN"/>
              </w:rPr>
              <w:t>1</w:t>
            </w:r>
          </w:p>
        </w:tc>
        <w:tc>
          <w:tcPr>
            <w:tcW w:w="1555" w:type="dxa"/>
            <w:vAlign w:val="center"/>
          </w:tcPr>
          <w:p w:rsidR="00FC37F6" w:rsidRPr="00A41175" w:rsidRDefault="00223645">
            <w:pPr>
              <w:widowControl/>
              <w:ind w:firstLineChars="0" w:firstLine="0"/>
              <w:rPr>
                <w:rFonts w:ascii="黑体" w:eastAsia="黑体" w:hAnsi="黑体" w:cs="宋体"/>
                <w:color w:val="auto"/>
              </w:rPr>
            </w:pPr>
            <w:r w:rsidRPr="00A41175">
              <w:rPr>
                <w:rFonts w:ascii="黑体" w:eastAsia="黑体" w:hAnsi="黑体" w:cs="宋体" w:hint="eastAsia"/>
                <w:color w:val="auto"/>
              </w:rPr>
              <w:t>四川发展改革委员会</w:t>
            </w:r>
          </w:p>
        </w:tc>
        <w:tc>
          <w:tcPr>
            <w:tcW w:w="1170" w:type="dxa"/>
            <w:vAlign w:val="center"/>
          </w:tcPr>
          <w:p w:rsidR="00FC37F6" w:rsidRPr="00A41175" w:rsidRDefault="00223645">
            <w:pPr>
              <w:ind w:firstLineChars="0" w:firstLine="0"/>
              <w:rPr>
                <w:rFonts w:ascii="黑体" w:eastAsia="黑体" w:hAnsi="黑体"/>
                <w:color w:val="auto"/>
              </w:rPr>
            </w:pPr>
            <w:r w:rsidRPr="00A41175">
              <w:rPr>
                <w:rFonts w:ascii="黑体" w:eastAsia="黑体" w:hAnsi="黑体"/>
                <w:color w:val="auto"/>
                <w:lang w:eastAsia="zh-CN"/>
              </w:rPr>
              <w:t>2023</w:t>
            </w:r>
            <w:r w:rsidRPr="00A41175">
              <w:rPr>
                <w:rFonts w:ascii="黑体" w:eastAsia="黑体" w:hAnsi="黑体" w:hint="eastAsia"/>
                <w:color w:val="auto"/>
              </w:rPr>
              <w:t>年</w:t>
            </w:r>
            <w:r w:rsidRPr="00A41175">
              <w:rPr>
                <w:rFonts w:ascii="黑体" w:eastAsia="黑体" w:hAnsi="黑体"/>
                <w:color w:val="auto"/>
              </w:rPr>
              <w:t>3</w:t>
            </w:r>
            <w:r w:rsidRPr="00A41175">
              <w:rPr>
                <w:rFonts w:ascii="黑体" w:eastAsia="黑体" w:hAnsi="黑体" w:hint="eastAsia"/>
                <w:color w:val="auto"/>
              </w:rPr>
              <w:t>月</w:t>
            </w:r>
          </w:p>
        </w:tc>
        <w:tc>
          <w:tcPr>
            <w:tcW w:w="2858"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color w:val="auto"/>
                <w:lang w:eastAsia="zh-CN"/>
              </w:rPr>
              <w:t>《</w:t>
            </w:r>
            <w:r w:rsidRPr="00A41175">
              <w:rPr>
                <w:rFonts w:ascii="黑体" w:eastAsia="黑体" w:hAnsi="黑体" w:cs="宋体" w:hint="eastAsia"/>
                <w:color w:val="auto"/>
                <w:lang w:eastAsia="zh-CN"/>
              </w:rPr>
              <w:t>四川省充电基础设施建设运营管理办法</w:t>
            </w:r>
            <w:r w:rsidRPr="00A41175">
              <w:rPr>
                <w:rFonts w:ascii="黑体" w:eastAsia="黑体" w:hAnsi="黑体" w:cs="宋体"/>
                <w:color w:val="auto"/>
                <w:lang w:eastAsia="zh-CN"/>
              </w:rPr>
              <w:t>》</w:t>
            </w:r>
          </w:p>
        </w:tc>
        <w:tc>
          <w:tcPr>
            <w:tcW w:w="1525" w:type="dxa"/>
            <w:vAlign w:val="center"/>
          </w:tcPr>
          <w:p w:rsidR="00FC37F6" w:rsidRPr="00A41175" w:rsidRDefault="00223645">
            <w:pPr>
              <w:widowControl/>
              <w:ind w:firstLineChars="0" w:firstLine="0"/>
              <w:rPr>
                <w:rFonts w:ascii="黑体" w:eastAsia="黑体" w:hAnsi="黑体" w:cs="宋体"/>
                <w:color w:val="auto"/>
              </w:rPr>
            </w:pPr>
            <w:r w:rsidRPr="00A41175">
              <w:rPr>
                <w:rFonts w:ascii="黑体" w:eastAsia="黑体" w:hAnsi="黑体" w:cs="宋体" w:hint="eastAsia"/>
                <w:color w:val="auto"/>
              </w:rPr>
              <w:t>川发改能源规</w:t>
            </w:r>
            <w:r w:rsidRPr="00A41175">
              <w:rPr>
                <w:rFonts w:ascii="黑体" w:eastAsia="黑体" w:hAnsi="黑体" w:cs="宋体"/>
                <w:color w:val="auto"/>
              </w:rPr>
              <w:t>（2023）137</w:t>
            </w:r>
            <w:r w:rsidRPr="00A41175">
              <w:rPr>
                <w:rFonts w:ascii="黑体" w:eastAsia="黑体" w:hAnsi="黑体" w:cs="宋体" w:hint="eastAsia"/>
                <w:color w:val="auto"/>
              </w:rPr>
              <w:t>号</w:t>
            </w:r>
          </w:p>
        </w:tc>
        <w:tc>
          <w:tcPr>
            <w:tcW w:w="1513" w:type="dxa"/>
            <w:vAlign w:val="center"/>
          </w:tcPr>
          <w:p w:rsidR="00FC37F6" w:rsidRPr="00A41175" w:rsidRDefault="00223645">
            <w:pPr>
              <w:ind w:firstLineChars="0" w:firstLine="0"/>
              <w:rPr>
                <w:rFonts w:ascii="黑体" w:eastAsia="黑体" w:hAnsi="黑体"/>
                <w:color w:val="auto"/>
              </w:rPr>
            </w:pPr>
            <w:r w:rsidRPr="00A41175">
              <w:rPr>
                <w:rFonts w:ascii="黑体" w:eastAsia="黑体" w:hAnsi="黑体" w:hint="eastAsia"/>
                <w:color w:val="auto"/>
              </w:rPr>
              <w:t>管理规范</w:t>
            </w:r>
          </w:p>
        </w:tc>
      </w:tr>
      <w:tr w:rsidR="00FC37F6" w:rsidRPr="00223645" w:rsidTr="00894E81">
        <w:trPr>
          <w:trHeight w:val="1031"/>
        </w:trPr>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color w:val="auto"/>
                <w:lang w:eastAsia="zh-CN"/>
              </w:rPr>
              <w:t>2</w:t>
            </w:r>
          </w:p>
        </w:tc>
        <w:tc>
          <w:tcPr>
            <w:tcW w:w="1555"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hint="eastAsia"/>
                <w:color w:val="auto"/>
                <w:lang w:eastAsia="zh-CN"/>
              </w:rPr>
              <w:t>四川省人民政府办公厅</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2022年11月</w:t>
            </w:r>
          </w:p>
        </w:tc>
        <w:tc>
          <w:tcPr>
            <w:tcW w:w="2858"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hint="eastAsia"/>
                <w:color w:val="auto"/>
                <w:lang w:eastAsia="zh-CN"/>
              </w:rPr>
              <w:t>《四川省推进电动汽车充电基础设施建设工作方案》</w:t>
            </w:r>
          </w:p>
          <w:p w:rsidR="00FC37F6" w:rsidRPr="00A41175" w:rsidRDefault="00FC37F6">
            <w:pPr>
              <w:widowControl/>
              <w:ind w:firstLineChars="0" w:firstLine="0"/>
              <w:rPr>
                <w:rFonts w:ascii="黑体" w:eastAsia="黑体" w:hAnsi="黑体" w:cs="宋体"/>
                <w:color w:val="auto"/>
                <w:lang w:eastAsia="zh-CN"/>
              </w:rPr>
            </w:pPr>
          </w:p>
        </w:tc>
        <w:tc>
          <w:tcPr>
            <w:tcW w:w="1525" w:type="dxa"/>
            <w:vAlign w:val="center"/>
          </w:tcPr>
          <w:p w:rsidR="00FC37F6" w:rsidRPr="00A41175" w:rsidRDefault="00FC37F6">
            <w:pPr>
              <w:widowControl/>
              <w:ind w:firstLineChars="0" w:firstLine="0"/>
              <w:rPr>
                <w:rFonts w:ascii="黑体" w:eastAsia="黑体" w:hAnsi="黑体" w:cs="宋体"/>
                <w:color w:val="auto"/>
                <w:lang w:eastAsia="zh-CN"/>
              </w:rPr>
            </w:pP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rPr>
          <w:trHeight w:val="1031"/>
        </w:trPr>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color w:val="auto"/>
                <w:lang w:eastAsia="zh-CN"/>
              </w:rPr>
              <w:t>3</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四川省人民政府办公厅</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2017年3月</w:t>
            </w:r>
          </w:p>
        </w:tc>
        <w:tc>
          <w:tcPr>
            <w:tcW w:w="2858"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hint="eastAsia"/>
                <w:color w:val="auto"/>
                <w:lang w:eastAsia="zh-CN"/>
              </w:rPr>
              <w:t>《四川省人民政府办公厅关</w:t>
            </w:r>
          </w:p>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于加快电动汽车充电基础设施建设的实施意见》</w:t>
            </w:r>
          </w:p>
        </w:tc>
        <w:tc>
          <w:tcPr>
            <w:tcW w:w="152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川办发(2017)19号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发展规划</w:t>
            </w:r>
          </w:p>
        </w:tc>
      </w:tr>
      <w:tr w:rsidR="00FC37F6" w:rsidRPr="00223645" w:rsidTr="00894E81">
        <w:tc>
          <w:tcPr>
            <w:tcW w:w="676"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color w:val="auto"/>
                <w:lang w:eastAsia="zh-CN"/>
              </w:rPr>
              <w:t>4</w:t>
            </w:r>
          </w:p>
        </w:tc>
        <w:tc>
          <w:tcPr>
            <w:tcW w:w="1555" w:type="dxa"/>
            <w:vAlign w:val="center"/>
          </w:tcPr>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四川省发展改革委</w:t>
            </w:r>
          </w:p>
        </w:tc>
        <w:tc>
          <w:tcPr>
            <w:tcW w:w="1170"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2020年7月</w:t>
            </w:r>
          </w:p>
        </w:tc>
        <w:tc>
          <w:tcPr>
            <w:tcW w:w="2858" w:type="dxa"/>
            <w:vAlign w:val="center"/>
          </w:tcPr>
          <w:p w:rsidR="00FC37F6" w:rsidRPr="00A41175" w:rsidRDefault="00223645">
            <w:pPr>
              <w:widowControl/>
              <w:ind w:firstLineChars="0" w:firstLine="0"/>
              <w:rPr>
                <w:rFonts w:ascii="黑体" w:eastAsia="黑体" w:hAnsi="黑体" w:cs="宋体"/>
                <w:color w:val="auto"/>
                <w:lang w:eastAsia="zh-CN"/>
              </w:rPr>
            </w:pPr>
            <w:r w:rsidRPr="00A41175">
              <w:rPr>
                <w:rFonts w:ascii="黑体" w:eastAsia="黑体" w:hAnsi="黑体" w:cs="宋体" w:hint="eastAsia"/>
                <w:color w:val="auto"/>
                <w:lang w:eastAsia="zh-CN"/>
              </w:rPr>
              <w:t>《四川省公（专）用充电基</w:t>
            </w:r>
          </w:p>
          <w:p w:rsidR="00FC37F6" w:rsidRPr="00A41175" w:rsidRDefault="00223645">
            <w:pPr>
              <w:widowControl/>
              <w:ind w:firstLineChars="0" w:firstLine="0"/>
              <w:rPr>
                <w:rFonts w:ascii="黑体" w:eastAsia="黑体" w:hAnsi="黑体"/>
                <w:color w:val="auto"/>
                <w:lang w:eastAsia="zh-CN"/>
              </w:rPr>
            </w:pPr>
            <w:r w:rsidRPr="00A41175">
              <w:rPr>
                <w:rFonts w:ascii="黑体" w:eastAsia="黑体" w:hAnsi="黑体" w:cs="宋体" w:hint="eastAsia"/>
                <w:color w:val="auto"/>
                <w:lang w:eastAsia="zh-CN"/>
              </w:rPr>
              <w:t>础设施建设运营管理暂行办法》</w:t>
            </w:r>
          </w:p>
        </w:tc>
        <w:tc>
          <w:tcPr>
            <w:tcW w:w="1525" w:type="dxa"/>
            <w:vAlign w:val="center"/>
          </w:tcPr>
          <w:p w:rsidR="00FC37F6" w:rsidRPr="00A41175" w:rsidRDefault="00223645">
            <w:pPr>
              <w:widowControl/>
              <w:ind w:firstLineChars="0" w:firstLine="0"/>
              <w:jc w:val="center"/>
              <w:rPr>
                <w:rFonts w:ascii="黑体" w:eastAsia="黑体" w:hAnsi="黑体"/>
                <w:color w:val="auto"/>
                <w:lang w:eastAsia="zh-CN"/>
              </w:rPr>
            </w:pPr>
            <w:r w:rsidRPr="00A41175">
              <w:rPr>
                <w:rFonts w:ascii="黑体" w:eastAsia="黑体" w:hAnsi="黑体" w:cs="宋体" w:hint="eastAsia"/>
                <w:color w:val="auto"/>
                <w:lang w:eastAsia="zh-CN"/>
              </w:rPr>
              <w:t>川发改能源规(2020)380号</w:t>
            </w:r>
          </w:p>
        </w:tc>
        <w:tc>
          <w:tcPr>
            <w:tcW w:w="1513" w:type="dxa"/>
            <w:vAlign w:val="center"/>
          </w:tcPr>
          <w:p w:rsidR="00FC37F6" w:rsidRPr="00A41175" w:rsidRDefault="00223645">
            <w:pPr>
              <w:ind w:firstLineChars="0" w:firstLine="0"/>
              <w:rPr>
                <w:rFonts w:ascii="黑体" w:eastAsia="黑体" w:hAnsi="黑体"/>
                <w:color w:val="auto"/>
                <w:lang w:eastAsia="zh-CN"/>
              </w:rPr>
            </w:pPr>
            <w:r w:rsidRPr="00A41175">
              <w:rPr>
                <w:rFonts w:ascii="黑体" w:eastAsia="黑体" w:hAnsi="黑体" w:hint="eastAsia"/>
                <w:color w:val="auto"/>
                <w:lang w:eastAsia="zh-CN"/>
              </w:rPr>
              <w:t>管理规范</w:t>
            </w:r>
          </w:p>
        </w:tc>
      </w:tr>
    </w:tbl>
    <w:p w:rsidR="00FC37F6" w:rsidRPr="00223645" w:rsidRDefault="00FC37F6">
      <w:pPr>
        <w:ind w:firstLineChars="0" w:firstLine="0"/>
        <w:rPr>
          <w:rFonts w:ascii="黑体" w:eastAsia="黑体" w:hAnsi="黑体" w:cs="仿宋_GB2312"/>
          <w:color w:val="auto"/>
          <w:sz w:val="31"/>
          <w:szCs w:val="31"/>
          <w:lang w:eastAsia="zh-CN"/>
        </w:rPr>
      </w:pPr>
    </w:p>
    <w:p w:rsidR="00FC37F6" w:rsidRPr="00223645" w:rsidRDefault="00223645">
      <w:pPr>
        <w:pStyle w:val="2"/>
        <w:numPr>
          <w:ilvl w:val="0"/>
          <w:numId w:val="1"/>
        </w:numPr>
        <w:ind w:firstLine="643"/>
        <w:jc w:val="center"/>
        <w:rPr>
          <w:rFonts w:ascii="黑体" w:hAnsi="黑体"/>
          <w:color w:val="auto"/>
          <w:lang w:eastAsia="zh-CN"/>
        </w:rPr>
      </w:pPr>
      <w:r w:rsidRPr="00223645">
        <w:rPr>
          <w:rFonts w:ascii="黑体" w:hAnsi="黑体" w:hint="eastAsia"/>
          <w:color w:val="auto"/>
          <w:lang w:eastAsia="zh-CN"/>
        </w:rPr>
        <w:t xml:space="preserve"> </w:t>
      </w:r>
      <w:bookmarkStart w:id="48" w:name="_Toc14793"/>
      <w:r w:rsidRPr="00223645">
        <w:rPr>
          <w:rFonts w:ascii="黑体" w:hAnsi="黑体" w:hint="eastAsia"/>
          <w:color w:val="auto"/>
          <w:lang w:eastAsia="zh-CN"/>
        </w:rPr>
        <w:t>充电基础设施建设面临的机遇与挑战</w:t>
      </w:r>
      <w:bookmarkEnd w:id="48"/>
    </w:p>
    <w:p w:rsidR="00FC37F6" w:rsidRPr="00223645" w:rsidRDefault="00223645" w:rsidP="00223645">
      <w:pPr>
        <w:pStyle w:val="3"/>
        <w:numPr>
          <w:ilvl w:val="0"/>
          <w:numId w:val="19"/>
        </w:numPr>
        <w:ind w:firstLineChars="0"/>
        <w:rPr>
          <w:rFonts w:ascii="黑体" w:eastAsia="黑体" w:hAnsi="黑体"/>
          <w:color w:val="auto"/>
          <w:lang w:eastAsia="zh-CN"/>
        </w:rPr>
      </w:pPr>
      <w:r w:rsidRPr="00223645">
        <w:rPr>
          <w:rFonts w:ascii="黑体" w:eastAsia="黑体" w:hAnsi="黑体"/>
          <w:color w:val="auto"/>
          <w:lang w:eastAsia="zh-CN"/>
        </w:rPr>
        <w:t>机遇</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充电基础设施建设是落实国家战略、服务改善民生、推动电动汽车产业转型的重要保障，在政策及市场的双重推动下，正迎来历史性发展机遇。</w:t>
      </w:r>
    </w:p>
    <w:p w:rsidR="00FC37F6" w:rsidRPr="00C95BD9" w:rsidRDefault="0015730C"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lastRenderedPageBreak/>
        <w:t>（</w:t>
      </w:r>
      <w:r>
        <w:rPr>
          <w:rFonts w:ascii="黑体" w:eastAsia="黑体" w:hAnsi="黑体" w:cs="仿宋_GB2312" w:hint="eastAsia"/>
          <w:color w:val="auto"/>
          <w:sz w:val="28"/>
          <w:szCs w:val="28"/>
          <w:lang w:eastAsia="zh-CN"/>
        </w:rPr>
        <w:t>1</w:t>
      </w:r>
      <w:r w:rsidRPr="00C95BD9">
        <w:rPr>
          <w:rFonts w:ascii="黑体" w:eastAsia="黑体" w:hAnsi="黑体" w:cs="仿宋_GB2312"/>
          <w:color w:val="auto"/>
          <w:sz w:val="28"/>
          <w:szCs w:val="28"/>
          <w:lang w:eastAsia="zh-CN"/>
        </w:rPr>
        <w:t>）</w:t>
      </w:r>
      <w:r w:rsidR="00223645" w:rsidRPr="00C95BD9">
        <w:rPr>
          <w:rFonts w:ascii="黑体" w:eastAsia="黑体" w:hAnsi="黑体" w:cs="仿宋_GB2312"/>
          <w:color w:val="auto"/>
          <w:sz w:val="28"/>
          <w:szCs w:val="28"/>
          <w:lang w:eastAsia="zh-CN"/>
        </w:rPr>
        <w:t>坚实的电网基础</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广汉市</w:t>
      </w:r>
      <w:r w:rsidRPr="00C95BD9">
        <w:rPr>
          <w:rFonts w:ascii="黑体" w:eastAsia="黑体" w:hAnsi="黑体" w:cs="仿宋_GB2312"/>
          <w:color w:val="auto"/>
          <w:sz w:val="28"/>
          <w:szCs w:val="28"/>
          <w:lang w:eastAsia="zh-CN"/>
        </w:rPr>
        <w:t>电网建设比较坚强，依靠成都负荷中心，是川西清洁能源送电通道售端，电力供给能力较强，</w:t>
      </w:r>
      <w:r w:rsidRPr="00C95BD9">
        <w:rPr>
          <w:rFonts w:ascii="黑体" w:eastAsia="黑体" w:hAnsi="黑体" w:cs="仿宋_GB2312" w:hint="eastAsia"/>
          <w:color w:val="auto"/>
          <w:sz w:val="28"/>
          <w:szCs w:val="28"/>
          <w:lang w:eastAsia="zh-CN"/>
        </w:rPr>
        <w:t>广汉</w:t>
      </w:r>
      <w:r w:rsidRPr="00C95BD9">
        <w:rPr>
          <w:rFonts w:ascii="黑体" w:eastAsia="黑体" w:hAnsi="黑体" w:cs="仿宋_GB2312"/>
          <w:color w:val="auto"/>
          <w:sz w:val="28"/>
          <w:szCs w:val="28"/>
          <w:lang w:eastAsia="zh-CN"/>
        </w:rPr>
        <w:t>电能替代较好，电力消费占化石能源消费近70%。</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（2）“新基建”的政策扶持</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2020年3月，新能源汽车充电桩作为七大“新基建”板块之一，首次被列入国务院政府工作报告，电动汽车充电基础设施在政策加持下迎来黄金发展期，拥有巨大潜力的充电桩市场受到众多资本的追捧，一批新技术、新模式加快落地和应用。</w:t>
      </w:r>
      <w:r w:rsidRPr="00C95BD9">
        <w:rPr>
          <w:rFonts w:ascii="黑体" w:eastAsia="黑体" w:hAnsi="黑体" w:cs="仿宋_GB2312" w:hint="eastAsia"/>
          <w:color w:val="auto"/>
          <w:sz w:val="28"/>
          <w:szCs w:val="28"/>
          <w:lang w:eastAsia="zh-CN"/>
        </w:rPr>
        <w:t>广汉市</w:t>
      </w:r>
      <w:r w:rsidRPr="00C95BD9">
        <w:rPr>
          <w:rFonts w:ascii="黑体" w:eastAsia="黑体" w:hAnsi="黑体" w:cs="仿宋_GB2312"/>
          <w:color w:val="auto"/>
          <w:sz w:val="28"/>
          <w:szCs w:val="28"/>
          <w:lang w:eastAsia="zh-CN"/>
        </w:rPr>
        <w:t>工业园区较多，电动交通作为一个重要应用环节，换电重卡等具有很大的应用前景。</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（3）需求增长加速</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《新能源汽车产业发展规划（2021—2035年）》中指出，到2025年，新能源汽车新车销售量达到汽车新车销售总量的</w:t>
      </w:r>
      <w:r w:rsidRPr="00C95BD9">
        <w:rPr>
          <w:rFonts w:ascii="黑体" w:eastAsia="黑体" w:hAnsi="黑体" w:cs="仿宋_GB2312" w:hint="eastAsia"/>
          <w:color w:val="auto"/>
          <w:sz w:val="28"/>
          <w:szCs w:val="28"/>
          <w:lang w:eastAsia="zh-CN"/>
        </w:rPr>
        <w:t>30</w:t>
      </w:r>
      <w:r w:rsidRPr="00C95BD9">
        <w:rPr>
          <w:rFonts w:ascii="黑体" w:eastAsia="黑体" w:hAnsi="黑体" w:cs="仿宋_GB2312"/>
          <w:color w:val="auto"/>
          <w:sz w:val="28"/>
          <w:szCs w:val="28"/>
          <w:lang w:eastAsia="zh-CN"/>
        </w:rPr>
        <w:t>%左右，</w:t>
      </w:r>
      <w:r w:rsidRPr="00C95BD9">
        <w:rPr>
          <w:rFonts w:ascii="黑体" w:eastAsia="黑体" w:hAnsi="黑体" w:cs="仿宋_GB2312" w:hint="eastAsia"/>
          <w:color w:val="auto"/>
          <w:sz w:val="28"/>
          <w:szCs w:val="28"/>
          <w:lang w:eastAsia="zh-CN"/>
        </w:rPr>
        <w:t>2030年</w:t>
      </w:r>
      <w:r w:rsidRPr="00C95BD9">
        <w:rPr>
          <w:rFonts w:ascii="黑体" w:eastAsia="黑体" w:hAnsi="黑体" w:cs="仿宋_GB2312"/>
          <w:color w:val="auto"/>
          <w:sz w:val="28"/>
          <w:szCs w:val="28"/>
          <w:lang w:eastAsia="zh-CN"/>
        </w:rPr>
        <w:t>新能源汽车新车销售量达到汽车新车销售总量的</w:t>
      </w:r>
      <w:r w:rsidRPr="00C95BD9">
        <w:rPr>
          <w:rFonts w:ascii="黑体" w:eastAsia="黑体" w:hAnsi="黑体" w:cs="仿宋_GB2312" w:hint="eastAsia"/>
          <w:color w:val="auto"/>
          <w:sz w:val="28"/>
          <w:szCs w:val="28"/>
          <w:lang w:eastAsia="zh-CN"/>
        </w:rPr>
        <w:t>50</w:t>
      </w:r>
      <w:r w:rsidRPr="00C95BD9">
        <w:rPr>
          <w:rFonts w:ascii="黑体" w:eastAsia="黑体" w:hAnsi="黑体" w:cs="仿宋_GB2312"/>
          <w:color w:val="auto"/>
          <w:sz w:val="28"/>
          <w:szCs w:val="28"/>
          <w:lang w:eastAsia="zh-CN"/>
        </w:rPr>
        <w:t>%左右</w:t>
      </w:r>
      <w:r w:rsidRPr="00C95BD9">
        <w:rPr>
          <w:rFonts w:ascii="黑体" w:eastAsia="黑体" w:hAnsi="黑体" w:cs="仿宋_GB2312" w:hint="eastAsia"/>
          <w:color w:val="auto"/>
          <w:sz w:val="28"/>
          <w:szCs w:val="28"/>
          <w:lang w:eastAsia="zh-CN"/>
        </w:rPr>
        <w:t>，</w:t>
      </w:r>
      <w:r w:rsidRPr="00C95BD9">
        <w:rPr>
          <w:rFonts w:ascii="黑体" w:eastAsia="黑体" w:hAnsi="黑体" w:cs="仿宋_GB2312"/>
          <w:color w:val="auto"/>
          <w:sz w:val="28"/>
          <w:szCs w:val="28"/>
          <w:lang w:eastAsia="zh-CN"/>
        </w:rPr>
        <w:t>高度自动驾驶汽车实现限定区域和特定场景商业化应用，充换电服务便利性显著提高。电动汽车及配套充电基础设施迎来加速增长的机遇。</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（4）盈利空间扩大</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新时期的充电桩建设，与智能电网、物联网、5G通信、云计算、大数据、人工智能、车联网等高新技术紧密结合，力求打造“车—桩—电网—互联网—多种增值业务”的智能充电网络。一方面可提升充电桩的利用率和企业盈利能力；另一方面可将产业链往后延伸，开拓各种大数据和其他增值服务，为充电桩行业带来新的盈利模式。盈利模式的确定性及拓展性，带来了极具弹性的利润空间。</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（5）引领新基建、助力碳达峰</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充电桩建设成为碳达峰、碳中和的重要载体。</w:t>
      </w:r>
      <w:r w:rsidRPr="00C95BD9">
        <w:rPr>
          <w:rFonts w:ascii="黑体" w:eastAsia="黑体" w:hAnsi="黑体" w:cs="仿宋_GB2312" w:hint="eastAsia"/>
          <w:color w:val="auto"/>
          <w:sz w:val="28"/>
          <w:szCs w:val="28"/>
          <w:lang w:eastAsia="zh-CN"/>
        </w:rPr>
        <w:t>广汉</w:t>
      </w:r>
      <w:r w:rsidRPr="00C95BD9">
        <w:rPr>
          <w:rFonts w:ascii="黑体" w:eastAsia="黑体" w:hAnsi="黑体" w:cs="仿宋_GB2312"/>
          <w:color w:val="auto"/>
          <w:sz w:val="28"/>
          <w:szCs w:val="28"/>
          <w:lang w:eastAsia="zh-CN"/>
        </w:rPr>
        <w:t>市货运量较大，每年消耗近50万吨成品油。大力发展的新能源汽车对改善城市环境、减少污</w:t>
      </w:r>
      <w:r w:rsidRPr="00C95BD9">
        <w:rPr>
          <w:rFonts w:ascii="黑体" w:eastAsia="黑体" w:hAnsi="黑体" w:cs="仿宋_GB2312"/>
          <w:color w:val="auto"/>
          <w:sz w:val="28"/>
          <w:szCs w:val="28"/>
          <w:lang w:eastAsia="zh-CN"/>
        </w:rPr>
        <w:lastRenderedPageBreak/>
        <w:t>染、减少碳排放量具有积极的促进作用。合理配置空间资源，积极缩短充电服务圈，在为全市群众打造安心、快捷的绿色出行环境基础上，全面服务“碳达峰、碳中和”目标实现。</w:t>
      </w:r>
    </w:p>
    <w:p w:rsidR="00FC37F6" w:rsidRPr="00223645" w:rsidRDefault="00223645" w:rsidP="00223645">
      <w:pPr>
        <w:pStyle w:val="3"/>
        <w:numPr>
          <w:ilvl w:val="0"/>
          <w:numId w:val="19"/>
        </w:numPr>
        <w:ind w:firstLineChars="0"/>
        <w:rPr>
          <w:rFonts w:ascii="黑体" w:eastAsia="黑体" w:hAnsi="黑体"/>
          <w:color w:val="auto"/>
          <w:lang w:eastAsia="zh-CN"/>
        </w:rPr>
      </w:pPr>
      <w:r w:rsidRPr="00223645">
        <w:rPr>
          <w:rFonts w:ascii="黑体" w:eastAsia="黑体" w:hAnsi="黑体"/>
          <w:color w:val="auto"/>
          <w:lang w:eastAsia="zh-CN"/>
        </w:rPr>
        <w:t>挑战与问题</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经过近年来快速发展，</w:t>
      </w:r>
      <w:r w:rsidRPr="00C95BD9">
        <w:rPr>
          <w:rFonts w:ascii="黑体" w:eastAsia="黑体" w:hAnsi="黑体" w:cs="仿宋_GB2312" w:hint="eastAsia"/>
          <w:color w:val="auto"/>
          <w:sz w:val="28"/>
          <w:szCs w:val="28"/>
          <w:lang w:eastAsia="zh-CN"/>
        </w:rPr>
        <w:t>广汉</w:t>
      </w:r>
      <w:r w:rsidRPr="00C95BD9">
        <w:rPr>
          <w:rFonts w:ascii="黑体" w:eastAsia="黑体" w:hAnsi="黑体" w:cs="仿宋_GB2312"/>
          <w:color w:val="auto"/>
          <w:sz w:val="28"/>
          <w:szCs w:val="28"/>
          <w:lang w:eastAsia="zh-CN"/>
        </w:rPr>
        <w:t>市充电基础设施建设已初具规模</w:t>
      </w:r>
      <w:r w:rsidRPr="00C95BD9">
        <w:rPr>
          <w:rFonts w:ascii="黑体" w:eastAsia="黑体" w:hAnsi="黑体" w:cs="仿宋_GB2312" w:hint="eastAsia"/>
          <w:color w:val="auto"/>
          <w:sz w:val="28"/>
          <w:szCs w:val="28"/>
          <w:lang w:eastAsia="zh-CN"/>
        </w:rPr>
        <w:t>，</w:t>
      </w:r>
      <w:r w:rsidRPr="00C95BD9">
        <w:rPr>
          <w:rFonts w:ascii="黑体" w:eastAsia="黑体" w:hAnsi="黑体" w:cs="仿宋_GB2312"/>
          <w:color w:val="auto"/>
          <w:sz w:val="28"/>
          <w:szCs w:val="28"/>
          <w:lang w:eastAsia="zh-CN"/>
        </w:rPr>
        <w:t>为电动汽车发展提供了重要支撑。但是，由于受到城市整体规划、用地、用电、施工安装、投资运营等多个方面的影响，充电基础设施建设仍然面临以下主要问题。</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（1）用地落实困难</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用地仍是当前制约充电基础设施发展的最大难点，用地无法落实、违建、强拆等现象屡见不鲜。例如：公交车专用充电站无独立规划用地，多数以租赁用地方式建设，面临随时遭业主回收的境地。又如：现有建筑停车场和公共停车场车位紧张，充电基础设施建设使用与普通车辆停车需求存在矛盾，充电基础设施建设难度较大。再如：用地租赁合同首期一般3至5年，多数充电站难以实现首期内回收投资，续期租赁存在较大不确定性，影响了投资者长期投资运营的意愿。</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（2）配套供电保障困难</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充电基础设施一般需要建设于电力负荷密集区，但又未充分纳入城市规划和用电规划，配套供电常面临电源不足的问题。一方面，老旧小区配电网未预留充电基础设施的用电裕度，改造难度大；另一方面，新建小区虽有“100%预留建设安装条件”的指导意见，但暂无强制规定保证落实。</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（3）安全保障仍需关注</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近年来，国家能源局多次组织开展针对电动汽车公共充电基础设施安全管理、设备设施及监控系统安全运行、建设标准以及执行中国电动汽车充电基础设施促进联盟标识（检测、认证）评定体系文件等情况开展专项</w:t>
      </w:r>
      <w:r w:rsidRPr="00C95BD9">
        <w:rPr>
          <w:rFonts w:ascii="黑体" w:eastAsia="黑体" w:hAnsi="黑体" w:cs="仿宋_GB2312"/>
          <w:color w:val="auto"/>
          <w:sz w:val="28"/>
          <w:szCs w:val="28"/>
          <w:lang w:eastAsia="zh-CN"/>
        </w:rPr>
        <w:lastRenderedPageBreak/>
        <w:t>检查，充电基础设施建设及运营期间的安全保障问题仍需重点关注。一方面，针对充电设备、充电接口、整车电池、运营系统等安全风险点的技术标准体系尚未完善；另一方面，安全管理的责任体系、行政监管体系仍需进一步明确，事前准入、事中管理、事后惩罚的管理措施有待落实。</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（4）建设难度大与使用效率低并存</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一方面是新建充电基础设施难度大，有车无桩、有桩无车等现象仍大量存在；另一方面是电动车增量不及预期，以及现有充电基础设施布局不均衡、位置不匹配、管理不规范、充电功率低等多种因素共同导致现有充电基础设施利用率低，存在大量废桩、占位、故障等现象，影响了行业的良性发展。</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（5）运营企业盈利难</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公共充电桩盈利能力取决于单桩利用率和充电服务费两大因素。从利用率看，当前我国公共充电桩行业利用率平均仅3-5%，据测算一般要达到8%—10%才能实现盈利；从充电服务费来看，由于消费者对充电服务费价格较为敏感，同时企业在激烈的竞争下竞相压低价格，获利空间较小。整体而言，随着充电桩产品技术进步、成本降低，以及企业精细化管理、产业链上下游延伸，充电桩运营企业逐步降本增效，但盈利仍有较大难度，运营能力、服务能力成为决定企业生存的关键因素。</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w:t>
      </w:r>
      <w:r w:rsidRPr="00C95BD9">
        <w:rPr>
          <w:rFonts w:ascii="黑体" w:eastAsia="黑体" w:hAnsi="黑体" w:cs="仿宋_GB2312" w:hint="eastAsia"/>
          <w:color w:val="auto"/>
          <w:sz w:val="28"/>
          <w:szCs w:val="28"/>
          <w:lang w:eastAsia="zh-CN"/>
        </w:rPr>
        <w:t>6</w:t>
      </w:r>
      <w:r w:rsidRPr="00C95BD9">
        <w:rPr>
          <w:rFonts w:ascii="黑体" w:eastAsia="黑体" w:hAnsi="黑体" w:cs="仿宋_GB2312"/>
          <w:color w:val="auto"/>
          <w:sz w:val="28"/>
          <w:szCs w:val="28"/>
          <w:lang w:eastAsia="zh-CN"/>
        </w:rPr>
        <w:t>）私人充电桩安装接入难度大</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充电基础设施由于涉及城市规划、建设用地、建筑物及配电网改造、居住地安装条件等多方面，利益主体多、推进难度大。特别是私人充电桩，受到住宅区的固定停车位缺乏、老旧小区电能容量限制、线路改造需经多数业主及物业同意等多种因素影响，私人桩难以进住宅小区。</w:t>
      </w:r>
    </w:p>
    <w:p w:rsidR="00FC37F6" w:rsidRPr="00C95BD9" w:rsidRDefault="0015730C"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w:t>
      </w:r>
      <w:r>
        <w:rPr>
          <w:rFonts w:ascii="黑体" w:eastAsia="黑体" w:hAnsi="黑体" w:cs="仿宋_GB2312" w:hint="eastAsia"/>
          <w:color w:val="auto"/>
          <w:sz w:val="28"/>
          <w:szCs w:val="28"/>
          <w:lang w:eastAsia="zh-CN"/>
        </w:rPr>
        <w:t>7</w:t>
      </w:r>
      <w:r w:rsidRPr="00C95BD9">
        <w:rPr>
          <w:rFonts w:ascii="黑体" w:eastAsia="黑体" w:hAnsi="黑体" w:cs="仿宋_GB2312"/>
          <w:color w:val="auto"/>
          <w:sz w:val="28"/>
          <w:szCs w:val="28"/>
          <w:lang w:eastAsia="zh-CN"/>
        </w:rPr>
        <w:t>）</w:t>
      </w:r>
      <w:r w:rsidR="00223645" w:rsidRPr="00C95BD9">
        <w:rPr>
          <w:rFonts w:ascii="黑体" w:eastAsia="黑体" w:hAnsi="黑体" w:cs="仿宋_GB2312"/>
          <w:color w:val="auto"/>
          <w:sz w:val="28"/>
          <w:szCs w:val="28"/>
          <w:lang w:eastAsia="zh-CN"/>
        </w:rPr>
        <w:t>信息互联及统计</w:t>
      </w:r>
      <w:r w:rsidR="00223645" w:rsidRPr="00C95BD9">
        <w:rPr>
          <w:rFonts w:ascii="黑体" w:eastAsia="黑体" w:hAnsi="黑体" w:cs="仿宋_GB2312" w:hint="eastAsia"/>
          <w:color w:val="auto"/>
          <w:sz w:val="28"/>
          <w:szCs w:val="28"/>
          <w:lang w:eastAsia="zh-CN"/>
        </w:rPr>
        <w:t>需进一步加强</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“十四五”期间，国家发布一系列互联互通技术团体标准，促进了充电接口和通信协议的互联互通。另外，大型充电基础设施运营企业和电动</w:t>
      </w:r>
      <w:r w:rsidRPr="00C95BD9">
        <w:rPr>
          <w:rFonts w:ascii="黑体" w:eastAsia="黑体" w:hAnsi="黑体" w:cs="仿宋_GB2312"/>
          <w:color w:val="auto"/>
          <w:sz w:val="28"/>
          <w:szCs w:val="28"/>
          <w:lang w:eastAsia="zh-CN"/>
        </w:rPr>
        <w:lastRenderedPageBreak/>
        <w:t>汽车保有量较多的城市，已纷纷建立电动汽车与充电基础设施监测平台。</w:t>
      </w:r>
      <w:r w:rsidRPr="00C95BD9">
        <w:rPr>
          <w:rFonts w:ascii="黑体" w:eastAsia="黑体" w:hAnsi="黑体" w:cs="仿宋_GB2312" w:hint="eastAsia"/>
          <w:color w:val="auto"/>
          <w:sz w:val="28"/>
          <w:szCs w:val="28"/>
          <w:lang w:eastAsia="zh-CN"/>
        </w:rPr>
        <w:t>例如四川省建立了充电基础设施监管平台，并且于2023年1月上线了四川省充电服务APP“川逸充”，可实时监控分析全省充电设施设备分布与运营情况，全天不间断掌握充电桩状态、充电价格、服务能力，精准获取新能源汽车充电行为模型，为政府部门制定政策规划提供决策依据。广汉市应利用此契机，推广川逸充APP的使用，从而解决车主找桩难，充电难以及充电运场站运营效率低下等问题。对于新技术，例如“需求侧响应调度”“虚拟电厂”“新能源-储能组网”及“微电网协同并网”等的进一步应用，做好线上平台的匹配和软件的预留接口，从而能够更广泛更有效的使新技术得到使用。</w:t>
      </w:r>
    </w:p>
    <w:p w:rsidR="00FC37F6" w:rsidRPr="00223645" w:rsidRDefault="00FC37F6">
      <w:pPr>
        <w:ind w:firstLine="480"/>
        <w:rPr>
          <w:rFonts w:ascii="黑体" w:eastAsia="黑体" w:hAnsi="黑体"/>
          <w:color w:val="auto"/>
          <w:lang w:eastAsia="zh-CN"/>
        </w:rPr>
      </w:pPr>
    </w:p>
    <w:p w:rsidR="00FC37F6" w:rsidRPr="00223645" w:rsidRDefault="00223645">
      <w:pPr>
        <w:pStyle w:val="1"/>
        <w:ind w:firstLine="883"/>
        <w:rPr>
          <w:rFonts w:ascii="黑体" w:hAnsi="黑体"/>
          <w:color w:val="auto"/>
          <w:lang w:eastAsia="zh-CN"/>
        </w:rPr>
      </w:pPr>
      <w:bookmarkStart w:id="49" w:name="_Toc1673793411"/>
      <w:bookmarkStart w:id="50" w:name="_Toc5505"/>
      <w:r w:rsidRPr="00223645">
        <w:rPr>
          <w:rFonts w:ascii="黑体" w:hAnsi="黑体" w:hint="eastAsia"/>
          <w:color w:val="auto"/>
          <w:lang w:eastAsia="zh-CN"/>
        </w:rPr>
        <w:br w:type="page"/>
      </w:r>
      <w:bookmarkStart w:id="51" w:name="_Toc12790"/>
      <w:r w:rsidRPr="00223645">
        <w:rPr>
          <w:rFonts w:ascii="黑体" w:hAnsi="黑体" w:hint="eastAsia"/>
          <w:color w:val="auto"/>
          <w:lang w:eastAsia="zh-CN"/>
        </w:rPr>
        <w:lastRenderedPageBreak/>
        <w:t>第三章 规划目标</w:t>
      </w:r>
      <w:bookmarkEnd w:id="49"/>
      <w:bookmarkEnd w:id="50"/>
      <w:bookmarkEnd w:id="51"/>
    </w:p>
    <w:p w:rsidR="00FC37F6" w:rsidRPr="00223645" w:rsidRDefault="00223645">
      <w:pPr>
        <w:pStyle w:val="2"/>
        <w:ind w:firstLine="643"/>
        <w:jc w:val="center"/>
        <w:rPr>
          <w:rFonts w:ascii="黑体" w:hAnsi="黑体"/>
          <w:color w:val="auto"/>
          <w:lang w:eastAsia="zh-CN"/>
        </w:rPr>
      </w:pPr>
      <w:bookmarkStart w:id="52" w:name="_Toc31377"/>
      <w:bookmarkStart w:id="53" w:name="_Toc24627"/>
      <w:bookmarkStart w:id="54" w:name="_Toc15679"/>
      <w:bookmarkStart w:id="55" w:name="_Toc1557566624"/>
      <w:r w:rsidRPr="00223645">
        <w:rPr>
          <w:rFonts w:ascii="黑体" w:hAnsi="黑体" w:hint="eastAsia"/>
          <w:color w:val="auto"/>
          <w:lang w:eastAsia="zh-CN"/>
        </w:rPr>
        <w:t>第一节 指导思想</w:t>
      </w:r>
      <w:bookmarkEnd w:id="52"/>
      <w:bookmarkEnd w:id="53"/>
      <w:r w:rsidRPr="00223645">
        <w:rPr>
          <w:rFonts w:ascii="黑体" w:hAnsi="黑体" w:hint="eastAsia"/>
          <w:color w:val="auto"/>
          <w:lang w:eastAsia="zh-CN"/>
        </w:rPr>
        <w:t>与原则</w:t>
      </w:r>
      <w:bookmarkEnd w:id="54"/>
      <w:bookmarkEnd w:id="55"/>
    </w:p>
    <w:p w:rsidR="00FC37F6" w:rsidRPr="00223645" w:rsidRDefault="00223645" w:rsidP="00223645">
      <w:pPr>
        <w:pStyle w:val="3"/>
        <w:numPr>
          <w:ilvl w:val="0"/>
          <w:numId w:val="20"/>
        </w:numPr>
        <w:ind w:firstLineChars="0"/>
        <w:rPr>
          <w:rFonts w:ascii="黑体" w:eastAsia="黑体" w:hAnsi="黑体"/>
          <w:color w:val="auto"/>
          <w:lang w:eastAsia="zh-CN"/>
        </w:rPr>
      </w:pPr>
      <w:r w:rsidRPr="00223645">
        <w:rPr>
          <w:rFonts w:ascii="黑体" w:eastAsia="黑体" w:hAnsi="黑体" w:hint="eastAsia"/>
          <w:color w:val="auto"/>
          <w:lang w:eastAsia="zh-CN"/>
        </w:rPr>
        <w:t>指导思想</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以习近平新时代中国特色社会主义思想为指导，早日实现碳中和、碳达峰的目标，坚持“创新、协调、绿色、开放、共享”的发展理念，为全面贯彻落实《国务院办公厅关于印发新能源汽车产业发展规划（2021—2035年）的通知》（国办发〔2020〕39号）、《关于进一步提升电动汽车充电基础设施服务保障能力的实施意见》（发改能源规〔2022〕53号）和《“电动四川”行动计划（2022-2025年）》、《四川省推进电动汽车充电基础设施建设工作方案》支撑新能源汽车产业发展，与广汉市“十四五”规划和2030年远景目标实施有机结合起来、以促进新能源汽车推广为出发点，以提升电动汽车充电保障能力和用户体验感为目标，全力推进全省充电基础设施建设，特制定本专项规划。</w:t>
      </w:r>
    </w:p>
    <w:p w:rsidR="00FC37F6" w:rsidRPr="00223645"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按照政府引领的思想，先期发挥政府在战略引导、标准规范制定、质量安全监督、市场秩序维护、绿色消费倡导等方面的作用，为产业发展营造良好的基础。后期逐步过渡到市场化运营，充分发挥市场在资源配置中的作用，强化企业在技术路线选择、生产服务体系建设方面的主体定位。利用汽车行业发展电气化、智能化、网联化、共享化的发展的趋势，车联网和大数据快速发展打通“车-桩-路-网”之间的信息交互，充分利用车辆数据、路网数据、充电桩数据、电网数据等多数据汇聚，从而提升用户充电便利性、降低车辆使用成本，统计用户的驾驶行为和充电规律，进而基</w:t>
      </w:r>
      <w:r w:rsidRPr="00C95BD9">
        <w:rPr>
          <w:rFonts w:ascii="黑体" w:eastAsia="黑体" w:hAnsi="黑体" w:cs="仿宋_GB2312" w:hint="eastAsia"/>
          <w:color w:val="auto"/>
          <w:sz w:val="28"/>
          <w:szCs w:val="28"/>
          <w:lang w:eastAsia="zh-CN"/>
        </w:rPr>
        <w:lastRenderedPageBreak/>
        <w:t>于城市电动汽车用户实际充电需求进行准确判断，最终支撑充电站的合理布局及选址分析。总体按照“车桩相宜、适度超前”的原则，建成布局合理、运行高效、安全稳定的充电基础设施体系，基本满足全市电动汽车充电需求、推动充电基础设施体系不断完善。优化电动汽车使用体验和充电体验、降低用户“里程焦虑”、提高充电桩利用率、优化城市电动汽车交通网络和电力网络的关键对“车-桩-路-网”互联时代下充分利用电动汽车的分布式储能、灵活充放电的特征进行有序充电引导、新能源消纳、电网削峰填谷的协同规划发展应用前景进行了展望。</w:t>
      </w:r>
    </w:p>
    <w:p w:rsidR="00FC37F6" w:rsidRPr="00223645" w:rsidRDefault="00223645" w:rsidP="00223645">
      <w:pPr>
        <w:pStyle w:val="3"/>
        <w:numPr>
          <w:ilvl w:val="0"/>
          <w:numId w:val="20"/>
        </w:numPr>
        <w:ind w:firstLineChars="0"/>
        <w:rPr>
          <w:rFonts w:ascii="黑体" w:eastAsia="黑体" w:hAnsi="黑体"/>
          <w:color w:val="auto"/>
          <w:lang w:eastAsia="zh-CN"/>
        </w:rPr>
      </w:pPr>
      <w:r w:rsidRPr="00223645">
        <w:rPr>
          <w:rFonts w:ascii="黑体" w:eastAsia="黑体" w:hAnsi="黑体" w:hint="eastAsia"/>
          <w:color w:val="auto"/>
          <w:lang w:eastAsia="zh-CN"/>
        </w:rPr>
        <w:t>基本原则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规划的基本原则表现为：</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（1） 统一规划 综合评判</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构建完善的充电站网络布局是电动汽车广泛应用的基本前提和重要保证。对其进行规划需要考虑到政策、环境、经济、技术、交通、能源等多因素和政府、电动汽车用户、充电站建设运营商、电网系统等多参与方。综合考虑各方需求、约束平衡，协调规划，发挥最大效用。充电桩数据需进行统一的规划和布局。应对充电设施有科学系统的评判，从方便用户、用电安全、互动节能经济、合理等指标建立度建立一整套充电基础设施评价指标体系，实现健康有序的发展。</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（2）因地制宜 经济合理</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加强广汉市核心区域充电基础设施的布局，坚持车桩适宜的协同发展，采用点线面结合的方式，提高充电桩布局的科学性和合理性。加快偏远城郊的充电基础设施布局，按照“由无到有，由疏到密”的原则协调发展，合理布局城市周边、农村地区的公共领域充电基础设施，以及自用充电基础设施。多措并举优化公共领域充换电基础设施建设，以公用充电基础设</w:t>
      </w:r>
      <w:r w:rsidRPr="00C95BD9">
        <w:rPr>
          <w:rFonts w:ascii="黑体" w:eastAsia="黑体" w:hAnsi="黑体" w:cs="仿宋_GB2312" w:hint="eastAsia"/>
          <w:color w:val="auto"/>
          <w:sz w:val="28"/>
          <w:szCs w:val="28"/>
          <w:lang w:eastAsia="zh-CN"/>
        </w:rPr>
        <w:lastRenderedPageBreak/>
        <w:t>施专用充电设施相互补的集中式充电站和分布式充电桩综合布局，鼓励通过新建、改建、扩容、迁移等方式，逐步提高充电设施占比。</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 xml:space="preserve">（3）市场主导 创新驱动 </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充分发挥市场机制在资源配置中的积极作用，强化企业在技术实现路线上的选择、现代化生产服务体现建设等方面的主体地位。深入实施创新驱动发展战略，建立产学研协同的技术创新体系，完善鼓励和保护创新制度环境，鼓励多种技术路线并行发展，加大商业模式创新力度，形成新型产业创新生态。</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（4）协调推进 开放发展</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支持鼓励各参与主体、上下游产业方合力攻克重大核心技术，促进充电桩与相关产业深度融合，完善横向协同、纵向贯通的协调机制。坚持“引进来”与“走出去”相结合，统筹推进技术研发、进一步规范产品标准统一标准、加强管理、推广应用和基础设施建设，充分调动企业和社会各方积极性，形成合力，加快发展充电桩基础设施建设。</w:t>
      </w:r>
    </w:p>
    <w:p w:rsidR="00FC37F6" w:rsidRPr="00223645" w:rsidRDefault="00223645" w:rsidP="00223645">
      <w:pPr>
        <w:pStyle w:val="3"/>
        <w:numPr>
          <w:ilvl w:val="0"/>
          <w:numId w:val="20"/>
        </w:numPr>
        <w:ind w:firstLineChars="0"/>
        <w:rPr>
          <w:rFonts w:ascii="黑体" w:eastAsia="黑体" w:hAnsi="黑体"/>
          <w:color w:val="auto"/>
          <w:lang w:eastAsia="zh-CN"/>
        </w:rPr>
      </w:pPr>
      <w:r w:rsidRPr="00223645">
        <w:rPr>
          <w:rFonts w:ascii="黑体" w:eastAsia="黑体" w:hAnsi="黑体" w:hint="eastAsia"/>
          <w:color w:val="auto"/>
          <w:lang w:eastAsia="zh-CN"/>
        </w:rPr>
        <w:t>充电基础设施配置原则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1.分车型配置原则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根据各类型电动汽车的特点，将各类型汽车设置不同的配置原则：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（1）公交车充电设施配置原则：结合各类型公交场站配置公交车专用充电桩，公交车充电桩与电动公交车比例不低于1:3。</w:t>
      </w:r>
    </w:p>
    <w:p w:rsidR="00FC37F6" w:rsidRPr="00C95BD9" w:rsidRDefault="0015730C"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w:t>
      </w:r>
      <w:r>
        <w:rPr>
          <w:rFonts w:ascii="黑体" w:eastAsia="黑体" w:hAnsi="黑体" w:cs="仿宋_GB2312" w:hint="eastAsia"/>
          <w:color w:val="auto"/>
          <w:sz w:val="28"/>
          <w:szCs w:val="28"/>
          <w:lang w:eastAsia="zh-CN"/>
        </w:rPr>
        <w:t>2</w:t>
      </w:r>
      <w:r w:rsidRPr="00C95BD9">
        <w:rPr>
          <w:rFonts w:ascii="黑体" w:eastAsia="黑体" w:hAnsi="黑体" w:cs="仿宋_GB2312"/>
          <w:color w:val="auto"/>
          <w:sz w:val="28"/>
          <w:szCs w:val="28"/>
          <w:lang w:eastAsia="zh-CN"/>
        </w:rPr>
        <w:t>）</w:t>
      </w:r>
      <w:r w:rsidR="00223645" w:rsidRPr="00C95BD9">
        <w:rPr>
          <w:rFonts w:ascii="黑体" w:eastAsia="黑体" w:hAnsi="黑体" w:cs="仿宋_GB2312"/>
          <w:color w:val="auto"/>
          <w:sz w:val="28"/>
          <w:szCs w:val="28"/>
          <w:lang w:eastAsia="zh-CN"/>
        </w:rPr>
        <w:t>出租车充电设施配置原则：</w:t>
      </w:r>
      <w:r w:rsidR="00223645" w:rsidRPr="00C95BD9">
        <w:rPr>
          <w:rFonts w:ascii="黑体" w:eastAsia="黑体" w:hAnsi="黑体" w:cs="仿宋_GB2312" w:hint="eastAsia"/>
          <w:color w:val="auto"/>
          <w:sz w:val="28"/>
          <w:szCs w:val="28"/>
          <w:lang w:eastAsia="zh-CN"/>
        </w:rPr>
        <w:t>因考虑到广汉市出租车数量不多，故不专门设置出租车充电站，以集中式充电站及分布式充电桩按不同比例共同分担出租车的充电需求。</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（3）货运及客运运营车辆设施原则：因运营车辆分属不同主体，不太适宜统一建造专用充电站，故采用结合集中式充电站及分布式充电桩按不同比例共同分担其充电需求。</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lastRenderedPageBreak/>
        <w:t>（</w:t>
      </w:r>
      <w:r w:rsidRPr="00C95BD9">
        <w:rPr>
          <w:rFonts w:ascii="黑体" w:eastAsia="黑体" w:hAnsi="黑体" w:cs="仿宋_GB2312" w:hint="eastAsia"/>
          <w:color w:val="auto"/>
          <w:sz w:val="28"/>
          <w:szCs w:val="28"/>
          <w:lang w:eastAsia="zh-CN"/>
        </w:rPr>
        <w:t>4</w:t>
      </w:r>
      <w:r w:rsidRPr="00C95BD9">
        <w:rPr>
          <w:rFonts w:ascii="黑体" w:eastAsia="黑体" w:hAnsi="黑体" w:cs="仿宋_GB2312"/>
          <w:color w:val="auto"/>
          <w:sz w:val="28"/>
          <w:szCs w:val="28"/>
          <w:lang w:eastAsia="zh-CN"/>
        </w:rPr>
        <w:t>）环卫等</w:t>
      </w:r>
      <w:r w:rsidRPr="00C95BD9">
        <w:rPr>
          <w:rFonts w:ascii="黑体" w:eastAsia="黑体" w:hAnsi="黑体" w:cs="仿宋_GB2312" w:hint="eastAsia"/>
          <w:color w:val="auto"/>
          <w:sz w:val="28"/>
          <w:szCs w:val="28"/>
          <w:lang w:eastAsia="zh-CN"/>
        </w:rPr>
        <w:t>市政</w:t>
      </w:r>
      <w:r w:rsidRPr="00C95BD9">
        <w:rPr>
          <w:rFonts w:ascii="黑体" w:eastAsia="黑体" w:hAnsi="黑体" w:cs="仿宋_GB2312"/>
          <w:color w:val="auto"/>
          <w:sz w:val="28"/>
          <w:szCs w:val="28"/>
          <w:lang w:eastAsia="zh-CN"/>
        </w:rPr>
        <w:t>车</w:t>
      </w:r>
      <w:r w:rsidRPr="00C95BD9">
        <w:rPr>
          <w:rFonts w:ascii="黑体" w:eastAsia="黑体" w:hAnsi="黑体" w:cs="仿宋_GB2312" w:hint="eastAsia"/>
          <w:color w:val="auto"/>
          <w:sz w:val="28"/>
          <w:szCs w:val="28"/>
          <w:lang w:eastAsia="zh-CN"/>
        </w:rPr>
        <w:t>辆</w:t>
      </w:r>
      <w:r w:rsidRPr="00C95BD9">
        <w:rPr>
          <w:rFonts w:ascii="黑体" w:eastAsia="黑体" w:hAnsi="黑体" w:cs="仿宋_GB2312"/>
          <w:color w:val="auto"/>
          <w:sz w:val="28"/>
          <w:szCs w:val="28"/>
          <w:lang w:eastAsia="zh-CN"/>
        </w:rPr>
        <w:t>充电设施配置原则：</w:t>
      </w:r>
      <w:r w:rsidRPr="00C95BD9">
        <w:rPr>
          <w:rFonts w:ascii="黑体" w:eastAsia="黑体" w:hAnsi="黑体" w:cs="仿宋_GB2312" w:hint="eastAsia"/>
          <w:color w:val="auto"/>
          <w:sz w:val="28"/>
          <w:szCs w:val="28"/>
          <w:lang w:eastAsia="zh-CN"/>
        </w:rPr>
        <w:t>因环卫车</w:t>
      </w:r>
      <w:r w:rsidRPr="00C95BD9">
        <w:rPr>
          <w:rFonts w:ascii="黑体" w:eastAsia="黑体" w:hAnsi="黑体" w:cs="仿宋_GB2312"/>
          <w:color w:val="auto"/>
          <w:sz w:val="28"/>
          <w:szCs w:val="28"/>
          <w:lang w:eastAsia="zh-CN"/>
        </w:rPr>
        <w:t>结合专用</w:t>
      </w:r>
      <w:r w:rsidRPr="00C95BD9">
        <w:rPr>
          <w:rFonts w:ascii="黑体" w:eastAsia="黑体" w:hAnsi="黑体" w:cs="仿宋_GB2312" w:hint="eastAsia"/>
          <w:color w:val="auto"/>
          <w:sz w:val="28"/>
          <w:szCs w:val="28"/>
          <w:lang w:eastAsia="zh-CN"/>
        </w:rPr>
        <w:t>充电</w:t>
      </w:r>
      <w:r w:rsidRPr="00C95BD9">
        <w:rPr>
          <w:rFonts w:ascii="黑体" w:eastAsia="黑体" w:hAnsi="黑体" w:cs="仿宋_GB2312"/>
          <w:color w:val="auto"/>
          <w:sz w:val="28"/>
          <w:szCs w:val="28"/>
          <w:lang w:eastAsia="zh-CN"/>
        </w:rPr>
        <w:t>场站</w:t>
      </w:r>
      <w:r w:rsidRPr="00C95BD9">
        <w:rPr>
          <w:rFonts w:ascii="黑体" w:eastAsia="黑体" w:hAnsi="黑体" w:cs="仿宋_GB2312" w:hint="eastAsia"/>
          <w:color w:val="auto"/>
          <w:sz w:val="28"/>
          <w:szCs w:val="28"/>
          <w:lang w:eastAsia="zh-CN"/>
        </w:rPr>
        <w:t>和公共充电站共同满足</w:t>
      </w:r>
      <w:r w:rsidRPr="00C95BD9">
        <w:rPr>
          <w:rFonts w:ascii="黑体" w:eastAsia="黑体" w:hAnsi="黑体" w:cs="仿宋_GB2312"/>
          <w:color w:val="auto"/>
          <w:sz w:val="28"/>
          <w:szCs w:val="28"/>
          <w:lang w:eastAsia="zh-CN"/>
        </w:rPr>
        <w:t>。根据物流环卫等专用车的运行特点，</w:t>
      </w:r>
      <w:r w:rsidRPr="00C95BD9">
        <w:rPr>
          <w:rFonts w:ascii="黑体" w:eastAsia="黑体" w:hAnsi="黑体" w:cs="仿宋_GB2312" w:hint="eastAsia"/>
          <w:color w:val="auto"/>
          <w:sz w:val="28"/>
          <w:szCs w:val="28"/>
          <w:lang w:eastAsia="zh-CN"/>
        </w:rPr>
        <w:t>专用充电站</w:t>
      </w:r>
      <w:r w:rsidRPr="00C95BD9">
        <w:rPr>
          <w:rFonts w:ascii="黑体" w:eastAsia="黑体" w:hAnsi="黑体" w:cs="仿宋_GB2312"/>
          <w:color w:val="auto"/>
          <w:sz w:val="28"/>
          <w:szCs w:val="28"/>
          <w:lang w:eastAsia="zh-CN"/>
        </w:rPr>
        <w:t>按桩车比1:3配置。</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w:t>
      </w:r>
      <w:r w:rsidR="0015730C">
        <w:rPr>
          <w:rFonts w:ascii="黑体" w:eastAsia="黑体" w:hAnsi="黑体" w:cs="仿宋_GB2312" w:hint="eastAsia"/>
          <w:color w:val="auto"/>
          <w:sz w:val="28"/>
          <w:szCs w:val="28"/>
          <w:lang w:eastAsia="zh-CN"/>
        </w:rPr>
        <w:t>5</w:t>
      </w:r>
      <w:r w:rsidRPr="00C95BD9">
        <w:rPr>
          <w:rFonts w:ascii="黑体" w:eastAsia="黑体" w:hAnsi="黑体" w:cs="仿宋_GB2312"/>
          <w:color w:val="auto"/>
          <w:sz w:val="28"/>
          <w:szCs w:val="28"/>
          <w:lang w:eastAsia="zh-CN"/>
        </w:rPr>
        <w:t>）公务及私人乘用车充电设施配置原则：结合企事业内部停车场和小区停车位配置专用充电桩。</w:t>
      </w:r>
      <w:r w:rsidRPr="00C95BD9">
        <w:rPr>
          <w:rFonts w:ascii="黑体" w:eastAsia="黑体" w:hAnsi="黑体" w:cs="仿宋_GB2312" w:hint="eastAsia"/>
          <w:color w:val="auto"/>
          <w:sz w:val="28"/>
          <w:szCs w:val="28"/>
          <w:lang w:eastAsia="zh-CN"/>
        </w:rPr>
        <w:t>因老旧小区大面积设置充电桩在空间和电网稳定性方面都较难实现，城市核心区域</w:t>
      </w:r>
      <w:r w:rsidRPr="00C95BD9">
        <w:rPr>
          <w:rFonts w:ascii="黑体" w:eastAsia="黑体" w:hAnsi="黑体" w:cs="仿宋_GB2312"/>
          <w:color w:val="auto"/>
          <w:sz w:val="28"/>
          <w:szCs w:val="28"/>
          <w:lang w:eastAsia="zh-CN"/>
        </w:rPr>
        <w:t>公共充电服务半径小于0.9公里，</w:t>
      </w:r>
      <w:r w:rsidRPr="00C95BD9">
        <w:rPr>
          <w:rFonts w:ascii="黑体" w:eastAsia="黑体" w:hAnsi="黑体" w:cs="仿宋_GB2312" w:hint="eastAsia"/>
          <w:color w:val="auto"/>
          <w:sz w:val="28"/>
          <w:szCs w:val="28"/>
          <w:lang w:eastAsia="zh-CN"/>
        </w:rPr>
        <w:t>尽量缓解降低用户充电焦虑</w:t>
      </w:r>
      <w:r w:rsidRPr="00C95BD9">
        <w:rPr>
          <w:rFonts w:ascii="黑体" w:eastAsia="黑体" w:hAnsi="黑体" w:cs="仿宋_GB2312"/>
          <w:color w:val="auto"/>
          <w:sz w:val="28"/>
          <w:szCs w:val="28"/>
          <w:lang w:eastAsia="zh-CN"/>
        </w:rPr>
        <w:t>。</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2.分区域配置原则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各类车型的快</w:t>
      </w:r>
      <w:r w:rsidRPr="00C95BD9">
        <w:rPr>
          <w:rFonts w:ascii="黑体" w:eastAsia="黑体" w:hAnsi="黑体" w:cs="仿宋_GB2312"/>
          <w:color w:val="auto"/>
          <w:sz w:val="28"/>
          <w:szCs w:val="28"/>
          <w:lang w:eastAsia="zh-CN"/>
        </w:rPr>
        <w:t>慢充充电桩应以分散建设的方式为主，在住宅小区、单位办公场所、社会公共停车场以合理的比例配置：</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（1）新建住宅停车位建设或预留安装充电基础设施的比例必须达到100%。</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（2）新建城市公共停车场以及新建商业建筑类项目（办公楼、商城、酒店等公共建筑类项目），原则上应按不低于停车位总数30%的比例配建充电桩或预留充电基础设施接口。</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（3）具备条件的政府机关、公共机构及企事业单位，在单位内部停车场，按电动汽车专用停车位100%的比例配建充电桩或预留安装充电基础设施接口。</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（4）新建高速公路服务区和有条件的加油加气站，原则上应按不低于停车位总数30%的比例配建充电桩或预留充电基础设施接口。凡具备安全条件的加油加气站、高速公路服务区等实现充换电设施全覆盖。</w:t>
      </w:r>
    </w:p>
    <w:p w:rsidR="00FC37F6" w:rsidRPr="00223645" w:rsidRDefault="00223645" w:rsidP="00894E81">
      <w:pPr>
        <w:ind w:firstLine="480"/>
        <w:jc w:val="center"/>
        <w:rPr>
          <w:rFonts w:ascii="黑体" w:eastAsia="黑体" w:hAnsi="黑体" w:cs="仿宋_GB2312"/>
          <w:color w:val="auto"/>
          <w:sz w:val="31"/>
          <w:szCs w:val="31"/>
          <w:lang w:eastAsia="zh-CN"/>
        </w:rPr>
      </w:pPr>
      <w:r w:rsidRPr="00223645">
        <w:rPr>
          <w:rFonts w:ascii="黑体" w:eastAsia="黑体" w:hAnsi="黑体" w:cs="黑体" w:hint="eastAsia"/>
          <w:color w:val="auto"/>
          <w:lang w:eastAsia="zh-CN"/>
        </w:rPr>
        <w:t>表</w:t>
      </w:r>
      <w:r w:rsidR="00894E81">
        <w:rPr>
          <w:rFonts w:ascii="黑体" w:eastAsia="黑体" w:hAnsi="黑体" w:cs="黑体" w:hint="eastAsia"/>
          <w:color w:val="auto"/>
          <w:lang w:eastAsia="zh-CN"/>
        </w:rPr>
        <w:t>3.1-1</w:t>
      </w:r>
      <w:r w:rsidRPr="00223645">
        <w:rPr>
          <w:rFonts w:ascii="黑体" w:eastAsia="黑体" w:hAnsi="黑体" w:cs="黑体" w:hint="eastAsia"/>
          <w:color w:val="auto"/>
          <w:lang w:eastAsia="zh-CN"/>
        </w:rPr>
        <w:t xml:space="preserve"> 分区域充电桩20</w:t>
      </w:r>
      <w:r w:rsidRPr="00223645">
        <w:rPr>
          <w:rFonts w:ascii="黑体" w:eastAsia="黑体" w:hAnsi="黑体" w:cs="黑体"/>
          <w:color w:val="auto"/>
          <w:lang w:eastAsia="zh-CN"/>
        </w:rPr>
        <w:t>30</w:t>
      </w:r>
      <w:r w:rsidRPr="00223645">
        <w:rPr>
          <w:rFonts w:ascii="黑体" w:eastAsia="黑体" w:hAnsi="黑体" w:cs="黑体" w:hint="eastAsia"/>
          <w:color w:val="auto"/>
          <w:lang w:eastAsia="zh-CN"/>
        </w:rPr>
        <w:t>年配建比例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2162"/>
        <w:gridCol w:w="2483"/>
        <w:gridCol w:w="2166"/>
      </w:tblGrid>
      <w:tr w:rsidR="00FC37F6" w:rsidRPr="00223645" w:rsidTr="00894E81">
        <w:tc>
          <w:tcPr>
            <w:tcW w:w="248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用地性质</w:t>
            </w: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建设状态</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单位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配建比例</w:t>
            </w:r>
          </w:p>
        </w:tc>
      </w:tr>
      <w:tr w:rsidR="00FC37F6" w:rsidRPr="00223645" w:rsidTr="00894E81">
        <w:tc>
          <w:tcPr>
            <w:tcW w:w="2486" w:type="dxa"/>
            <w:vMerge w:val="restart"/>
            <w:vAlign w:val="center"/>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住宅停车场</w:t>
            </w: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已建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≥10%</w:t>
            </w:r>
          </w:p>
        </w:tc>
      </w:tr>
      <w:tr w:rsidR="00FC37F6" w:rsidRPr="00223645" w:rsidTr="00894E81">
        <w:tc>
          <w:tcPr>
            <w:tcW w:w="2486" w:type="dxa"/>
            <w:vMerge/>
            <w:vAlign w:val="center"/>
          </w:tcPr>
          <w:p w:rsidR="00FC37F6" w:rsidRPr="008443F7" w:rsidRDefault="00FC37F6" w:rsidP="008443F7">
            <w:pPr>
              <w:widowControl/>
              <w:ind w:firstLine="480"/>
              <w:jc w:val="center"/>
              <w:rPr>
                <w:rFonts w:ascii="黑体" w:eastAsia="黑体" w:hAnsi="黑体" w:cs="宋体"/>
                <w:color w:val="auto"/>
                <w:lang w:eastAsia="zh-CN"/>
              </w:rPr>
            </w:pP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新建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100%</w:t>
            </w:r>
          </w:p>
        </w:tc>
      </w:tr>
      <w:tr w:rsidR="00FC37F6" w:rsidRPr="00223645" w:rsidTr="00894E81">
        <w:tc>
          <w:tcPr>
            <w:tcW w:w="2486" w:type="dxa"/>
            <w:vMerge w:val="restart"/>
            <w:vAlign w:val="center"/>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商业停车场</w:t>
            </w: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已建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≥10%</w:t>
            </w:r>
          </w:p>
        </w:tc>
      </w:tr>
      <w:tr w:rsidR="00FC37F6" w:rsidRPr="00223645" w:rsidTr="00894E81">
        <w:tc>
          <w:tcPr>
            <w:tcW w:w="2486" w:type="dxa"/>
            <w:vMerge/>
            <w:vAlign w:val="center"/>
          </w:tcPr>
          <w:p w:rsidR="00FC37F6" w:rsidRPr="008443F7" w:rsidRDefault="00FC37F6" w:rsidP="008443F7">
            <w:pPr>
              <w:widowControl/>
              <w:ind w:firstLine="480"/>
              <w:jc w:val="center"/>
              <w:rPr>
                <w:rFonts w:ascii="黑体" w:eastAsia="黑体" w:hAnsi="黑体" w:cs="宋体"/>
                <w:color w:val="auto"/>
                <w:lang w:eastAsia="zh-CN"/>
              </w:rPr>
            </w:pP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新建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≥30%</w:t>
            </w:r>
          </w:p>
        </w:tc>
      </w:tr>
      <w:tr w:rsidR="00FC37F6" w:rsidRPr="00223645" w:rsidTr="00894E81">
        <w:tc>
          <w:tcPr>
            <w:tcW w:w="2486" w:type="dxa"/>
            <w:vMerge w:val="restart"/>
            <w:vAlign w:val="center"/>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社会公共停车场</w:t>
            </w: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已建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≥10%</w:t>
            </w:r>
          </w:p>
        </w:tc>
      </w:tr>
      <w:tr w:rsidR="00FC37F6" w:rsidRPr="00223645" w:rsidTr="00894E81">
        <w:tc>
          <w:tcPr>
            <w:tcW w:w="2486" w:type="dxa"/>
            <w:vMerge/>
          </w:tcPr>
          <w:p w:rsidR="00FC37F6" w:rsidRPr="008443F7" w:rsidRDefault="00FC37F6" w:rsidP="008443F7">
            <w:pPr>
              <w:widowControl/>
              <w:ind w:firstLine="480"/>
              <w:jc w:val="center"/>
              <w:rPr>
                <w:rFonts w:ascii="黑体" w:eastAsia="黑体" w:hAnsi="黑体" w:cs="宋体"/>
                <w:color w:val="auto"/>
                <w:lang w:eastAsia="zh-CN"/>
              </w:rPr>
            </w:pP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新建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≥30%</w:t>
            </w:r>
          </w:p>
        </w:tc>
      </w:tr>
      <w:tr w:rsidR="00FC37F6" w:rsidRPr="00223645" w:rsidTr="00894E81">
        <w:tc>
          <w:tcPr>
            <w:tcW w:w="248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单位内部停车场</w:t>
            </w: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新建/已建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桩位/电动专用车位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100%</w:t>
            </w:r>
          </w:p>
        </w:tc>
      </w:tr>
      <w:tr w:rsidR="00FC37F6" w:rsidRPr="00223645" w:rsidTr="00894E81">
        <w:tc>
          <w:tcPr>
            <w:tcW w:w="248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高速服务区/加油(气站)</w:t>
            </w:r>
          </w:p>
        </w:tc>
        <w:tc>
          <w:tcPr>
            <w:tcW w:w="2162"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新建/已建</w:t>
            </w:r>
          </w:p>
        </w:tc>
        <w:tc>
          <w:tcPr>
            <w:tcW w:w="2483"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桩位/车位</w:t>
            </w:r>
          </w:p>
        </w:tc>
        <w:tc>
          <w:tcPr>
            <w:tcW w:w="2166" w:type="dxa"/>
          </w:tcPr>
          <w:p w:rsidR="00FC37F6" w:rsidRPr="008443F7" w:rsidRDefault="00223645">
            <w:pPr>
              <w:widowControl/>
              <w:ind w:firstLineChars="0" w:firstLine="0"/>
              <w:jc w:val="center"/>
              <w:rPr>
                <w:rFonts w:ascii="黑体" w:eastAsia="黑体" w:hAnsi="黑体" w:cs="宋体"/>
                <w:color w:val="auto"/>
                <w:lang w:eastAsia="zh-CN"/>
              </w:rPr>
            </w:pPr>
            <w:r w:rsidRPr="008443F7">
              <w:rPr>
                <w:rFonts w:ascii="黑体" w:eastAsia="黑体" w:hAnsi="黑体" w:cs="宋体" w:hint="eastAsia"/>
                <w:color w:val="auto"/>
                <w:lang w:eastAsia="zh-CN"/>
              </w:rPr>
              <w:t>≥30%</w:t>
            </w:r>
          </w:p>
        </w:tc>
      </w:tr>
    </w:tbl>
    <w:p w:rsidR="00FC37F6" w:rsidRPr="00223645" w:rsidRDefault="00FC37F6">
      <w:pPr>
        <w:ind w:firstLine="480"/>
        <w:rPr>
          <w:rFonts w:ascii="黑体" w:eastAsia="黑体" w:hAnsi="黑体"/>
          <w:color w:val="auto"/>
          <w:lang w:eastAsia="zh-CN"/>
        </w:rPr>
      </w:pPr>
    </w:p>
    <w:p w:rsidR="00FC37F6" w:rsidRPr="00223645" w:rsidRDefault="00223645" w:rsidP="00223645">
      <w:pPr>
        <w:pStyle w:val="3"/>
        <w:numPr>
          <w:ilvl w:val="0"/>
          <w:numId w:val="20"/>
        </w:numPr>
        <w:ind w:firstLineChars="0"/>
        <w:rPr>
          <w:rFonts w:ascii="黑体" w:eastAsia="黑体" w:hAnsi="黑体"/>
          <w:color w:val="auto"/>
          <w:lang w:eastAsia="zh-CN"/>
        </w:rPr>
      </w:pPr>
      <w:r w:rsidRPr="00223645">
        <w:rPr>
          <w:rFonts w:ascii="黑体" w:eastAsia="黑体" w:hAnsi="黑体" w:hint="eastAsia"/>
          <w:color w:val="auto"/>
          <w:lang w:eastAsia="zh-CN"/>
        </w:rPr>
        <w:t>充电基础设施选址原则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1.集中式充电站选址原则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结合城乡规划和路网规划，以站点供电半径为基础进行总体布局规划，并借鉴加油加气站设置原则进行设定，结合现有及在建设施进行优化选择：</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（1）道路停车泊位</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在路外充电基础设施不足的情况下，可根据各类区域特点在有条件的路边或桥孔下布局公共充电基础设施；应避免对城市道路的影响，周边宜有办公、商业或居民小区，或邻近轨道交通车站；宜专位专用、结合分时租赁网点布置；试点结合智慧路灯，利用小区周边夜间道路停车资源建设充电基础设施。</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w:t>
      </w:r>
      <w:r w:rsidRPr="00C95BD9">
        <w:rPr>
          <w:rFonts w:ascii="黑体" w:eastAsia="黑体" w:hAnsi="黑体" w:cs="仿宋_GB2312" w:hint="eastAsia"/>
          <w:color w:val="auto"/>
          <w:sz w:val="28"/>
          <w:szCs w:val="28"/>
          <w:lang w:eastAsia="zh-CN"/>
        </w:rPr>
        <w:t>城市主要干道</w:t>
      </w:r>
      <w:r w:rsidRPr="00C95BD9">
        <w:rPr>
          <w:rFonts w:ascii="黑体" w:eastAsia="黑体" w:hAnsi="黑体" w:cs="仿宋_GB2312"/>
          <w:color w:val="auto"/>
          <w:sz w:val="28"/>
          <w:szCs w:val="28"/>
          <w:lang w:eastAsia="zh-CN"/>
        </w:rPr>
        <w:t>沿线</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20</w:t>
      </w:r>
      <w:r w:rsidRPr="00C95BD9">
        <w:rPr>
          <w:rFonts w:ascii="黑体" w:eastAsia="黑体" w:hAnsi="黑体" w:cs="仿宋_GB2312" w:hint="eastAsia"/>
          <w:color w:val="auto"/>
          <w:sz w:val="28"/>
          <w:szCs w:val="28"/>
          <w:lang w:eastAsia="zh-CN"/>
        </w:rPr>
        <w:t>2</w:t>
      </w:r>
      <w:r w:rsidR="00334547">
        <w:rPr>
          <w:rFonts w:ascii="黑体" w:eastAsia="黑体" w:hAnsi="黑体" w:cs="仿宋_GB2312" w:hint="eastAsia"/>
          <w:color w:val="auto"/>
          <w:sz w:val="28"/>
          <w:szCs w:val="28"/>
          <w:lang w:eastAsia="zh-CN"/>
        </w:rPr>
        <w:t>3</w:t>
      </w:r>
      <w:r w:rsidRPr="00C95BD9">
        <w:rPr>
          <w:rFonts w:ascii="黑体" w:eastAsia="黑体" w:hAnsi="黑体" w:cs="仿宋_GB2312" w:hint="eastAsia"/>
          <w:color w:val="auto"/>
          <w:sz w:val="28"/>
          <w:szCs w:val="28"/>
          <w:lang w:eastAsia="zh-CN"/>
        </w:rPr>
        <w:t>-</w:t>
      </w:r>
      <w:r w:rsidRPr="00C95BD9">
        <w:rPr>
          <w:rFonts w:ascii="黑体" w:eastAsia="黑体" w:hAnsi="黑体" w:cs="仿宋_GB2312"/>
          <w:color w:val="auto"/>
          <w:sz w:val="28"/>
          <w:szCs w:val="28"/>
          <w:lang w:eastAsia="zh-CN"/>
        </w:rPr>
        <w:t>2030年，市域范围内放射性高速公路、</w:t>
      </w:r>
      <w:r w:rsidRPr="00C95BD9">
        <w:rPr>
          <w:rFonts w:ascii="黑体" w:eastAsia="黑体" w:hAnsi="黑体" w:cs="仿宋_GB2312" w:hint="eastAsia"/>
          <w:color w:val="auto"/>
          <w:sz w:val="28"/>
          <w:szCs w:val="28"/>
          <w:lang w:eastAsia="zh-CN"/>
        </w:rPr>
        <w:t>主要</w:t>
      </w:r>
      <w:r w:rsidRPr="00C95BD9">
        <w:rPr>
          <w:rFonts w:ascii="黑体" w:eastAsia="黑体" w:hAnsi="黑体" w:cs="仿宋_GB2312"/>
          <w:color w:val="auto"/>
          <w:sz w:val="28"/>
          <w:szCs w:val="28"/>
          <w:lang w:eastAsia="zh-CN"/>
        </w:rPr>
        <w:t>国道</w:t>
      </w:r>
      <w:r w:rsidRPr="00C95BD9">
        <w:rPr>
          <w:rFonts w:ascii="黑体" w:eastAsia="黑体" w:hAnsi="黑体" w:cs="仿宋_GB2312" w:hint="eastAsia"/>
          <w:color w:val="auto"/>
          <w:sz w:val="28"/>
          <w:szCs w:val="28"/>
          <w:lang w:eastAsia="zh-CN"/>
        </w:rPr>
        <w:t>（如G108）</w:t>
      </w:r>
      <w:r w:rsidRPr="00C95BD9">
        <w:rPr>
          <w:rFonts w:ascii="黑体" w:eastAsia="黑体" w:hAnsi="黑体" w:cs="仿宋_GB2312"/>
          <w:color w:val="auto"/>
          <w:sz w:val="28"/>
          <w:szCs w:val="28"/>
          <w:lang w:eastAsia="zh-CN"/>
        </w:rPr>
        <w:t>、省道、县道配置充换电站服务半径呈逐步缩减趋势，以满足电动汽车的用电需求。鼓励在具备条件的加油加气站建设一定比例的公共快充设施。</w:t>
      </w:r>
    </w:p>
    <w:p w:rsidR="00FC37F6" w:rsidRPr="00223645" w:rsidRDefault="00223645" w:rsidP="00894E81">
      <w:pPr>
        <w:ind w:firstLine="480"/>
        <w:jc w:val="center"/>
        <w:rPr>
          <w:rFonts w:ascii="黑体" w:eastAsia="黑体" w:hAnsi="黑体" w:cs="仿宋_GB2312"/>
          <w:color w:val="auto"/>
          <w:sz w:val="31"/>
          <w:szCs w:val="31"/>
          <w:lang w:eastAsia="zh-CN"/>
        </w:rPr>
      </w:pPr>
      <w:r w:rsidRPr="00223645">
        <w:rPr>
          <w:rFonts w:ascii="黑体" w:eastAsia="黑体" w:hAnsi="黑体" w:cs="黑体" w:hint="eastAsia"/>
          <w:color w:val="auto"/>
          <w:lang w:eastAsia="zh-CN"/>
        </w:rPr>
        <w:t>表3.</w:t>
      </w:r>
      <w:r w:rsidR="00894E81">
        <w:rPr>
          <w:rFonts w:ascii="黑体" w:eastAsia="黑体" w:hAnsi="黑体" w:cs="黑体" w:hint="eastAsia"/>
          <w:color w:val="auto"/>
          <w:lang w:eastAsia="zh-CN"/>
        </w:rPr>
        <w:t>1-2</w:t>
      </w:r>
      <w:r w:rsidRPr="00223645">
        <w:rPr>
          <w:rFonts w:ascii="黑体" w:eastAsia="黑体" w:hAnsi="黑体" w:cs="黑体" w:hint="eastAsia"/>
          <w:color w:val="auto"/>
          <w:lang w:eastAsia="zh-CN"/>
        </w:rPr>
        <w:t xml:space="preserve"> 公路沿线充电站配建比例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1"/>
        <w:gridCol w:w="2189"/>
        <w:gridCol w:w="2238"/>
        <w:gridCol w:w="2045"/>
      </w:tblGrid>
      <w:tr w:rsidR="00FC37F6" w:rsidRPr="00223645" w:rsidTr="00E8452E">
        <w:tc>
          <w:tcPr>
            <w:tcW w:w="2291"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类型</w:t>
            </w:r>
          </w:p>
        </w:tc>
        <w:tc>
          <w:tcPr>
            <w:tcW w:w="2189"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2020年</w:t>
            </w:r>
          </w:p>
        </w:tc>
        <w:tc>
          <w:tcPr>
            <w:tcW w:w="2238"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2025年</w:t>
            </w:r>
          </w:p>
        </w:tc>
        <w:tc>
          <w:tcPr>
            <w:tcW w:w="2045"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2030年</w:t>
            </w:r>
          </w:p>
        </w:tc>
      </w:tr>
      <w:tr w:rsidR="00FC37F6" w:rsidRPr="00223645" w:rsidTr="00E8452E">
        <w:tc>
          <w:tcPr>
            <w:tcW w:w="2291" w:type="dxa"/>
          </w:tcPr>
          <w:p w:rsidR="00FC37F6" w:rsidRPr="008443F7" w:rsidRDefault="00223645">
            <w:pPr>
              <w:widowControl/>
              <w:ind w:firstLineChars="0" w:firstLine="0"/>
              <w:rPr>
                <w:rFonts w:ascii="黑体" w:eastAsia="黑体" w:hAnsi="黑体" w:cs="宋体"/>
                <w:color w:val="auto"/>
                <w:lang w:eastAsia="zh-CN"/>
              </w:rPr>
            </w:pPr>
            <w:r w:rsidRPr="008443F7">
              <w:rPr>
                <w:rFonts w:ascii="黑体" w:eastAsia="黑体" w:hAnsi="黑体" w:cs="宋体" w:hint="eastAsia"/>
                <w:color w:val="auto"/>
                <w:lang w:eastAsia="zh-CN"/>
              </w:rPr>
              <w:t>市域范围内放射性高速公路</w:t>
            </w:r>
          </w:p>
        </w:tc>
        <w:tc>
          <w:tcPr>
            <w:tcW w:w="2189"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＜40km</w:t>
            </w:r>
          </w:p>
        </w:tc>
        <w:tc>
          <w:tcPr>
            <w:tcW w:w="2238"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＜20km</w:t>
            </w:r>
          </w:p>
        </w:tc>
        <w:tc>
          <w:tcPr>
            <w:tcW w:w="2045"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＜20km</w:t>
            </w:r>
          </w:p>
        </w:tc>
      </w:tr>
      <w:tr w:rsidR="00FC37F6" w:rsidRPr="00223645" w:rsidTr="00E8452E">
        <w:tc>
          <w:tcPr>
            <w:tcW w:w="2291"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国道</w:t>
            </w:r>
          </w:p>
        </w:tc>
        <w:tc>
          <w:tcPr>
            <w:tcW w:w="2189"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w:t>
            </w:r>
          </w:p>
        </w:tc>
        <w:tc>
          <w:tcPr>
            <w:tcW w:w="2238"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＜40km</w:t>
            </w:r>
          </w:p>
        </w:tc>
        <w:tc>
          <w:tcPr>
            <w:tcW w:w="2045"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＜25km</w:t>
            </w:r>
          </w:p>
        </w:tc>
      </w:tr>
      <w:tr w:rsidR="00FC37F6" w:rsidRPr="00223645" w:rsidTr="00E8452E">
        <w:tc>
          <w:tcPr>
            <w:tcW w:w="2291"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lastRenderedPageBreak/>
              <w:t>省道</w:t>
            </w:r>
          </w:p>
        </w:tc>
        <w:tc>
          <w:tcPr>
            <w:tcW w:w="2189"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w:t>
            </w:r>
          </w:p>
        </w:tc>
        <w:tc>
          <w:tcPr>
            <w:tcW w:w="2238"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＜60km</w:t>
            </w:r>
          </w:p>
        </w:tc>
        <w:tc>
          <w:tcPr>
            <w:tcW w:w="2045"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＜30km</w:t>
            </w:r>
          </w:p>
        </w:tc>
      </w:tr>
      <w:tr w:rsidR="00FC37F6" w:rsidRPr="00223645" w:rsidTr="00E8452E">
        <w:trPr>
          <w:trHeight w:val="67"/>
        </w:trPr>
        <w:tc>
          <w:tcPr>
            <w:tcW w:w="2291"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县道</w:t>
            </w:r>
          </w:p>
        </w:tc>
        <w:tc>
          <w:tcPr>
            <w:tcW w:w="2189"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w:t>
            </w:r>
          </w:p>
        </w:tc>
        <w:tc>
          <w:tcPr>
            <w:tcW w:w="2238"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＜70km</w:t>
            </w:r>
          </w:p>
        </w:tc>
        <w:tc>
          <w:tcPr>
            <w:tcW w:w="2045" w:type="dxa"/>
          </w:tcPr>
          <w:p w:rsidR="00FC37F6" w:rsidRPr="008443F7" w:rsidRDefault="00223645" w:rsidP="008443F7">
            <w:pPr>
              <w:widowControl/>
              <w:ind w:firstLine="480"/>
              <w:rPr>
                <w:rFonts w:ascii="黑体" w:eastAsia="黑体" w:hAnsi="黑体" w:cs="宋体"/>
                <w:color w:val="auto"/>
                <w:lang w:eastAsia="zh-CN"/>
              </w:rPr>
            </w:pPr>
            <w:r w:rsidRPr="008443F7">
              <w:rPr>
                <w:rFonts w:ascii="黑体" w:eastAsia="黑体" w:hAnsi="黑体" w:cs="宋体" w:hint="eastAsia"/>
                <w:color w:val="auto"/>
                <w:lang w:eastAsia="zh-CN"/>
              </w:rPr>
              <w:t>＜40km</w:t>
            </w:r>
          </w:p>
        </w:tc>
      </w:tr>
    </w:tbl>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w:t>
      </w:r>
      <w:r w:rsidRPr="00C95BD9">
        <w:rPr>
          <w:rFonts w:ascii="黑体" w:eastAsia="黑体" w:hAnsi="黑体" w:cs="仿宋_GB2312" w:hint="eastAsia"/>
          <w:color w:val="auto"/>
          <w:sz w:val="28"/>
          <w:szCs w:val="28"/>
          <w:lang w:eastAsia="zh-CN"/>
        </w:rPr>
        <w:t>3</w:t>
      </w:r>
      <w:r w:rsidRPr="00C95BD9">
        <w:rPr>
          <w:rFonts w:ascii="黑体" w:eastAsia="黑体" w:hAnsi="黑体" w:cs="仿宋_GB2312"/>
          <w:color w:val="auto"/>
          <w:sz w:val="28"/>
          <w:szCs w:val="28"/>
          <w:lang w:eastAsia="zh-CN"/>
        </w:rPr>
        <w:t>）结合公交车始末站点，以及公交车集中停放场所配套建设充电站。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w:t>
      </w:r>
      <w:r w:rsidRPr="00C95BD9">
        <w:rPr>
          <w:rFonts w:ascii="黑体" w:eastAsia="黑体" w:hAnsi="黑体" w:cs="仿宋_GB2312" w:hint="eastAsia"/>
          <w:color w:val="auto"/>
          <w:sz w:val="28"/>
          <w:szCs w:val="28"/>
          <w:lang w:eastAsia="zh-CN"/>
        </w:rPr>
        <w:t>4</w:t>
      </w:r>
      <w:r w:rsidRPr="00C95BD9">
        <w:rPr>
          <w:rFonts w:ascii="黑体" w:eastAsia="黑体" w:hAnsi="黑体" w:cs="仿宋_GB2312"/>
          <w:color w:val="auto"/>
          <w:sz w:val="28"/>
          <w:szCs w:val="28"/>
          <w:lang w:eastAsia="zh-CN"/>
        </w:rPr>
        <w:t>）结合物流环卫等专用车集中停放站场合建充电站。</w:t>
      </w:r>
    </w:p>
    <w:p w:rsidR="00FC37F6" w:rsidRPr="00223645" w:rsidRDefault="00FC37F6">
      <w:pPr>
        <w:pStyle w:val="a0"/>
        <w:ind w:firstLine="480"/>
        <w:rPr>
          <w:rFonts w:ascii="黑体" w:eastAsia="黑体" w:hAnsi="黑体"/>
          <w:color w:val="auto"/>
          <w:lang w:eastAsia="zh-CN"/>
        </w:rPr>
      </w:pP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2.分散式充电桩选址原则</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（1）充电桩宜结合车辆场库设置，如：大型停车场、住宅小区、</w:t>
      </w:r>
      <w:r w:rsidRPr="00C95BD9">
        <w:rPr>
          <w:rFonts w:ascii="黑体" w:eastAsia="黑体" w:hAnsi="黑体" w:cs="仿宋_GB2312" w:hint="eastAsia"/>
          <w:color w:val="auto"/>
          <w:sz w:val="28"/>
          <w:szCs w:val="28"/>
          <w:lang w:eastAsia="zh-CN"/>
        </w:rPr>
        <w:t>临街停车场</w:t>
      </w:r>
      <w:r w:rsidRPr="00C95BD9">
        <w:rPr>
          <w:rFonts w:ascii="黑体" w:eastAsia="黑体" w:hAnsi="黑体" w:cs="仿宋_GB2312"/>
          <w:color w:val="auto"/>
          <w:sz w:val="28"/>
          <w:szCs w:val="28"/>
          <w:lang w:eastAsia="zh-CN"/>
        </w:rPr>
        <w:t>、商场、医院、换乘站、机场、码头、公园、景区等。</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（2）政府部门办公场所停车场设置电动公务车专用车位并考虑一定数量的社会用车充电桩。</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color w:val="auto"/>
          <w:sz w:val="28"/>
          <w:szCs w:val="28"/>
          <w:lang w:eastAsia="zh-CN"/>
        </w:rPr>
        <w:t>（3）充电桩配置应参考相关政策要求，同时考虑车辆实际需求，结合停车位数量按比例配置。</w:t>
      </w:r>
    </w:p>
    <w:p w:rsidR="00FC37F6" w:rsidRPr="00C95BD9" w:rsidRDefault="00FC37F6" w:rsidP="00C95BD9">
      <w:pPr>
        <w:widowControl/>
        <w:ind w:firstLine="560"/>
        <w:rPr>
          <w:rFonts w:ascii="黑体" w:eastAsia="黑体" w:hAnsi="黑体" w:cs="仿宋_GB2312"/>
          <w:color w:val="auto"/>
          <w:sz w:val="28"/>
          <w:szCs w:val="28"/>
          <w:lang w:eastAsia="zh-CN"/>
        </w:rPr>
      </w:pPr>
    </w:p>
    <w:p w:rsidR="00FC37F6" w:rsidRPr="00223645" w:rsidRDefault="00223645">
      <w:pPr>
        <w:pStyle w:val="2"/>
        <w:ind w:firstLine="643"/>
        <w:jc w:val="center"/>
        <w:rPr>
          <w:rFonts w:ascii="黑体" w:hAnsi="黑体"/>
          <w:color w:val="auto"/>
          <w:lang w:eastAsia="zh-CN"/>
        </w:rPr>
      </w:pPr>
      <w:bookmarkStart w:id="56" w:name="_Toc18973"/>
      <w:bookmarkStart w:id="57" w:name="_Toc8677"/>
      <w:bookmarkStart w:id="58" w:name="_Toc196592638"/>
      <w:r w:rsidRPr="00223645">
        <w:rPr>
          <w:rFonts w:ascii="黑体" w:hAnsi="黑体" w:hint="eastAsia"/>
          <w:color w:val="auto"/>
          <w:lang w:eastAsia="zh-CN"/>
        </w:rPr>
        <w:t>第二节 需求预测</w:t>
      </w:r>
      <w:bookmarkEnd w:id="56"/>
      <w:bookmarkEnd w:id="57"/>
      <w:bookmarkEnd w:id="58"/>
    </w:p>
    <w:p w:rsidR="00FC37F6" w:rsidRPr="00223645" w:rsidRDefault="00223645" w:rsidP="008443F7">
      <w:pPr>
        <w:pStyle w:val="3"/>
        <w:numPr>
          <w:ilvl w:val="0"/>
          <w:numId w:val="32"/>
        </w:numPr>
        <w:ind w:firstLineChars="0"/>
        <w:rPr>
          <w:rFonts w:ascii="黑体" w:eastAsia="黑体" w:hAnsi="黑体"/>
          <w:color w:val="auto"/>
          <w:lang w:eastAsia="zh-CN"/>
        </w:rPr>
      </w:pPr>
      <w:bookmarkStart w:id="59" w:name="_Toc18570"/>
      <w:r w:rsidRPr="008443F7">
        <w:rPr>
          <w:rFonts w:ascii="黑体" w:eastAsia="黑体" w:hAnsi="黑体" w:hint="eastAsia"/>
          <w:color w:val="auto"/>
          <w:lang w:eastAsia="zh-CN"/>
        </w:rPr>
        <w:t>总体趋势</w:t>
      </w:r>
      <w:bookmarkEnd w:id="59"/>
      <w:r w:rsidRPr="00223645">
        <w:rPr>
          <w:rFonts w:ascii="黑体" w:eastAsia="黑体" w:hAnsi="黑体" w:hint="eastAsia"/>
          <w:color w:val="auto"/>
          <w:lang w:eastAsia="zh-CN"/>
        </w:rPr>
        <w:t xml:space="preserve"> </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截止2022年底广汉市机动车保有量105548辆，预计达到2030年底广汉市机动车保有量将达到118261辆，总体增长率11.2%，广汉市公路通车里程1381公里，每公里城市道路汽车保有量76.42辆，处于德阳市各行政区前列。距离地区每公里汽车保有量270辆的典型值还有一定距离，故汽车总量还未达到饱和。</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广汉市各类汽车数量呈以下：</w:t>
      </w:r>
    </w:p>
    <w:p w:rsidR="00FC37F6" w:rsidRPr="00C95BD9" w:rsidRDefault="00223645" w:rsidP="00C95BD9">
      <w:pPr>
        <w:widowControl/>
        <w:ind w:firstLine="560"/>
        <w:rPr>
          <w:rFonts w:ascii="黑体" w:eastAsia="黑体" w:hAnsi="黑体" w:cs="仿宋_GB2312"/>
          <w:color w:val="auto"/>
          <w:sz w:val="28"/>
          <w:szCs w:val="28"/>
          <w:lang w:eastAsia="zh-CN"/>
        </w:rPr>
      </w:pPr>
      <w:bookmarkStart w:id="60" w:name="_Toc7174"/>
      <w:r w:rsidRPr="00C95BD9">
        <w:rPr>
          <w:rFonts w:ascii="黑体" w:eastAsia="黑体" w:hAnsi="黑体" w:cs="仿宋_GB2312" w:hint="eastAsia"/>
          <w:color w:val="auto"/>
          <w:sz w:val="28"/>
          <w:szCs w:val="28"/>
          <w:lang w:eastAsia="zh-CN"/>
        </w:rPr>
        <w:t>（1）私人乘用车增速趋于平缓</w:t>
      </w:r>
      <w:bookmarkEnd w:id="60"/>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参照广汉市的机动车历史数据，可以看到在十三五的前半段，汽车增速较快，年均增长率达到5%以上，在十三五后半段期间</w:t>
      </w:r>
      <w:r w:rsidRPr="00C95BD9">
        <w:rPr>
          <w:rFonts w:ascii="黑体" w:eastAsia="黑体" w:hAnsi="黑体" w:cs="仿宋_GB2312"/>
          <w:color w:val="auto"/>
          <w:sz w:val="28"/>
          <w:szCs w:val="28"/>
          <w:lang w:eastAsia="zh-CN"/>
        </w:rPr>
        <w:t>增长率</w:t>
      </w:r>
      <w:r w:rsidRPr="00C95BD9">
        <w:rPr>
          <w:rFonts w:ascii="黑体" w:eastAsia="黑体" w:hAnsi="黑体" w:cs="仿宋_GB2312" w:hint="eastAsia"/>
          <w:color w:val="auto"/>
          <w:sz w:val="28"/>
          <w:szCs w:val="28"/>
          <w:lang w:eastAsia="zh-CN"/>
        </w:rPr>
        <w:t>仅2.2%，标</w:t>
      </w:r>
      <w:r w:rsidRPr="00C95BD9">
        <w:rPr>
          <w:rFonts w:ascii="黑体" w:eastAsia="黑体" w:hAnsi="黑体" w:cs="仿宋_GB2312" w:hint="eastAsia"/>
          <w:color w:val="auto"/>
          <w:sz w:val="28"/>
          <w:szCs w:val="28"/>
          <w:lang w:eastAsia="zh-CN"/>
        </w:rPr>
        <w:lastRenderedPageBreak/>
        <w:t>志着整个广汉市私人乘用车增速降缓，考虑到疫情解封经济刺激等因素及预计</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十四五</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期间重新恢复至2%，2025年-2030年间增速放缓至1%。</w:t>
      </w:r>
    </w:p>
    <w:p w:rsidR="00FC37F6" w:rsidRPr="00C95BD9" w:rsidRDefault="00223645" w:rsidP="00C95BD9">
      <w:pPr>
        <w:widowControl/>
        <w:ind w:firstLine="560"/>
        <w:rPr>
          <w:rFonts w:ascii="黑体" w:eastAsia="黑体" w:hAnsi="黑体" w:cs="仿宋_GB2312"/>
          <w:color w:val="auto"/>
          <w:sz w:val="28"/>
          <w:szCs w:val="28"/>
          <w:lang w:eastAsia="zh-CN"/>
        </w:rPr>
      </w:pPr>
      <w:bookmarkStart w:id="61" w:name="_Toc13095"/>
      <w:r w:rsidRPr="00C95BD9">
        <w:rPr>
          <w:rFonts w:ascii="黑体" w:eastAsia="黑体" w:hAnsi="黑体" w:cs="仿宋_GB2312" w:hint="eastAsia"/>
          <w:color w:val="auto"/>
          <w:sz w:val="28"/>
          <w:szCs w:val="28"/>
          <w:lang w:eastAsia="zh-CN"/>
        </w:rPr>
        <w:t>（2）公共交通发展维持低速</w:t>
      </w:r>
      <w:bookmarkEnd w:id="61"/>
      <w:r w:rsidRPr="00C95BD9">
        <w:rPr>
          <w:rFonts w:ascii="黑体" w:eastAsia="黑体" w:hAnsi="黑体" w:cs="仿宋_GB2312" w:hint="eastAsia"/>
          <w:color w:val="auto"/>
          <w:sz w:val="28"/>
          <w:szCs w:val="28"/>
          <w:lang w:eastAsia="zh-CN"/>
        </w:rPr>
        <w:t>增长</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对于公共交通，广汉市</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十四五</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及远景规划，提到“加大城际公交运力投放，加密班次，增加社区巴士线路，推动城乡公交一体化改造，大力推进新能源公交的应用，推动城乡公交一体化改造，构建统一完善的城乡公交一体化改造构建统一完善的城 乡公交一体化长效制度体系，打造全域公交”，根据《城市道路交通规划设计规范》有关标准“中小城市应每1200-1500人拥有一辆标准车”。</w:t>
      </w:r>
      <w:r w:rsidR="002C111C">
        <w:rPr>
          <w:rFonts w:ascii="黑体" w:eastAsia="黑体" w:hAnsi="黑体" w:cs="仿宋_GB2312" w:hint="eastAsia"/>
          <w:color w:val="auto"/>
          <w:sz w:val="28"/>
          <w:szCs w:val="28"/>
          <w:lang w:eastAsia="zh-CN"/>
        </w:rPr>
        <w:t>广汉市</w:t>
      </w:r>
      <w:r w:rsidRPr="00C95BD9">
        <w:rPr>
          <w:rFonts w:ascii="黑体" w:eastAsia="黑体" w:hAnsi="黑体" w:cs="仿宋_GB2312" w:hint="eastAsia"/>
          <w:color w:val="auto"/>
          <w:sz w:val="28"/>
          <w:szCs w:val="28"/>
          <w:lang w:eastAsia="zh-CN"/>
        </w:rPr>
        <w:t>202</w:t>
      </w:r>
      <w:r w:rsidR="002C111C">
        <w:rPr>
          <w:rFonts w:ascii="黑体" w:eastAsia="黑体" w:hAnsi="黑体" w:cs="仿宋_GB2312"/>
          <w:color w:val="auto"/>
          <w:sz w:val="28"/>
          <w:szCs w:val="28"/>
          <w:lang w:eastAsia="zh-CN"/>
        </w:rPr>
        <w:t>2</w:t>
      </w:r>
      <w:r w:rsidRPr="00C95BD9">
        <w:rPr>
          <w:rFonts w:ascii="黑体" w:eastAsia="黑体" w:hAnsi="黑体" w:cs="仿宋_GB2312" w:hint="eastAsia"/>
          <w:color w:val="auto"/>
          <w:sz w:val="28"/>
          <w:szCs w:val="28"/>
          <w:lang w:eastAsia="zh-CN"/>
        </w:rPr>
        <w:t>年常住人口62.6万人，但考虑到人口出生率降低</w:t>
      </w:r>
      <w:r w:rsidR="0005717C">
        <w:rPr>
          <w:rFonts w:ascii="黑体" w:eastAsia="黑体" w:hAnsi="黑体" w:cs="仿宋_GB2312" w:hint="eastAsia"/>
          <w:color w:val="auto"/>
          <w:sz w:val="28"/>
          <w:szCs w:val="28"/>
          <w:lang w:eastAsia="zh-CN"/>
        </w:rPr>
        <w:t>等因素，预计广汉市</w:t>
      </w:r>
      <w:r w:rsidRPr="00C95BD9">
        <w:rPr>
          <w:rFonts w:ascii="黑体" w:eastAsia="黑体" w:hAnsi="黑体" w:cs="仿宋_GB2312" w:hint="eastAsia"/>
          <w:color w:val="auto"/>
          <w:sz w:val="28"/>
          <w:szCs w:val="28"/>
          <w:lang w:eastAsia="zh-CN"/>
        </w:rPr>
        <w:t>到2030年</w:t>
      </w:r>
      <w:r w:rsidR="0005717C">
        <w:rPr>
          <w:rFonts w:ascii="黑体" w:eastAsia="黑体" w:hAnsi="黑体" w:cs="仿宋_GB2312" w:hint="eastAsia"/>
          <w:color w:val="auto"/>
          <w:sz w:val="28"/>
          <w:szCs w:val="28"/>
          <w:lang w:eastAsia="zh-CN"/>
        </w:rPr>
        <w:t>常住人口维持缓慢小幅增长，常住</w:t>
      </w:r>
      <w:r w:rsidRPr="00C95BD9">
        <w:rPr>
          <w:rFonts w:ascii="黑体" w:eastAsia="黑体" w:hAnsi="黑体" w:cs="仿宋_GB2312" w:hint="eastAsia"/>
          <w:color w:val="auto"/>
          <w:sz w:val="28"/>
          <w:szCs w:val="28"/>
          <w:lang w:eastAsia="zh-CN"/>
        </w:rPr>
        <w:t>人口预估</w:t>
      </w:r>
      <w:r w:rsidR="0005717C">
        <w:rPr>
          <w:rFonts w:ascii="黑体" w:eastAsia="黑体" w:hAnsi="黑体" w:cs="仿宋_GB2312" w:hint="eastAsia"/>
          <w:color w:val="auto"/>
          <w:sz w:val="28"/>
          <w:szCs w:val="28"/>
          <w:lang w:eastAsia="zh-CN"/>
        </w:rPr>
        <w:t>为6</w:t>
      </w:r>
      <w:r w:rsidR="0005717C">
        <w:rPr>
          <w:rFonts w:ascii="黑体" w:eastAsia="黑体" w:hAnsi="黑体" w:cs="仿宋_GB2312"/>
          <w:color w:val="auto"/>
          <w:sz w:val="28"/>
          <w:szCs w:val="28"/>
          <w:lang w:eastAsia="zh-CN"/>
        </w:rPr>
        <w:t>3</w:t>
      </w:r>
      <w:r w:rsidRPr="00C95BD9">
        <w:rPr>
          <w:rFonts w:ascii="黑体" w:eastAsia="黑体" w:hAnsi="黑体" w:cs="仿宋_GB2312" w:hint="eastAsia"/>
          <w:color w:val="auto"/>
          <w:sz w:val="28"/>
          <w:szCs w:val="28"/>
          <w:lang w:eastAsia="zh-CN"/>
        </w:rPr>
        <w:t>万人，截止到2021年底广汉市公交车</w:t>
      </w:r>
      <w:r w:rsidR="0005717C">
        <w:rPr>
          <w:rFonts w:ascii="黑体" w:eastAsia="黑体" w:hAnsi="黑体" w:cs="仿宋_GB2312" w:hint="eastAsia"/>
          <w:color w:val="auto"/>
          <w:sz w:val="28"/>
          <w:szCs w:val="28"/>
          <w:lang w:eastAsia="zh-CN"/>
        </w:rPr>
        <w:t>数量为</w:t>
      </w:r>
      <w:r w:rsidRPr="00C95BD9">
        <w:rPr>
          <w:rFonts w:ascii="黑体" w:eastAsia="黑体" w:hAnsi="黑体" w:cs="仿宋_GB2312" w:hint="eastAsia"/>
          <w:color w:val="auto"/>
          <w:sz w:val="28"/>
          <w:szCs w:val="28"/>
          <w:lang w:eastAsia="zh-CN"/>
        </w:rPr>
        <w:t>76辆，未来几年将缓慢增长。</w:t>
      </w:r>
    </w:p>
    <w:p w:rsidR="00FC37F6" w:rsidRPr="00C95BD9" w:rsidRDefault="00223645" w:rsidP="00C95BD9">
      <w:pPr>
        <w:widowControl/>
        <w:ind w:firstLine="560"/>
        <w:rPr>
          <w:rFonts w:ascii="黑体" w:eastAsia="黑体" w:hAnsi="黑体" w:cs="仿宋_GB2312"/>
          <w:color w:val="auto"/>
          <w:sz w:val="28"/>
          <w:szCs w:val="28"/>
          <w:lang w:eastAsia="zh-CN"/>
        </w:rPr>
      </w:pPr>
      <w:bookmarkStart w:id="62" w:name="_Toc32435"/>
      <w:r w:rsidRPr="00C95BD9">
        <w:rPr>
          <w:rFonts w:ascii="黑体" w:eastAsia="黑体" w:hAnsi="黑体" w:cs="仿宋_GB2312" w:hint="eastAsia"/>
          <w:color w:val="auto"/>
          <w:sz w:val="28"/>
          <w:szCs w:val="28"/>
          <w:lang w:eastAsia="zh-CN"/>
        </w:rPr>
        <w:t>（3）出租车发展</w:t>
      </w:r>
      <w:bookmarkEnd w:id="62"/>
      <w:r w:rsidRPr="00C95BD9">
        <w:rPr>
          <w:rFonts w:ascii="黑体" w:eastAsia="黑体" w:hAnsi="黑体" w:cs="仿宋_GB2312" w:hint="eastAsia"/>
          <w:color w:val="auto"/>
          <w:sz w:val="28"/>
          <w:szCs w:val="28"/>
          <w:lang w:eastAsia="zh-CN"/>
        </w:rPr>
        <w:t>平稳</w:t>
      </w:r>
    </w:p>
    <w:p w:rsidR="00FC37F6" w:rsidRPr="00C95BD9" w:rsidRDefault="00223645" w:rsidP="00334547">
      <w:pPr>
        <w:widowControl/>
        <w:ind w:firstLineChars="270" w:firstLine="756"/>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2018年-2021年底，广汉出租车增数量一直保持161辆，并未增长。根据《城市道路交通规划设计规范》有关标准，“城市出租车规划拥有量根据实际情况确定，大城市每千人不宜少于2辆，小城市每千人不宜少于0.5辆”，广汉市目前每千人出租车为0.26辆，但现有网约车数量较多，本规划预测广汉市巡游出租车的数量不变。未来几年，巡游出租车陆续替换为全电动新能源车的趋势明显。</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（4）货运及客运经营性车辆</w:t>
      </w:r>
    </w:p>
    <w:p w:rsidR="00FC37F6" w:rsidRPr="00C95BD9" w:rsidRDefault="00223645" w:rsidP="00334547">
      <w:pPr>
        <w:widowControl/>
        <w:ind w:firstLineChars="270" w:firstLine="756"/>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广汉的货运和客运体系已发展较为成熟，并且在规划期限内，广汉市的城区范围与人口将不会有较大波动，故假设货运及客运的经营性车辆数量保持不变。</w:t>
      </w:r>
    </w:p>
    <w:p w:rsidR="00FC37F6" w:rsidRPr="00C95BD9" w:rsidRDefault="00223645" w:rsidP="00C95BD9">
      <w:pPr>
        <w:widowControl/>
        <w:ind w:firstLine="560"/>
        <w:rPr>
          <w:rFonts w:ascii="黑体" w:eastAsia="黑体" w:hAnsi="黑体" w:cs="仿宋_GB2312"/>
          <w:color w:val="auto"/>
          <w:sz w:val="28"/>
          <w:szCs w:val="28"/>
          <w:lang w:eastAsia="zh-CN"/>
        </w:rPr>
      </w:pPr>
      <w:bookmarkStart w:id="63" w:name="_Toc22579"/>
      <w:r w:rsidRPr="00C95BD9">
        <w:rPr>
          <w:rFonts w:ascii="黑体" w:eastAsia="黑体" w:hAnsi="黑体" w:cs="仿宋_GB2312" w:hint="eastAsia"/>
          <w:color w:val="auto"/>
          <w:sz w:val="28"/>
          <w:szCs w:val="28"/>
          <w:lang w:eastAsia="zh-CN"/>
        </w:rPr>
        <w:t>（5）物流环卫等专用车小幅度上升</w:t>
      </w:r>
      <w:bookmarkEnd w:id="63"/>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lastRenderedPageBreak/>
        <w:t>从之前的发展趋势来看，物流环卫等专用车的总量整体趋于饱和，小型物流车依托电子商务数量的增加将保持增长，并且新能源的替代率会进一步的提升。</w:t>
      </w:r>
    </w:p>
    <w:p w:rsidR="00FC37F6" w:rsidRPr="008443F7" w:rsidRDefault="00223645" w:rsidP="008443F7">
      <w:pPr>
        <w:pStyle w:val="3"/>
        <w:numPr>
          <w:ilvl w:val="0"/>
          <w:numId w:val="32"/>
        </w:numPr>
        <w:ind w:firstLineChars="0"/>
        <w:rPr>
          <w:rFonts w:ascii="黑体" w:eastAsia="黑体" w:hAnsi="黑体"/>
          <w:color w:val="auto"/>
          <w:lang w:eastAsia="zh-CN"/>
        </w:rPr>
      </w:pPr>
      <w:bookmarkStart w:id="64" w:name="_Toc2682"/>
      <w:r w:rsidRPr="008443F7">
        <w:rPr>
          <w:rFonts w:ascii="黑体" w:eastAsia="黑体" w:hAnsi="黑体" w:hint="eastAsia"/>
          <w:color w:val="auto"/>
          <w:lang w:eastAsia="zh-CN"/>
        </w:rPr>
        <w:t>预测方法</w:t>
      </w:r>
      <w:bookmarkEnd w:id="64"/>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本规划以汽车保有量预测为基础，将逐步进行电动汽车保有量预测、总体充电需求预测、公共充电需求预测、充电基础设施需求预测。</w:t>
      </w:r>
    </w:p>
    <w:p w:rsidR="00FC37F6" w:rsidRPr="00223645" w:rsidRDefault="00223645">
      <w:pPr>
        <w:widowControl/>
        <w:ind w:firstLineChars="154" w:firstLine="477"/>
        <w:outlineLvl w:val="3"/>
        <w:rPr>
          <w:rFonts w:ascii="黑体" w:eastAsia="黑体" w:hAnsi="黑体" w:cs="仿宋_GB2312"/>
          <w:color w:val="auto"/>
          <w:sz w:val="31"/>
          <w:szCs w:val="31"/>
          <w:lang w:eastAsia="zh-CN"/>
        </w:rPr>
      </w:pPr>
      <w:r w:rsidRPr="00223645">
        <w:rPr>
          <w:rFonts w:ascii="黑体" w:eastAsia="黑体" w:hAnsi="黑体" w:cs="仿宋_GB2312" w:hint="eastAsia"/>
          <w:color w:val="auto"/>
          <w:sz w:val="31"/>
          <w:szCs w:val="31"/>
          <w:lang w:eastAsia="zh-CN"/>
        </w:rPr>
        <w:t>2.1 机动车数量预测</w:t>
      </w:r>
    </w:p>
    <w:p w:rsidR="00FC37F6" w:rsidRPr="00C95BD9" w:rsidRDefault="00223645" w:rsidP="008443F7">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依据广汉市的历年汽车发展趋势，并结合广汉市</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十四五</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以及远期规划中的综合交通发展规划，对广汉市</w:t>
      </w:r>
      <w:r w:rsidR="00334547">
        <w:rPr>
          <w:rFonts w:ascii="黑体" w:eastAsia="黑体" w:hAnsi="黑体" w:cs="仿宋_GB2312" w:hint="eastAsia"/>
          <w:color w:val="auto"/>
          <w:sz w:val="28"/>
          <w:szCs w:val="28"/>
          <w:lang w:eastAsia="zh-CN"/>
        </w:rPr>
        <w:t>2023</w:t>
      </w:r>
      <w:r w:rsidRPr="00C95BD9">
        <w:rPr>
          <w:rFonts w:ascii="黑体" w:eastAsia="黑体" w:hAnsi="黑体" w:cs="仿宋_GB2312" w:hint="eastAsia"/>
          <w:color w:val="auto"/>
          <w:sz w:val="28"/>
          <w:szCs w:val="28"/>
          <w:lang w:eastAsia="zh-CN"/>
        </w:rPr>
        <w:t>-2030年期间的各类汽车保有量进行预测。</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（1）公交车数量预测：参考《城市道路交通规划设计规范》有关标准，常规公交车规模应达到：大城市每800-1000人、中等城市每1200-1500人拥有一辆标准车的水平。为满足广汉市</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十四五</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规划预测2023年增长8辆公交车，后续每年增长10辆，2030年达到160辆。</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（2）巡游出租车数量预测： 因广汉市出租车已进行了合约签订，故本规划假设出租车数量无增长。</w:t>
      </w:r>
    </w:p>
    <w:p w:rsidR="00FC37F6" w:rsidRPr="00C95BD9" w:rsidRDefault="00223645" w:rsidP="00C95BD9">
      <w:pPr>
        <w:widowControl/>
        <w:ind w:firstLine="560"/>
        <w:rPr>
          <w:rFonts w:ascii="黑体" w:eastAsia="黑体" w:hAnsi="黑体" w:cs="仿宋_GB2312"/>
          <w:color w:val="auto"/>
          <w:sz w:val="28"/>
          <w:szCs w:val="28"/>
          <w:lang w:eastAsia="zh-CN"/>
        </w:rPr>
      </w:pPr>
      <w:bookmarkStart w:id="65" w:name="_Toc29260"/>
      <w:r w:rsidRPr="00C95BD9">
        <w:rPr>
          <w:rFonts w:ascii="黑体" w:eastAsia="黑体" w:hAnsi="黑体" w:cs="仿宋_GB2312" w:hint="eastAsia"/>
          <w:color w:val="auto"/>
          <w:sz w:val="28"/>
          <w:szCs w:val="28"/>
          <w:lang w:eastAsia="zh-CN"/>
        </w:rPr>
        <w:t>（3）物流环卫等小型专用车数量预测方法</w:t>
      </w:r>
      <w:bookmarkEnd w:id="65"/>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物流环卫车等随着电商业务的增长以及城镇化率的持续增长也将保持增长，但增长速率不会太高。物流环卫等专用车预测值=现状年物流等专用车保有量×自然增长率；</w:t>
      </w:r>
    </w:p>
    <w:p w:rsidR="00FC37F6" w:rsidRPr="00C95BD9" w:rsidRDefault="0015730C"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4</w:t>
      </w:r>
      <w:r w:rsidRPr="00C95BD9">
        <w:rPr>
          <w:rFonts w:ascii="黑体" w:eastAsia="黑体" w:hAnsi="黑体" w:cs="仿宋_GB2312" w:hint="eastAsia"/>
          <w:color w:val="auto"/>
          <w:sz w:val="28"/>
          <w:szCs w:val="28"/>
          <w:lang w:eastAsia="zh-CN"/>
        </w:rPr>
        <w:t>）</w:t>
      </w:r>
      <w:r w:rsidR="00223645" w:rsidRPr="00C95BD9">
        <w:rPr>
          <w:rFonts w:ascii="黑体" w:eastAsia="黑体" w:hAnsi="黑体" w:cs="仿宋_GB2312" w:hint="eastAsia"/>
          <w:color w:val="auto"/>
          <w:sz w:val="28"/>
          <w:szCs w:val="28"/>
          <w:lang w:eastAsia="zh-CN"/>
        </w:rPr>
        <w:t>乘用车专用车数量预测方法</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乘用车的数量随着广汉市城市居民生活的不断提高，应保持持续增长状态，对乘用车预测值计算公式为：广汉市牌照乘用车预测值=现状广汉市牌照年乘用车保有量×自然增长率。根据“十三五”乘用车数据变化趋势</w:t>
      </w:r>
      <w:r w:rsidRPr="00C95BD9">
        <w:rPr>
          <w:rFonts w:ascii="黑体" w:eastAsia="黑体" w:hAnsi="黑体" w:cs="仿宋_GB2312" w:hint="eastAsia"/>
          <w:color w:val="auto"/>
          <w:sz w:val="28"/>
          <w:szCs w:val="28"/>
          <w:lang w:eastAsia="zh-CN"/>
        </w:rPr>
        <w:lastRenderedPageBreak/>
        <w:t>来看，增长速度已明显减缓。考虑到近两年来，国家陆续出台了多则机动车消费鼓励政策，故假设在“十四五”期间乘用车数量增长率为</w:t>
      </w:r>
      <w:r w:rsidRPr="00C95BD9">
        <w:rPr>
          <w:rFonts w:ascii="黑体" w:eastAsia="黑体" w:hAnsi="黑体" w:cs="仿宋_GB2312"/>
          <w:color w:val="auto"/>
          <w:sz w:val="28"/>
          <w:szCs w:val="28"/>
          <w:lang w:eastAsia="zh-CN"/>
        </w:rPr>
        <w:t>2</w:t>
      </w:r>
      <w:r w:rsidRPr="00C95BD9">
        <w:rPr>
          <w:rFonts w:ascii="黑体" w:eastAsia="黑体" w:hAnsi="黑体" w:cs="仿宋_GB2312" w:hint="eastAsia"/>
          <w:color w:val="auto"/>
          <w:sz w:val="28"/>
          <w:szCs w:val="28"/>
          <w:lang w:eastAsia="zh-CN"/>
        </w:rPr>
        <w:t>%，</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十四五</w:t>
      </w:r>
      <w:r w:rsidR="00747E1E">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过后乘用车数量增长回落至“十三五”期间水平为</w:t>
      </w:r>
      <w:r w:rsidRPr="00C95BD9">
        <w:rPr>
          <w:rFonts w:ascii="黑体" w:eastAsia="黑体" w:hAnsi="黑体" w:cs="仿宋_GB2312"/>
          <w:color w:val="auto"/>
          <w:sz w:val="28"/>
          <w:szCs w:val="28"/>
          <w:lang w:eastAsia="zh-CN"/>
        </w:rPr>
        <w:t>1</w:t>
      </w:r>
      <w:r w:rsidRPr="00C95BD9">
        <w:rPr>
          <w:rFonts w:ascii="黑体" w:eastAsia="黑体" w:hAnsi="黑体" w:cs="仿宋_GB2312" w:hint="eastAsia"/>
          <w:color w:val="auto"/>
          <w:sz w:val="28"/>
          <w:szCs w:val="28"/>
          <w:lang w:eastAsia="zh-CN"/>
        </w:rPr>
        <w:t>%。又因长期行驶在广汉市区的乘用车，有部分是采用的成都市乘用车牌照，故上述计算公式应修正为：乘用车预测值=广汉市牌照乘用车预测值×外地牌照上浮系数；经实际数据对比，本规划外地牌照上浮系数取为1.1。</w:t>
      </w:r>
    </w:p>
    <w:p w:rsidR="00FC37F6" w:rsidRPr="00C95BD9" w:rsidRDefault="0015730C"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5</w:t>
      </w:r>
      <w:r w:rsidRPr="00C95BD9">
        <w:rPr>
          <w:rFonts w:ascii="黑体" w:eastAsia="黑体" w:hAnsi="黑体" w:cs="仿宋_GB2312" w:hint="eastAsia"/>
          <w:color w:val="auto"/>
          <w:sz w:val="28"/>
          <w:szCs w:val="28"/>
          <w:lang w:eastAsia="zh-CN"/>
        </w:rPr>
        <w:t>）</w:t>
      </w:r>
      <w:r w:rsidR="00223645" w:rsidRPr="00C95BD9">
        <w:rPr>
          <w:rFonts w:ascii="黑体" w:eastAsia="黑体" w:hAnsi="黑体" w:cs="仿宋_GB2312" w:hint="eastAsia"/>
          <w:color w:val="auto"/>
          <w:sz w:val="28"/>
          <w:szCs w:val="28"/>
          <w:lang w:eastAsia="zh-CN"/>
        </w:rPr>
        <w:t>货运及客运经营性车辆预测方法</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根据现有数量进行统计，并考虑到货运及客运网络的成熟度</w:t>
      </w:r>
      <w:r w:rsidRPr="00C95BD9">
        <w:rPr>
          <w:rFonts w:ascii="黑体" w:eastAsia="黑体" w:hAnsi="黑体" w:cs="仿宋_GB2312"/>
          <w:color w:val="auto"/>
          <w:sz w:val="28"/>
          <w:szCs w:val="28"/>
          <w:lang w:eastAsia="zh-CN"/>
        </w:rPr>
        <w:t>，</w:t>
      </w:r>
      <w:r w:rsidRPr="00C95BD9">
        <w:rPr>
          <w:rFonts w:ascii="黑体" w:eastAsia="黑体" w:hAnsi="黑体" w:cs="仿宋_GB2312" w:hint="eastAsia"/>
          <w:color w:val="auto"/>
          <w:sz w:val="28"/>
          <w:szCs w:val="28"/>
          <w:lang w:eastAsia="zh-CN"/>
        </w:rPr>
        <w:t>货运及客运的经营性车辆数量保持不变。</w:t>
      </w:r>
    </w:p>
    <w:p w:rsidR="00FC37F6" w:rsidRPr="00223645" w:rsidRDefault="00FC37F6">
      <w:pPr>
        <w:pStyle w:val="a0"/>
        <w:ind w:firstLineChars="0" w:firstLine="0"/>
        <w:rPr>
          <w:rFonts w:ascii="黑体" w:eastAsia="黑体" w:hAnsi="黑体"/>
          <w:color w:val="auto"/>
          <w:lang w:eastAsia="zh-CN"/>
        </w:rPr>
      </w:pPr>
    </w:p>
    <w:p w:rsidR="00FC37F6" w:rsidRPr="00223645" w:rsidRDefault="00223645">
      <w:pPr>
        <w:widowControl/>
        <w:ind w:firstLineChars="154" w:firstLine="477"/>
        <w:outlineLvl w:val="3"/>
        <w:rPr>
          <w:rFonts w:ascii="黑体" w:eastAsia="黑体" w:hAnsi="黑体" w:cs="仿宋_GB2312"/>
          <w:color w:val="auto"/>
          <w:sz w:val="31"/>
          <w:szCs w:val="31"/>
          <w:lang w:eastAsia="zh-CN"/>
        </w:rPr>
      </w:pPr>
      <w:bookmarkStart w:id="66" w:name="_Toc25472"/>
      <w:r w:rsidRPr="00223645">
        <w:rPr>
          <w:rFonts w:ascii="黑体" w:eastAsia="黑体" w:hAnsi="黑体" w:cs="仿宋_GB2312" w:hint="eastAsia"/>
          <w:color w:val="auto"/>
          <w:sz w:val="31"/>
          <w:szCs w:val="31"/>
          <w:lang w:eastAsia="zh-CN"/>
        </w:rPr>
        <w:t>2.2电动汽车保有量预测方法</w:t>
      </w:r>
      <w:bookmarkEnd w:id="66"/>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以各年份汽车保有量预测数据为基础，对每年电动汽车保有量进行预测。</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不同类型的电动汽车，根据其车型特点采用不同的预测方法。公交车、出租车、物流环卫属于政府部门管控类型的车型，故采用年份渗透率法，按照每年规划渗透率对公交车、出租车、物流环卫这三类车辆进行更替。随着大型货车及客运车辆电动技术的不断发展，可遇见货运及客运经营性车辆的新能源替代率将会逐步上升，故采用预测经营性车辆总数及预测渗透率进行预测。</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 xml:space="preserve">私人乘用车由于受市场及消费者意愿等多方面因素影响，采用更新替代比例法和渗透率两个指标进行预测。更新替代比例是指当年私人汽车更新量与私人汽车总量之比，即在广汉市汽车逐年保有量的基础上，结合电动汽车实际增长情况、更新替代比例等规划目标、对各年度的电动汽车增量进行预测。其中： </w:t>
      </w:r>
    </w:p>
    <w:p w:rsidR="00FC37F6" w:rsidRPr="00C95BD9" w:rsidRDefault="0015730C"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1</w:t>
      </w:r>
      <w:r w:rsidRPr="00C95BD9">
        <w:rPr>
          <w:rFonts w:ascii="黑体" w:eastAsia="黑体" w:hAnsi="黑体" w:cs="仿宋_GB2312" w:hint="eastAsia"/>
          <w:color w:val="auto"/>
          <w:sz w:val="28"/>
          <w:szCs w:val="28"/>
          <w:lang w:eastAsia="zh-CN"/>
        </w:rPr>
        <w:t>）</w:t>
      </w:r>
      <w:r w:rsidR="00223645" w:rsidRPr="00C95BD9">
        <w:rPr>
          <w:rFonts w:ascii="黑体" w:eastAsia="黑体" w:hAnsi="黑体" w:cs="仿宋_GB2312" w:hint="eastAsia"/>
          <w:color w:val="auto"/>
          <w:sz w:val="28"/>
          <w:szCs w:val="28"/>
          <w:lang w:eastAsia="zh-CN"/>
        </w:rPr>
        <w:t>公交车/巡游出租车/物流环卫电动汽车数量=公交车/出租车/物流环卫汽车保有量×规划渗透率；</w:t>
      </w:r>
    </w:p>
    <w:p w:rsidR="00FC37F6" w:rsidRPr="00C95BD9" w:rsidRDefault="00223645" w:rsidP="00C95BD9">
      <w:pPr>
        <w:widowControl/>
        <w:ind w:firstLine="560"/>
        <w:rPr>
          <w:rFonts w:ascii="黑体" w:eastAsia="黑体" w:hAnsi="黑体" w:cs="仿宋_GB2312"/>
          <w:color w:val="auto"/>
          <w:sz w:val="28"/>
          <w:szCs w:val="28"/>
          <w:lang w:eastAsia="zh-CN"/>
        </w:rPr>
      </w:pPr>
      <w:bookmarkStart w:id="67" w:name="_Toc13709"/>
      <w:r w:rsidRPr="00C95BD9">
        <w:rPr>
          <w:rFonts w:ascii="黑体" w:eastAsia="黑体" w:hAnsi="黑体" w:cs="仿宋_GB2312" w:hint="eastAsia"/>
          <w:color w:val="auto"/>
          <w:sz w:val="28"/>
          <w:szCs w:val="28"/>
          <w:lang w:eastAsia="zh-CN"/>
        </w:rPr>
        <w:lastRenderedPageBreak/>
        <w:t>（2）乘用车总增量=乘用车新增量+原有乘用车汽车更新量；</w:t>
      </w:r>
      <w:bookmarkEnd w:id="67"/>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（3）私人电动乘用车汽车总增量=私人乘用车汽车当年年净增量×当年电动汽车渗透率+私人乘用车更新替换比例×当年电动汽车渗透率；</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（4）电动经营性客/货车辆=经营性客/货车辆×预测渗透率</w:t>
      </w:r>
    </w:p>
    <w:p w:rsidR="00FC37F6" w:rsidRPr="00C95BD9" w:rsidRDefault="00223645" w:rsidP="00C95BD9">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参照近年来汽车保有量数据及电动汽车发展规划，广汉市</w:t>
      </w:r>
      <w:r w:rsidR="00334547">
        <w:rPr>
          <w:rFonts w:ascii="黑体" w:eastAsia="黑体" w:hAnsi="黑体" w:cs="仿宋_GB2312" w:hint="eastAsia"/>
          <w:color w:val="auto"/>
          <w:sz w:val="28"/>
          <w:szCs w:val="28"/>
          <w:lang w:eastAsia="zh-CN"/>
        </w:rPr>
        <w:t>2023</w:t>
      </w:r>
      <w:r w:rsidRPr="00C95BD9">
        <w:rPr>
          <w:rFonts w:ascii="黑体" w:eastAsia="黑体" w:hAnsi="黑体" w:cs="仿宋_GB2312" w:hint="eastAsia"/>
          <w:color w:val="auto"/>
          <w:sz w:val="28"/>
          <w:szCs w:val="28"/>
          <w:lang w:eastAsia="zh-CN"/>
        </w:rPr>
        <w:t>-2030年期间各车型更新替代比例规划目标如下：</w:t>
      </w:r>
    </w:p>
    <w:p w:rsidR="00FC37F6" w:rsidRPr="008443F7" w:rsidRDefault="0015730C" w:rsidP="008443F7">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1</w:t>
      </w:r>
      <w:r w:rsidRPr="00C95BD9">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公交车：广汉市的电动公交车已实现全部电动化，未来新增车辆也均假设为电动型公交车。</w:t>
      </w:r>
    </w:p>
    <w:p w:rsidR="00FC37F6" w:rsidRPr="008443F7" w:rsidRDefault="0015730C" w:rsidP="008443F7">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2</w:t>
      </w:r>
      <w:r w:rsidRPr="00C95BD9">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巡游出租车：因考虑广汉市出租车协议签订有一定生效期，故本规划假设五年之后进行出租车电气化100%更换。</w:t>
      </w:r>
    </w:p>
    <w:p w:rsidR="00FC37F6" w:rsidRPr="008443F7" w:rsidRDefault="0015730C" w:rsidP="008443F7">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3</w:t>
      </w:r>
      <w:r w:rsidRPr="00C95BD9">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环卫物流车：该类型车较难在短时间内完成大比例的替换工作。本规划假设环卫物流车按从2023年开始渗透率逐年增加</w:t>
      </w:r>
      <w:r w:rsidR="00223645" w:rsidRPr="008443F7">
        <w:rPr>
          <w:rFonts w:ascii="黑体" w:eastAsia="黑体" w:hAnsi="黑体" w:cs="仿宋_GB2312"/>
          <w:color w:val="auto"/>
          <w:sz w:val="28"/>
          <w:szCs w:val="28"/>
          <w:lang w:eastAsia="zh-CN"/>
        </w:rPr>
        <w:t>。</w:t>
      </w:r>
    </w:p>
    <w:p w:rsidR="00FC37F6" w:rsidRPr="008443F7" w:rsidRDefault="0015730C" w:rsidP="008443F7">
      <w:pPr>
        <w:widowControl/>
        <w:ind w:firstLine="560"/>
        <w:rPr>
          <w:rFonts w:ascii="黑体" w:eastAsia="黑体" w:hAnsi="黑体" w:cs="仿宋_GB2312"/>
          <w:color w:val="auto"/>
          <w:sz w:val="28"/>
          <w:szCs w:val="28"/>
          <w:lang w:eastAsia="zh-CN"/>
        </w:rPr>
      </w:pPr>
      <w:r w:rsidRPr="00C95BD9">
        <w:rPr>
          <w:rFonts w:ascii="黑体" w:eastAsia="黑体" w:hAnsi="黑体" w:cs="仿宋_GB2312" w:hint="eastAsia"/>
          <w:color w:val="auto"/>
          <w:sz w:val="28"/>
          <w:szCs w:val="28"/>
          <w:lang w:eastAsia="zh-CN"/>
        </w:rPr>
        <w:t>（</w:t>
      </w:r>
      <w:r w:rsidRPr="00C95BD9">
        <w:rPr>
          <w:rFonts w:ascii="黑体" w:eastAsia="黑体" w:hAnsi="黑体" w:cs="仿宋_GB2312" w:hint="eastAsia"/>
          <w:color w:val="auto"/>
          <w:sz w:val="28"/>
          <w:szCs w:val="28"/>
          <w:lang w:eastAsia="zh-CN"/>
        </w:rPr>
        <w:t>4</w:t>
      </w:r>
      <w:r w:rsidRPr="00C95BD9">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乘用车：在2022年销售的全国私人乘用车中，电动车的渗透率达到27.6%，但根据现有统计，广汉市私人乘用车中电动车中的占比仍然较低。本规划假设私人乘用车新增渗透率2023年为10%计算，逐年增加至2030年达到新增渗透率为25%。据专业汽车媒体报道，国人5年内换车人数的比例达到60%以上，也意味着年均换车比例大约为12%，换车中新增电动车数量，按当年新增渗透率进行计算。</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 xml:space="preserve">（5）经营性客/货运车：经部分预测报告表明，到2030年经营性电动货运车的渗透率有望达到30%，经营性电动客车渗透率有望达到50%。 </w:t>
      </w:r>
    </w:p>
    <w:p w:rsidR="00FC37F6" w:rsidRPr="00223645" w:rsidRDefault="00FC37F6">
      <w:pPr>
        <w:widowControl/>
        <w:ind w:firstLineChars="0" w:firstLine="620"/>
        <w:rPr>
          <w:rFonts w:ascii="黑体" w:eastAsia="黑体" w:hAnsi="黑体" w:cs="仿宋_GB2312"/>
          <w:color w:val="auto"/>
          <w:sz w:val="31"/>
          <w:szCs w:val="31"/>
          <w:lang w:eastAsia="zh-CN"/>
        </w:rPr>
      </w:pPr>
    </w:p>
    <w:p w:rsidR="00FC37F6" w:rsidRPr="00223645" w:rsidRDefault="00223645">
      <w:pPr>
        <w:widowControl/>
        <w:ind w:firstLineChars="154" w:firstLine="477"/>
        <w:outlineLvl w:val="3"/>
        <w:rPr>
          <w:rFonts w:ascii="黑体" w:eastAsia="黑体" w:hAnsi="黑体" w:cs="仿宋_GB2312"/>
          <w:color w:val="auto"/>
          <w:sz w:val="31"/>
          <w:szCs w:val="31"/>
          <w:lang w:eastAsia="zh-CN"/>
        </w:rPr>
      </w:pPr>
      <w:bookmarkStart w:id="68" w:name="_Toc14292"/>
      <w:r w:rsidRPr="00223645">
        <w:rPr>
          <w:rFonts w:ascii="黑体" w:eastAsia="黑体" w:hAnsi="黑体" w:cs="仿宋_GB2312" w:hint="eastAsia"/>
          <w:color w:val="auto"/>
          <w:sz w:val="31"/>
          <w:szCs w:val="31"/>
          <w:lang w:eastAsia="zh-CN"/>
        </w:rPr>
        <w:t>2.3总体充电需求预测方法</w:t>
      </w:r>
      <w:bookmarkEnd w:id="68"/>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 xml:space="preserve">   根据电动汽车增量预测结果及各类汽车的行驶特性，来分别计算各类型电动汽车的新增充电需求总量。</w:t>
      </w:r>
    </w:p>
    <w:p w:rsidR="00FC37F6" w:rsidRPr="008443F7" w:rsidRDefault="0015730C" w:rsidP="008443F7">
      <w:pPr>
        <w:widowControl/>
        <w:ind w:firstLine="560"/>
        <w:rPr>
          <w:rFonts w:ascii="黑体" w:eastAsia="黑体" w:hAnsi="黑体" w:cs="仿宋_GB2312"/>
          <w:color w:val="auto"/>
          <w:sz w:val="28"/>
          <w:szCs w:val="28"/>
          <w:lang w:eastAsia="zh-CN"/>
        </w:rPr>
      </w:pPr>
      <w:bookmarkStart w:id="69" w:name="_Toc19306"/>
      <w:r w:rsidRPr="008443F7">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1</w:t>
      </w:r>
      <w:r w:rsidRPr="008443F7">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各类型电动汽车行驶特性</w:t>
      </w:r>
      <w:bookmarkEnd w:id="69"/>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lastRenderedPageBreak/>
        <w:t>根据四川省新能源汽车发展有关政策，结合广汉市电动汽车发展实际情况，各电动汽车行驶特性确定如表3.</w:t>
      </w:r>
      <w:r w:rsidR="00894E81">
        <w:rPr>
          <w:rFonts w:ascii="黑体" w:eastAsia="黑体" w:hAnsi="黑体" w:cs="仿宋_GB2312" w:hint="eastAsia"/>
          <w:color w:val="auto"/>
          <w:sz w:val="28"/>
          <w:szCs w:val="28"/>
          <w:lang w:eastAsia="zh-CN"/>
        </w:rPr>
        <w:t>2</w:t>
      </w:r>
      <w:r w:rsidRPr="008443F7">
        <w:rPr>
          <w:rFonts w:ascii="黑体" w:eastAsia="黑体" w:hAnsi="黑体" w:cs="仿宋_GB2312" w:hint="eastAsia"/>
          <w:color w:val="auto"/>
          <w:sz w:val="28"/>
          <w:szCs w:val="28"/>
          <w:lang w:eastAsia="zh-CN"/>
        </w:rPr>
        <w:t>。</w:t>
      </w:r>
    </w:p>
    <w:p w:rsidR="00FC37F6" w:rsidRPr="00223645" w:rsidRDefault="00FC37F6">
      <w:pPr>
        <w:ind w:firstLine="480"/>
        <w:rPr>
          <w:rFonts w:ascii="黑体" w:eastAsia="黑体" w:hAnsi="黑体"/>
          <w:color w:val="auto"/>
          <w:lang w:eastAsia="zh-CN"/>
        </w:rPr>
      </w:pP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表3.2 电动汽车行驶特性及平均电耗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6"/>
        <w:gridCol w:w="1176"/>
        <w:gridCol w:w="696"/>
        <w:gridCol w:w="1656"/>
        <w:gridCol w:w="2736"/>
      </w:tblGrid>
      <w:tr w:rsidR="00FC37F6" w:rsidRPr="00223645" w:rsidTr="00894E81">
        <w:trPr>
          <w:jc w:val="center"/>
        </w:trPr>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车型</w:t>
            </w:r>
          </w:p>
        </w:tc>
        <w:tc>
          <w:tcPr>
            <w:tcW w:w="0" w:type="auto"/>
            <w:vAlign w:val="center"/>
          </w:tcPr>
          <w:p w:rsidR="00FC37F6" w:rsidRPr="00223645" w:rsidRDefault="00223645">
            <w:pPr>
              <w:widowControl/>
              <w:tabs>
                <w:tab w:val="left" w:pos="312"/>
              </w:tabs>
              <w:ind w:firstLineChars="0" w:firstLine="0"/>
              <w:rPr>
                <w:rFonts w:ascii="黑体" w:eastAsia="黑体" w:hAnsi="黑体" w:cs="仿宋_GB2312"/>
                <w:color w:val="auto"/>
                <w:lang w:eastAsia="zh-CN"/>
              </w:rPr>
            </w:pPr>
            <w:r w:rsidRPr="00223645">
              <w:rPr>
                <w:rFonts w:ascii="黑体" w:eastAsia="黑体" w:hAnsi="黑体" w:cs="仿宋_GB2312" w:hint="eastAsia"/>
                <w:color w:val="auto"/>
                <w:lang w:eastAsia="zh-CN"/>
              </w:rPr>
              <w:t>动力类型</w:t>
            </w:r>
          </w:p>
        </w:tc>
        <w:tc>
          <w:tcPr>
            <w:tcW w:w="0" w:type="auto"/>
            <w:vAlign w:val="center"/>
          </w:tcPr>
          <w:p w:rsidR="00FC37F6" w:rsidRPr="00223645" w:rsidRDefault="00223645">
            <w:pPr>
              <w:widowControl/>
              <w:tabs>
                <w:tab w:val="left" w:pos="312"/>
              </w:tabs>
              <w:ind w:firstLineChars="0" w:firstLine="0"/>
              <w:rPr>
                <w:rFonts w:ascii="黑体" w:eastAsia="黑体" w:hAnsi="黑体" w:cs="仿宋_GB2312"/>
                <w:color w:val="auto"/>
                <w:lang w:eastAsia="zh-CN"/>
              </w:rPr>
            </w:pPr>
            <w:r w:rsidRPr="00223645">
              <w:rPr>
                <w:rFonts w:ascii="黑体" w:eastAsia="黑体" w:hAnsi="黑体" w:cs="仿宋_GB2312" w:hint="eastAsia"/>
                <w:color w:val="auto"/>
                <w:lang w:eastAsia="zh-CN"/>
              </w:rPr>
              <w:t>占比</w:t>
            </w:r>
          </w:p>
        </w:tc>
        <w:tc>
          <w:tcPr>
            <w:tcW w:w="0" w:type="auto"/>
            <w:vAlign w:val="center"/>
          </w:tcPr>
          <w:p w:rsidR="00FC37F6" w:rsidRPr="00223645" w:rsidRDefault="00223645">
            <w:pPr>
              <w:widowControl/>
              <w:tabs>
                <w:tab w:val="left" w:pos="312"/>
              </w:tabs>
              <w:ind w:firstLineChars="0" w:firstLine="0"/>
              <w:rPr>
                <w:rFonts w:ascii="黑体" w:eastAsia="黑体" w:hAnsi="黑体" w:cs="仿宋_GB2312"/>
                <w:color w:val="auto"/>
                <w:lang w:eastAsia="zh-CN"/>
              </w:rPr>
            </w:pPr>
            <w:r w:rsidRPr="00223645">
              <w:rPr>
                <w:rFonts w:ascii="黑体" w:eastAsia="黑体" w:hAnsi="黑体" w:cs="仿宋_GB2312" w:hint="eastAsia"/>
                <w:color w:val="auto"/>
                <w:lang w:eastAsia="zh-CN"/>
              </w:rPr>
              <w:t>年均行驶里程</w:t>
            </w:r>
          </w:p>
        </w:tc>
        <w:tc>
          <w:tcPr>
            <w:tcW w:w="0" w:type="auto"/>
            <w:vAlign w:val="center"/>
          </w:tcPr>
          <w:p w:rsidR="00FC37F6" w:rsidRPr="00223645" w:rsidRDefault="00223645">
            <w:pPr>
              <w:widowControl/>
              <w:tabs>
                <w:tab w:val="left" w:pos="312"/>
              </w:tabs>
              <w:ind w:firstLineChars="0" w:firstLine="0"/>
              <w:rPr>
                <w:rFonts w:ascii="黑体" w:eastAsia="黑体" w:hAnsi="黑体" w:cs="仿宋_GB2312"/>
                <w:color w:val="auto"/>
                <w:lang w:eastAsia="zh-CN"/>
              </w:rPr>
            </w:pPr>
            <w:r w:rsidRPr="00223645">
              <w:rPr>
                <w:rFonts w:ascii="黑体" w:eastAsia="黑体" w:hAnsi="黑体" w:cs="仿宋_GB2312" w:hint="eastAsia"/>
                <w:color w:val="auto"/>
                <w:lang w:eastAsia="zh-CN"/>
              </w:rPr>
              <w:t>百公里平均电耗（kWh）</w:t>
            </w:r>
          </w:p>
        </w:tc>
      </w:tr>
      <w:tr w:rsidR="00FC37F6" w:rsidRPr="00223645" w:rsidTr="00894E81">
        <w:trPr>
          <w:jc w:val="center"/>
        </w:trPr>
        <w:tc>
          <w:tcPr>
            <w:tcW w:w="0" w:type="auto"/>
            <w:vMerge w:val="restart"/>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公交</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Merge w:val="restart"/>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70000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90</w:t>
            </w:r>
          </w:p>
        </w:tc>
      </w:tr>
      <w:tr w:rsidR="00FC37F6" w:rsidRPr="00223645" w:rsidTr="00894E81">
        <w:trPr>
          <w:jc w:val="center"/>
        </w:trPr>
        <w:tc>
          <w:tcPr>
            <w:tcW w:w="0" w:type="auto"/>
            <w:vMerge/>
            <w:vAlign w:val="center"/>
          </w:tcPr>
          <w:p w:rsidR="00FC37F6" w:rsidRPr="00223645" w:rsidRDefault="00FC37F6">
            <w:pPr>
              <w:widowControl/>
              <w:tabs>
                <w:tab w:val="left" w:pos="312"/>
              </w:tabs>
              <w:ind w:firstLineChars="0" w:firstLine="0"/>
              <w:jc w:val="center"/>
              <w:rPr>
                <w:rFonts w:ascii="黑体" w:eastAsia="黑体" w:hAnsi="黑体" w:cs="仿宋_GB2312"/>
                <w:color w:val="auto"/>
                <w:lang w:eastAsia="zh-CN"/>
              </w:rPr>
            </w:pP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混合动力</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0%</w:t>
            </w:r>
          </w:p>
        </w:tc>
        <w:tc>
          <w:tcPr>
            <w:tcW w:w="0" w:type="auto"/>
            <w:vMerge/>
            <w:vAlign w:val="center"/>
          </w:tcPr>
          <w:p w:rsidR="00FC37F6" w:rsidRPr="00223645" w:rsidRDefault="00FC37F6">
            <w:pPr>
              <w:widowControl/>
              <w:tabs>
                <w:tab w:val="left" w:pos="312"/>
              </w:tabs>
              <w:ind w:firstLineChars="0" w:firstLine="0"/>
              <w:jc w:val="center"/>
              <w:rPr>
                <w:rFonts w:ascii="黑体" w:eastAsia="黑体" w:hAnsi="黑体" w:cs="仿宋_GB2312"/>
                <w:color w:val="auto"/>
                <w:lang w:eastAsia="zh-CN"/>
              </w:rPr>
            </w:pP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60</w:t>
            </w:r>
          </w:p>
        </w:tc>
      </w:tr>
      <w:tr w:rsidR="00FC37F6" w:rsidRPr="00223645" w:rsidTr="00894E81">
        <w:trPr>
          <w:jc w:val="center"/>
        </w:trPr>
        <w:tc>
          <w:tcPr>
            <w:tcW w:w="0" w:type="auto"/>
            <w:vMerge w:val="restart"/>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巡游出租车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Merge w:val="restart"/>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18</w:t>
            </w:r>
          </w:p>
        </w:tc>
      </w:tr>
      <w:tr w:rsidR="00FC37F6" w:rsidRPr="00223645" w:rsidTr="00894E81">
        <w:trPr>
          <w:jc w:val="center"/>
        </w:trPr>
        <w:tc>
          <w:tcPr>
            <w:tcW w:w="0" w:type="auto"/>
            <w:vMerge/>
            <w:vAlign w:val="center"/>
          </w:tcPr>
          <w:p w:rsidR="00FC37F6" w:rsidRPr="00223645" w:rsidRDefault="00FC37F6">
            <w:pPr>
              <w:widowControl/>
              <w:tabs>
                <w:tab w:val="left" w:pos="312"/>
              </w:tabs>
              <w:ind w:firstLineChars="0" w:firstLine="0"/>
              <w:jc w:val="center"/>
              <w:rPr>
                <w:rFonts w:ascii="黑体" w:eastAsia="黑体" w:hAnsi="黑体" w:cs="仿宋_GB2312"/>
                <w:color w:val="auto"/>
                <w:lang w:eastAsia="zh-CN"/>
              </w:rPr>
            </w:pP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混合动力</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0%</w:t>
            </w:r>
          </w:p>
        </w:tc>
        <w:tc>
          <w:tcPr>
            <w:tcW w:w="0" w:type="auto"/>
            <w:vMerge/>
            <w:vAlign w:val="center"/>
          </w:tcPr>
          <w:p w:rsidR="00FC37F6" w:rsidRPr="00223645" w:rsidRDefault="00FC37F6">
            <w:pPr>
              <w:widowControl/>
              <w:tabs>
                <w:tab w:val="left" w:pos="312"/>
              </w:tabs>
              <w:ind w:firstLineChars="0" w:firstLine="0"/>
              <w:jc w:val="center"/>
              <w:rPr>
                <w:rFonts w:ascii="黑体" w:eastAsia="黑体" w:hAnsi="黑体" w:cs="仿宋_GB2312"/>
                <w:color w:val="auto"/>
                <w:lang w:eastAsia="zh-CN"/>
              </w:rPr>
            </w:pP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9</w:t>
            </w:r>
          </w:p>
        </w:tc>
      </w:tr>
      <w:tr w:rsidR="00FC37F6" w:rsidRPr="00223645" w:rsidTr="00894E81">
        <w:trPr>
          <w:jc w:val="center"/>
        </w:trPr>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市政环卫车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40000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26</w:t>
            </w:r>
          </w:p>
        </w:tc>
      </w:tr>
      <w:tr w:rsidR="00FC37F6" w:rsidRPr="00223645" w:rsidTr="00894E81">
        <w:trPr>
          <w:jc w:val="center"/>
        </w:trPr>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货运/环卫三轮车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40000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6</w:t>
            </w:r>
          </w:p>
        </w:tc>
      </w:tr>
      <w:tr w:rsidR="00FC37F6" w:rsidRPr="00223645" w:rsidTr="00894E81">
        <w:trPr>
          <w:jc w:val="center"/>
        </w:trPr>
        <w:tc>
          <w:tcPr>
            <w:tcW w:w="0" w:type="auto"/>
            <w:vMerge w:val="restart"/>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乘用车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75%</w:t>
            </w:r>
          </w:p>
        </w:tc>
        <w:tc>
          <w:tcPr>
            <w:tcW w:w="0" w:type="auto"/>
            <w:vMerge w:val="restart"/>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15000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15</w:t>
            </w:r>
          </w:p>
        </w:tc>
      </w:tr>
      <w:tr w:rsidR="00FC37F6" w:rsidRPr="00223645" w:rsidTr="00894E81">
        <w:trPr>
          <w:jc w:val="center"/>
        </w:trPr>
        <w:tc>
          <w:tcPr>
            <w:tcW w:w="0" w:type="auto"/>
            <w:vMerge/>
            <w:vAlign w:val="center"/>
          </w:tcPr>
          <w:p w:rsidR="00FC37F6" w:rsidRPr="00223645" w:rsidRDefault="00FC37F6">
            <w:pPr>
              <w:widowControl/>
              <w:tabs>
                <w:tab w:val="left" w:pos="312"/>
              </w:tabs>
              <w:ind w:firstLineChars="0" w:firstLine="0"/>
              <w:jc w:val="center"/>
              <w:rPr>
                <w:rFonts w:ascii="黑体" w:eastAsia="黑体" w:hAnsi="黑体" w:cs="仿宋_GB2312"/>
                <w:color w:val="auto"/>
                <w:lang w:eastAsia="zh-CN"/>
              </w:rPr>
            </w:pP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混合动力</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25%</w:t>
            </w:r>
          </w:p>
        </w:tc>
        <w:tc>
          <w:tcPr>
            <w:tcW w:w="0" w:type="auto"/>
            <w:vMerge/>
            <w:vAlign w:val="center"/>
          </w:tcPr>
          <w:p w:rsidR="00FC37F6" w:rsidRPr="00223645" w:rsidRDefault="00FC37F6">
            <w:pPr>
              <w:widowControl/>
              <w:tabs>
                <w:tab w:val="left" w:pos="312"/>
              </w:tabs>
              <w:ind w:firstLineChars="0" w:firstLine="0"/>
              <w:jc w:val="center"/>
              <w:rPr>
                <w:rFonts w:ascii="黑体" w:eastAsia="黑体" w:hAnsi="黑体" w:cs="仿宋_GB2312"/>
                <w:color w:val="auto"/>
                <w:lang w:eastAsia="zh-CN"/>
              </w:rPr>
            </w:pP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w:t>
            </w:r>
          </w:p>
        </w:tc>
      </w:tr>
      <w:tr w:rsidR="00FC37F6" w:rsidRPr="00223645" w:rsidTr="00894E81">
        <w:trPr>
          <w:jc w:val="center"/>
        </w:trPr>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货运车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50000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80</w:t>
            </w:r>
          </w:p>
        </w:tc>
      </w:tr>
      <w:tr w:rsidR="00FC37F6" w:rsidRPr="00223645" w:rsidTr="00894E81">
        <w:trPr>
          <w:jc w:val="center"/>
        </w:trPr>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客运车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50000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50</w:t>
            </w:r>
          </w:p>
        </w:tc>
      </w:tr>
      <w:tr w:rsidR="00FC37F6" w:rsidRPr="00223645" w:rsidTr="00894E81">
        <w:trPr>
          <w:jc w:val="center"/>
        </w:trPr>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网约车</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纯电动</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80000</w:t>
            </w:r>
          </w:p>
        </w:tc>
        <w:tc>
          <w:tcPr>
            <w:tcW w:w="0" w:type="auto"/>
            <w:vAlign w:val="center"/>
          </w:tcPr>
          <w:p w:rsidR="00FC37F6" w:rsidRPr="00223645" w:rsidRDefault="00223645">
            <w:pPr>
              <w:widowControl/>
              <w:tabs>
                <w:tab w:val="left" w:pos="312"/>
              </w:tabs>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12</w:t>
            </w:r>
          </w:p>
        </w:tc>
      </w:tr>
    </w:tbl>
    <w:p w:rsidR="00FC37F6" w:rsidRPr="00223645" w:rsidRDefault="00FC37F6">
      <w:pPr>
        <w:widowControl/>
        <w:tabs>
          <w:tab w:val="left" w:pos="312"/>
        </w:tabs>
        <w:ind w:firstLine="620"/>
        <w:rPr>
          <w:rFonts w:ascii="黑体" w:eastAsia="黑体" w:hAnsi="黑体" w:cs="仿宋_GB2312"/>
          <w:color w:val="auto"/>
          <w:sz w:val="31"/>
          <w:szCs w:val="31"/>
          <w:lang w:eastAsia="zh-CN"/>
        </w:rPr>
      </w:pPr>
    </w:p>
    <w:p w:rsidR="00FC37F6" w:rsidRPr="008443F7" w:rsidRDefault="0015730C" w:rsidP="008443F7">
      <w:pPr>
        <w:widowControl/>
        <w:ind w:firstLine="560"/>
        <w:rPr>
          <w:rFonts w:ascii="黑体" w:eastAsia="黑体" w:hAnsi="黑体" w:cs="仿宋_GB2312"/>
          <w:color w:val="auto"/>
          <w:sz w:val="28"/>
          <w:szCs w:val="28"/>
          <w:lang w:eastAsia="zh-CN"/>
        </w:rPr>
      </w:pPr>
      <w:bookmarkStart w:id="70" w:name="_Toc30302"/>
      <w:r w:rsidRPr="008443F7">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2</w:t>
      </w:r>
      <w:r w:rsidRPr="008443F7">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各类型电动车汽车充电需求总量</w:t>
      </w:r>
      <w:bookmarkEnd w:id="70"/>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各类电动汽车年新增充电需求总量=年平均行驶里程×平均电能耗量×电动车保有量。</w:t>
      </w:r>
    </w:p>
    <w:p w:rsidR="00FC37F6" w:rsidRPr="00C95BD9" w:rsidRDefault="00223645" w:rsidP="00C95BD9">
      <w:pPr>
        <w:widowControl/>
        <w:ind w:firstLineChars="154" w:firstLine="477"/>
        <w:outlineLvl w:val="3"/>
        <w:rPr>
          <w:rFonts w:ascii="黑体" w:eastAsia="黑体" w:hAnsi="黑体" w:cs="仿宋_GB2312"/>
          <w:color w:val="auto"/>
          <w:sz w:val="31"/>
          <w:szCs w:val="31"/>
          <w:lang w:eastAsia="zh-CN"/>
        </w:rPr>
      </w:pPr>
      <w:bookmarkStart w:id="71" w:name="_Toc25997"/>
      <w:r w:rsidRPr="00223645">
        <w:rPr>
          <w:rFonts w:ascii="黑体" w:eastAsia="黑体" w:hAnsi="黑体" w:cs="仿宋_GB2312" w:hint="eastAsia"/>
          <w:color w:val="auto"/>
          <w:sz w:val="31"/>
          <w:szCs w:val="31"/>
          <w:lang w:eastAsia="zh-CN"/>
        </w:rPr>
        <w:t>2.4</w:t>
      </w:r>
      <w:r w:rsidRPr="00223645">
        <w:rPr>
          <w:rFonts w:ascii="黑体" w:eastAsia="黑体" w:hAnsi="黑体" w:cs="仿宋_GB2312"/>
          <w:color w:val="auto"/>
          <w:sz w:val="31"/>
          <w:szCs w:val="31"/>
          <w:lang w:eastAsia="zh-CN"/>
        </w:rPr>
        <w:t>公共充电需求预测方法</w:t>
      </w:r>
      <w:bookmarkEnd w:id="71"/>
      <w:r w:rsidRPr="00223645">
        <w:rPr>
          <w:rFonts w:ascii="黑体" w:eastAsia="黑体" w:hAnsi="黑体" w:cs="仿宋_GB2312"/>
          <w:color w:val="auto"/>
          <w:sz w:val="31"/>
          <w:szCs w:val="31"/>
          <w:lang w:eastAsia="zh-CN"/>
        </w:rPr>
        <w:t xml:space="preserve"> </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color w:val="auto"/>
          <w:sz w:val="28"/>
          <w:szCs w:val="28"/>
          <w:lang w:eastAsia="zh-CN"/>
        </w:rPr>
        <w:t>公共充电需求指通过公共充电基础设施（城市公共充电站、城际快充站、分散式公共充电桩）满足的充电需求。总体来看，除公交车的充电需求均由公交车专用充电站满足，其他各类电动汽车有一部分的充电需求由城市公共</w:t>
      </w:r>
      <w:r w:rsidRPr="008443F7">
        <w:rPr>
          <w:rFonts w:ascii="黑体" w:eastAsia="黑体" w:hAnsi="黑体" w:cs="仿宋_GB2312" w:hint="eastAsia"/>
          <w:color w:val="auto"/>
          <w:sz w:val="28"/>
          <w:szCs w:val="28"/>
          <w:lang w:eastAsia="zh-CN"/>
        </w:rPr>
        <w:t>集中</w:t>
      </w:r>
      <w:r w:rsidRPr="008443F7">
        <w:rPr>
          <w:rFonts w:ascii="黑体" w:eastAsia="黑体" w:hAnsi="黑体" w:cs="仿宋_GB2312"/>
          <w:color w:val="auto"/>
          <w:sz w:val="28"/>
          <w:szCs w:val="28"/>
          <w:lang w:eastAsia="zh-CN"/>
        </w:rPr>
        <w:t>充电基础设施满足。</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公共充电需求计算方式：公共集中充电需求量=充电需求总量</w:t>
      </w:r>
      <w:r w:rsidRPr="008443F7">
        <w:rPr>
          <w:rFonts w:ascii="黑体" w:eastAsia="黑体" w:hAnsi="黑体" w:cs="仿宋_GB2312"/>
          <w:color w:val="auto"/>
          <w:sz w:val="28"/>
          <w:szCs w:val="28"/>
          <w:lang w:eastAsia="zh-CN"/>
        </w:rPr>
        <w:t>×</w:t>
      </w:r>
      <w:r w:rsidRPr="008443F7">
        <w:rPr>
          <w:rFonts w:ascii="黑体" w:eastAsia="黑体" w:hAnsi="黑体" w:cs="仿宋_GB2312" w:hint="eastAsia"/>
          <w:color w:val="auto"/>
          <w:sz w:val="28"/>
          <w:szCs w:val="28"/>
          <w:lang w:eastAsia="zh-CN"/>
        </w:rPr>
        <w:t>公共集中需求占比。</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lastRenderedPageBreak/>
        <w:t>表3.3 电动汽车充电设施比例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FC37F6" w:rsidRPr="00223645" w:rsidTr="00894E81">
        <w:trPr>
          <w:jc w:val="center"/>
        </w:trPr>
        <w:tc>
          <w:tcPr>
            <w:tcW w:w="2130"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车型</w:t>
            </w:r>
          </w:p>
        </w:tc>
        <w:tc>
          <w:tcPr>
            <w:tcW w:w="4261" w:type="dxa"/>
            <w:gridSpan w:val="2"/>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公共充电基础设施</w:t>
            </w:r>
          </w:p>
        </w:tc>
        <w:tc>
          <w:tcPr>
            <w:tcW w:w="2131"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专用、私用充电基础设施</w:t>
            </w:r>
          </w:p>
        </w:tc>
      </w:tr>
      <w:tr w:rsidR="00FC37F6" w:rsidRPr="00223645" w:rsidTr="00894E81">
        <w:trPr>
          <w:jc w:val="center"/>
        </w:trPr>
        <w:tc>
          <w:tcPr>
            <w:tcW w:w="2130"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公交车</w:t>
            </w:r>
          </w:p>
        </w:tc>
        <w:tc>
          <w:tcPr>
            <w:tcW w:w="4261" w:type="dxa"/>
            <w:gridSpan w:val="2"/>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0%</w:t>
            </w:r>
          </w:p>
        </w:tc>
        <w:tc>
          <w:tcPr>
            <w:tcW w:w="2131"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100%</w:t>
            </w:r>
          </w:p>
        </w:tc>
      </w:tr>
      <w:tr w:rsidR="00FC37F6" w:rsidRPr="00223645" w:rsidTr="00894E81">
        <w:trPr>
          <w:jc w:val="center"/>
        </w:trPr>
        <w:tc>
          <w:tcPr>
            <w:tcW w:w="2130" w:type="dxa"/>
            <w:vMerge w:val="restart"/>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电动出租车</w:t>
            </w:r>
          </w:p>
        </w:tc>
        <w:tc>
          <w:tcPr>
            <w:tcW w:w="2130" w:type="dxa"/>
            <w:vAlign w:val="center"/>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rPr>
              <w:t>公共集中占比</w:t>
            </w:r>
          </w:p>
        </w:tc>
        <w:tc>
          <w:tcPr>
            <w:tcW w:w="2131" w:type="dxa"/>
            <w:vAlign w:val="center"/>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分散式公共</w:t>
            </w:r>
            <w:r w:rsidRPr="00223645">
              <w:rPr>
                <w:rFonts w:ascii="黑体" w:eastAsia="黑体" w:hAnsi="黑体" w:cs="仿宋" w:hint="eastAsia"/>
                <w:color w:val="auto"/>
              </w:rPr>
              <w:t>占比</w:t>
            </w:r>
          </w:p>
        </w:tc>
        <w:tc>
          <w:tcPr>
            <w:tcW w:w="2131" w:type="dxa"/>
            <w:vMerge w:val="restart"/>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0%</w:t>
            </w:r>
          </w:p>
        </w:tc>
      </w:tr>
      <w:tr w:rsidR="00FC37F6" w:rsidRPr="00223645" w:rsidTr="00894E81">
        <w:trPr>
          <w:trHeight w:val="441"/>
          <w:jc w:val="center"/>
        </w:trPr>
        <w:tc>
          <w:tcPr>
            <w:tcW w:w="2130" w:type="dxa"/>
            <w:vMerge/>
            <w:vAlign w:val="center"/>
          </w:tcPr>
          <w:p w:rsidR="00FC37F6" w:rsidRPr="00223645" w:rsidRDefault="00FC37F6">
            <w:pPr>
              <w:widowControl/>
              <w:ind w:firstLineChars="0" w:firstLine="0"/>
              <w:jc w:val="center"/>
              <w:rPr>
                <w:rFonts w:ascii="黑体" w:eastAsia="黑体" w:hAnsi="黑体" w:cs="仿宋"/>
                <w:color w:val="auto"/>
                <w:lang w:eastAsia="zh-CN"/>
              </w:rPr>
            </w:pPr>
          </w:p>
        </w:tc>
        <w:tc>
          <w:tcPr>
            <w:tcW w:w="2130"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40%</w:t>
            </w:r>
          </w:p>
        </w:tc>
        <w:tc>
          <w:tcPr>
            <w:tcW w:w="2131"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60%</w:t>
            </w:r>
          </w:p>
        </w:tc>
        <w:tc>
          <w:tcPr>
            <w:tcW w:w="2131" w:type="dxa"/>
            <w:vMerge/>
            <w:vAlign w:val="center"/>
          </w:tcPr>
          <w:p w:rsidR="00FC37F6" w:rsidRPr="00223645" w:rsidRDefault="00FC37F6">
            <w:pPr>
              <w:widowControl/>
              <w:ind w:firstLineChars="0" w:firstLine="0"/>
              <w:jc w:val="center"/>
              <w:rPr>
                <w:rFonts w:ascii="黑体" w:eastAsia="黑体" w:hAnsi="黑体" w:cs="仿宋"/>
                <w:color w:val="auto"/>
                <w:lang w:eastAsia="zh-CN"/>
              </w:rPr>
            </w:pPr>
          </w:p>
        </w:tc>
      </w:tr>
      <w:tr w:rsidR="00FC37F6" w:rsidRPr="00223645" w:rsidTr="00894E81">
        <w:trPr>
          <w:jc w:val="center"/>
        </w:trPr>
        <w:tc>
          <w:tcPr>
            <w:tcW w:w="2130" w:type="dxa"/>
            <w:vMerge w:val="restart"/>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电动货运车</w:t>
            </w:r>
          </w:p>
        </w:tc>
        <w:tc>
          <w:tcPr>
            <w:tcW w:w="2130" w:type="dxa"/>
            <w:vAlign w:val="center"/>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rPr>
              <w:t>公共集中占比</w:t>
            </w:r>
          </w:p>
        </w:tc>
        <w:tc>
          <w:tcPr>
            <w:tcW w:w="2131" w:type="dxa"/>
            <w:vAlign w:val="center"/>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分散式公共</w:t>
            </w:r>
            <w:r w:rsidRPr="00223645">
              <w:rPr>
                <w:rFonts w:ascii="黑体" w:eastAsia="黑体" w:hAnsi="黑体" w:cs="仿宋" w:hint="eastAsia"/>
                <w:color w:val="auto"/>
              </w:rPr>
              <w:t>占比</w:t>
            </w:r>
          </w:p>
        </w:tc>
        <w:tc>
          <w:tcPr>
            <w:tcW w:w="2131" w:type="dxa"/>
            <w:vMerge w:val="restart"/>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0%</w:t>
            </w:r>
          </w:p>
        </w:tc>
      </w:tr>
      <w:tr w:rsidR="00FC37F6" w:rsidRPr="00223645" w:rsidTr="00894E81">
        <w:trPr>
          <w:jc w:val="center"/>
        </w:trPr>
        <w:tc>
          <w:tcPr>
            <w:tcW w:w="2130" w:type="dxa"/>
            <w:vMerge/>
            <w:vAlign w:val="center"/>
          </w:tcPr>
          <w:p w:rsidR="00FC37F6" w:rsidRPr="00223645" w:rsidRDefault="00FC37F6">
            <w:pPr>
              <w:widowControl/>
              <w:ind w:firstLineChars="0" w:firstLine="0"/>
              <w:jc w:val="center"/>
              <w:rPr>
                <w:rFonts w:ascii="黑体" w:eastAsia="黑体" w:hAnsi="黑体" w:cs="仿宋"/>
                <w:color w:val="auto"/>
                <w:lang w:eastAsia="zh-CN"/>
              </w:rPr>
            </w:pPr>
          </w:p>
        </w:tc>
        <w:tc>
          <w:tcPr>
            <w:tcW w:w="2130"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40%</w:t>
            </w:r>
          </w:p>
        </w:tc>
        <w:tc>
          <w:tcPr>
            <w:tcW w:w="2131" w:type="dxa"/>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60%</w:t>
            </w:r>
          </w:p>
        </w:tc>
        <w:tc>
          <w:tcPr>
            <w:tcW w:w="2131" w:type="dxa"/>
            <w:vMerge/>
            <w:vAlign w:val="center"/>
          </w:tcPr>
          <w:p w:rsidR="00FC37F6" w:rsidRPr="00223645" w:rsidRDefault="00FC37F6">
            <w:pPr>
              <w:widowControl/>
              <w:ind w:firstLineChars="0" w:firstLine="0"/>
              <w:jc w:val="center"/>
              <w:rPr>
                <w:rFonts w:ascii="黑体" w:eastAsia="黑体" w:hAnsi="黑体" w:cs="仿宋"/>
                <w:color w:val="auto"/>
                <w:lang w:eastAsia="zh-CN"/>
              </w:rPr>
            </w:pPr>
          </w:p>
        </w:tc>
      </w:tr>
      <w:tr w:rsidR="00FC37F6" w:rsidRPr="00223645" w:rsidTr="00894E81">
        <w:trPr>
          <w:jc w:val="center"/>
        </w:trPr>
        <w:tc>
          <w:tcPr>
            <w:tcW w:w="2130" w:type="dxa"/>
            <w:vMerge w:val="restart"/>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电动乘用车</w:t>
            </w:r>
          </w:p>
        </w:tc>
        <w:tc>
          <w:tcPr>
            <w:tcW w:w="2130" w:type="dxa"/>
            <w:vAlign w:val="center"/>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rPr>
              <w:t>公共集中占比</w:t>
            </w:r>
          </w:p>
        </w:tc>
        <w:tc>
          <w:tcPr>
            <w:tcW w:w="2131" w:type="dxa"/>
            <w:vAlign w:val="center"/>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分散式公共</w:t>
            </w:r>
            <w:r w:rsidRPr="00223645">
              <w:rPr>
                <w:rFonts w:ascii="黑体" w:eastAsia="黑体" w:hAnsi="黑体" w:cs="仿宋" w:hint="eastAsia"/>
                <w:color w:val="auto"/>
              </w:rPr>
              <w:t>占比</w:t>
            </w:r>
          </w:p>
        </w:tc>
        <w:tc>
          <w:tcPr>
            <w:tcW w:w="2131" w:type="dxa"/>
            <w:vMerge w:val="restart"/>
            <w:vAlign w:val="center"/>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20%</w:t>
            </w:r>
          </w:p>
        </w:tc>
      </w:tr>
      <w:tr w:rsidR="00FC37F6" w:rsidRPr="00223645" w:rsidTr="00894E81">
        <w:trPr>
          <w:jc w:val="center"/>
        </w:trPr>
        <w:tc>
          <w:tcPr>
            <w:tcW w:w="2130" w:type="dxa"/>
            <w:vMerge/>
          </w:tcPr>
          <w:p w:rsidR="00FC37F6" w:rsidRPr="00223645" w:rsidRDefault="00FC37F6">
            <w:pPr>
              <w:widowControl/>
              <w:ind w:firstLine="480"/>
              <w:rPr>
                <w:rFonts w:ascii="黑体" w:eastAsia="黑体" w:hAnsi="黑体" w:cs="仿宋_GB2312"/>
                <w:color w:val="auto"/>
                <w:lang w:eastAsia="zh-CN"/>
              </w:rPr>
            </w:pPr>
          </w:p>
        </w:tc>
        <w:tc>
          <w:tcPr>
            <w:tcW w:w="2130"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40%</w:t>
            </w:r>
          </w:p>
        </w:tc>
        <w:tc>
          <w:tcPr>
            <w:tcW w:w="2131"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40%</w:t>
            </w:r>
          </w:p>
        </w:tc>
        <w:tc>
          <w:tcPr>
            <w:tcW w:w="2131" w:type="dxa"/>
            <w:vMerge/>
          </w:tcPr>
          <w:p w:rsidR="00FC37F6" w:rsidRPr="00223645" w:rsidRDefault="00FC37F6">
            <w:pPr>
              <w:widowControl/>
              <w:ind w:firstLine="480"/>
              <w:rPr>
                <w:rFonts w:ascii="黑体" w:eastAsia="黑体" w:hAnsi="黑体" w:cs="仿宋_GB2312"/>
                <w:color w:val="auto"/>
                <w:lang w:eastAsia="zh-CN"/>
              </w:rPr>
            </w:pPr>
          </w:p>
        </w:tc>
      </w:tr>
      <w:tr w:rsidR="00FC37F6" w:rsidRPr="00223645" w:rsidTr="00894E81">
        <w:trPr>
          <w:jc w:val="center"/>
        </w:trPr>
        <w:tc>
          <w:tcPr>
            <w:tcW w:w="2130" w:type="dxa"/>
            <w:vMerge w:val="restart"/>
          </w:tcPr>
          <w:p w:rsidR="00FC37F6" w:rsidRPr="00223645" w:rsidRDefault="00223645">
            <w:pPr>
              <w:widowControl/>
              <w:ind w:firstLine="480"/>
              <w:rPr>
                <w:rFonts w:ascii="黑体" w:eastAsia="黑体" w:hAnsi="黑体" w:cs="仿宋_GB2312"/>
                <w:color w:val="auto"/>
                <w:lang w:eastAsia="zh-CN"/>
              </w:rPr>
            </w:pPr>
            <w:r w:rsidRPr="00223645">
              <w:rPr>
                <w:rFonts w:ascii="黑体" w:eastAsia="黑体" w:hAnsi="黑体" w:cs="仿宋" w:hint="eastAsia"/>
                <w:color w:val="auto"/>
                <w:lang w:eastAsia="zh-CN"/>
              </w:rPr>
              <w:t>电动客运车</w:t>
            </w:r>
          </w:p>
        </w:tc>
        <w:tc>
          <w:tcPr>
            <w:tcW w:w="2130" w:type="dxa"/>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rPr>
              <w:t>公共集中占比</w:t>
            </w:r>
          </w:p>
        </w:tc>
        <w:tc>
          <w:tcPr>
            <w:tcW w:w="2131" w:type="dxa"/>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分散式</w:t>
            </w:r>
            <w:r w:rsidRPr="00223645">
              <w:rPr>
                <w:rFonts w:ascii="黑体" w:eastAsia="黑体" w:hAnsi="黑体" w:cs="仿宋" w:hint="eastAsia"/>
                <w:color w:val="auto"/>
              </w:rPr>
              <w:t>公共占比</w:t>
            </w:r>
          </w:p>
        </w:tc>
        <w:tc>
          <w:tcPr>
            <w:tcW w:w="2131" w:type="dxa"/>
            <w:vMerge w:val="restart"/>
          </w:tcPr>
          <w:p w:rsidR="00FC37F6" w:rsidRPr="00223645" w:rsidRDefault="00223645" w:rsidP="008443F7">
            <w:pPr>
              <w:widowControl/>
              <w:ind w:firstLineChars="0" w:firstLine="0"/>
              <w:jc w:val="center"/>
              <w:rPr>
                <w:rFonts w:ascii="黑体" w:eastAsia="黑体" w:hAnsi="黑体" w:cs="仿宋_GB2312"/>
                <w:color w:val="auto"/>
                <w:lang w:eastAsia="zh-CN"/>
              </w:rPr>
            </w:pPr>
            <w:r w:rsidRPr="008443F7">
              <w:rPr>
                <w:rFonts w:ascii="黑体" w:eastAsia="黑体" w:hAnsi="黑体" w:cs="仿宋" w:hint="eastAsia"/>
                <w:color w:val="auto"/>
                <w:lang w:eastAsia="zh-CN"/>
              </w:rPr>
              <w:t>0%</w:t>
            </w:r>
          </w:p>
        </w:tc>
      </w:tr>
      <w:tr w:rsidR="00FC37F6" w:rsidRPr="00223645" w:rsidTr="00894E81">
        <w:trPr>
          <w:jc w:val="center"/>
        </w:trPr>
        <w:tc>
          <w:tcPr>
            <w:tcW w:w="2130" w:type="dxa"/>
            <w:vMerge/>
          </w:tcPr>
          <w:p w:rsidR="00FC37F6" w:rsidRPr="00223645" w:rsidRDefault="00FC37F6">
            <w:pPr>
              <w:widowControl/>
              <w:ind w:firstLine="480"/>
              <w:rPr>
                <w:rFonts w:ascii="黑体" w:eastAsia="黑体" w:hAnsi="黑体" w:cs="仿宋_GB2312"/>
                <w:color w:val="auto"/>
                <w:lang w:eastAsia="zh-CN"/>
              </w:rPr>
            </w:pPr>
          </w:p>
        </w:tc>
        <w:tc>
          <w:tcPr>
            <w:tcW w:w="2130"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40%</w:t>
            </w:r>
          </w:p>
        </w:tc>
        <w:tc>
          <w:tcPr>
            <w:tcW w:w="2131"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60%</w:t>
            </w:r>
          </w:p>
        </w:tc>
        <w:tc>
          <w:tcPr>
            <w:tcW w:w="2131" w:type="dxa"/>
            <w:vMerge/>
          </w:tcPr>
          <w:p w:rsidR="00FC37F6" w:rsidRPr="00223645" w:rsidRDefault="00FC37F6">
            <w:pPr>
              <w:widowControl/>
              <w:ind w:firstLine="480"/>
              <w:rPr>
                <w:rFonts w:ascii="黑体" w:eastAsia="黑体" w:hAnsi="黑体" w:cs="仿宋_GB2312"/>
                <w:color w:val="auto"/>
                <w:lang w:eastAsia="zh-CN"/>
              </w:rPr>
            </w:pPr>
          </w:p>
        </w:tc>
      </w:tr>
      <w:tr w:rsidR="00FC37F6" w:rsidRPr="00223645" w:rsidTr="00894E81">
        <w:trPr>
          <w:jc w:val="center"/>
        </w:trPr>
        <w:tc>
          <w:tcPr>
            <w:tcW w:w="2130" w:type="dxa"/>
            <w:vMerge w:val="restart"/>
          </w:tcPr>
          <w:p w:rsidR="00FC37F6" w:rsidRPr="00223645" w:rsidRDefault="00223645">
            <w:pPr>
              <w:widowControl/>
              <w:ind w:firstLine="480"/>
              <w:rPr>
                <w:rFonts w:ascii="黑体" w:eastAsia="黑体" w:hAnsi="黑体" w:cs="仿宋_GB2312"/>
                <w:color w:val="auto"/>
                <w:lang w:eastAsia="zh-CN"/>
              </w:rPr>
            </w:pPr>
            <w:r w:rsidRPr="00223645">
              <w:rPr>
                <w:rFonts w:ascii="黑体" w:eastAsia="黑体" w:hAnsi="黑体" w:cs="仿宋_GB2312" w:hint="eastAsia"/>
                <w:color w:val="auto"/>
                <w:lang w:eastAsia="zh-CN"/>
              </w:rPr>
              <w:t>电动市政车</w:t>
            </w:r>
          </w:p>
        </w:tc>
        <w:tc>
          <w:tcPr>
            <w:tcW w:w="2130" w:type="dxa"/>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rPr>
              <w:t>公共集中占比</w:t>
            </w:r>
          </w:p>
        </w:tc>
        <w:tc>
          <w:tcPr>
            <w:tcW w:w="2131" w:type="dxa"/>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分散式公共</w:t>
            </w:r>
            <w:r w:rsidRPr="00223645">
              <w:rPr>
                <w:rFonts w:ascii="黑体" w:eastAsia="黑体" w:hAnsi="黑体" w:cs="仿宋" w:hint="eastAsia"/>
                <w:color w:val="auto"/>
              </w:rPr>
              <w:t>占比</w:t>
            </w:r>
          </w:p>
        </w:tc>
        <w:tc>
          <w:tcPr>
            <w:tcW w:w="2131" w:type="dxa"/>
            <w:vMerge w:val="restart"/>
          </w:tcPr>
          <w:p w:rsidR="00FC37F6" w:rsidRPr="00223645" w:rsidRDefault="00223645" w:rsidP="008443F7">
            <w:pPr>
              <w:widowControl/>
              <w:ind w:firstLineChars="0" w:firstLine="0"/>
              <w:jc w:val="center"/>
              <w:rPr>
                <w:rFonts w:ascii="黑体" w:eastAsia="黑体" w:hAnsi="黑体" w:cs="仿宋_GB2312"/>
                <w:color w:val="auto"/>
                <w:lang w:eastAsia="zh-CN"/>
              </w:rPr>
            </w:pPr>
            <w:r w:rsidRPr="008443F7">
              <w:rPr>
                <w:rFonts w:ascii="黑体" w:eastAsia="黑体" w:hAnsi="黑体" w:cs="仿宋" w:hint="eastAsia"/>
                <w:color w:val="auto"/>
                <w:lang w:eastAsia="zh-CN"/>
              </w:rPr>
              <w:t>80%</w:t>
            </w:r>
          </w:p>
        </w:tc>
      </w:tr>
      <w:tr w:rsidR="00FC37F6" w:rsidRPr="00223645" w:rsidTr="00894E81">
        <w:trPr>
          <w:jc w:val="center"/>
        </w:trPr>
        <w:tc>
          <w:tcPr>
            <w:tcW w:w="2130" w:type="dxa"/>
            <w:vMerge/>
          </w:tcPr>
          <w:p w:rsidR="00FC37F6" w:rsidRPr="00223645" w:rsidRDefault="00FC37F6">
            <w:pPr>
              <w:widowControl/>
              <w:ind w:firstLineChars="0" w:firstLine="0"/>
              <w:rPr>
                <w:rFonts w:ascii="黑体" w:eastAsia="黑体" w:hAnsi="黑体" w:cs="仿宋_GB2312"/>
                <w:color w:val="auto"/>
                <w:lang w:eastAsia="zh-CN"/>
              </w:rPr>
            </w:pPr>
          </w:p>
        </w:tc>
        <w:tc>
          <w:tcPr>
            <w:tcW w:w="2130"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0%</w:t>
            </w:r>
          </w:p>
        </w:tc>
        <w:tc>
          <w:tcPr>
            <w:tcW w:w="2131"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20%</w:t>
            </w:r>
          </w:p>
        </w:tc>
        <w:tc>
          <w:tcPr>
            <w:tcW w:w="2131" w:type="dxa"/>
            <w:vMerge/>
          </w:tcPr>
          <w:p w:rsidR="00FC37F6" w:rsidRPr="00223645" w:rsidRDefault="00FC37F6">
            <w:pPr>
              <w:widowControl/>
              <w:ind w:firstLine="480"/>
              <w:rPr>
                <w:rFonts w:ascii="黑体" w:eastAsia="黑体" w:hAnsi="黑体" w:cs="仿宋_GB2312"/>
                <w:color w:val="auto"/>
                <w:lang w:eastAsia="zh-CN"/>
              </w:rPr>
            </w:pPr>
          </w:p>
        </w:tc>
      </w:tr>
      <w:tr w:rsidR="00FC37F6" w:rsidRPr="00223645" w:rsidTr="00894E81">
        <w:trPr>
          <w:jc w:val="center"/>
        </w:trPr>
        <w:tc>
          <w:tcPr>
            <w:tcW w:w="2130" w:type="dxa"/>
            <w:vMerge w:val="restart"/>
          </w:tcPr>
          <w:p w:rsidR="00FC37F6" w:rsidRPr="00223645" w:rsidRDefault="00223645">
            <w:pPr>
              <w:widowControl/>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电动网约车</w:t>
            </w:r>
          </w:p>
        </w:tc>
        <w:tc>
          <w:tcPr>
            <w:tcW w:w="2130" w:type="dxa"/>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rPr>
              <w:t>公共集中占比</w:t>
            </w:r>
          </w:p>
        </w:tc>
        <w:tc>
          <w:tcPr>
            <w:tcW w:w="2131" w:type="dxa"/>
          </w:tcPr>
          <w:p w:rsidR="00FC37F6" w:rsidRPr="00223645" w:rsidRDefault="00223645">
            <w:pPr>
              <w:widowControl/>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分散式</w:t>
            </w:r>
            <w:r w:rsidRPr="00223645">
              <w:rPr>
                <w:rFonts w:ascii="黑体" w:eastAsia="黑体" w:hAnsi="黑体" w:cs="仿宋" w:hint="eastAsia"/>
                <w:color w:val="auto"/>
              </w:rPr>
              <w:t>公共占比</w:t>
            </w:r>
          </w:p>
        </w:tc>
        <w:tc>
          <w:tcPr>
            <w:tcW w:w="2131" w:type="dxa"/>
            <w:vMerge w:val="restart"/>
          </w:tcPr>
          <w:p w:rsidR="00FC37F6" w:rsidRPr="00223645" w:rsidRDefault="00223645" w:rsidP="008443F7">
            <w:pPr>
              <w:widowControl/>
              <w:ind w:firstLineChars="0" w:firstLine="0"/>
              <w:jc w:val="center"/>
              <w:rPr>
                <w:rFonts w:ascii="黑体" w:eastAsia="黑体" w:hAnsi="黑体" w:cs="仿宋_GB2312"/>
                <w:color w:val="auto"/>
                <w:lang w:eastAsia="zh-CN"/>
              </w:rPr>
            </w:pPr>
            <w:r w:rsidRPr="008443F7">
              <w:rPr>
                <w:rFonts w:ascii="黑体" w:eastAsia="黑体" w:hAnsi="黑体" w:cs="仿宋" w:hint="eastAsia"/>
                <w:color w:val="auto"/>
                <w:lang w:eastAsia="zh-CN"/>
              </w:rPr>
              <w:t>0%</w:t>
            </w:r>
          </w:p>
        </w:tc>
      </w:tr>
      <w:tr w:rsidR="00FC37F6" w:rsidRPr="00223645" w:rsidTr="00894E81">
        <w:trPr>
          <w:jc w:val="center"/>
        </w:trPr>
        <w:tc>
          <w:tcPr>
            <w:tcW w:w="2130" w:type="dxa"/>
            <w:vMerge/>
          </w:tcPr>
          <w:p w:rsidR="00FC37F6" w:rsidRPr="00223645" w:rsidRDefault="00FC37F6">
            <w:pPr>
              <w:widowControl/>
              <w:ind w:firstLineChars="0" w:firstLine="0"/>
              <w:rPr>
                <w:rFonts w:ascii="黑体" w:eastAsia="黑体" w:hAnsi="黑体" w:cs="仿宋_GB2312"/>
                <w:color w:val="auto"/>
                <w:lang w:eastAsia="zh-CN"/>
              </w:rPr>
            </w:pPr>
          </w:p>
        </w:tc>
        <w:tc>
          <w:tcPr>
            <w:tcW w:w="2130"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40%</w:t>
            </w:r>
          </w:p>
        </w:tc>
        <w:tc>
          <w:tcPr>
            <w:tcW w:w="2131" w:type="dxa"/>
          </w:tcPr>
          <w:p w:rsidR="00FC37F6" w:rsidRPr="00223645" w:rsidRDefault="00223645">
            <w:pPr>
              <w:widowControl/>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60%</w:t>
            </w:r>
          </w:p>
        </w:tc>
        <w:tc>
          <w:tcPr>
            <w:tcW w:w="2131" w:type="dxa"/>
            <w:vMerge/>
          </w:tcPr>
          <w:p w:rsidR="00FC37F6" w:rsidRPr="00223645" w:rsidRDefault="00FC37F6">
            <w:pPr>
              <w:widowControl/>
              <w:ind w:firstLine="480"/>
              <w:rPr>
                <w:rFonts w:ascii="黑体" w:eastAsia="黑体" w:hAnsi="黑体" w:cs="仿宋_GB2312"/>
                <w:color w:val="auto"/>
                <w:lang w:eastAsia="zh-CN"/>
              </w:rPr>
            </w:pPr>
          </w:p>
        </w:tc>
      </w:tr>
    </w:tbl>
    <w:p w:rsidR="00FC37F6" w:rsidRPr="00223645" w:rsidRDefault="00FC37F6">
      <w:pPr>
        <w:widowControl/>
        <w:ind w:firstLine="620"/>
        <w:rPr>
          <w:rFonts w:ascii="黑体" w:eastAsia="黑体" w:hAnsi="黑体" w:cs="仿宋_GB2312"/>
          <w:color w:val="auto"/>
          <w:sz w:val="31"/>
          <w:szCs w:val="31"/>
          <w:lang w:eastAsia="zh-CN"/>
        </w:rPr>
      </w:pPr>
    </w:p>
    <w:p w:rsidR="00FC37F6" w:rsidRPr="00223645" w:rsidRDefault="00223645" w:rsidP="00C95BD9">
      <w:pPr>
        <w:widowControl/>
        <w:ind w:firstLineChars="154" w:firstLine="477"/>
        <w:outlineLvl w:val="3"/>
        <w:rPr>
          <w:rFonts w:ascii="黑体" w:eastAsia="黑体" w:hAnsi="黑体" w:cs="仿宋_GB2312"/>
          <w:color w:val="auto"/>
          <w:sz w:val="31"/>
          <w:szCs w:val="31"/>
          <w:lang w:eastAsia="zh-CN"/>
        </w:rPr>
      </w:pPr>
      <w:bookmarkStart w:id="72" w:name="_Toc9291"/>
      <w:r w:rsidRPr="00223645">
        <w:rPr>
          <w:rFonts w:ascii="黑体" w:eastAsia="黑体" w:hAnsi="黑体" w:cs="仿宋_GB2312" w:hint="eastAsia"/>
          <w:color w:val="auto"/>
          <w:sz w:val="31"/>
          <w:szCs w:val="31"/>
          <w:lang w:eastAsia="zh-CN"/>
        </w:rPr>
        <w:t>2.5充电基础设施需求预测方法</w:t>
      </w:r>
      <w:bookmarkEnd w:id="72"/>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结合广汉市发展规划及现状，根据各类型充电基础设施服务对象、服务能力。确定充电基础设施需求的预测方法。</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根据广汉市各类型电动汽车的特点，对各类充电基础设施的充电对象做如下规定：</w:t>
      </w:r>
    </w:p>
    <w:p w:rsidR="00FC37F6" w:rsidRPr="008443F7" w:rsidRDefault="00223645" w:rsidP="008443F7">
      <w:pPr>
        <w:widowControl/>
        <w:ind w:firstLine="560"/>
        <w:rPr>
          <w:rFonts w:ascii="黑体" w:eastAsia="黑体" w:hAnsi="黑体" w:cs="仿宋_GB2312"/>
          <w:color w:val="auto"/>
          <w:sz w:val="28"/>
          <w:szCs w:val="28"/>
          <w:lang w:eastAsia="zh-CN"/>
        </w:rPr>
      </w:pPr>
      <w:bookmarkStart w:id="73" w:name="_Toc28128"/>
      <w:r w:rsidRPr="008443F7">
        <w:rPr>
          <w:rFonts w:ascii="黑体" w:eastAsia="黑体" w:hAnsi="黑体" w:cs="仿宋_GB2312" w:hint="eastAsia"/>
          <w:color w:val="auto"/>
          <w:sz w:val="28"/>
          <w:szCs w:val="28"/>
          <w:lang w:eastAsia="zh-CN"/>
        </w:rPr>
        <w:t>电动公交车充电需求：由公交车专用充电站满足；</w:t>
      </w:r>
      <w:bookmarkEnd w:id="73"/>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电动出租充电需求：由城市公共集中充电站、分散式公共充电桩共同满足；</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电动货运车充电需求：由城市公共集中充电站、分散式公共充电站共同满足其需求；</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lastRenderedPageBreak/>
        <w:t>电动环卫等专用车充电需求：由物流环卫车专用充电站、城市公共充电站、城际快充站、分散式公共充电桩共同满足；</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电动公务及私人乘用车充电需求：由城市公共充电站、城际快充站、分散式公共充电桩、公务及私人专用充电桩共同满足。</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（1）集中式充电桩服务能力</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根据广汉市界定的集中式充电站及分散式充电桩服务能力，不同类型的充电站服务能力如表3.</w:t>
      </w:r>
      <w:r w:rsidR="00894E81">
        <w:rPr>
          <w:rFonts w:ascii="黑体" w:eastAsia="黑体" w:hAnsi="黑体" w:cs="仿宋_GB2312" w:hint="eastAsia"/>
          <w:color w:val="auto"/>
          <w:sz w:val="28"/>
          <w:szCs w:val="28"/>
          <w:lang w:eastAsia="zh-CN"/>
        </w:rPr>
        <w:t>4</w:t>
      </w:r>
      <w:r w:rsidRPr="008443F7">
        <w:rPr>
          <w:rFonts w:ascii="黑体" w:eastAsia="黑体" w:hAnsi="黑体" w:cs="仿宋_GB2312" w:hint="eastAsia"/>
          <w:color w:val="auto"/>
          <w:sz w:val="28"/>
          <w:szCs w:val="28"/>
          <w:lang w:eastAsia="zh-CN"/>
        </w:rPr>
        <w:t>所示。</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表3.4集中式充电站服务能力</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4"/>
        <w:gridCol w:w="2080"/>
        <w:gridCol w:w="2537"/>
        <w:gridCol w:w="1851"/>
      </w:tblGrid>
      <w:tr w:rsidR="00733F57" w:rsidRPr="00223645" w:rsidTr="00334547">
        <w:trPr>
          <w:trHeight w:val="535"/>
          <w:jc w:val="center"/>
        </w:trPr>
        <w:tc>
          <w:tcPr>
            <w:tcW w:w="0" w:type="auto"/>
            <w:vMerge w:val="restart"/>
            <w:vAlign w:val="center"/>
          </w:tcPr>
          <w:p w:rsidR="00733F57" w:rsidRPr="00223645" w:rsidRDefault="00733F57"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类型</w:t>
            </w:r>
          </w:p>
        </w:tc>
        <w:tc>
          <w:tcPr>
            <w:tcW w:w="0" w:type="auto"/>
            <w:gridSpan w:val="3"/>
            <w:vAlign w:val="center"/>
          </w:tcPr>
          <w:p w:rsidR="00733F57" w:rsidRPr="00223645" w:rsidRDefault="00733F57"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充电站参数</w:t>
            </w:r>
          </w:p>
        </w:tc>
      </w:tr>
      <w:tr w:rsidR="00733F57" w:rsidRPr="00223645" w:rsidTr="00334547">
        <w:trPr>
          <w:trHeight w:val="699"/>
          <w:jc w:val="center"/>
        </w:trPr>
        <w:tc>
          <w:tcPr>
            <w:tcW w:w="0" w:type="auto"/>
            <w:vMerge/>
            <w:vAlign w:val="center"/>
          </w:tcPr>
          <w:p w:rsidR="00733F57" w:rsidRPr="00223645" w:rsidRDefault="00733F57" w:rsidP="00334547">
            <w:pPr>
              <w:widowControl/>
              <w:spacing w:line="240" w:lineRule="auto"/>
              <w:ind w:firstLineChars="0" w:firstLine="0"/>
              <w:jc w:val="center"/>
              <w:rPr>
                <w:rFonts w:ascii="黑体" w:eastAsia="黑体" w:hAnsi="黑体" w:cs="仿宋_GB2312"/>
                <w:color w:val="auto"/>
                <w:lang w:eastAsia="zh-CN"/>
              </w:rPr>
            </w:pPr>
          </w:p>
        </w:tc>
        <w:tc>
          <w:tcPr>
            <w:tcW w:w="0" w:type="auto"/>
            <w:vAlign w:val="center"/>
          </w:tcPr>
          <w:p w:rsidR="00733F57" w:rsidRPr="00223645" w:rsidRDefault="00733F57"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直流桩数量（台）</w:t>
            </w:r>
          </w:p>
        </w:tc>
        <w:tc>
          <w:tcPr>
            <w:tcW w:w="0" w:type="auto"/>
            <w:vAlign w:val="center"/>
          </w:tcPr>
          <w:p w:rsidR="00733F57" w:rsidRPr="00223645" w:rsidRDefault="00733F57"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每台直流桩功率（kW）</w:t>
            </w:r>
          </w:p>
        </w:tc>
        <w:tc>
          <w:tcPr>
            <w:tcW w:w="0" w:type="auto"/>
            <w:vAlign w:val="center"/>
          </w:tcPr>
          <w:p w:rsidR="00733F57" w:rsidRPr="00223645" w:rsidRDefault="00733F57"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服务数量（辆）</w:t>
            </w:r>
          </w:p>
        </w:tc>
      </w:tr>
      <w:tr w:rsidR="00FC37F6" w:rsidRPr="00223645" w:rsidTr="00334547">
        <w:trPr>
          <w:trHeight w:val="704"/>
          <w:jc w:val="center"/>
        </w:trPr>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公交车专用充电站</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15</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120</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45</w:t>
            </w:r>
          </w:p>
        </w:tc>
      </w:tr>
      <w:tr w:rsidR="00FC37F6" w:rsidRPr="00223645" w:rsidTr="00334547">
        <w:trPr>
          <w:trHeight w:val="852"/>
          <w:jc w:val="center"/>
        </w:trPr>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市政环卫车等专用充电站</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15</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120</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45</w:t>
            </w:r>
          </w:p>
        </w:tc>
      </w:tr>
      <w:tr w:rsidR="00FC37F6" w:rsidRPr="00223645" w:rsidTr="00334547">
        <w:trPr>
          <w:trHeight w:val="812"/>
          <w:jc w:val="center"/>
        </w:trPr>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城市公共充电站</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不等</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120</w:t>
            </w:r>
          </w:p>
        </w:tc>
        <w:tc>
          <w:tcPr>
            <w:tcW w:w="0" w:type="auto"/>
            <w:vAlign w:val="center"/>
          </w:tcPr>
          <w:p w:rsidR="00FC37F6" w:rsidRPr="00223645" w:rsidRDefault="00223645" w:rsidP="00334547">
            <w:pPr>
              <w:widowControl/>
              <w:spacing w:line="240" w:lineRule="auto"/>
              <w:ind w:firstLineChars="0" w:firstLine="0"/>
              <w:jc w:val="center"/>
              <w:rPr>
                <w:rFonts w:ascii="黑体" w:eastAsia="黑体" w:hAnsi="黑体" w:cs="仿宋_GB2312"/>
                <w:color w:val="auto"/>
                <w:lang w:eastAsia="zh-CN"/>
              </w:rPr>
            </w:pPr>
            <w:r w:rsidRPr="00223645">
              <w:rPr>
                <w:rFonts w:ascii="黑体" w:eastAsia="黑体" w:hAnsi="黑体" w:cs="仿宋_GB2312" w:hint="eastAsia"/>
                <w:color w:val="auto"/>
                <w:lang w:eastAsia="zh-CN"/>
              </w:rPr>
              <w:t>不等</w:t>
            </w:r>
          </w:p>
        </w:tc>
      </w:tr>
    </w:tbl>
    <w:p w:rsidR="00FC37F6" w:rsidRPr="00223645" w:rsidRDefault="00FC37F6">
      <w:pPr>
        <w:widowControl/>
        <w:spacing w:line="240" w:lineRule="auto"/>
        <w:ind w:firstLineChars="0" w:firstLine="0"/>
        <w:rPr>
          <w:rFonts w:ascii="黑体" w:eastAsia="黑体" w:hAnsi="黑体" w:cs="仿宋_GB2312"/>
          <w:color w:val="auto"/>
          <w:sz w:val="31"/>
          <w:szCs w:val="31"/>
          <w:lang w:eastAsia="zh-CN"/>
        </w:rPr>
      </w:pP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（2）分散式充电桩服务能力</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 xml:space="preserve"> 分散式公共充电桩：直流快充桩和交流慢充桩按1:1的比例进行设置。其中，交流慢充桩功率参数为7千瓦，年服务电量0.5万千瓦时；平均直流快充桩功率参数为80千瓦，年服务电量5.6万千瓦时。</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公务及私人专用充电桩：交流慢充桩7千瓦，按照私家车数量50%进行配置。</w:t>
      </w:r>
    </w:p>
    <w:p w:rsidR="00FC37F6" w:rsidRPr="008443F7" w:rsidRDefault="0015730C"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w:t>
      </w:r>
      <w:r>
        <w:rPr>
          <w:rFonts w:ascii="黑体" w:eastAsia="黑体" w:hAnsi="黑体" w:cs="仿宋_GB2312" w:hint="eastAsia"/>
          <w:color w:val="auto"/>
          <w:sz w:val="28"/>
          <w:szCs w:val="28"/>
          <w:lang w:eastAsia="zh-CN"/>
        </w:rPr>
        <w:t>1</w:t>
      </w:r>
      <w:r w:rsidRPr="008443F7">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集中式充电站预测方法</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公交车专用充电站数量（座）=充电型电动公交车数量/每座公交服务数量。</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lastRenderedPageBreak/>
        <w:t>集中式充电桩（个）=出租车集中充电站充电需求量+物流三轮车集中充电站需求+普通乘用车集中充电充电需求+经营性客/货运车集中充电站需求+网约车集中充电需求/快充单桩年服务电量；</w:t>
      </w:r>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城际快充站数量应结合规划区域内高速公路服务区数量确定。</w:t>
      </w:r>
    </w:p>
    <w:p w:rsidR="00FC37F6" w:rsidRPr="008443F7" w:rsidRDefault="0015730C" w:rsidP="008443F7">
      <w:pPr>
        <w:widowControl/>
        <w:ind w:firstLine="560"/>
        <w:rPr>
          <w:rFonts w:ascii="黑体" w:eastAsia="黑体" w:hAnsi="黑体" w:cs="仿宋_GB2312"/>
          <w:color w:val="auto"/>
          <w:sz w:val="28"/>
          <w:szCs w:val="28"/>
          <w:lang w:eastAsia="zh-CN"/>
        </w:rPr>
      </w:pPr>
      <w:bookmarkStart w:id="74" w:name="_Toc16293"/>
      <w:r w:rsidRPr="008443F7">
        <w:rPr>
          <w:rFonts w:ascii="黑体" w:eastAsia="黑体" w:hAnsi="黑体" w:cs="仿宋_GB2312" w:hint="eastAsia"/>
          <w:color w:val="auto"/>
          <w:sz w:val="28"/>
          <w:szCs w:val="28"/>
          <w:lang w:eastAsia="zh-CN"/>
        </w:rPr>
        <w:t>（</w:t>
      </w:r>
      <w:r w:rsidRPr="008443F7">
        <w:rPr>
          <w:rFonts w:ascii="黑体" w:eastAsia="黑体" w:hAnsi="黑体" w:cs="仿宋_GB2312" w:hint="eastAsia"/>
          <w:color w:val="auto"/>
          <w:sz w:val="28"/>
          <w:szCs w:val="28"/>
          <w:lang w:eastAsia="zh-CN"/>
        </w:rPr>
        <w:t>2</w:t>
      </w:r>
      <w:r w:rsidRPr="008443F7">
        <w:rPr>
          <w:rFonts w:ascii="黑体" w:eastAsia="黑体" w:hAnsi="黑体" w:cs="仿宋_GB2312" w:hint="eastAsia"/>
          <w:color w:val="auto"/>
          <w:sz w:val="28"/>
          <w:szCs w:val="28"/>
          <w:lang w:eastAsia="zh-CN"/>
        </w:rPr>
        <w:t>）</w:t>
      </w:r>
      <w:r w:rsidR="00223645" w:rsidRPr="008443F7">
        <w:rPr>
          <w:rFonts w:ascii="黑体" w:eastAsia="黑体" w:hAnsi="黑体" w:cs="仿宋_GB2312" w:hint="eastAsia"/>
          <w:color w:val="auto"/>
          <w:sz w:val="28"/>
          <w:szCs w:val="28"/>
          <w:lang w:eastAsia="zh-CN"/>
        </w:rPr>
        <w:t>分散式充电桩预测方法</w:t>
      </w:r>
      <w:bookmarkEnd w:id="74"/>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分散式公共充电桩数量（个）=出租车分散充电桩需求+物流三轮车公共充电桩充电需求+普通乘用车公共充电桩充电需求+市市政环卫车公共充电需求+普通乘用车集中充电充电需求+经营性客/货运车集中充电站需求]/[每个快充公共充电桩服务能量+每个慢充公共充电桩服务能量]。</w:t>
      </w:r>
    </w:p>
    <w:p w:rsidR="00FC37F6" w:rsidRPr="00223645" w:rsidRDefault="00223645" w:rsidP="008443F7">
      <w:pPr>
        <w:pStyle w:val="3"/>
        <w:numPr>
          <w:ilvl w:val="0"/>
          <w:numId w:val="32"/>
        </w:numPr>
        <w:ind w:firstLineChars="0"/>
        <w:rPr>
          <w:rFonts w:ascii="黑体" w:eastAsia="黑体" w:hAnsi="黑体"/>
          <w:color w:val="auto"/>
          <w:lang w:eastAsia="zh-CN"/>
        </w:rPr>
      </w:pPr>
      <w:bookmarkStart w:id="75" w:name="_Toc16126"/>
      <w:r w:rsidRPr="00223645">
        <w:rPr>
          <w:rFonts w:ascii="黑体" w:eastAsia="黑体" w:hAnsi="黑体" w:hint="eastAsia"/>
          <w:color w:val="auto"/>
          <w:lang w:eastAsia="zh-CN"/>
        </w:rPr>
        <w:t>预测结果</w:t>
      </w:r>
      <w:bookmarkEnd w:id="75"/>
    </w:p>
    <w:p w:rsidR="00FC37F6" w:rsidRPr="00223645" w:rsidRDefault="00223645">
      <w:pPr>
        <w:widowControl/>
        <w:ind w:firstLine="620"/>
        <w:rPr>
          <w:rFonts w:ascii="黑体" w:eastAsia="黑体" w:hAnsi="黑体" w:cs="仿宋_GB2312"/>
          <w:color w:val="auto"/>
          <w:sz w:val="31"/>
          <w:szCs w:val="31"/>
          <w:lang w:eastAsia="zh-CN"/>
        </w:rPr>
      </w:pPr>
      <w:bookmarkStart w:id="76" w:name="_Toc8808"/>
      <w:r w:rsidRPr="00223645">
        <w:rPr>
          <w:rFonts w:ascii="黑体" w:eastAsia="黑体" w:hAnsi="黑体" w:cs="仿宋_GB2312" w:hint="eastAsia"/>
          <w:color w:val="auto"/>
          <w:sz w:val="31"/>
          <w:szCs w:val="31"/>
          <w:lang w:eastAsia="zh-CN"/>
        </w:rPr>
        <w:t>3.1汽车保有量预测结果</w:t>
      </w:r>
      <w:bookmarkEnd w:id="76"/>
    </w:p>
    <w:p w:rsidR="00FC37F6" w:rsidRPr="008443F7" w:rsidRDefault="00223645" w:rsidP="008443F7">
      <w:pPr>
        <w:widowControl/>
        <w:ind w:firstLine="562"/>
        <w:rPr>
          <w:rFonts w:ascii="黑体" w:eastAsia="黑体" w:hAnsi="黑体" w:cs="仿宋_GB2312"/>
          <w:b/>
          <w:color w:val="auto"/>
          <w:sz w:val="28"/>
          <w:szCs w:val="28"/>
          <w:lang w:eastAsia="zh-CN"/>
        </w:rPr>
      </w:pPr>
      <w:bookmarkStart w:id="77" w:name="_Toc21882"/>
      <w:r w:rsidRPr="008443F7">
        <w:rPr>
          <w:rFonts w:ascii="黑体" w:eastAsia="黑体" w:hAnsi="黑体" w:cs="仿宋_GB2312" w:hint="eastAsia"/>
          <w:b/>
          <w:color w:val="auto"/>
          <w:sz w:val="28"/>
          <w:szCs w:val="28"/>
          <w:lang w:eastAsia="zh-CN"/>
        </w:rPr>
        <w:t>公交车预测结果</w:t>
      </w:r>
      <w:bookmarkEnd w:id="77"/>
    </w:p>
    <w:p w:rsidR="00FC37F6" w:rsidRPr="00223645" w:rsidRDefault="00223645" w:rsidP="00E8452E">
      <w:pPr>
        <w:widowControl/>
        <w:ind w:firstLine="560"/>
        <w:rPr>
          <w:rFonts w:ascii="黑体" w:eastAsia="黑体" w:hAnsi="黑体"/>
          <w:b/>
          <w:bCs/>
          <w:color w:val="auto"/>
          <w:lang w:eastAsia="zh-CN"/>
        </w:rPr>
      </w:pPr>
      <w:r w:rsidRPr="008443F7">
        <w:rPr>
          <w:rFonts w:ascii="黑体" w:eastAsia="黑体" w:hAnsi="黑体" w:cs="仿宋_GB2312" w:hint="eastAsia"/>
          <w:color w:val="auto"/>
          <w:sz w:val="28"/>
          <w:szCs w:val="28"/>
          <w:lang w:eastAsia="zh-CN"/>
        </w:rPr>
        <w:t>截止2022年底广汉市公交车保有量76辆，每辆公交车服务人数8236人。结合广汉市公交车现状及</w:t>
      </w:r>
      <w:r w:rsidR="00747E1E">
        <w:rPr>
          <w:rFonts w:ascii="黑体" w:eastAsia="黑体" w:hAnsi="黑体" w:cs="仿宋_GB2312" w:hint="eastAsia"/>
          <w:color w:val="auto"/>
          <w:sz w:val="28"/>
          <w:szCs w:val="28"/>
          <w:lang w:eastAsia="zh-CN"/>
        </w:rPr>
        <w:t>“</w:t>
      </w:r>
      <w:r w:rsidRPr="008443F7">
        <w:rPr>
          <w:rFonts w:ascii="黑体" w:eastAsia="黑体" w:hAnsi="黑体" w:cs="仿宋_GB2312" w:hint="eastAsia"/>
          <w:color w:val="auto"/>
          <w:sz w:val="28"/>
          <w:szCs w:val="28"/>
          <w:lang w:eastAsia="zh-CN"/>
        </w:rPr>
        <w:t>十四五</w:t>
      </w:r>
      <w:r w:rsidR="00747E1E">
        <w:rPr>
          <w:rFonts w:ascii="黑体" w:eastAsia="黑体" w:hAnsi="黑体" w:cs="仿宋_GB2312" w:hint="eastAsia"/>
          <w:color w:val="auto"/>
          <w:sz w:val="28"/>
          <w:szCs w:val="28"/>
          <w:lang w:eastAsia="zh-CN"/>
        </w:rPr>
        <w:t>”</w:t>
      </w:r>
      <w:r w:rsidRPr="008443F7">
        <w:rPr>
          <w:rFonts w:ascii="黑体" w:eastAsia="黑体" w:hAnsi="黑体" w:cs="仿宋_GB2312" w:hint="eastAsia"/>
          <w:color w:val="auto"/>
          <w:sz w:val="28"/>
          <w:szCs w:val="28"/>
          <w:lang w:eastAsia="zh-CN"/>
        </w:rPr>
        <w:t>规划要求，选取合理指标对广汉市公交车保有量进行预测，预计2030年广汉市公交车保有量160辆，每辆公交车服务人数为3</w:t>
      </w:r>
      <w:r w:rsidRPr="008443F7">
        <w:rPr>
          <w:rFonts w:ascii="黑体" w:eastAsia="黑体" w:hAnsi="黑体" w:cs="仿宋_GB2312"/>
          <w:color w:val="auto"/>
          <w:sz w:val="28"/>
          <w:szCs w:val="28"/>
          <w:lang w:eastAsia="zh-CN"/>
        </w:rPr>
        <w:t>625</w:t>
      </w:r>
      <w:r w:rsidRPr="008443F7">
        <w:rPr>
          <w:rFonts w:ascii="黑体" w:eastAsia="黑体" w:hAnsi="黑体" w:cs="仿宋_GB2312" w:hint="eastAsia"/>
          <w:color w:val="auto"/>
          <w:sz w:val="28"/>
          <w:szCs w:val="28"/>
          <w:lang w:eastAsia="zh-CN"/>
        </w:rPr>
        <w:t>人。</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表3.5 公交车预测数</w:t>
      </w:r>
    </w:p>
    <w:tbl>
      <w:tblPr>
        <w:tblW w:w="7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0"/>
        <w:gridCol w:w="1345"/>
        <w:gridCol w:w="1082"/>
        <w:gridCol w:w="1299"/>
        <w:gridCol w:w="1192"/>
        <w:gridCol w:w="1568"/>
      </w:tblGrid>
      <w:tr w:rsidR="00733F57" w:rsidRPr="00223645" w:rsidTr="00334547">
        <w:trPr>
          <w:trHeight w:val="559"/>
          <w:jc w:val="center"/>
        </w:trPr>
        <w:tc>
          <w:tcPr>
            <w:tcW w:w="0" w:type="auto"/>
            <w:gridSpan w:val="2"/>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常</w:t>
            </w:r>
            <w:r w:rsidR="00E8452E">
              <w:rPr>
                <w:rFonts w:ascii="黑体" w:eastAsia="黑体" w:hAnsi="黑体" w:cs="仿宋_GB2312" w:hint="eastAsia"/>
                <w:color w:val="auto"/>
                <w:sz w:val="21"/>
                <w:szCs w:val="21"/>
                <w:lang w:eastAsia="zh-CN"/>
              </w:rPr>
              <w:t>住</w:t>
            </w:r>
            <w:r w:rsidRPr="00223645">
              <w:rPr>
                <w:rFonts w:ascii="黑体" w:eastAsia="黑体" w:hAnsi="黑体" w:cs="仿宋_GB2312" w:hint="eastAsia"/>
                <w:color w:val="auto"/>
                <w:sz w:val="21"/>
                <w:szCs w:val="21"/>
                <w:lang w:eastAsia="zh-CN"/>
              </w:rPr>
              <w:t>人口</w:t>
            </w:r>
          </w:p>
        </w:tc>
        <w:tc>
          <w:tcPr>
            <w:tcW w:w="2380" w:type="dxa"/>
            <w:gridSpan w:val="2"/>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公交车数量预测</w:t>
            </w:r>
          </w:p>
        </w:tc>
        <w:tc>
          <w:tcPr>
            <w:tcW w:w="2760" w:type="dxa"/>
            <w:gridSpan w:val="2"/>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每辆公交车服务人数</w:t>
            </w:r>
          </w:p>
        </w:tc>
      </w:tr>
      <w:tr w:rsidR="00733F57" w:rsidRPr="00223645" w:rsidTr="00334547">
        <w:trPr>
          <w:trHeight w:val="1164"/>
          <w:jc w:val="center"/>
        </w:trPr>
        <w:tc>
          <w:tcPr>
            <w:tcW w:w="1410" w:type="dxa"/>
          </w:tcPr>
          <w:p w:rsid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2022年</w:t>
            </w:r>
          </w:p>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（现状）</w:t>
            </w:r>
          </w:p>
        </w:tc>
        <w:tc>
          <w:tcPr>
            <w:tcW w:w="1345" w:type="dxa"/>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2030年</w:t>
            </w:r>
          </w:p>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（预测）</w:t>
            </w:r>
          </w:p>
        </w:tc>
        <w:tc>
          <w:tcPr>
            <w:tcW w:w="0" w:type="auto"/>
          </w:tcPr>
          <w:p w:rsid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2022年</w:t>
            </w:r>
          </w:p>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（现状）</w:t>
            </w:r>
          </w:p>
        </w:tc>
        <w:tc>
          <w:tcPr>
            <w:tcW w:w="1270" w:type="dxa"/>
          </w:tcPr>
          <w:p w:rsid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2030年</w:t>
            </w:r>
          </w:p>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（预测）</w:t>
            </w:r>
          </w:p>
        </w:tc>
        <w:tc>
          <w:tcPr>
            <w:tcW w:w="1192" w:type="dxa"/>
          </w:tcPr>
          <w:p w:rsid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2022年</w:t>
            </w:r>
          </w:p>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（现状）</w:t>
            </w:r>
          </w:p>
        </w:tc>
        <w:tc>
          <w:tcPr>
            <w:tcW w:w="1568" w:type="dxa"/>
          </w:tcPr>
          <w:p w:rsid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2030年</w:t>
            </w:r>
          </w:p>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（预测）</w:t>
            </w:r>
          </w:p>
        </w:tc>
      </w:tr>
      <w:tr w:rsidR="00733F57" w:rsidRPr="00223645" w:rsidTr="00334547">
        <w:trPr>
          <w:trHeight w:val="559"/>
          <w:jc w:val="center"/>
        </w:trPr>
        <w:tc>
          <w:tcPr>
            <w:tcW w:w="1410" w:type="dxa"/>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62.6万人</w:t>
            </w:r>
          </w:p>
        </w:tc>
        <w:tc>
          <w:tcPr>
            <w:tcW w:w="1345" w:type="dxa"/>
          </w:tcPr>
          <w:p w:rsidR="00733F57" w:rsidRPr="00223645" w:rsidRDefault="00497444">
            <w:pPr>
              <w:widowControl/>
              <w:spacing w:line="240" w:lineRule="auto"/>
              <w:ind w:firstLineChars="0" w:firstLine="0"/>
              <w:jc w:val="center"/>
              <w:rPr>
                <w:rFonts w:ascii="黑体" w:eastAsia="黑体" w:hAnsi="黑体" w:cs="仿宋_GB2312"/>
                <w:color w:val="auto"/>
                <w:sz w:val="21"/>
                <w:szCs w:val="21"/>
                <w:lang w:eastAsia="zh-CN"/>
              </w:rPr>
            </w:pPr>
            <w:r>
              <w:rPr>
                <w:rFonts w:ascii="黑体" w:eastAsia="黑体" w:hAnsi="黑体" w:cs="仿宋_GB2312" w:hint="eastAsia"/>
                <w:color w:val="auto"/>
                <w:sz w:val="21"/>
                <w:szCs w:val="21"/>
                <w:lang w:eastAsia="zh-CN"/>
              </w:rPr>
              <w:t>6</w:t>
            </w:r>
            <w:r>
              <w:rPr>
                <w:rFonts w:ascii="黑体" w:eastAsia="黑体" w:hAnsi="黑体" w:cs="仿宋_GB2312"/>
                <w:color w:val="auto"/>
                <w:sz w:val="21"/>
                <w:szCs w:val="21"/>
                <w:lang w:eastAsia="zh-CN"/>
              </w:rPr>
              <w:t>3</w:t>
            </w:r>
            <w:r w:rsidR="00733F57" w:rsidRPr="00223645">
              <w:rPr>
                <w:rFonts w:ascii="黑体" w:eastAsia="黑体" w:hAnsi="黑体" w:cs="仿宋_GB2312" w:hint="eastAsia"/>
                <w:color w:val="auto"/>
                <w:sz w:val="21"/>
                <w:szCs w:val="21"/>
                <w:lang w:eastAsia="zh-CN"/>
              </w:rPr>
              <w:t>万人</w:t>
            </w:r>
          </w:p>
        </w:tc>
        <w:tc>
          <w:tcPr>
            <w:tcW w:w="0" w:type="auto"/>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76</w:t>
            </w:r>
          </w:p>
        </w:tc>
        <w:tc>
          <w:tcPr>
            <w:tcW w:w="1270" w:type="dxa"/>
          </w:tcPr>
          <w:p w:rsidR="00733F57" w:rsidRPr="00223645" w:rsidRDefault="00497444">
            <w:pPr>
              <w:widowControl/>
              <w:spacing w:line="240" w:lineRule="auto"/>
              <w:ind w:firstLineChars="0" w:firstLine="0"/>
              <w:jc w:val="center"/>
              <w:rPr>
                <w:rFonts w:ascii="黑体" w:eastAsia="黑体" w:hAnsi="黑体" w:cs="仿宋_GB2312"/>
                <w:color w:val="auto"/>
                <w:sz w:val="21"/>
                <w:szCs w:val="21"/>
                <w:lang w:eastAsia="zh-CN"/>
              </w:rPr>
            </w:pPr>
            <w:r>
              <w:rPr>
                <w:rFonts w:ascii="黑体" w:eastAsia="黑体" w:hAnsi="黑体" w:cs="仿宋_GB2312"/>
                <w:color w:val="auto"/>
                <w:sz w:val="21"/>
                <w:szCs w:val="21"/>
                <w:lang w:eastAsia="zh-CN"/>
              </w:rPr>
              <w:t>92</w:t>
            </w:r>
          </w:p>
        </w:tc>
        <w:tc>
          <w:tcPr>
            <w:tcW w:w="1192" w:type="dxa"/>
          </w:tcPr>
          <w:p w:rsidR="00733F57" w:rsidRPr="00223645" w:rsidRDefault="00733F57">
            <w:pPr>
              <w:widowControl/>
              <w:spacing w:line="240" w:lineRule="auto"/>
              <w:ind w:firstLineChars="0" w:firstLine="0"/>
              <w:jc w:val="center"/>
              <w:rPr>
                <w:rFonts w:ascii="黑体" w:eastAsia="黑体" w:hAnsi="黑体" w:cs="仿宋_GB2312"/>
                <w:color w:val="auto"/>
                <w:sz w:val="21"/>
                <w:szCs w:val="21"/>
                <w:lang w:eastAsia="zh-CN"/>
              </w:rPr>
            </w:pPr>
            <w:r w:rsidRPr="00223645">
              <w:rPr>
                <w:rFonts w:ascii="黑体" w:eastAsia="黑体" w:hAnsi="黑体" w:cs="仿宋_GB2312" w:hint="eastAsia"/>
                <w:color w:val="auto"/>
                <w:sz w:val="21"/>
                <w:szCs w:val="21"/>
                <w:lang w:eastAsia="zh-CN"/>
              </w:rPr>
              <w:t>8236</w:t>
            </w:r>
          </w:p>
        </w:tc>
        <w:tc>
          <w:tcPr>
            <w:tcW w:w="1568" w:type="dxa"/>
          </w:tcPr>
          <w:p w:rsidR="00733F57" w:rsidRPr="00223645" w:rsidRDefault="00791F83">
            <w:pPr>
              <w:widowControl/>
              <w:spacing w:line="240" w:lineRule="auto"/>
              <w:ind w:firstLineChars="0" w:firstLine="0"/>
              <w:jc w:val="center"/>
              <w:rPr>
                <w:rFonts w:ascii="黑体" w:eastAsia="黑体" w:hAnsi="黑体" w:cs="仿宋_GB2312"/>
                <w:color w:val="auto"/>
                <w:sz w:val="21"/>
                <w:szCs w:val="21"/>
                <w:lang w:eastAsia="zh-CN"/>
              </w:rPr>
            </w:pPr>
            <w:r>
              <w:rPr>
                <w:rFonts w:ascii="黑体" w:eastAsia="黑体" w:hAnsi="黑体" w:cs="仿宋_GB2312" w:hint="eastAsia"/>
                <w:color w:val="auto"/>
                <w:sz w:val="21"/>
                <w:szCs w:val="21"/>
                <w:lang w:eastAsia="zh-CN"/>
              </w:rPr>
              <w:t>6</w:t>
            </w:r>
            <w:r>
              <w:rPr>
                <w:rFonts w:ascii="黑体" w:eastAsia="黑体" w:hAnsi="黑体" w:cs="仿宋_GB2312"/>
                <w:color w:val="auto"/>
                <w:sz w:val="21"/>
                <w:szCs w:val="21"/>
                <w:lang w:eastAsia="zh-CN"/>
              </w:rPr>
              <w:t>848</w:t>
            </w:r>
          </w:p>
        </w:tc>
      </w:tr>
    </w:tbl>
    <w:p w:rsidR="00FC37F6" w:rsidRPr="00223645" w:rsidRDefault="00FC37F6" w:rsidP="00223645">
      <w:pPr>
        <w:widowControl/>
        <w:ind w:firstLine="622"/>
        <w:rPr>
          <w:rFonts w:ascii="黑体" w:eastAsia="黑体" w:hAnsi="黑体" w:cs="仿宋_GB2312"/>
          <w:b/>
          <w:bCs/>
          <w:color w:val="auto"/>
          <w:sz w:val="31"/>
          <w:szCs w:val="31"/>
          <w:lang w:eastAsia="zh-CN"/>
        </w:rPr>
      </w:pPr>
      <w:bookmarkStart w:id="78" w:name="_Toc24384"/>
    </w:p>
    <w:p w:rsidR="00FC37F6" w:rsidRPr="008443F7" w:rsidRDefault="00223645" w:rsidP="008443F7">
      <w:pPr>
        <w:widowControl/>
        <w:ind w:firstLine="562"/>
        <w:rPr>
          <w:rFonts w:ascii="黑体" w:eastAsia="黑体" w:hAnsi="黑体" w:cs="仿宋_GB2312"/>
          <w:b/>
          <w:color w:val="auto"/>
          <w:sz w:val="28"/>
          <w:szCs w:val="28"/>
          <w:lang w:eastAsia="zh-CN"/>
        </w:rPr>
      </w:pPr>
      <w:r w:rsidRPr="008443F7">
        <w:rPr>
          <w:rFonts w:ascii="黑体" w:eastAsia="黑体" w:hAnsi="黑体" w:cs="仿宋_GB2312" w:hint="eastAsia"/>
          <w:b/>
          <w:color w:val="auto"/>
          <w:sz w:val="28"/>
          <w:szCs w:val="28"/>
          <w:lang w:eastAsia="zh-CN"/>
        </w:rPr>
        <w:t>出租车预测结果</w:t>
      </w:r>
      <w:bookmarkEnd w:id="78"/>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2022年广汉市出租车保有量161辆，2030年出租车数量不发生变化。</w:t>
      </w:r>
    </w:p>
    <w:p w:rsidR="00FC37F6" w:rsidRPr="00223645" w:rsidRDefault="00FC37F6" w:rsidP="00223645">
      <w:pPr>
        <w:ind w:firstLine="480"/>
        <w:rPr>
          <w:rFonts w:ascii="黑体" w:eastAsia="黑体" w:hAnsi="黑体"/>
          <w:color w:val="auto"/>
          <w:lang w:eastAsia="zh-CN"/>
        </w:rPr>
      </w:pP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表3.6 出租车预测数量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5"/>
        <w:gridCol w:w="1246"/>
        <w:gridCol w:w="1246"/>
        <w:gridCol w:w="1247"/>
        <w:gridCol w:w="1247"/>
        <w:gridCol w:w="1403"/>
      </w:tblGrid>
      <w:tr w:rsidR="00733F57" w:rsidRPr="00223645" w:rsidTr="00334547">
        <w:trPr>
          <w:trHeight w:val="660"/>
          <w:jc w:val="center"/>
        </w:trPr>
        <w:tc>
          <w:tcPr>
            <w:tcW w:w="3111" w:type="dxa"/>
            <w:gridSpan w:val="2"/>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常住人口</w:t>
            </w:r>
          </w:p>
        </w:tc>
        <w:tc>
          <w:tcPr>
            <w:tcW w:w="2493" w:type="dxa"/>
            <w:gridSpan w:val="2"/>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出租车数量预测</w:t>
            </w:r>
          </w:p>
        </w:tc>
        <w:tc>
          <w:tcPr>
            <w:tcW w:w="2650" w:type="dxa"/>
            <w:gridSpan w:val="2"/>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每千人拥有出租车（辆）</w:t>
            </w:r>
          </w:p>
        </w:tc>
      </w:tr>
      <w:tr w:rsidR="00733F57" w:rsidRPr="00223645" w:rsidTr="00334547">
        <w:trPr>
          <w:trHeight w:val="1220"/>
          <w:jc w:val="center"/>
        </w:trPr>
        <w:tc>
          <w:tcPr>
            <w:tcW w:w="1865"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2022年</w:t>
            </w:r>
          </w:p>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（现状）</w:t>
            </w:r>
          </w:p>
        </w:tc>
        <w:tc>
          <w:tcPr>
            <w:tcW w:w="1246"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2030年</w:t>
            </w:r>
          </w:p>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（预测）</w:t>
            </w:r>
          </w:p>
        </w:tc>
        <w:tc>
          <w:tcPr>
            <w:tcW w:w="1246" w:type="dxa"/>
          </w:tcPr>
          <w:p w:rsidR="00497444"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2022年</w:t>
            </w:r>
          </w:p>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（现状）</w:t>
            </w:r>
          </w:p>
        </w:tc>
        <w:tc>
          <w:tcPr>
            <w:tcW w:w="1247" w:type="dxa"/>
          </w:tcPr>
          <w:p w:rsidR="00497444"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2030年</w:t>
            </w:r>
          </w:p>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（预测）</w:t>
            </w:r>
          </w:p>
        </w:tc>
        <w:tc>
          <w:tcPr>
            <w:tcW w:w="1247" w:type="dxa"/>
          </w:tcPr>
          <w:p w:rsidR="00497444"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2022年</w:t>
            </w:r>
          </w:p>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（现状）</w:t>
            </w:r>
          </w:p>
        </w:tc>
        <w:tc>
          <w:tcPr>
            <w:tcW w:w="1403" w:type="dxa"/>
          </w:tcPr>
          <w:p w:rsidR="00497444"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2030年</w:t>
            </w:r>
          </w:p>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（预测）</w:t>
            </w:r>
          </w:p>
        </w:tc>
      </w:tr>
      <w:tr w:rsidR="00733F57" w:rsidRPr="00223645" w:rsidTr="00334547">
        <w:trPr>
          <w:trHeight w:val="660"/>
          <w:jc w:val="center"/>
        </w:trPr>
        <w:tc>
          <w:tcPr>
            <w:tcW w:w="1865"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62.6万人</w:t>
            </w:r>
          </w:p>
        </w:tc>
        <w:tc>
          <w:tcPr>
            <w:tcW w:w="1246" w:type="dxa"/>
          </w:tcPr>
          <w:p w:rsidR="00733F57" w:rsidRPr="00733F57" w:rsidRDefault="00497444">
            <w:pPr>
              <w:widowControl/>
              <w:spacing w:line="240" w:lineRule="auto"/>
              <w:ind w:firstLineChars="0" w:firstLine="0"/>
              <w:jc w:val="center"/>
              <w:rPr>
                <w:rFonts w:ascii="黑体" w:eastAsia="黑体" w:hAnsi="黑体" w:cs="仿宋_GB2312"/>
                <w:color w:val="auto"/>
                <w:sz w:val="21"/>
                <w:szCs w:val="21"/>
                <w:lang w:eastAsia="zh-CN"/>
              </w:rPr>
            </w:pPr>
            <w:r>
              <w:rPr>
                <w:rFonts w:ascii="黑体" w:eastAsia="黑体" w:hAnsi="黑体" w:cs="仿宋_GB2312" w:hint="eastAsia"/>
                <w:color w:val="auto"/>
                <w:sz w:val="21"/>
                <w:szCs w:val="21"/>
                <w:lang w:eastAsia="zh-CN"/>
              </w:rPr>
              <w:t>6</w:t>
            </w:r>
            <w:r>
              <w:rPr>
                <w:rFonts w:ascii="黑体" w:eastAsia="黑体" w:hAnsi="黑体" w:cs="仿宋_GB2312"/>
                <w:color w:val="auto"/>
                <w:sz w:val="21"/>
                <w:szCs w:val="21"/>
                <w:lang w:eastAsia="zh-CN"/>
              </w:rPr>
              <w:t>3</w:t>
            </w:r>
            <w:r w:rsidR="00733F57" w:rsidRPr="00733F57">
              <w:rPr>
                <w:rFonts w:ascii="黑体" w:eastAsia="黑体" w:hAnsi="黑体" w:cs="仿宋_GB2312" w:hint="eastAsia"/>
                <w:color w:val="auto"/>
                <w:sz w:val="21"/>
                <w:szCs w:val="21"/>
                <w:lang w:eastAsia="zh-CN"/>
              </w:rPr>
              <w:t>万人</w:t>
            </w:r>
          </w:p>
        </w:tc>
        <w:tc>
          <w:tcPr>
            <w:tcW w:w="1246"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161</w:t>
            </w:r>
          </w:p>
        </w:tc>
        <w:tc>
          <w:tcPr>
            <w:tcW w:w="1247"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161</w:t>
            </w:r>
          </w:p>
        </w:tc>
        <w:tc>
          <w:tcPr>
            <w:tcW w:w="1247"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0.257</w:t>
            </w:r>
          </w:p>
        </w:tc>
        <w:tc>
          <w:tcPr>
            <w:tcW w:w="1403" w:type="dxa"/>
          </w:tcPr>
          <w:p w:rsidR="00733F57" w:rsidRPr="00733F57" w:rsidRDefault="00733F57">
            <w:pPr>
              <w:widowControl/>
              <w:spacing w:line="240" w:lineRule="auto"/>
              <w:ind w:firstLineChars="0" w:firstLine="0"/>
              <w:jc w:val="center"/>
              <w:rPr>
                <w:rFonts w:ascii="黑体" w:eastAsia="黑体" w:hAnsi="黑体" w:cs="仿宋_GB2312"/>
                <w:color w:val="auto"/>
                <w:sz w:val="21"/>
                <w:szCs w:val="21"/>
                <w:lang w:eastAsia="zh-CN"/>
              </w:rPr>
            </w:pPr>
            <w:r w:rsidRPr="00733F57">
              <w:rPr>
                <w:rFonts w:ascii="黑体" w:eastAsia="黑体" w:hAnsi="黑体" w:cs="仿宋_GB2312" w:hint="eastAsia"/>
                <w:color w:val="auto"/>
                <w:sz w:val="21"/>
                <w:szCs w:val="21"/>
                <w:lang w:eastAsia="zh-CN"/>
              </w:rPr>
              <w:t>0.2</w:t>
            </w:r>
            <w:r w:rsidR="00497444">
              <w:rPr>
                <w:rFonts w:ascii="黑体" w:eastAsia="黑体" w:hAnsi="黑体" w:cs="仿宋_GB2312"/>
                <w:color w:val="auto"/>
                <w:sz w:val="21"/>
                <w:szCs w:val="21"/>
                <w:lang w:eastAsia="zh-CN"/>
              </w:rPr>
              <w:t>56</w:t>
            </w:r>
          </w:p>
        </w:tc>
      </w:tr>
    </w:tbl>
    <w:p w:rsidR="00FC37F6" w:rsidRPr="00223645" w:rsidRDefault="00FC37F6">
      <w:pPr>
        <w:widowControl/>
        <w:spacing w:line="240" w:lineRule="auto"/>
        <w:ind w:firstLineChars="0" w:firstLine="0"/>
        <w:rPr>
          <w:rFonts w:ascii="黑体" w:eastAsia="黑体" w:hAnsi="黑体" w:cs="仿宋_GB2312"/>
          <w:b/>
          <w:bCs/>
          <w:color w:val="auto"/>
          <w:sz w:val="31"/>
          <w:szCs w:val="31"/>
          <w:lang w:eastAsia="zh-CN"/>
        </w:rPr>
      </w:pPr>
      <w:bookmarkStart w:id="79" w:name="_Toc26673"/>
    </w:p>
    <w:p w:rsidR="00FC37F6" w:rsidRPr="008443F7" w:rsidRDefault="00223645" w:rsidP="008443F7">
      <w:pPr>
        <w:widowControl/>
        <w:ind w:firstLine="562"/>
        <w:rPr>
          <w:rFonts w:ascii="黑体" w:eastAsia="黑体" w:hAnsi="黑体" w:cs="仿宋_GB2312"/>
          <w:b/>
          <w:color w:val="auto"/>
          <w:sz w:val="28"/>
          <w:szCs w:val="28"/>
          <w:lang w:eastAsia="zh-CN"/>
        </w:rPr>
      </w:pPr>
      <w:r w:rsidRPr="008443F7">
        <w:rPr>
          <w:rFonts w:ascii="黑体" w:eastAsia="黑体" w:hAnsi="黑体" w:cs="仿宋_GB2312" w:hint="eastAsia"/>
          <w:b/>
          <w:color w:val="auto"/>
          <w:sz w:val="28"/>
          <w:szCs w:val="28"/>
          <w:lang w:eastAsia="zh-CN"/>
        </w:rPr>
        <w:t>物流及环卫专用车预测结果</w:t>
      </w:r>
      <w:bookmarkEnd w:id="79"/>
    </w:p>
    <w:p w:rsidR="00FC37F6" w:rsidRPr="008443F7" w:rsidRDefault="00223645" w:rsidP="008443F7">
      <w:pPr>
        <w:widowControl/>
        <w:ind w:firstLine="560"/>
        <w:rPr>
          <w:rFonts w:ascii="黑体" w:eastAsia="黑体" w:hAnsi="黑体" w:cs="仿宋_GB2312"/>
          <w:color w:val="auto"/>
          <w:sz w:val="28"/>
          <w:szCs w:val="28"/>
          <w:lang w:eastAsia="zh-CN"/>
        </w:rPr>
      </w:pPr>
      <w:r w:rsidRPr="008443F7">
        <w:rPr>
          <w:rFonts w:ascii="黑体" w:eastAsia="黑体" w:hAnsi="黑体" w:cs="仿宋_GB2312" w:hint="eastAsia"/>
          <w:color w:val="auto"/>
          <w:sz w:val="28"/>
          <w:szCs w:val="28"/>
          <w:lang w:eastAsia="zh-CN"/>
        </w:rPr>
        <w:t>2022年广汉市物流及环卫专用车保有量统计及2030年预测数量如表3.7所示。</w:t>
      </w:r>
    </w:p>
    <w:p w:rsidR="00FC37F6" w:rsidRPr="00223645" w:rsidRDefault="00FC37F6" w:rsidP="00223645">
      <w:pPr>
        <w:widowControl/>
        <w:ind w:firstLineChars="300" w:firstLine="934"/>
        <w:rPr>
          <w:rFonts w:ascii="黑体" w:eastAsia="黑体" w:hAnsi="黑体" w:cs="仿宋_GB2312"/>
          <w:b/>
          <w:bCs/>
          <w:color w:val="auto"/>
          <w:sz w:val="31"/>
          <w:szCs w:val="31"/>
          <w:lang w:eastAsia="zh-CN"/>
        </w:rPr>
      </w:pPr>
      <w:bookmarkStart w:id="80" w:name="_Toc27912"/>
    </w:p>
    <w:p w:rsidR="00FC37F6" w:rsidRPr="00C95BD9" w:rsidRDefault="00223645" w:rsidP="00C95BD9">
      <w:pPr>
        <w:widowControl/>
        <w:ind w:firstLineChars="154" w:firstLine="477"/>
        <w:outlineLvl w:val="3"/>
        <w:rPr>
          <w:rFonts w:ascii="黑体" w:eastAsia="黑体" w:hAnsi="黑体" w:cs="仿宋_GB2312"/>
          <w:color w:val="auto"/>
          <w:sz w:val="31"/>
          <w:szCs w:val="31"/>
          <w:lang w:eastAsia="zh-CN"/>
        </w:rPr>
      </w:pPr>
      <w:r w:rsidRPr="00C95BD9">
        <w:rPr>
          <w:rFonts w:ascii="黑体" w:eastAsia="黑体" w:hAnsi="黑体" w:cs="仿宋_GB2312" w:hint="eastAsia"/>
          <w:color w:val="auto"/>
          <w:sz w:val="31"/>
          <w:szCs w:val="31"/>
          <w:lang w:eastAsia="zh-CN"/>
        </w:rPr>
        <w:t>3</w:t>
      </w:r>
      <w:r w:rsidRPr="00C95BD9">
        <w:rPr>
          <w:rFonts w:ascii="黑体" w:eastAsia="黑体" w:hAnsi="黑体" w:cs="仿宋_GB2312"/>
          <w:color w:val="auto"/>
          <w:sz w:val="31"/>
          <w:szCs w:val="31"/>
          <w:lang w:eastAsia="zh-CN"/>
        </w:rPr>
        <w:t>.1</w:t>
      </w:r>
      <w:r w:rsidRPr="00C95BD9">
        <w:rPr>
          <w:rFonts w:ascii="黑体" w:eastAsia="黑体" w:hAnsi="黑体" w:cs="仿宋_GB2312" w:hint="eastAsia"/>
          <w:color w:val="auto"/>
          <w:sz w:val="31"/>
          <w:szCs w:val="31"/>
          <w:lang w:eastAsia="zh-CN"/>
        </w:rPr>
        <w:t>机动车数量预测结果</w:t>
      </w:r>
      <w:bookmarkEnd w:id="80"/>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2022年底广汉市</w:t>
      </w:r>
      <w:r w:rsidR="008A4104">
        <w:rPr>
          <w:rFonts w:ascii="黑体" w:eastAsia="黑体" w:hAnsi="黑体" w:cs="仿宋_GB2312" w:hint="eastAsia"/>
          <w:color w:val="auto"/>
          <w:sz w:val="28"/>
          <w:szCs w:val="28"/>
          <w:lang w:eastAsia="zh-CN"/>
        </w:rPr>
        <w:t>登记</w:t>
      </w:r>
      <w:r w:rsidRPr="00E644AB">
        <w:rPr>
          <w:rFonts w:ascii="黑体" w:eastAsia="黑体" w:hAnsi="黑体" w:cs="仿宋_GB2312" w:hint="eastAsia"/>
          <w:color w:val="auto"/>
          <w:sz w:val="28"/>
          <w:szCs w:val="28"/>
          <w:lang w:eastAsia="zh-CN"/>
        </w:rPr>
        <w:t>机动车</w:t>
      </w:r>
      <w:r w:rsidR="008A4104">
        <w:rPr>
          <w:rFonts w:ascii="黑体" w:eastAsia="黑体" w:hAnsi="黑体" w:cs="仿宋_GB2312" w:hint="eastAsia"/>
          <w:color w:val="auto"/>
          <w:sz w:val="28"/>
          <w:szCs w:val="28"/>
          <w:lang w:eastAsia="zh-CN"/>
        </w:rPr>
        <w:t>数</w:t>
      </w:r>
      <w:r w:rsidRPr="00E644AB">
        <w:rPr>
          <w:rFonts w:ascii="黑体" w:eastAsia="黑体" w:hAnsi="黑体" w:cs="仿宋_GB2312" w:hint="eastAsia"/>
          <w:color w:val="auto"/>
          <w:sz w:val="28"/>
          <w:szCs w:val="28"/>
          <w:lang w:eastAsia="zh-CN"/>
        </w:rPr>
        <w:t>量为105548辆，</w:t>
      </w:r>
      <w:r w:rsidR="008A4104">
        <w:rPr>
          <w:rFonts w:ascii="黑体" w:eastAsia="黑体" w:hAnsi="黑体" w:cs="仿宋_GB2312" w:hint="eastAsia"/>
          <w:color w:val="auto"/>
          <w:sz w:val="28"/>
          <w:szCs w:val="28"/>
          <w:lang w:eastAsia="zh-CN"/>
        </w:rPr>
        <w:t>考虑一定比例登记在外地</w:t>
      </w:r>
      <w:r w:rsidR="00791F83">
        <w:rPr>
          <w:rFonts w:ascii="黑体" w:eastAsia="黑体" w:hAnsi="黑体" w:cs="仿宋_GB2312" w:hint="eastAsia"/>
          <w:color w:val="auto"/>
          <w:sz w:val="28"/>
          <w:szCs w:val="28"/>
          <w:lang w:eastAsia="zh-CN"/>
        </w:rPr>
        <w:t>、</w:t>
      </w:r>
      <w:r w:rsidR="008A4104">
        <w:rPr>
          <w:rFonts w:ascii="黑体" w:eastAsia="黑体" w:hAnsi="黑体" w:cs="仿宋_GB2312" w:hint="eastAsia"/>
          <w:color w:val="auto"/>
          <w:sz w:val="28"/>
          <w:szCs w:val="28"/>
          <w:lang w:eastAsia="zh-CN"/>
        </w:rPr>
        <w:t>使用</w:t>
      </w:r>
      <w:r w:rsidR="00791F83">
        <w:rPr>
          <w:rFonts w:ascii="黑体" w:eastAsia="黑体" w:hAnsi="黑体" w:cs="仿宋_GB2312" w:hint="eastAsia"/>
          <w:color w:val="auto"/>
          <w:sz w:val="28"/>
          <w:szCs w:val="28"/>
          <w:lang w:eastAsia="zh-CN"/>
        </w:rPr>
        <w:t>主要在广汉的</w:t>
      </w:r>
      <w:r w:rsidRPr="00E644AB">
        <w:rPr>
          <w:rFonts w:ascii="黑体" w:eastAsia="黑体" w:hAnsi="黑体" w:cs="仿宋_GB2312" w:hint="eastAsia"/>
          <w:color w:val="auto"/>
          <w:sz w:val="28"/>
          <w:szCs w:val="28"/>
          <w:lang w:eastAsia="zh-CN"/>
        </w:rPr>
        <w:t>外地</w:t>
      </w:r>
      <w:r w:rsidR="008A4104">
        <w:rPr>
          <w:rFonts w:ascii="黑体" w:eastAsia="黑体" w:hAnsi="黑体" w:cs="仿宋_GB2312" w:hint="eastAsia"/>
          <w:color w:val="auto"/>
          <w:sz w:val="28"/>
          <w:szCs w:val="28"/>
          <w:lang w:eastAsia="zh-CN"/>
        </w:rPr>
        <w:t>牌照车辆，</w:t>
      </w:r>
      <w:r w:rsidR="008A4104">
        <w:rPr>
          <w:rFonts w:ascii="黑体" w:eastAsia="黑体" w:hAnsi="黑体" w:cs="仿宋_GB2312"/>
          <w:color w:val="auto"/>
          <w:sz w:val="28"/>
          <w:szCs w:val="28"/>
          <w:lang w:eastAsia="zh-CN"/>
        </w:rPr>
        <w:t>2022</w:t>
      </w:r>
      <w:r w:rsidR="008A4104">
        <w:rPr>
          <w:rFonts w:ascii="黑体" w:eastAsia="黑体" w:hAnsi="黑体" w:cs="仿宋_GB2312" w:hint="eastAsia"/>
          <w:color w:val="auto"/>
          <w:sz w:val="28"/>
          <w:szCs w:val="28"/>
          <w:lang w:eastAsia="zh-CN"/>
        </w:rPr>
        <w:t>年广汉市</w:t>
      </w:r>
      <w:r w:rsidR="00791F83">
        <w:rPr>
          <w:rFonts w:ascii="黑体" w:eastAsia="黑体" w:hAnsi="黑体" w:cs="仿宋_GB2312" w:hint="eastAsia"/>
          <w:color w:val="auto"/>
          <w:sz w:val="28"/>
          <w:szCs w:val="28"/>
          <w:lang w:eastAsia="zh-CN"/>
        </w:rPr>
        <w:t>机动车数量</w:t>
      </w:r>
      <w:r w:rsidRPr="00E644AB">
        <w:rPr>
          <w:rFonts w:ascii="黑体" w:eastAsia="黑体" w:hAnsi="黑体" w:cs="仿宋_GB2312" w:hint="eastAsia"/>
          <w:color w:val="auto"/>
          <w:sz w:val="28"/>
          <w:szCs w:val="28"/>
          <w:lang w:eastAsia="zh-CN"/>
        </w:rPr>
        <w:t>估测</w:t>
      </w:r>
      <w:r w:rsidR="008A4104">
        <w:rPr>
          <w:rFonts w:ascii="黑体" w:eastAsia="黑体" w:hAnsi="黑体" w:cs="仿宋_GB2312" w:hint="eastAsia"/>
          <w:color w:val="auto"/>
          <w:sz w:val="28"/>
          <w:szCs w:val="28"/>
          <w:lang w:eastAsia="zh-CN"/>
        </w:rPr>
        <w:t>修正</w:t>
      </w:r>
      <w:r w:rsidRPr="00E644AB">
        <w:rPr>
          <w:rFonts w:ascii="黑体" w:eastAsia="黑体" w:hAnsi="黑体" w:cs="仿宋_GB2312" w:hint="eastAsia"/>
          <w:color w:val="auto"/>
          <w:sz w:val="28"/>
          <w:szCs w:val="28"/>
          <w:lang w:eastAsia="zh-CN"/>
        </w:rPr>
        <w:t>为115565辆；根据上述预测原则，预测2030年广汉市各类型汽车总保有量将达到129262辆（包含外地车牌）如表3.7所示。</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w:t>
      </w:r>
      <w:r w:rsidR="00334547">
        <w:rPr>
          <w:rFonts w:ascii="黑体" w:eastAsia="黑体" w:hAnsi="黑体" w:cs="黑体" w:hint="eastAsia"/>
          <w:color w:val="auto"/>
          <w:lang w:eastAsia="zh-CN"/>
        </w:rPr>
        <w:t>3.7 2023</w:t>
      </w:r>
      <w:r w:rsidRPr="00894E81">
        <w:rPr>
          <w:rFonts w:ascii="黑体" w:eastAsia="黑体" w:hAnsi="黑体" w:cs="黑体" w:hint="eastAsia"/>
          <w:color w:val="auto"/>
          <w:lang w:eastAsia="zh-CN"/>
        </w:rPr>
        <w:t>-2030年广汉市机动车数量预测（包含外地牌照，单位：辆）</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7"/>
        <w:gridCol w:w="878"/>
        <w:gridCol w:w="878"/>
        <w:gridCol w:w="878"/>
        <w:gridCol w:w="878"/>
        <w:gridCol w:w="878"/>
        <w:gridCol w:w="878"/>
        <w:gridCol w:w="879"/>
        <w:gridCol w:w="879"/>
        <w:gridCol w:w="879"/>
      </w:tblGrid>
      <w:tr w:rsidR="00FC37F6" w:rsidRPr="00223645" w:rsidTr="00334547">
        <w:trPr>
          <w:trHeight w:val="356"/>
          <w:jc w:val="center"/>
        </w:trPr>
        <w:tc>
          <w:tcPr>
            <w:tcW w:w="0" w:type="auto"/>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类别</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2022年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2023年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2024年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2025年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2026年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2027年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2028年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2029年</w:t>
            </w:r>
          </w:p>
        </w:tc>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2030年</w:t>
            </w:r>
          </w:p>
        </w:tc>
      </w:tr>
      <w:tr w:rsidR="00FC37F6" w:rsidRPr="00223645" w:rsidTr="00334547">
        <w:trPr>
          <w:trHeight w:val="494"/>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出租车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9"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9"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c>
          <w:tcPr>
            <w:tcW w:w="879"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161</w:t>
            </w:r>
          </w:p>
        </w:tc>
      </w:tr>
      <w:tr w:rsidR="00FC37F6" w:rsidRPr="00223645" w:rsidTr="00334547">
        <w:trPr>
          <w:trHeight w:val="208"/>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公交车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7</w:t>
            </w:r>
            <w:r w:rsidRPr="00E8452E">
              <w:rPr>
                <w:rFonts w:ascii="黑体" w:eastAsia="黑体" w:hAnsi="黑体"/>
                <w:color w:val="auto"/>
                <w:sz w:val="21"/>
                <w:szCs w:val="21"/>
                <w:lang w:eastAsia="zh-CN"/>
              </w:rPr>
              <w:t>6</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7</w:t>
            </w:r>
            <w:r w:rsidRPr="00E8452E">
              <w:rPr>
                <w:rFonts w:ascii="黑体" w:eastAsia="黑体" w:hAnsi="黑体"/>
                <w:color w:val="auto"/>
                <w:sz w:val="21"/>
                <w:szCs w:val="21"/>
                <w:lang w:eastAsia="zh-CN"/>
              </w:rPr>
              <w:t>8</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8</w:t>
            </w:r>
            <w:r w:rsidRPr="00E8452E">
              <w:rPr>
                <w:rFonts w:ascii="黑体" w:eastAsia="黑体" w:hAnsi="黑体"/>
                <w:color w:val="auto"/>
                <w:sz w:val="21"/>
                <w:szCs w:val="21"/>
                <w:lang w:eastAsia="zh-CN"/>
              </w:rPr>
              <w:t>0</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8</w:t>
            </w:r>
            <w:r w:rsidRPr="00E8452E">
              <w:rPr>
                <w:rFonts w:ascii="黑体" w:eastAsia="黑体" w:hAnsi="黑体"/>
                <w:color w:val="auto"/>
                <w:sz w:val="21"/>
                <w:szCs w:val="21"/>
                <w:lang w:eastAsia="zh-CN"/>
              </w:rPr>
              <w:t>2</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8</w:t>
            </w:r>
            <w:r w:rsidRPr="00E8452E">
              <w:rPr>
                <w:rFonts w:ascii="黑体" w:eastAsia="黑体" w:hAnsi="黑体"/>
                <w:color w:val="auto"/>
                <w:sz w:val="21"/>
                <w:szCs w:val="21"/>
                <w:lang w:eastAsia="zh-CN"/>
              </w:rPr>
              <w:t>4</w:t>
            </w:r>
          </w:p>
        </w:tc>
        <w:tc>
          <w:tcPr>
            <w:tcW w:w="878"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8</w:t>
            </w:r>
            <w:r w:rsidRPr="00E8452E">
              <w:rPr>
                <w:rFonts w:ascii="黑体" w:eastAsia="黑体" w:hAnsi="黑体"/>
                <w:color w:val="auto"/>
                <w:sz w:val="21"/>
                <w:szCs w:val="21"/>
                <w:lang w:eastAsia="zh-CN"/>
              </w:rPr>
              <w:t>6</w:t>
            </w:r>
          </w:p>
        </w:tc>
        <w:tc>
          <w:tcPr>
            <w:tcW w:w="879"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8</w:t>
            </w:r>
            <w:r w:rsidRPr="00E8452E">
              <w:rPr>
                <w:rFonts w:ascii="黑体" w:eastAsia="黑体" w:hAnsi="黑体"/>
                <w:color w:val="auto"/>
                <w:sz w:val="21"/>
                <w:szCs w:val="21"/>
                <w:lang w:eastAsia="zh-CN"/>
              </w:rPr>
              <w:t>8</w:t>
            </w:r>
          </w:p>
        </w:tc>
        <w:tc>
          <w:tcPr>
            <w:tcW w:w="879"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9</w:t>
            </w:r>
            <w:r w:rsidRPr="00E8452E">
              <w:rPr>
                <w:rFonts w:ascii="黑体" w:eastAsia="黑体" w:hAnsi="黑体"/>
                <w:color w:val="auto"/>
                <w:sz w:val="21"/>
                <w:szCs w:val="21"/>
                <w:lang w:eastAsia="zh-CN"/>
              </w:rPr>
              <w:t>0</w:t>
            </w:r>
          </w:p>
        </w:tc>
        <w:tc>
          <w:tcPr>
            <w:tcW w:w="879" w:type="dxa"/>
            <w:vAlign w:val="center"/>
          </w:tcPr>
          <w:p w:rsidR="00FC37F6" w:rsidRPr="00E8452E" w:rsidRDefault="00223645">
            <w:pPr>
              <w:widowControl/>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9</w:t>
            </w:r>
            <w:r w:rsidRPr="00E8452E">
              <w:rPr>
                <w:rFonts w:ascii="黑体" w:eastAsia="黑体" w:hAnsi="黑体"/>
                <w:color w:val="auto"/>
                <w:sz w:val="21"/>
                <w:szCs w:val="21"/>
                <w:lang w:eastAsia="zh-CN"/>
              </w:rPr>
              <w:t>2</w:t>
            </w:r>
          </w:p>
        </w:tc>
      </w:tr>
      <w:tr w:rsidR="00FC37F6" w:rsidRPr="00223645" w:rsidTr="00334547">
        <w:trPr>
          <w:trHeight w:val="329"/>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客运车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725 </w:t>
            </w:r>
          </w:p>
        </w:tc>
      </w:tr>
      <w:tr w:rsidR="00FC37F6" w:rsidRPr="00223645" w:rsidTr="00334547">
        <w:trPr>
          <w:trHeight w:val="329"/>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物流货运车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4240</w:t>
            </w:r>
          </w:p>
        </w:tc>
      </w:tr>
      <w:tr w:rsidR="00FC37F6" w:rsidRPr="00223645" w:rsidTr="00334547">
        <w:trPr>
          <w:trHeight w:val="329"/>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物流三轮车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380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391</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403</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415</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424</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432</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441</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449</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458</w:t>
            </w:r>
          </w:p>
        </w:tc>
      </w:tr>
      <w:tr w:rsidR="00FC37F6" w:rsidRPr="00223645" w:rsidTr="00334547">
        <w:trPr>
          <w:trHeight w:val="329"/>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环卫汽车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102</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105</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109</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112</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114</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116</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119</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121</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123</w:t>
            </w:r>
          </w:p>
        </w:tc>
      </w:tr>
      <w:tr w:rsidR="00FC37F6" w:rsidRPr="00223645" w:rsidTr="00334547">
        <w:trPr>
          <w:trHeight w:val="329"/>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环卫三轮车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408</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420</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432</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445</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454</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463</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473</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482</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color w:val="auto"/>
                <w:sz w:val="21"/>
                <w:szCs w:val="21"/>
                <w:lang w:eastAsia="zh-CN"/>
              </w:rPr>
              <w:t>492</w:t>
            </w:r>
          </w:p>
        </w:tc>
      </w:tr>
      <w:tr w:rsidR="00FC37F6" w:rsidRPr="00223645" w:rsidTr="00334547">
        <w:trPr>
          <w:trHeight w:val="329"/>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普通乘用车</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110193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112396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114644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116937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118107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119288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120480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121685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122902 </w:t>
            </w:r>
          </w:p>
        </w:tc>
      </w:tr>
      <w:tr w:rsidR="00FC37F6" w:rsidRPr="00223645" w:rsidTr="00334547">
        <w:trPr>
          <w:trHeight w:val="356"/>
          <w:jc w:val="center"/>
        </w:trPr>
        <w:tc>
          <w:tcPr>
            <w:tcW w:w="0" w:type="auto"/>
            <w:vAlign w:val="center"/>
          </w:tcPr>
          <w:p w:rsidR="00FC37F6" w:rsidRPr="00E8452E" w:rsidRDefault="00223645">
            <w:pPr>
              <w:widowControl/>
              <w:spacing w:line="240" w:lineRule="auto"/>
              <w:ind w:firstLineChars="0" w:firstLine="0"/>
              <w:jc w:val="center"/>
              <w:textAlignment w:val="center"/>
              <w:rPr>
                <w:rFonts w:ascii="黑体" w:eastAsia="黑体" w:hAnsi="黑体" w:cs="仿宋"/>
                <w:color w:val="auto"/>
                <w:sz w:val="21"/>
                <w:szCs w:val="21"/>
                <w:lang w:eastAsia="zh-CN"/>
              </w:rPr>
            </w:pPr>
            <w:r w:rsidRPr="00E8452E">
              <w:rPr>
                <w:rFonts w:ascii="黑体" w:eastAsia="黑体" w:hAnsi="黑体" w:cs="仿宋" w:hint="eastAsia"/>
                <w:color w:val="auto"/>
                <w:sz w:val="21"/>
                <w:szCs w:val="21"/>
                <w:lang w:eastAsia="zh-CN"/>
              </w:rPr>
              <w:t>总计</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115565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117804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120089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122421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123619 </w:t>
            </w:r>
          </w:p>
        </w:tc>
        <w:tc>
          <w:tcPr>
            <w:tcW w:w="878"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124830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126053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127289 </w:t>
            </w:r>
          </w:p>
        </w:tc>
        <w:tc>
          <w:tcPr>
            <w:tcW w:w="879" w:type="dxa"/>
            <w:vAlign w:val="center"/>
          </w:tcPr>
          <w:p w:rsidR="00FC37F6" w:rsidRPr="00E8452E"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E8452E">
              <w:rPr>
                <w:rFonts w:ascii="黑体" w:eastAsia="黑体" w:hAnsi="黑体" w:hint="eastAsia"/>
                <w:color w:val="auto"/>
                <w:sz w:val="21"/>
                <w:szCs w:val="21"/>
                <w:lang w:eastAsia="zh-CN"/>
              </w:rPr>
              <w:t xml:space="preserve">129262 </w:t>
            </w:r>
          </w:p>
        </w:tc>
      </w:tr>
    </w:tbl>
    <w:p w:rsidR="00FC37F6" w:rsidRPr="00223645" w:rsidRDefault="00FC37F6">
      <w:pPr>
        <w:ind w:firstLine="480"/>
        <w:rPr>
          <w:rFonts w:ascii="黑体" w:eastAsia="黑体" w:hAnsi="黑体"/>
          <w:color w:val="auto"/>
          <w:lang w:eastAsia="zh-CN"/>
        </w:rPr>
      </w:pPr>
    </w:p>
    <w:p w:rsidR="00FC37F6" w:rsidRPr="00223645" w:rsidRDefault="00223645" w:rsidP="00C95BD9">
      <w:pPr>
        <w:widowControl/>
        <w:ind w:firstLineChars="154" w:firstLine="477"/>
        <w:outlineLvl w:val="3"/>
        <w:rPr>
          <w:rFonts w:ascii="黑体" w:eastAsia="黑体" w:hAnsi="黑体" w:cs="仿宋_GB2312"/>
          <w:color w:val="auto"/>
          <w:sz w:val="31"/>
          <w:szCs w:val="31"/>
          <w:lang w:eastAsia="zh-CN"/>
        </w:rPr>
      </w:pPr>
      <w:bookmarkStart w:id="81" w:name="_Toc24461"/>
      <w:r w:rsidRPr="00223645">
        <w:rPr>
          <w:rFonts w:ascii="黑体" w:eastAsia="黑体" w:hAnsi="黑体" w:cs="仿宋_GB2312" w:hint="eastAsia"/>
          <w:color w:val="auto"/>
          <w:sz w:val="31"/>
          <w:szCs w:val="31"/>
          <w:lang w:eastAsia="zh-CN"/>
        </w:rPr>
        <w:t>3.2电动汽车数量预测结果</w:t>
      </w:r>
      <w:bookmarkEnd w:id="81"/>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依据各类型车辆预测方法进行预测，至2030年底广汉市电动汽车总保有量预计为23717辆，占全市汽车总保有量的18.34%。因行驶里程的差别</w:t>
      </w:r>
      <w:r w:rsidRPr="00E644AB">
        <w:rPr>
          <w:rFonts w:ascii="黑体" w:eastAsia="黑体" w:hAnsi="黑体" w:cs="仿宋_GB2312"/>
          <w:color w:val="auto"/>
          <w:sz w:val="28"/>
          <w:szCs w:val="28"/>
          <w:lang w:eastAsia="zh-CN"/>
        </w:rPr>
        <w:t>，</w:t>
      </w:r>
      <w:r w:rsidRPr="00E644AB">
        <w:rPr>
          <w:rFonts w:ascii="黑体" w:eastAsia="黑体" w:hAnsi="黑体" w:cs="仿宋_GB2312" w:hint="eastAsia"/>
          <w:color w:val="auto"/>
          <w:sz w:val="28"/>
          <w:szCs w:val="28"/>
          <w:lang w:eastAsia="zh-CN"/>
        </w:rPr>
        <w:t>在进行电动汽车的预测时将普通乘用车和网约车进行分别预测。</w:t>
      </w:r>
    </w:p>
    <w:p w:rsidR="00FC37F6" w:rsidRPr="00223645" w:rsidRDefault="00FC37F6">
      <w:pPr>
        <w:widowControl/>
        <w:ind w:firstLine="482"/>
        <w:rPr>
          <w:rFonts w:ascii="黑体" w:eastAsia="黑体" w:hAnsi="黑体"/>
          <w:b/>
          <w:bCs/>
          <w:color w:val="auto"/>
          <w:lang w:eastAsia="zh-CN"/>
        </w:rPr>
      </w:pP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w:t>
      </w:r>
      <w:r w:rsidR="00334547">
        <w:rPr>
          <w:rFonts w:ascii="黑体" w:eastAsia="黑体" w:hAnsi="黑体" w:cs="黑体" w:hint="eastAsia"/>
          <w:color w:val="auto"/>
          <w:lang w:eastAsia="zh-CN"/>
        </w:rPr>
        <w:t>3.8  2023</w:t>
      </w:r>
      <w:r w:rsidRPr="00894E81">
        <w:rPr>
          <w:rFonts w:ascii="黑体" w:eastAsia="黑体" w:hAnsi="黑体" w:cs="黑体" w:hint="eastAsia"/>
          <w:color w:val="auto"/>
          <w:lang w:eastAsia="zh-CN"/>
        </w:rPr>
        <w:t>-2030年广汉市各类型电动车数量预测（单位：辆）</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896"/>
        <w:gridCol w:w="896"/>
        <w:gridCol w:w="896"/>
        <w:gridCol w:w="896"/>
        <w:gridCol w:w="896"/>
        <w:gridCol w:w="896"/>
        <w:gridCol w:w="897"/>
        <w:gridCol w:w="897"/>
        <w:gridCol w:w="897"/>
      </w:tblGrid>
      <w:tr w:rsidR="00FC37F6" w:rsidRPr="00223645" w:rsidTr="00334547">
        <w:trPr>
          <w:trHeight w:val="676"/>
          <w:jc w:val="center"/>
        </w:trPr>
        <w:tc>
          <w:tcPr>
            <w:tcW w:w="0" w:type="auto"/>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类别</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2022年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2023年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2024年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2025年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2026年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2027年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2028年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2029年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2030年</w:t>
            </w:r>
          </w:p>
        </w:tc>
      </w:tr>
      <w:tr w:rsidR="00FC37F6" w:rsidRPr="00223645" w:rsidTr="00334547">
        <w:trPr>
          <w:trHeight w:val="490"/>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出租车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161</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161</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161</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161</w:t>
            </w:r>
          </w:p>
        </w:tc>
      </w:tr>
      <w:tr w:rsidR="00FC37F6" w:rsidRPr="00223645" w:rsidTr="00334547">
        <w:trPr>
          <w:trHeight w:val="490"/>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公交车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7</w:t>
            </w:r>
            <w:r w:rsidRPr="00E644AB">
              <w:rPr>
                <w:rFonts w:ascii="黑体" w:eastAsia="黑体" w:hAnsi="黑体"/>
                <w:color w:val="auto"/>
                <w:lang w:eastAsia="zh-CN"/>
              </w:rPr>
              <w:t>6</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7</w:t>
            </w:r>
            <w:r w:rsidRPr="00E644AB">
              <w:rPr>
                <w:rFonts w:ascii="黑体" w:eastAsia="黑体" w:hAnsi="黑体"/>
                <w:color w:val="auto"/>
                <w:lang w:eastAsia="zh-CN"/>
              </w:rPr>
              <w:t>8</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8</w:t>
            </w:r>
            <w:r w:rsidRPr="00E644AB">
              <w:rPr>
                <w:rFonts w:ascii="黑体" w:eastAsia="黑体" w:hAnsi="黑体"/>
                <w:color w:val="auto"/>
                <w:lang w:eastAsia="zh-CN"/>
              </w:rPr>
              <w:t>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8</w:t>
            </w:r>
            <w:r w:rsidRPr="00E644AB">
              <w:rPr>
                <w:rFonts w:ascii="黑体" w:eastAsia="黑体" w:hAnsi="黑体"/>
                <w:color w:val="auto"/>
                <w:lang w:eastAsia="zh-CN"/>
              </w:rPr>
              <w:t>2</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8</w:t>
            </w:r>
            <w:r w:rsidRPr="00E644AB">
              <w:rPr>
                <w:rFonts w:ascii="黑体" w:eastAsia="黑体" w:hAnsi="黑体"/>
                <w:color w:val="auto"/>
                <w:lang w:eastAsia="zh-CN"/>
              </w:rPr>
              <w:t>4</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8</w:t>
            </w:r>
            <w:r w:rsidRPr="00E644AB">
              <w:rPr>
                <w:rFonts w:ascii="黑体" w:eastAsia="黑体" w:hAnsi="黑体"/>
                <w:color w:val="auto"/>
                <w:lang w:eastAsia="zh-CN"/>
              </w:rPr>
              <w:t>6</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8</w:t>
            </w:r>
            <w:r w:rsidRPr="00E644AB">
              <w:rPr>
                <w:rFonts w:ascii="黑体" w:eastAsia="黑体" w:hAnsi="黑体"/>
                <w:color w:val="auto"/>
                <w:lang w:eastAsia="zh-CN"/>
              </w:rPr>
              <w:t>8</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9</w:t>
            </w:r>
            <w:r w:rsidRPr="00E644AB">
              <w:rPr>
                <w:rFonts w:ascii="黑体" w:eastAsia="黑体" w:hAnsi="黑体"/>
                <w:color w:val="auto"/>
                <w:lang w:eastAsia="zh-CN"/>
              </w:rPr>
              <w:t>0</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9</w:t>
            </w:r>
            <w:r w:rsidRPr="00E644AB">
              <w:rPr>
                <w:rFonts w:ascii="黑体" w:eastAsia="黑体" w:hAnsi="黑体"/>
                <w:color w:val="auto"/>
                <w:lang w:eastAsia="zh-CN"/>
              </w:rPr>
              <w:t>2</w:t>
            </w:r>
          </w:p>
        </w:tc>
      </w:tr>
      <w:tr w:rsidR="00FC37F6" w:rsidRPr="00223645" w:rsidTr="00334547">
        <w:trPr>
          <w:trHeight w:val="490"/>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客运车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100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180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230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300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363 </w:t>
            </w:r>
          </w:p>
        </w:tc>
      </w:tr>
      <w:tr w:rsidR="00FC37F6" w:rsidRPr="00223645" w:rsidTr="00334547">
        <w:trPr>
          <w:trHeight w:val="676"/>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物流货运车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27</w:t>
            </w:r>
            <w:r w:rsidRPr="00E644AB">
              <w:rPr>
                <w:rFonts w:ascii="黑体" w:eastAsia="黑体" w:hAnsi="黑体"/>
                <w:color w:val="auto"/>
                <w:lang w:eastAsia="zh-CN"/>
              </w:rPr>
              <w:t>0</w:t>
            </w:r>
            <w:r w:rsidRPr="00E644AB">
              <w:rPr>
                <w:rFonts w:ascii="黑体" w:eastAsia="黑体" w:hAnsi="黑体" w:hint="eastAsia"/>
                <w:color w:val="auto"/>
                <w:lang w:eastAsia="zh-CN"/>
              </w:rPr>
              <w:t xml:space="preserve">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424</w:t>
            </w:r>
            <w:r w:rsidRPr="00E644AB">
              <w:rPr>
                <w:rFonts w:ascii="黑体" w:eastAsia="黑体" w:hAnsi="黑体" w:hint="eastAsia"/>
                <w:color w:val="auto"/>
                <w:lang w:eastAsia="zh-CN"/>
              </w:rPr>
              <w:t xml:space="preserve">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509</w:t>
            </w:r>
            <w:r w:rsidRPr="00E644AB">
              <w:rPr>
                <w:rFonts w:ascii="黑体" w:eastAsia="黑体" w:hAnsi="黑体" w:hint="eastAsia"/>
                <w:color w:val="auto"/>
                <w:lang w:eastAsia="zh-CN"/>
              </w:rPr>
              <w:t xml:space="preserve">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594</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678</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763</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848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933</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1272 </w:t>
            </w:r>
          </w:p>
        </w:tc>
      </w:tr>
      <w:tr w:rsidR="00FC37F6" w:rsidRPr="00223645" w:rsidTr="00334547">
        <w:trPr>
          <w:trHeight w:val="653"/>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物流三轮车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380</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391</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403</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415</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424</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432</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441</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449</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458</w:t>
            </w:r>
          </w:p>
        </w:tc>
      </w:tr>
      <w:tr w:rsidR="00FC37F6" w:rsidRPr="00223645" w:rsidTr="00334547">
        <w:trPr>
          <w:trHeight w:val="490"/>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环卫汽车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32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54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78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91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93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95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97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99 </w:t>
            </w:r>
          </w:p>
        </w:tc>
      </w:tr>
      <w:tr w:rsidR="00FC37F6" w:rsidRPr="00223645" w:rsidTr="00334547">
        <w:trPr>
          <w:trHeight w:val="676"/>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环卫三轮车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32</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126</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216</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312</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409</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463</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473</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482</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492</w:t>
            </w:r>
          </w:p>
        </w:tc>
      </w:tr>
      <w:tr w:rsidR="00FC37F6" w:rsidRPr="00223645" w:rsidTr="00334547">
        <w:trPr>
          <w:trHeight w:val="653"/>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普通乘用车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2068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3538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5264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7778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9699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11840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14194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16758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19677 </w:t>
            </w:r>
          </w:p>
        </w:tc>
      </w:tr>
      <w:tr w:rsidR="00FC37F6" w:rsidRPr="00223645" w:rsidTr="00334547">
        <w:trPr>
          <w:trHeight w:val="490"/>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网约车</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72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163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409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510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623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747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882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1036 </w:t>
            </w:r>
          </w:p>
        </w:tc>
      </w:tr>
      <w:tr w:rsidR="00FC37F6" w:rsidRPr="00223645" w:rsidTr="00334547">
        <w:trPr>
          <w:trHeight w:val="513"/>
          <w:jc w:val="center"/>
        </w:trPr>
        <w:tc>
          <w:tcPr>
            <w:tcW w:w="1284" w:type="dxa"/>
            <w:vAlign w:val="center"/>
          </w:tcPr>
          <w:p w:rsidR="00FC37F6" w:rsidRPr="00E644AB" w:rsidRDefault="00223645">
            <w:pPr>
              <w:widowControl/>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总计</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2569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4240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6249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9032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11167 </w:t>
            </w:r>
          </w:p>
        </w:tc>
        <w:tc>
          <w:tcPr>
            <w:tcW w:w="896"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13755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16352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19158 </w:t>
            </w:r>
          </w:p>
        </w:tc>
        <w:tc>
          <w:tcPr>
            <w:tcW w:w="897"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23717 </w:t>
            </w:r>
          </w:p>
        </w:tc>
      </w:tr>
    </w:tbl>
    <w:p w:rsidR="00FC37F6" w:rsidRDefault="00FC37F6">
      <w:pPr>
        <w:widowControl/>
        <w:spacing w:line="240" w:lineRule="auto"/>
        <w:ind w:firstLineChars="0" w:firstLine="0"/>
        <w:rPr>
          <w:rFonts w:ascii="黑体" w:eastAsia="黑体" w:hAnsi="黑体" w:cs="仿宋_GB2312"/>
          <w:color w:val="auto"/>
          <w:sz w:val="31"/>
          <w:szCs w:val="31"/>
          <w:lang w:eastAsia="zh-CN"/>
        </w:rPr>
      </w:pPr>
    </w:p>
    <w:p w:rsidR="00334547" w:rsidRDefault="00334547" w:rsidP="00334547">
      <w:pPr>
        <w:pStyle w:val="a0"/>
        <w:ind w:firstLine="480"/>
        <w:rPr>
          <w:lang w:eastAsia="zh-CN"/>
        </w:rPr>
      </w:pPr>
    </w:p>
    <w:p w:rsidR="00334547" w:rsidRDefault="00334547" w:rsidP="00334547">
      <w:pPr>
        <w:pStyle w:val="a0"/>
        <w:ind w:firstLine="480"/>
        <w:rPr>
          <w:lang w:eastAsia="zh-CN"/>
        </w:rPr>
      </w:pPr>
    </w:p>
    <w:p w:rsidR="00334547" w:rsidRPr="00334547" w:rsidRDefault="00334547" w:rsidP="00334547">
      <w:pPr>
        <w:pStyle w:val="a0"/>
        <w:ind w:firstLine="480"/>
        <w:rPr>
          <w:lang w:eastAsia="zh-CN"/>
        </w:rPr>
      </w:pPr>
    </w:p>
    <w:p w:rsidR="00FC37F6" w:rsidRPr="00223645" w:rsidRDefault="00223645" w:rsidP="00C95BD9">
      <w:pPr>
        <w:widowControl/>
        <w:ind w:firstLineChars="154" w:firstLine="477"/>
        <w:outlineLvl w:val="3"/>
        <w:rPr>
          <w:rFonts w:ascii="黑体" w:eastAsia="黑体" w:hAnsi="黑体" w:cs="仿宋_GB2312"/>
          <w:color w:val="auto"/>
          <w:sz w:val="31"/>
          <w:szCs w:val="31"/>
          <w:lang w:eastAsia="zh-CN"/>
        </w:rPr>
      </w:pPr>
      <w:bookmarkStart w:id="82" w:name="_Toc7972"/>
      <w:r w:rsidRPr="00223645">
        <w:rPr>
          <w:rFonts w:ascii="黑体" w:eastAsia="黑体" w:hAnsi="黑体" w:cs="仿宋_GB2312" w:hint="eastAsia"/>
          <w:color w:val="auto"/>
          <w:sz w:val="31"/>
          <w:szCs w:val="31"/>
          <w:lang w:eastAsia="zh-CN"/>
        </w:rPr>
        <w:t>3.3总体充电需求预测结果</w:t>
      </w:r>
      <w:bookmarkEnd w:id="82"/>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根据表3.</w:t>
      </w:r>
      <w:r w:rsidR="0015730C">
        <w:rPr>
          <w:rFonts w:ascii="黑体" w:eastAsia="黑体" w:hAnsi="黑体" w:cs="仿宋_GB2312" w:hint="eastAsia"/>
          <w:color w:val="auto"/>
          <w:sz w:val="28"/>
          <w:szCs w:val="28"/>
          <w:lang w:eastAsia="zh-CN"/>
        </w:rPr>
        <w:t>9</w:t>
      </w:r>
      <w:r w:rsidRPr="00E644AB">
        <w:rPr>
          <w:rFonts w:ascii="黑体" w:eastAsia="黑体" w:hAnsi="黑体" w:cs="仿宋_GB2312" w:hint="eastAsia"/>
          <w:color w:val="auto"/>
          <w:sz w:val="28"/>
          <w:szCs w:val="28"/>
          <w:lang w:eastAsia="zh-CN"/>
        </w:rPr>
        <w:t>所示不同类型车辆的行驶特性及单位里程耗电量，202</w:t>
      </w:r>
      <w:r w:rsidR="00334547">
        <w:rPr>
          <w:rFonts w:ascii="黑体" w:eastAsia="黑体" w:hAnsi="黑体" w:cs="仿宋_GB2312" w:hint="eastAsia"/>
          <w:color w:val="auto"/>
          <w:sz w:val="28"/>
          <w:szCs w:val="28"/>
          <w:lang w:eastAsia="zh-CN"/>
        </w:rPr>
        <w:t>3</w:t>
      </w:r>
      <w:r w:rsidRPr="00E644AB">
        <w:rPr>
          <w:rFonts w:ascii="黑体" w:eastAsia="黑体" w:hAnsi="黑体" w:cs="仿宋_GB2312" w:hint="eastAsia"/>
          <w:color w:val="auto"/>
          <w:sz w:val="28"/>
          <w:szCs w:val="28"/>
          <w:lang w:eastAsia="zh-CN"/>
        </w:rPr>
        <w:t>-2030年期间的电动车总体需求如表3.8所示，到2030年预测当年广汉市电动汽车充电量需求共计</w:t>
      </w:r>
      <w:r w:rsidRPr="00E644AB">
        <w:rPr>
          <w:rFonts w:ascii="黑体" w:eastAsia="黑体" w:hAnsi="黑体" w:cs="仿宋_GB2312"/>
          <w:color w:val="auto"/>
          <w:sz w:val="28"/>
          <w:szCs w:val="28"/>
          <w:lang w:eastAsia="zh-CN"/>
        </w:rPr>
        <w:t>12675</w:t>
      </w:r>
      <w:r w:rsidRPr="00E644AB">
        <w:rPr>
          <w:rFonts w:ascii="黑体" w:eastAsia="黑体" w:hAnsi="黑体" w:cs="仿宋_GB2312" w:hint="eastAsia"/>
          <w:color w:val="auto"/>
          <w:sz w:val="28"/>
          <w:szCs w:val="28"/>
          <w:lang w:eastAsia="zh-CN"/>
        </w:rPr>
        <w:t>万千瓦时。</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lastRenderedPageBreak/>
        <w:t xml:space="preserve">表格3.9  </w:t>
      </w:r>
      <w:r w:rsidR="00334547">
        <w:rPr>
          <w:rFonts w:ascii="黑体" w:eastAsia="黑体" w:hAnsi="黑体" w:cs="黑体" w:hint="eastAsia"/>
          <w:color w:val="auto"/>
          <w:lang w:eastAsia="zh-CN"/>
        </w:rPr>
        <w:t>2023</w:t>
      </w:r>
      <w:r w:rsidRPr="00894E81">
        <w:rPr>
          <w:rFonts w:ascii="黑体" w:eastAsia="黑体" w:hAnsi="黑体" w:cs="黑体" w:hint="eastAsia"/>
          <w:color w:val="auto"/>
          <w:lang w:eastAsia="zh-CN"/>
        </w:rPr>
        <w:t>-2030 广汉市电动汽车新增充电需求预测（单位：万千瓦时）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8"/>
        <w:gridCol w:w="884"/>
        <w:gridCol w:w="884"/>
        <w:gridCol w:w="884"/>
        <w:gridCol w:w="884"/>
        <w:gridCol w:w="884"/>
        <w:gridCol w:w="884"/>
        <w:gridCol w:w="885"/>
        <w:gridCol w:w="885"/>
        <w:gridCol w:w="885"/>
      </w:tblGrid>
      <w:tr w:rsidR="00FC37F6" w:rsidRPr="00223645" w:rsidTr="00894E81">
        <w:trPr>
          <w:jc w:val="center"/>
        </w:trPr>
        <w:tc>
          <w:tcPr>
            <w:tcW w:w="0" w:type="auto"/>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bookmarkStart w:id="83" w:name="_Toc30890"/>
            <w:r w:rsidRPr="00E644AB">
              <w:rPr>
                <w:rFonts w:ascii="黑体" w:eastAsia="黑体" w:hAnsi="黑体" w:cs="仿宋" w:hint="eastAsia"/>
                <w:color w:val="auto"/>
                <w:lang w:eastAsia="zh-CN"/>
              </w:rPr>
              <w:t>类别</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2022年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2023年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2024年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2025年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2026年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2027年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2028年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2029年</w:t>
            </w:r>
          </w:p>
        </w:tc>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2030年</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出租车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290</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290</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290</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290</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公交车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378</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428</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630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693</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756</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819</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882</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945</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1008</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客运车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0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0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0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25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250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450 </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575 </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750 </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906 </w:t>
            </w:r>
          </w:p>
        </w:tc>
      </w:tr>
      <w:tr w:rsidR="00FC37F6" w:rsidRPr="00223645" w:rsidTr="00894E81">
        <w:trPr>
          <w:jc w:val="center"/>
        </w:trPr>
        <w:tc>
          <w:tcPr>
            <w:tcW w:w="0" w:type="auto"/>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仿宋" w:hint="eastAsia"/>
                <w:color w:val="auto"/>
                <w:lang w:eastAsia="zh-CN"/>
              </w:rPr>
              <w:t>物流货运车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1080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1696</w:t>
            </w:r>
            <w:r w:rsidRPr="00E644AB">
              <w:rPr>
                <w:rFonts w:ascii="黑体" w:eastAsia="黑体" w:hAnsi="黑体" w:hint="eastAsia"/>
                <w:color w:val="auto"/>
                <w:lang w:eastAsia="zh-CN"/>
              </w:rPr>
              <w:t xml:space="preserve">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2</w:t>
            </w:r>
            <w:r w:rsidRPr="00E644AB">
              <w:rPr>
                <w:rFonts w:ascii="黑体" w:eastAsia="黑体" w:hAnsi="黑体"/>
                <w:color w:val="auto"/>
                <w:lang w:eastAsia="zh-CN"/>
              </w:rPr>
              <w:t>035</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2374</w:t>
            </w:r>
            <w:r w:rsidRPr="00E644AB">
              <w:rPr>
                <w:rFonts w:ascii="黑体" w:eastAsia="黑体" w:hAnsi="黑体" w:hint="eastAsia"/>
                <w:color w:val="auto"/>
                <w:lang w:eastAsia="zh-CN"/>
              </w:rPr>
              <w:t xml:space="preserve">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2714</w:t>
            </w:r>
            <w:r w:rsidRPr="00E644AB">
              <w:rPr>
                <w:rFonts w:ascii="黑体" w:eastAsia="黑体" w:hAnsi="黑体" w:hint="eastAsia"/>
                <w:color w:val="auto"/>
                <w:lang w:eastAsia="zh-CN"/>
              </w:rPr>
              <w:t xml:space="preserve"> </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3053</w:t>
            </w:r>
            <w:r w:rsidRPr="00E644AB">
              <w:rPr>
                <w:rFonts w:ascii="黑体" w:eastAsia="黑体" w:hAnsi="黑体" w:hint="eastAsia"/>
                <w:color w:val="auto"/>
                <w:lang w:eastAsia="zh-CN"/>
              </w:rPr>
              <w:t xml:space="preserve"> </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3392 </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3731</w:t>
            </w:r>
            <w:r w:rsidRPr="00E644AB">
              <w:rPr>
                <w:rFonts w:ascii="黑体" w:eastAsia="黑体" w:hAnsi="黑体" w:hint="eastAsia"/>
                <w:color w:val="auto"/>
                <w:lang w:eastAsia="zh-CN"/>
              </w:rPr>
              <w:t xml:space="preserve"> </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 xml:space="preserve">5088 </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物流三轮车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91</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94</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97</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100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102</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104</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106</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108</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110</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环卫汽车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2</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33</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56</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81</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95</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97</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99</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101</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103</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环卫三轮车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8</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30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52</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75</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98</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111</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113</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116</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olor w:val="auto"/>
                <w:lang w:eastAsia="zh-CN"/>
              </w:rPr>
              <w:t>118</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普通乘用车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372</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637</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947</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1400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1746</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2131</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2555</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3016</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hint="eastAsia"/>
                <w:color w:val="auto"/>
                <w:lang w:eastAsia="zh-CN"/>
              </w:rPr>
              <w:t>4058</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电动网约车</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10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69</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156</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393</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490</w:t>
            </w:r>
          </w:p>
        </w:tc>
        <w:tc>
          <w:tcPr>
            <w:tcW w:w="884"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598</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717</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847</w:t>
            </w:r>
          </w:p>
        </w:tc>
        <w:tc>
          <w:tcPr>
            <w:tcW w:w="885" w:type="dxa"/>
            <w:vAlign w:val="center"/>
          </w:tcPr>
          <w:p w:rsidR="00FC37F6" w:rsidRPr="00E644AB" w:rsidRDefault="00223645">
            <w:pPr>
              <w:widowControl/>
              <w:ind w:firstLineChars="0" w:firstLine="0"/>
              <w:jc w:val="center"/>
              <w:textAlignment w:val="center"/>
              <w:rPr>
                <w:rFonts w:ascii="黑体" w:eastAsia="黑体" w:hAnsi="黑体"/>
                <w:color w:val="auto"/>
                <w:lang w:eastAsia="zh-CN"/>
              </w:rPr>
            </w:pPr>
            <w:r w:rsidRPr="00E644AB">
              <w:rPr>
                <w:rFonts w:ascii="黑体" w:eastAsia="黑体" w:hAnsi="黑体" w:cs="宋体" w:hint="eastAsia"/>
                <w:color w:val="auto"/>
                <w:lang w:eastAsia="zh-CN"/>
              </w:rPr>
              <w:t>994</w:t>
            </w:r>
          </w:p>
        </w:tc>
      </w:tr>
      <w:tr w:rsidR="00FC37F6" w:rsidRPr="00223645" w:rsidTr="00894E81">
        <w:trPr>
          <w:jc w:val="center"/>
        </w:trPr>
        <w:tc>
          <w:tcPr>
            <w:tcW w:w="0" w:type="auto"/>
            <w:vAlign w:val="center"/>
          </w:tcPr>
          <w:p w:rsidR="00FC37F6" w:rsidRPr="00E644AB" w:rsidRDefault="00223645">
            <w:pPr>
              <w:widowControl/>
              <w:spacing w:line="240" w:lineRule="auto"/>
              <w:ind w:firstLineChars="0" w:firstLine="0"/>
              <w:jc w:val="center"/>
              <w:textAlignment w:val="center"/>
              <w:rPr>
                <w:rFonts w:ascii="黑体" w:eastAsia="黑体" w:hAnsi="黑体" w:cs="仿宋"/>
                <w:color w:val="auto"/>
                <w:lang w:eastAsia="zh-CN"/>
              </w:rPr>
            </w:pPr>
            <w:r w:rsidRPr="00E644AB">
              <w:rPr>
                <w:rFonts w:ascii="黑体" w:eastAsia="黑体" w:hAnsi="黑体" w:cs="仿宋" w:hint="eastAsia"/>
                <w:color w:val="auto"/>
                <w:lang w:eastAsia="zh-CN"/>
              </w:rPr>
              <w:t>总计</w:t>
            </w:r>
          </w:p>
        </w:tc>
        <w:tc>
          <w:tcPr>
            <w:tcW w:w="884"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959 </w:t>
            </w:r>
          </w:p>
        </w:tc>
        <w:tc>
          <w:tcPr>
            <w:tcW w:w="884"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1561 </w:t>
            </w:r>
          </w:p>
        </w:tc>
        <w:tc>
          <w:tcPr>
            <w:tcW w:w="884"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2631 </w:t>
            </w:r>
          </w:p>
        </w:tc>
        <w:tc>
          <w:tcPr>
            <w:tcW w:w="884"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3706 </w:t>
            </w:r>
          </w:p>
        </w:tc>
        <w:tc>
          <w:tcPr>
            <w:tcW w:w="884"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4493 </w:t>
            </w:r>
          </w:p>
        </w:tc>
        <w:tc>
          <w:tcPr>
            <w:tcW w:w="884"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6096 </w:t>
            </w:r>
          </w:p>
        </w:tc>
        <w:tc>
          <w:tcPr>
            <w:tcW w:w="885"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7437 </w:t>
            </w:r>
          </w:p>
        </w:tc>
        <w:tc>
          <w:tcPr>
            <w:tcW w:w="885"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8816 </w:t>
            </w:r>
          </w:p>
        </w:tc>
        <w:tc>
          <w:tcPr>
            <w:tcW w:w="885" w:type="dxa"/>
            <w:vAlign w:val="center"/>
          </w:tcPr>
          <w:p w:rsidR="00FC37F6" w:rsidRPr="00E644AB" w:rsidRDefault="00223645">
            <w:pPr>
              <w:widowControl/>
              <w:ind w:firstLineChars="0" w:firstLine="0"/>
              <w:jc w:val="center"/>
              <w:textAlignment w:val="center"/>
              <w:rPr>
                <w:rFonts w:ascii="黑体" w:eastAsia="黑体" w:hAnsi="黑体" w:cs="宋体"/>
                <w:color w:val="auto"/>
                <w:lang w:eastAsia="zh-CN"/>
              </w:rPr>
            </w:pPr>
            <w:r w:rsidRPr="00E644AB">
              <w:rPr>
                <w:rFonts w:ascii="黑体" w:eastAsia="黑体" w:hAnsi="黑体" w:cs="宋体" w:hint="eastAsia"/>
                <w:color w:val="auto"/>
                <w:lang w:eastAsia="zh-CN"/>
              </w:rPr>
              <w:t xml:space="preserve">12675 </w:t>
            </w:r>
          </w:p>
        </w:tc>
      </w:tr>
    </w:tbl>
    <w:p w:rsidR="00FC37F6" w:rsidRPr="00223645" w:rsidRDefault="00FC37F6">
      <w:pPr>
        <w:widowControl/>
        <w:spacing w:line="240" w:lineRule="auto"/>
        <w:ind w:left="720" w:firstLineChars="0" w:firstLine="0"/>
        <w:rPr>
          <w:rFonts w:ascii="黑体" w:eastAsia="黑体" w:hAnsi="黑体" w:cs="仿宋_GB2312"/>
          <w:color w:val="auto"/>
          <w:sz w:val="31"/>
          <w:szCs w:val="31"/>
          <w:lang w:eastAsia="zh-CN"/>
        </w:rPr>
      </w:pPr>
    </w:p>
    <w:p w:rsidR="00FC37F6" w:rsidRPr="00223645" w:rsidRDefault="00223645" w:rsidP="00C95BD9">
      <w:pPr>
        <w:widowControl/>
        <w:ind w:firstLineChars="154" w:firstLine="477"/>
        <w:outlineLvl w:val="3"/>
        <w:rPr>
          <w:rFonts w:ascii="黑体" w:eastAsia="黑体" w:hAnsi="黑体" w:cs="仿宋_GB2312"/>
          <w:color w:val="auto"/>
          <w:sz w:val="31"/>
          <w:szCs w:val="31"/>
          <w:lang w:eastAsia="zh-CN"/>
        </w:rPr>
      </w:pPr>
      <w:r w:rsidRPr="00223645">
        <w:rPr>
          <w:rFonts w:ascii="黑体" w:eastAsia="黑体" w:hAnsi="黑体" w:cs="仿宋_GB2312" w:hint="eastAsia"/>
          <w:color w:val="auto"/>
          <w:sz w:val="31"/>
          <w:szCs w:val="31"/>
          <w:lang w:eastAsia="zh-CN"/>
        </w:rPr>
        <w:t>3.4充电设施需求预测结果</w:t>
      </w:r>
      <w:bookmarkEnd w:id="83"/>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在202</w:t>
      </w:r>
      <w:r w:rsidR="00334547">
        <w:rPr>
          <w:rFonts w:ascii="黑体" w:eastAsia="黑体" w:hAnsi="黑体" w:cs="仿宋_GB2312" w:hint="eastAsia"/>
          <w:color w:val="auto"/>
          <w:sz w:val="28"/>
          <w:szCs w:val="28"/>
          <w:lang w:eastAsia="zh-CN"/>
        </w:rPr>
        <w:t>3</w:t>
      </w:r>
      <w:r w:rsidRPr="00E644AB">
        <w:rPr>
          <w:rFonts w:ascii="黑体" w:eastAsia="黑体" w:hAnsi="黑体" w:cs="仿宋_GB2312" w:hint="eastAsia"/>
          <w:color w:val="auto"/>
          <w:sz w:val="28"/>
          <w:szCs w:val="28"/>
          <w:lang w:eastAsia="zh-CN"/>
        </w:rPr>
        <w:t>-2030年期间，预计广汉市新增公共集中式充电需求共计4594万千瓦时。分散式公共充电桩充电需求量为6152万千万时。专用公交为1008万千瓦时。其他为922万千瓦时。</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（1）集中式充电站需求预测结果</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结合上述预测结果，截止至2030年，需总共修建城市公共充电站4座，包含60根快充桩；</w:t>
      </w:r>
      <w:r w:rsidRPr="00E644AB">
        <w:rPr>
          <w:rFonts w:ascii="黑体" w:eastAsia="黑体" w:hAnsi="黑体" w:cs="仿宋_GB2312"/>
          <w:color w:val="auto"/>
          <w:sz w:val="28"/>
          <w:szCs w:val="28"/>
          <w:lang w:eastAsia="zh-CN"/>
        </w:rPr>
        <w:t>14</w:t>
      </w:r>
      <w:r w:rsidRPr="00E644AB">
        <w:rPr>
          <w:rFonts w:ascii="黑体" w:eastAsia="黑体" w:hAnsi="黑体" w:cs="仿宋_GB2312" w:hint="eastAsia"/>
          <w:color w:val="auto"/>
          <w:sz w:val="28"/>
          <w:szCs w:val="28"/>
          <w:lang w:eastAsia="zh-CN"/>
        </w:rPr>
        <w:t>座物流环卫车等专用充电站，包含205根快充桩；集中式充电桩需求电量为4579万千瓦时，公共充电站为41座，818根快充桩，总计1083根快充桩。</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（2）分散式充电桩需求预测结果</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lastRenderedPageBreak/>
        <w:t>到2030年，分散式公共充电桩需求电量为6100万千瓦时。按快充桩与慢充桩1:1的比例进行计算，预测需修建快充桩1000根，慢充桩1000根。</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 xml:space="preserve">（3）私人乘用车专用桩 </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 xml:space="preserve"> 私人乘用车均配备慢充桩，按照其数量50%匹配，广汉市将修建10356根私人慢充桩。</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综上所述</w:t>
      </w:r>
      <w:r w:rsidRPr="00223645">
        <w:rPr>
          <w:rFonts w:ascii="黑体" w:eastAsia="黑体" w:hAnsi="黑体" w:cs="仿宋_GB2312"/>
          <w:color w:val="auto"/>
          <w:sz w:val="28"/>
          <w:szCs w:val="28"/>
          <w:lang w:eastAsia="zh-CN"/>
        </w:rPr>
        <w:t>，</w:t>
      </w:r>
      <w:r w:rsidRPr="00223645">
        <w:rPr>
          <w:rFonts w:ascii="黑体" w:eastAsia="黑体" w:hAnsi="黑体" w:cs="仿宋_GB2312" w:hint="eastAsia"/>
          <w:color w:val="auto"/>
          <w:sz w:val="28"/>
          <w:szCs w:val="28"/>
          <w:lang w:eastAsia="zh-CN"/>
        </w:rPr>
        <w:t>到</w:t>
      </w:r>
      <w:r w:rsidRPr="00223645">
        <w:rPr>
          <w:rFonts w:ascii="黑体" w:eastAsia="黑体" w:hAnsi="黑体" w:cs="仿宋_GB2312"/>
          <w:color w:val="auto"/>
          <w:sz w:val="28"/>
          <w:szCs w:val="28"/>
          <w:lang w:eastAsia="zh-CN"/>
        </w:rPr>
        <w:t>2030</w:t>
      </w:r>
      <w:r w:rsidRPr="00223645">
        <w:rPr>
          <w:rFonts w:ascii="黑体" w:eastAsia="黑体" w:hAnsi="黑体" w:cs="仿宋_GB2312" w:hint="eastAsia"/>
          <w:color w:val="auto"/>
          <w:sz w:val="28"/>
          <w:szCs w:val="28"/>
          <w:lang w:eastAsia="zh-CN"/>
        </w:rPr>
        <w:t>年广汉市充电设施需求预测结果见表3.</w:t>
      </w:r>
      <w:r w:rsidR="0015730C">
        <w:rPr>
          <w:rFonts w:ascii="黑体" w:eastAsia="黑体" w:hAnsi="黑体" w:cs="仿宋_GB2312" w:hint="eastAsia"/>
          <w:color w:val="auto"/>
          <w:sz w:val="28"/>
          <w:szCs w:val="28"/>
          <w:lang w:eastAsia="zh-CN"/>
        </w:rPr>
        <w:t>10</w:t>
      </w:r>
      <w:r w:rsidRPr="00223645">
        <w:rPr>
          <w:rFonts w:ascii="黑体" w:eastAsia="黑体" w:hAnsi="黑体" w:cs="仿宋_GB2312" w:hint="eastAsia"/>
          <w:color w:val="auto"/>
          <w:sz w:val="28"/>
          <w:szCs w:val="28"/>
          <w:lang w:eastAsia="zh-CN"/>
        </w:rPr>
        <w:t>。</w:t>
      </w:r>
    </w:p>
    <w:p w:rsidR="00FC37F6" w:rsidRPr="00223645" w:rsidRDefault="00223645" w:rsidP="00894E81">
      <w:pPr>
        <w:ind w:firstLine="480"/>
        <w:jc w:val="center"/>
        <w:rPr>
          <w:rFonts w:ascii="黑体" w:eastAsia="黑体" w:hAnsi="黑体" w:cs="仿宋"/>
          <w:color w:val="auto"/>
          <w:lang w:eastAsia="zh-CN"/>
        </w:rPr>
      </w:pPr>
      <w:r w:rsidRPr="00894E81">
        <w:rPr>
          <w:rFonts w:ascii="黑体" w:eastAsia="黑体" w:hAnsi="黑体" w:cs="黑体" w:hint="eastAsia"/>
          <w:color w:val="auto"/>
          <w:lang w:eastAsia="zh-CN"/>
        </w:rPr>
        <w:t xml:space="preserve">表3.10  2030 广汉市充电设施需求预测  </w:t>
      </w:r>
      <w:r w:rsidRPr="00223645">
        <w:rPr>
          <w:rFonts w:ascii="黑体" w:eastAsia="黑体" w:hAnsi="黑体" w:cs="仿宋" w:hint="eastAsia"/>
          <w:color w:val="auto"/>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7"/>
        <w:gridCol w:w="1879"/>
        <w:gridCol w:w="2104"/>
        <w:gridCol w:w="1328"/>
        <w:gridCol w:w="1328"/>
        <w:gridCol w:w="1328"/>
      </w:tblGrid>
      <w:tr w:rsidR="00FC37F6" w:rsidRPr="00223645" w:rsidTr="00894E81">
        <w:tc>
          <w:tcPr>
            <w:tcW w:w="1327" w:type="dxa"/>
            <w:vMerge w:val="restart"/>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年份</w:t>
            </w:r>
          </w:p>
        </w:tc>
        <w:tc>
          <w:tcPr>
            <w:tcW w:w="3983" w:type="dxa"/>
            <w:gridSpan w:val="2"/>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专用桩（单位：根）</w:t>
            </w:r>
          </w:p>
        </w:tc>
        <w:tc>
          <w:tcPr>
            <w:tcW w:w="1328" w:type="dxa"/>
            <w:vMerge w:val="restart"/>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公用桩（单位：根）</w:t>
            </w:r>
          </w:p>
        </w:tc>
        <w:tc>
          <w:tcPr>
            <w:tcW w:w="1328" w:type="dxa"/>
            <w:vMerge w:val="restart"/>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私人桩（单位：根）</w:t>
            </w:r>
          </w:p>
        </w:tc>
        <w:tc>
          <w:tcPr>
            <w:tcW w:w="1328" w:type="dxa"/>
            <w:vMerge w:val="restart"/>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合计</w:t>
            </w:r>
          </w:p>
        </w:tc>
      </w:tr>
      <w:tr w:rsidR="00FC37F6" w:rsidRPr="00223645" w:rsidTr="00894E81">
        <w:tc>
          <w:tcPr>
            <w:tcW w:w="1327" w:type="dxa"/>
            <w:vMerge/>
          </w:tcPr>
          <w:p w:rsidR="00FC37F6" w:rsidRPr="00223645" w:rsidRDefault="00FC37F6">
            <w:pPr>
              <w:widowControl/>
              <w:spacing w:line="240" w:lineRule="auto"/>
              <w:ind w:firstLineChars="0" w:firstLine="0"/>
              <w:jc w:val="center"/>
              <w:textAlignment w:val="center"/>
              <w:rPr>
                <w:rFonts w:ascii="黑体" w:eastAsia="黑体" w:hAnsi="黑体" w:cs="仿宋"/>
                <w:color w:val="auto"/>
                <w:sz w:val="22"/>
                <w:szCs w:val="22"/>
              </w:rPr>
            </w:pPr>
          </w:p>
        </w:tc>
        <w:tc>
          <w:tcPr>
            <w:tcW w:w="1879" w:type="dxa"/>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公交车</w:t>
            </w:r>
          </w:p>
        </w:tc>
        <w:tc>
          <w:tcPr>
            <w:tcW w:w="2104" w:type="dxa"/>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rPr>
            </w:pPr>
            <w:r w:rsidRPr="00223645">
              <w:rPr>
                <w:rFonts w:ascii="黑体" w:eastAsia="黑体" w:hAnsi="黑体" w:cs="仿宋" w:hint="eastAsia"/>
                <w:color w:val="auto"/>
                <w:sz w:val="22"/>
                <w:szCs w:val="22"/>
              </w:rPr>
              <w:t>物流环卫车</w:t>
            </w:r>
          </w:p>
        </w:tc>
        <w:tc>
          <w:tcPr>
            <w:tcW w:w="1328" w:type="dxa"/>
            <w:vMerge/>
          </w:tcPr>
          <w:p w:rsidR="00FC37F6" w:rsidRPr="00223645" w:rsidRDefault="00FC37F6">
            <w:pPr>
              <w:widowControl/>
              <w:spacing w:line="240" w:lineRule="auto"/>
              <w:ind w:firstLineChars="0" w:firstLine="0"/>
              <w:jc w:val="center"/>
              <w:textAlignment w:val="center"/>
              <w:rPr>
                <w:rFonts w:ascii="黑体" w:eastAsia="黑体" w:hAnsi="黑体" w:cs="仿宋"/>
                <w:color w:val="auto"/>
                <w:sz w:val="22"/>
                <w:szCs w:val="22"/>
              </w:rPr>
            </w:pPr>
          </w:p>
        </w:tc>
        <w:tc>
          <w:tcPr>
            <w:tcW w:w="1328" w:type="dxa"/>
            <w:vMerge/>
          </w:tcPr>
          <w:p w:rsidR="00FC37F6" w:rsidRPr="00223645" w:rsidRDefault="00FC37F6">
            <w:pPr>
              <w:widowControl/>
              <w:spacing w:line="240" w:lineRule="auto"/>
              <w:ind w:firstLineChars="0" w:firstLine="0"/>
              <w:jc w:val="center"/>
              <w:textAlignment w:val="center"/>
              <w:rPr>
                <w:rFonts w:ascii="黑体" w:eastAsia="黑体" w:hAnsi="黑体" w:cs="仿宋"/>
                <w:color w:val="auto"/>
                <w:sz w:val="22"/>
                <w:szCs w:val="22"/>
              </w:rPr>
            </w:pPr>
          </w:p>
        </w:tc>
        <w:tc>
          <w:tcPr>
            <w:tcW w:w="1328" w:type="dxa"/>
            <w:vMerge/>
          </w:tcPr>
          <w:p w:rsidR="00FC37F6" w:rsidRPr="00223645" w:rsidRDefault="00FC37F6">
            <w:pPr>
              <w:widowControl/>
              <w:spacing w:line="240" w:lineRule="auto"/>
              <w:ind w:firstLineChars="0" w:firstLine="0"/>
              <w:jc w:val="center"/>
              <w:textAlignment w:val="center"/>
              <w:rPr>
                <w:rFonts w:ascii="黑体" w:eastAsia="黑体" w:hAnsi="黑体" w:cs="仿宋"/>
                <w:color w:val="auto"/>
                <w:sz w:val="22"/>
                <w:szCs w:val="22"/>
              </w:rPr>
            </w:pPr>
          </w:p>
        </w:tc>
      </w:tr>
      <w:tr w:rsidR="00FC37F6" w:rsidRPr="00223645" w:rsidTr="00894E81">
        <w:tc>
          <w:tcPr>
            <w:tcW w:w="1327" w:type="dxa"/>
          </w:tcPr>
          <w:p w:rsidR="00FC37F6" w:rsidRPr="00223645" w:rsidRDefault="00223645">
            <w:pPr>
              <w:widowControl/>
              <w:spacing w:line="240" w:lineRule="auto"/>
              <w:ind w:firstLineChars="0" w:firstLine="0"/>
              <w:jc w:val="center"/>
              <w:textAlignment w:val="center"/>
              <w:rPr>
                <w:rFonts w:ascii="黑体" w:eastAsia="黑体" w:hAnsi="黑体" w:cs="仿宋"/>
                <w:color w:val="auto"/>
                <w:sz w:val="22"/>
                <w:szCs w:val="22"/>
                <w:lang w:eastAsia="zh-CN"/>
              </w:rPr>
            </w:pPr>
            <w:r w:rsidRPr="00223645">
              <w:rPr>
                <w:rFonts w:ascii="黑体" w:eastAsia="黑体" w:hAnsi="黑体" w:cs="仿宋" w:hint="eastAsia"/>
                <w:color w:val="auto"/>
                <w:sz w:val="22"/>
                <w:szCs w:val="22"/>
              </w:rPr>
              <w:t>2030</w:t>
            </w:r>
            <w:r w:rsidRPr="00223645">
              <w:rPr>
                <w:rFonts w:ascii="黑体" w:eastAsia="黑体" w:hAnsi="黑体" w:cs="仿宋" w:hint="eastAsia"/>
                <w:color w:val="auto"/>
                <w:sz w:val="22"/>
                <w:szCs w:val="22"/>
                <w:lang w:eastAsia="zh-CN"/>
              </w:rPr>
              <w:t>年</w:t>
            </w:r>
          </w:p>
        </w:tc>
        <w:tc>
          <w:tcPr>
            <w:tcW w:w="1879" w:type="dxa"/>
          </w:tcPr>
          <w:p w:rsidR="00FC37F6" w:rsidRPr="00223645"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223645">
              <w:rPr>
                <w:rFonts w:ascii="黑体" w:eastAsia="黑体" w:hAnsi="黑体"/>
                <w:color w:val="auto"/>
                <w:sz w:val="21"/>
                <w:szCs w:val="21"/>
                <w:lang w:eastAsia="zh-CN"/>
              </w:rPr>
              <w:t>60</w:t>
            </w:r>
          </w:p>
        </w:tc>
        <w:tc>
          <w:tcPr>
            <w:tcW w:w="2104" w:type="dxa"/>
          </w:tcPr>
          <w:p w:rsidR="00FC37F6" w:rsidRPr="00223645"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223645">
              <w:rPr>
                <w:rFonts w:ascii="黑体" w:eastAsia="黑体" w:hAnsi="黑体" w:hint="eastAsia"/>
                <w:color w:val="auto"/>
                <w:sz w:val="21"/>
                <w:szCs w:val="21"/>
                <w:lang w:eastAsia="zh-CN"/>
              </w:rPr>
              <w:t>205</w:t>
            </w:r>
          </w:p>
        </w:tc>
        <w:tc>
          <w:tcPr>
            <w:tcW w:w="1328" w:type="dxa"/>
          </w:tcPr>
          <w:p w:rsidR="00FC37F6" w:rsidRPr="00223645"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223645">
              <w:rPr>
                <w:rFonts w:ascii="黑体" w:eastAsia="黑体" w:hAnsi="黑体" w:hint="eastAsia"/>
                <w:color w:val="auto"/>
                <w:sz w:val="21"/>
                <w:szCs w:val="21"/>
                <w:lang w:eastAsia="zh-CN"/>
              </w:rPr>
              <w:t>2818</w:t>
            </w:r>
          </w:p>
        </w:tc>
        <w:tc>
          <w:tcPr>
            <w:tcW w:w="1328" w:type="dxa"/>
          </w:tcPr>
          <w:p w:rsidR="00FC37F6" w:rsidRPr="00223645" w:rsidRDefault="00223645">
            <w:pPr>
              <w:widowControl/>
              <w:spacing w:line="240" w:lineRule="auto"/>
              <w:ind w:firstLineChars="0" w:firstLine="0"/>
              <w:jc w:val="center"/>
              <w:textAlignment w:val="center"/>
              <w:rPr>
                <w:rFonts w:ascii="黑体" w:eastAsia="黑体" w:hAnsi="黑体"/>
                <w:color w:val="auto"/>
                <w:sz w:val="21"/>
                <w:szCs w:val="21"/>
              </w:rPr>
            </w:pPr>
            <w:r w:rsidRPr="00223645">
              <w:rPr>
                <w:rFonts w:ascii="黑体" w:eastAsia="黑体" w:hAnsi="黑体" w:hint="eastAsia"/>
                <w:color w:val="auto"/>
                <w:sz w:val="21"/>
                <w:szCs w:val="21"/>
                <w:lang w:eastAsia="zh-CN"/>
              </w:rPr>
              <w:t>10356</w:t>
            </w:r>
          </w:p>
        </w:tc>
        <w:tc>
          <w:tcPr>
            <w:tcW w:w="1328" w:type="dxa"/>
          </w:tcPr>
          <w:p w:rsidR="00FC37F6" w:rsidRPr="00223645" w:rsidRDefault="00223645">
            <w:pPr>
              <w:widowControl/>
              <w:spacing w:line="240" w:lineRule="auto"/>
              <w:ind w:firstLineChars="0" w:firstLine="0"/>
              <w:jc w:val="center"/>
              <w:textAlignment w:val="center"/>
              <w:rPr>
                <w:rFonts w:ascii="黑体" w:eastAsia="黑体" w:hAnsi="黑体"/>
                <w:color w:val="auto"/>
                <w:sz w:val="21"/>
                <w:szCs w:val="21"/>
                <w:lang w:eastAsia="zh-CN"/>
              </w:rPr>
            </w:pPr>
            <w:r w:rsidRPr="00223645">
              <w:rPr>
                <w:rFonts w:ascii="黑体" w:eastAsia="黑体" w:hAnsi="黑体" w:hint="eastAsia"/>
                <w:color w:val="auto"/>
                <w:sz w:val="21"/>
                <w:szCs w:val="21"/>
                <w:lang w:eastAsia="zh-CN"/>
              </w:rPr>
              <w:t>13346</w:t>
            </w:r>
          </w:p>
        </w:tc>
      </w:tr>
    </w:tbl>
    <w:p w:rsidR="00E644AB" w:rsidRPr="00E644AB" w:rsidRDefault="0015730C" w:rsidP="00E644AB">
      <w:pPr>
        <w:widowControl/>
        <w:ind w:firstLine="560"/>
        <w:rPr>
          <w:rFonts w:ascii="黑体" w:eastAsia="黑体" w:hAnsi="黑体" w:cs="仿宋_GB2312"/>
          <w:color w:val="auto"/>
          <w:sz w:val="28"/>
          <w:szCs w:val="28"/>
          <w:lang w:eastAsia="zh-CN"/>
        </w:rPr>
      </w:pPr>
      <w:bookmarkStart w:id="84" w:name="_Toc8528"/>
      <w:bookmarkStart w:id="85" w:name="_Toc20129"/>
      <w:bookmarkStart w:id="86" w:name="_Toc1302617780"/>
      <w:bookmarkStart w:id="87" w:name="_Toc31394"/>
    </w:p>
    <w:p w:rsidR="00FC37F6" w:rsidRPr="00223645" w:rsidRDefault="00223645">
      <w:pPr>
        <w:pStyle w:val="2"/>
        <w:ind w:firstLine="643"/>
        <w:jc w:val="center"/>
        <w:rPr>
          <w:rFonts w:ascii="黑体" w:hAnsi="黑体"/>
          <w:color w:val="auto"/>
          <w:lang w:eastAsia="zh-CN"/>
        </w:rPr>
      </w:pPr>
      <w:r w:rsidRPr="00223645">
        <w:rPr>
          <w:rFonts w:ascii="黑体" w:hAnsi="黑体" w:hint="eastAsia"/>
          <w:color w:val="auto"/>
          <w:lang w:eastAsia="zh-CN"/>
        </w:rPr>
        <w:t>第三节 规划</w:t>
      </w:r>
      <w:bookmarkEnd w:id="84"/>
      <w:bookmarkEnd w:id="85"/>
      <w:bookmarkEnd w:id="86"/>
      <w:r w:rsidRPr="00223645">
        <w:rPr>
          <w:rFonts w:ascii="黑体" w:hAnsi="黑体" w:hint="eastAsia"/>
          <w:color w:val="auto"/>
          <w:lang w:eastAsia="zh-CN"/>
        </w:rPr>
        <w:t>发展策略</w:t>
      </w:r>
      <w:bookmarkEnd w:id="87"/>
    </w:p>
    <w:p w:rsidR="00FC37F6" w:rsidRPr="00223645" w:rsidRDefault="00223645">
      <w:pPr>
        <w:widowControl/>
        <w:ind w:firstLine="620"/>
        <w:rPr>
          <w:rFonts w:ascii="黑体" w:eastAsia="黑体" w:hAnsi="黑体" w:cs="仿宋_GB2312"/>
          <w:color w:val="auto"/>
          <w:sz w:val="31"/>
          <w:szCs w:val="31"/>
          <w:lang w:eastAsia="zh-CN"/>
        </w:rPr>
      </w:pPr>
      <w:r w:rsidRPr="00223645">
        <w:rPr>
          <w:rFonts w:ascii="黑体" w:eastAsia="黑体" w:hAnsi="黑体" w:cs="仿宋_GB2312" w:hint="eastAsia"/>
          <w:color w:val="auto"/>
          <w:sz w:val="31"/>
          <w:szCs w:val="31"/>
          <w:lang w:eastAsia="zh-CN"/>
        </w:rPr>
        <w:t>针对广汉市不同区域国土规划、电动车发展情况及充电设施发展情况，进行针对性的规划，通过政策及规划引导，区分中心城区、郊区、乡镇进行差异化的布局；有序推进充电设施乡镇全覆盖，加强科技创新提升充电基础设施利用水平；注重充电设施有序建设，提高选址布局的科学性及合理性。</w:t>
      </w:r>
    </w:p>
    <w:p w:rsidR="00FC37F6" w:rsidRPr="00223645" w:rsidRDefault="00223645">
      <w:pPr>
        <w:widowControl/>
        <w:ind w:firstLine="620"/>
        <w:rPr>
          <w:rFonts w:ascii="黑体" w:eastAsia="黑体" w:hAnsi="黑体" w:cs="仿宋_GB2312"/>
          <w:color w:val="auto"/>
          <w:sz w:val="31"/>
          <w:szCs w:val="31"/>
          <w:lang w:eastAsia="zh-CN"/>
        </w:rPr>
      </w:pPr>
      <w:r w:rsidRPr="00223645">
        <w:rPr>
          <w:rFonts w:ascii="黑体" w:eastAsia="黑体" w:hAnsi="黑体" w:cs="仿宋_GB2312" w:hint="eastAsia"/>
          <w:color w:val="auto"/>
          <w:sz w:val="31"/>
          <w:szCs w:val="31"/>
          <w:lang w:eastAsia="zh-CN"/>
        </w:rPr>
        <w:t>深入分析中心城区、特性功能区、郊区、乡镇不同区域的车辆使用特性差异，制定符合区域特点的充电基础设施发展策略；加强“互联网+”科技创新应用，充分挖掘“数据”生产要素的价值，实现持续优化的区域化差异性发展策略。现提出发展策略如下所述：</w:t>
      </w:r>
    </w:p>
    <w:p w:rsidR="00FC37F6" w:rsidRPr="00223645" w:rsidRDefault="00223645" w:rsidP="00C95BD9">
      <w:pPr>
        <w:pStyle w:val="3"/>
        <w:numPr>
          <w:ilvl w:val="0"/>
          <w:numId w:val="22"/>
        </w:numPr>
        <w:ind w:firstLineChars="0"/>
        <w:rPr>
          <w:rFonts w:ascii="黑体" w:eastAsia="黑体" w:hAnsi="黑体"/>
          <w:color w:val="auto"/>
          <w:lang w:eastAsia="zh-CN"/>
        </w:rPr>
      </w:pPr>
      <w:bookmarkStart w:id="88" w:name="_Toc16797"/>
      <w:bookmarkStart w:id="89" w:name="_Toc17429"/>
      <w:r w:rsidRPr="00223645">
        <w:rPr>
          <w:rFonts w:ascii="黑体" w:eastAsia="黑体" w:hAnsi="黑体" w:hint="eastAsia"/>
          <w:color w:val="auto"/>
          <w:lang w:eastAsia="zh-CN"/>
        </w:rPr>
        <w:lastRenderedPageBreak/>
        <w:t>结合城区整体规划，重点区域场所优先布置</w:t>
      </w:r>
      <w:bookmarkEnd w:id="88"/>
      <w:bookmarkEnd w:id="89"/>
    </w:p>
    <w:p w:rsidR="00FC37F6" w:rsidRPr="00E644AB" w:rsidRDefault="00223645" w:rsidP="00E644AB">
      <w:pPr>
        <w:widowControl/>
        <w:ind w:firstLine="560"/>
        <w:rPr>
          <w:rFonts w:ascii="黑体" w:eastAsia="黑体" w:hAnsi="黑体" w:cs="仿宋_GB2312"/>
          <w:color w:val="auto"/>
          <w:sz w:val="28"/>
          <w:szCs w:val="28"/>
          <w:lang w:eastAsia="zh-CN"/>
        </w:rPr>
      </w:pPr>
      <w:bookmarkStart w:id="90" w:name="_Toc27856"/>
      <w:r w:rsidRPr="00E644AB">
        <w:rPr>
          <w:rFonts w:ascii="黑体" w:eastAsia="黑体" w:hAnsi="黑体" w:cs="仿宋_GB2312" w:hint="eastAsia"/>
          <w:color w:val="auto"/>
          <w:sz w:val="28"/>
          <w:szCs w:val="28"/>
          <w:lang w:eastAsia="zh-CN"/>
        </w:rPr>
        <w:t xml:space="preserve">结合广汉市的国土空间总体规划，完善当前充电设施较为薄弱的区域，根据承载生产生活人口和新能源汽车车辆密度差异，从中心城区向周边城镇地区、从重点发展区域向普通区域逐步有序发展充电基础设施。优先推进公共场所充电基础设施建设，重点推进商场、超市、宾馆、商务楼宇、公共文体场馆、旅游集散中心等大型公共建筑物停车场、社会公共停车场、公共文化旅游娱乐休闲场所停车场公用充电基础设施建设，结合预测需求建立公共集中快充站及公共分散式充电站，作为私人充电桩的重要补充。新增独立占地的充电站，选址应尽量不改变原有用地性质，优先选择现有公共停车场，公园绿化区域或交通枢纽设施用地。老旧小区改造新增公共车位实现充电桩安装覆盖。 </w:t>
      </w:r>
    </w:p>
    <w:p w:rsidR="00FC37F6" w:rsidRPr="00223645" w:rsidRDefault="00223645" w:rsidP="00C95BD9">
      <w:pPr>
        <w:pStyle w:val="3"/>
        <w:numPr>
          <w:ilvl w:val="0"/>
          <w:numId w:val="22"/>
        </w:numPr>
        <w:ind w:firstLineChars="0"/>
        <w:rPr>
          <w:rFonts w:ascii="黑体" w:eastAsia="黑体" w:hAnsi="黑体"/>
          <w:color w:val="auto"/>
          <w:lang w:eastAsia="zh-CN"/>
        </w:rPr>
      </w:pPr>
      <w:bookmarkStart w:id="91" w:name="_Toc27926"/>
      <w:r w:rsidRPr="00223645">
        <w:rPr>
          <w:rFonts w:ascii="黑体" w:eastAsia="黑体" w:hAnsi="黑体" w:hint="eastAsia"/>
          <w:color w:val="auto"/>
          <w:lang w:eastAsia="zh-CN"/>
        </w:rPr>
        <w:t>全域交通重要路网全线覆盖</w:t>
      </w:r>
      <w:bookmarkEnd w:id="90"/>
      <w:bookmarkEnd w:id="91"/>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根据《广汉市国民经济和社会发展第十四个五年规划和二〇三五年远景目标纲要》规划“大力推进新能源汽车在公共交通领域应用，推动城乡公交一体化改造，构建统一完善的城乡公交一体化长效制度体系，打造“全域公交”。推进公路沿线充电基础设施建设。积极布局国省道和重要县乡道路沿线快速充电基础设施，做好县城镇开发边界外公路沿线的充电基础设施与《四川省交通运输厅关于四川省干线公路公用充电基础设施建设运营管理的实施意见》的有效衔接。到2025年底，初步建成充电服务保障充分、充电补电及时高效、干线车辆畅行无忧的城际充电服务网络体系，形成连接全省城市群等重点高速公路服务区充电网络和普通国省干线公路服务设施以及交通枢纽快充站网络。2025年底，充电站覆盖率达到60%；2027年底，充电站覆盖率达到80%。普通国省干线公路服务设施和交通枢纽加快</w:t>
      </w:r>
      <w:r w:rsidRPr="00E644AB">
        <w:rPr>
          <w:rFonts w:ascii="黑体" w:eastAsia="黑体" w:hAnsi="黑体" w:cs="仿宋_GB2312" w:hint="eastAsia"/>
          <w:color w:val="auto"/>
          <w:sz w:val="28"/>
          <w:szCs w:val="28"/>
          <w:lang w:eastAsia="zh-CN"/>
        </w:rPr>
        <w:lastRenderedPageBreak/>
        <w:t>补齐充电基础设施短板，经济干线和旅游公路服务设施充电桩到2025年底覆盖率达到50%，重要交通枢纽充电桩覆盖率达到80%。</w:t>
      </w:r>
    </w:p>
    <w:p w:rsidR="00FC37F6" w:rsidRPr="00223645" w:rsidRDefault="00223645" w:rsidP="00C95BD9">
      <w:pPr>
        <w:pStyle w:val="3"/>
        <w:numPr>
          <w:ilvl w:val="0"/>
          <w:numId w:val="22"/>
        </w:numPr>
        <w:ind w:firstLineChars="0"/>
        <w:rPr>
          <w:rFonts w:ascii="黑体" w:eastAsia="黑体" w:hAnsi="黑体"/>
          <w:color w:val="auto"/>
          <w:lang w:eastAsia="zh-CN"/>
        </w:rPr>
      </w:pPr>
      <w:bookmarkStart w:id="92" w:name="_Toc24276"/>
      <w:bookmarkStart w:id="93" w:name="_Toc10018"/>
      <w:r w:rsidRPr="00223645">
        <w:rPr>
          <w:rFonts w:ascii="黑体" w:eastAsia="黑体" w:hAnsi="黑体" w:hint="eastAsia"/>
          <w:color w:val="auto"/>
          <w:lang w:eastAsia="zh-CN"/>
        </w:rPr>
        <w:t>专、公、户等多种用途充电设施互补形成完整网格</w:t>
      </w:r>
      <w:bookmarkEnd w:id="92"/>
      <w:bookmarkEnd w:id="93"/>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对于城市公交、市政环卫等新能源专用车辆的专用充电设施（站/桩），通过优化利用效率和提升安全管理水平，实现优化利用；对于公共充电站，加强规划布局管理的科学性，有效对社会车辆提供充电服务能力，按照人口密度，经济热力图对桩密度进行分配，进行差异发展；对于居民住宅区私人安装的充电桩，要做到统筹统建有序管理通过有序充电平台建设，有效解决既有居民小区充电桩安装难问题；对于商业服务区，着重解决用户快速充电应急充电需求；对于行政商务区，充电用户相对固定的企事业单位，对充电时间要求不严格，制定快慢充合理协调的充电模式；对于工业仓储区，结合工业化发展及交通需求，积极打造适用于重型车辆的立体充电网络，有效服务各类型电动汽车发展。</w:t>
      </w:r>
    </w:p>
    <w:p w:rsidR="00FC37F6" w:rsidRPr="00223645" w:rsidRDefault="00223645" w:rsidP="00C95BD9">
      <w:pPr>
        <w:pStyle w:val="3"/>
        <w:numPr>
          <w:ilvl w:val="0"/>
          <w:numId w:val="22"/>
        </w:numPr>
        <w:ind w:firstLineChars="0"/>
        <w:rPr>
          <w:rFonts w:ascii="黑体" w:eastAsia="黑体" w:hAnsi="黑体"/>
          <w:color w:val="auto"/>
          <w:lang w:eastAsia="zh-CN"/>
        </w:rPr>
      </w:pPr>
      <w:bookmarkStart w:id="94" w:name="_Toc8352"/>
      <w:bookmarkStart w:id="95" w:name="_Toc8526"/>
      <w:r w:rsidRPr="00223645">
        <w:rPr>
          <w:rFonts w:ascii="黑体" w:eastAsia="黑体" w:hAnsi="黑体" w:hint="eastAsia"/>
          <w:color w:val="auto"/>
          <w:lang w:eastAsia="zh-CN"/>
        </w:rPr>
        <w:t>构建多网融合的桩/车/路/网联动</w:t>
      </w:r>
      <w:bookmarkEnd w:id="94"/>
      <w:bookmarkEnd w:id="95"/>
      <w:r w:rsidRPr="00223645">
        <w:rPr>
          <w:rFonts w:ascii="黑体" w:eastAsia="黑体" w:hAnsi="黑体" w:hint="eastAsia"/>
          <w:color w:val="auto"/>
          <w:lang w:eastAsia="zh-CN"/>
        </w:rPr>
        <w:t>体系</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结合电网的负载分布，充分考虑本区域的配电网现状，与电网规划和建设密切融合，避免在电网薄弱节点进行接入功率较大的充电站，避免增加电力系统的运行风险。在建设充换电基础设施时同步考虑融合互联网、物联网、智能交通、大数据等技术，通过互联网+充电基础设施概念，积极推进电动汽车充电设施与智能电网的融合互动，提升充电基础设施的智能化水平。</w:t>
      </w: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FC37F6">
      <w:pPr>
        <w:ind w:firstLine="480"/>
        <w:jc w:val="both"/>
        <w:rPr>
          <w:rFonts w:ascii="黑体" w:eastAsia="黑体" w:hAnsi="黑体"/>
          <w:color w:val="auto"/>
          <w:lang w:eastAsia="zh-CN"/>
        </w:rPr>
      </w:pPr>
    </w:p>
    <w:p w:rsidR="00FC37F6" w:rsidRPr="00223645" w:rsidRDefault="00223645">
      <w:pPr>
        <w:pStyle w:val="1"/>
        <w:ind w:firstLine="883"/>
        <w:rPr>
          <w:rFonts w:ascii="黑体" w:hAnsi="黑体"/>
          <w:color w:val="auto"/>
          <w:lang w:eastAsia="zh-CN"/>
        </w:rPr>
      </w:pPr>
      <w:bookmarkStart w:id="96" w:name="_Toc19920"/>
      <w:r w:rsidRPr="00223645">
        <w:rPr>
          <w:rFonts w:ascii="黑体" w:hAnsi="黑体" w:hint="eastAsia"/>
          <w:color w:val="auto"/>
          <w:lang w:eastAsia="zh-CN"/>
        </w:rPr>
        <w:t>第四章 规划方案</w:t>
      </w:r>
      <w:bookmarkEnd w:id="96"/>
    </w:p>
    <w:p w:rsidR="00FC37F6" w:rsidRPr="00223645" w:rsidRDefault="00223645" w:rsidP="00223645">
      <w:pPr>
        <w:pStyle w:val="2"/>
        <w:ind w:firstLine="643"/>
        <w:jc w:val="center"/>
        <w:rPr>
          <w:rFonts w:ascii="黑体" w:hAnsi="黑体"/>
          <w:color w:val="auto"/>
          <w:lang w:eastAsia="zh-CN"/>
        </w:rPr>
      </w:pPr>
      <w:bookmarkStart w:id="97" w:name="_Toc10178"/>
      <w:bookmarkStart w:id="98" w:name="_Toc28309"/>
      <w:bookmarkStart w:id="99" w:name="_Toc759949171"/>
      <w:r w:rsidRPr="00223645">
        <w:rPr>
          <w:rFonts w:ascii="黑体" w:hAnsi="黑体" w:hint="eastAsia"/>
          <w:color w:val="auto"/>
          <w:lang w:eastAsia="zh-CN"/>
        </w:rPr>
        <w:t>第一节 规划策略</w:t>
      </w:r>
      <w:bookmarkEnd w:id="97"/>
    </w:p>
    <w:p w:rsidR="00FC37F6" w:rsidRPr="00223645" w:rsidRDefault="00223645" w:rsidP="00C95BD9">
      <w:pPr>
        <w:pStyle w:val="3"/>
        <w:numPr>
          <w:ilvl w:val="0"/>
          <w:numId w:val="23"/>
        </w:numPr>
        <w:ind w:firstLineChars="0"/>
        <w:rPr>
          <w:rFonts w:ascii="黑体" w:eastAsia="黑体" w:hAnsi="黑体"/>
          <w:color w:val="auto"/>
          <w:lang w:eastAsia="zh-CN"/>
        </w:rPr>
      </w:pPr>
      <w:r w:rsidRPr="00223645">
        <w:rPr>
          <w:rFonts w:ascii="黑体" w:eastAsia="黑体" w:hAnsi="黑体" w:hint="eastAsia"/>
          <w:color w:val="auto"/>
          <w:lang w:eastAsia="zh-CN"/>
        </w:rPr>
        <w:t>整体布局 前瞻规划</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按照国务院《新能源汽车产业发展规划（2021—2035年）》、四川省政府《关于加快电动汽车充电基础设施建设的实施意见》、四川省发改委等部门发布的《四川省电能替代推进方案（2022—2025年）》，以及德阳市《“十四五”电动汽车充电基础设施专项规划》，结合广汉市的区位特点和经济发展状况，加强广汉全市充电基础设施的顶层设计，统筹政府各部门及相关企业力量秉着合作供应的理念，各司其职、群策群力推进充电基础设施的科学建设，以满足全市电动汽车推广应用的需求。</w:t>
      </w:r>
    </w:p>
    <w:p w:rsidR="00FC37F6" w:rsidRPr="00223645" w:rsidRDefault="00223645" w:rsidP="00C95BD9">
      <w:pPr>
        <w:pStyle w:val="3"/>
        <w:numPr>
          <w:ilvl w:val="0"/>
          <w:numId w:val="23"/>
        </w:numPr>
        <w:ind w:firstLineChars="0"/>
        <w:rPr>
          <w:rFonts w:ascii="黑体" w:eastAsia="黑体" w:hAnsi="黑体"/>
          <w:color w:val="auto"/>
          <w:lang w:eastAsia="zh-CN"/>
        </w:rPr>
      </w:pPr>
      <w:r w:rsidRPr="00223645">
        <w:rPr>
          <w:rFonts w:ascii="黑体" w:eastAsia="黑体" w:hAnsi="黑体" w:hint="eastAsia"/>
          <w:color w:val="auto"/>
          <w:lang w:eastAsia="zh-CN"/>
        </w:rPr>
        <w:t>政策引领 市场主导</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遵循“政策引领、市场主导”的原则,根据新能源汽车产业快速发展、技术快速更新迭代进步的特点，针对各种类型电动汽车充电需求,分类合理布局充电设施,以自用、专用充电设施为主导，实现公用、专用、自用多种充电设施相互补充，缓解用户的充电焦虑，形成良性市场竞争并促进技术和管理提升的格局。在公共停车场、工商业园区楼宇、居民小区、公建配套、旅游园区景点、高速公路和国道省道等公用交通设施网络体系，满足规划引导充电设施建设,构建充电设施建设网络,实现全域覆盖，以满足用户在途中的临时补电需求。</w:t>
      </w:r>
    </w:p>
    <w:p w:rsidR="00FC37F6" w:rsidRPr="00223645" w:rsidRDefault="00223645" w:rsidP="00C95BD9">
      <w:pPr>
        <w:pStyle w:val="3"/>
        <w:numPr>
          <w:ilvl w:val="0"/>
          <w:numId w:val="23"/>
        </w:numPr>
        <w:ind w:firstLineChars="0"/>
        <w:rPr>
          <w:rFonts w:ascii="黑体" w:eastAsia="黑体" w:hAnsi="黑体"/>
          <w:color w:val="auto"/>
          <w:lang w:eastAsia="zh-CN"/>
        </w:rPr>
      </w:pPr>
      <w:r w:rsidRPr="00223645">
        <w:rPr>
          <w:rFonts w:ascii="黑体" w:eastAsia="黑体" w:hAnsi="黑体" w:hint="eastAsia"/>
          <w:color w:val="auto"/>
          <w:lang w:eastAsia="zh-CN"/>
        </w:rPr>
        <w:lastRenderedPageBreak/>
        <w:t>完善机制 建管并举</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推进电动汽车充电基础设施的建设，匹配电动汽车的发展趋势，不但要在建设阶段进行统筹规划，在建后运营阶段也需科学谋划，智慧运营。优化整合充电基础设施服务线上平台、实现资源共享、互联互通，形成充电服务一体化，完善充电导航、状态查询、充电预约、费用结算等便捷服务，引导用户有序充电，实现车桩智能互动，提升运营效率和用户体验。</w:t>
      </w:r>
    </w:p>
    <w:p w:rsidR="00FC37F6" w:rsidRPr="00223645" w:rsidRDefault="00223645" w:rsidP="00C95BD9">
      <w:pPr>
        <w:pStyle w:val="3"/>
        <w:numPr>
          <w:ilvl w:val="0"/>
          <w:numId w:val="23"/>
        </w:numPr>
        <w:ind w:firstLineChars="0"/>
        <w:rPr>
          <w:rFonts w:ascii="黑体" w:eastAsia="黑体" w:hAnsi="黑体"/>
          <w:color w:val="auto"/>
          <w:lang w:eastAsia="zh-CN"/>
        </w:rPr>
      </w:pPr>
      <w:r w:rsidRPr="00223645">
        <w:rPr>
          <w:rFonts w:ascii="黑体" w:eastAsia="黑体" w:hAnsi="黑体" w:hint="eastAsia"/>
          <w:color w:val="auto"/>
          <w:lang w:eastAsia="zh-CN"/>
        </w:rPr>
        <w:t>因地制宜 按需规划</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 xml:space="preserve">按照广汉市城市的发展规划、不同城市功能片区功能定位不同导致交通出行特性的差异化，根据城乡发展实际情况、交通联系密切特征等，制定不同区位的规划方案。倡导节省土地资源、复合利用理念结合配套停车位进行公共充电基础设施的建造，并在部分重点交通到达性较便利的区域适当发展大中型充电站，对社会车辆进行充电服务。 </w:t>
      </w:r>
    </w:p>
    <w:p w:rsidR="00FC37F6" w:rsidRPr="00223645" w:rsidRDefault="00223645" w:rsidP="00223645">
      <w:pPr>
        <w:pStyle w:val="2"/>
        <w:ind w:firstLine="643"/>
        <w:jc w:val="center"/>
        <w:rPr>
          <w:rFonts w:ascii="黑体" w:hAnsi="黑体"/>
          <w:color w:val="auto"/>
          <w:lang w:eastAsia="zh-CN"/>
        </w:rPr>
      </w:pPr>
      <w:bookmarkStart w:id="100" w:name="_Toc7275"/>
      <w:r w:rsidRPr="00223645">
        <w:rPr>
          <w:rFonts w:ascii="黑体" w:hAnsi="黑体" w:hint="eastAsia"/>
          <w:color w:val="auto"/>
          <w:lang w:eastAsia="zh-CN"/>
        </w:rPr>
        <w:t>第二节 布局策略</w:t>
      </w:r>
      <w:bookmarkEnd w:id="100"/>
    </w:p>
    <w:p w:rsidR="00FC37F6" w:rsidRPr="00223645" w:rsidRDefault="00223645" w:rsidP="00C95BD9">
      <w:pPr>
        <w:pStyle w:val="3"/>
        <w:numPr>
          <w:ilvl w:val="0"/>
          <w:numId w:val="24"/>
        </w:numPr>
        <w:ind w:firstLineChars="0"/>
        <w:rPr>
          <w:rFonts w:ascii="黑体" w:eastAsia="黑体" w:hAnsi="黑体"/>
          <w:color w:val="auto"/>
          <w:lang w:eastAsia="zh-CN"/>
        </w:rPr>
      </w:pPr>
      <w:r w:rsidRPr="00223645">
        <w:rPr>
          <w:rFonts w:ascii="黑体" w:eastAsia="黑体" w:hAnsi="黑体" w:hint="eastAsia"/>
          <w:color w:val="auto"/>
          <w:lang w:eastAsia="zh-CN"/>
        </w:rPr>
        <w:t>高功率集中快充站</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根据电动汽车推广政策以及预测情况，统筹规划、加快布局，在停车位众多的公共配套停车场，主要交通干线、电网负荷裕量大的、城郊结合部等建设高功率集中快充电站，重点为公交、出租、网约车等运营车辆提供服务。</w:t>
      </w:r>
    </w:p>
    <w:p w:rsidR="00FC37F6" w:rsidRPr="00223645" w:rsidRDefault="00223645" w:rsidP="00C95BD9">
      <w:pPr>
        <w:pStyle w:val="3"/>
        <w:numPr>
          <w:ilvl w:val="0"/>
          <w:numId w:val="24"/>
        </w:numPr>
        <w:ind w:firstLineChars="0"/>
        <w:rPr>
          <w:rFonts w:ascii="黑体" w:eastAsia="黑体" w:hAnsi="黑体"/>
          <w:color w:val="auto"/>
          <w:lang w:eastAsia="zh-CN"/>
        </w:rPr>
      </w:pPr>
      <w:r w:rsidRPr="00223645">
        <w:rPr>
          <w:rFonts w:ascii="黑体" w:eastAsia="黑体" w:hAnsi="黑体" w:hint="eastAsia"/>
          <w:color w:val="auto"/>
          <w:lang w:eastAsia="zh-CN"/>
        </w:rPr>
        <w:t>公交、物流、环卫车等专用充电站</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优先结合现有及规划大中型公交车场站、首末站与保养场站建设。结合城际公交实际路线及运营距离，科学选址建设公交车专用充电站作为临</w:t>
      </w:r>
      <w:r w:rsidRPr="00E644AB">
        <w:rPr>
          <w:rFonts w:ascii="黑体" w:eastAsia="黑体" w:hAnsi="黑体" w:cs="仿宋_GB2312" w:hint="eastAsia"/>
          <w:color w:val="auto"/>
          <w:sz w:val="28"/>
          <w:szCs w:val="28"/>
          <w:lang w:eastAsia="zh-CN"/>
        </w:rPr>
        <w:lastRenderedPageBreak/>
        <w:t>时补电服务设施。依托物流、环卫等行业专用停车场所建设对应的行业专用车充电站。</w:t>
      </w:r>
    </w:p>
    <w:p w:rsidR="00FC37F6" w:rsidRPr="00223645" w:rsidRDefault="00223645" w:rsidP="00C95BD9">
      <w:pPr>
        <w:pStyle w:val="3"/>
        <w:numPr>
          <w:ilvl w:val="0"/>
          <w:numId w:val="24"/>
        </w:numPr>
        <w:ind w:firstLineChars="0"/>
        <w:rPr>
          <w:rFonts w:ascii="黑体" w:eastAsia="黑体" w:hAnsi="黑体"/>
          <w:color w:val="auto"/>
          <w:lang w:eastAsia="zh-CN"/>
        </w:rPr>
      </w:pPr>
      <w:r w:rsidRPr="00223645">
        <w:rPr>
          <w:rFonts w:ascii="黑体" w:eastAsia="黑体" w:hAnsi="黑体" w:hint="eastAsia"/>
          <w:color w:val="auto"/>
          <w:lang w:eastAsia="zh-CN"/>
        </w:rPr>
        <w:t>中小规模快充站</w:t>
      </w:r>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充分利用社会资源、社会各界自有空间例如：变电站、营业厅、供电所、专属停车场、路边停车场、加油站、物流园区，快速布局中小规模集中型快充站，为功能性运营车辆提供专属、私人乘用车临时补电提提服务</w:t>
      </w:r>
      <w:r w:rsidRPr="00E644AB">
        <w:rPr>
          <w:rFonts w:ascii="黑体" w:eastAsia="黑体" w:hAnsi="黑体" w:cs="仿宋_GB2312"/>
          <w:color w:val="auto"/>
          <w:sz w:val="28"/>
          <w:szCs w:val="28"/>
          <w:lang w:eastAsia="zh-CN"/>
        </w:rPr>
        <w:t>充</w:t>
      </w:r>
      <w:r w:rsidRPr="00E644AB">
        <w:rPr>
          <w:rFonts w:ascii="黑体" w:eastAsia="黑体" w:hAnsi="黑体" w:cs="仿宋_GB2312" w:hint="eastAsia"/>
          <w:color w:val="auto"/>
          <w:sz w:val="28"/>
          <w:szCs w:val="28"/>
          <w:lang w:eastAsia="zh-CN"/>
        </w:rPr>
        <w:t>。</w:t>
      </w:r>
    </w:p>
    <w:p w:rsidR="00FC37F6" w:rsidRPr="00223645" w:rsidRDefault="00223645">
      <w:pPr>
        <w:pStyle w:val="2"/>
        <w:ind w:firstLine="643"/>
        <w:jc w:val="center"/>
        <w:rPr>
          <w:rFonts w:ascii="黑体" w:hAnsi="黑体"/>
          <w:color w:val="auto"/>
          <w:lang w:eastAsia="zh-CN"/>
        </w:rPr>
      </w:pPr>
      <w:bookmarkStart w:id="101" w:name="_Toc32"/>
      <w:r w:rsidRPr="00223645">
        <w:rPr>
          <w:rFonts w:ascii="黑体" w:hAnsi="黑体" w:hint="eastAsia"/>
          <w:color w:val="auto"/>
          <w:lang w:eastAsia="zh-CN"/>
        </w:rPr>
        <w:t>第三节 布局方案</w:t>
      </w:r>
      <w:bookmarkEnd w:id="98"/>
      <w:bookmarkEnd w:id="99"/>
      <w:bookmarkEnd w:id="101"/>
    </w:p>
    <w:p w:rsidR="00FC37F6" w:rsidRPr="00E644AB" w:rsidRDefault="00223645" w:rsidP="00E644AB">
      <w:pPr>
        <w:widowControl/>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结合广汉市城市发展现状及规划方案，采用上述预测结果作为广汉市</w:t>
      </w:r>
      <w:r w:rsidR="00334547">
        <w:rPr>
          <w:rFonts w:ascii="黑体" w:eastAsia="黑体" w:hAnsi="黑体" w:cs="仿宋_GB2312" w:hint="eastAsia"/>
          <w:color w:val="auto"/>
          <w:sz w:val="28"/>
          <w:szCs w:val="28"/>
          <w:lang w:eastAsia="zh-CN"/>
        </w:rPr>
        <w:t>2023</w:t>
      </w:r>
      <w:r w:rsidRPr="00E644AB">
        <w:rPr>
          <w:rFonts w:ascii="黑体" w:eastAsia="黑体" w:hAnsi="黑体" w:cs="仿宋_GB2312" w:hint="eastAsia"/>
          <w:color w:val="auto"/>
          <w:sz w:val="28"/>
          <w:szCs w:val="28"/>
          <w:lang w:eastAsia="zh-CN"/>
        </w:rPr>
        <w:t>-2030年期间充电基础设施建设规划。</w:t>
      </w:r>
      <w:r w:rsidR="00334547">
        <w:rPr>
          <w:rFonts w:ascii="黑体" w:eastAsia="黑体" w:hAnsi="黑体" w:cs="仿宋_GB2312" w:hint="eastAsia"/>
          <w:color w:val="auto"/>
          <w:sz w:val="28"/>
          <w:szCs w:val="28"/>
          <w:lang w:eastAsia="zh-CN"/>
        </w:rPr>
        <w:t>2023</w:t>
      </w:r>
      <w:r w:rsidRPr="00E644AB">
        <w:rPr>
          <w:rFonts w:ascii="黑体" w:eastAsia="黑体" w:hAnsi="黑体" w:cs="仿宋_GB2312" w:hint="eastAsia"/>
          <w:color w:val="auto"/>
          <w:sz w:val="28"/>
          <w:szCs w:val="28"/>
          <w:lang w:eastAsia="zh-CN"/>
        </w:rPr>
        <w:t>-2030年期间广汉市规划总计需建设约</w:t>
      </w:r>
      <w:r w:rsidRPr="00E644AB">
        <w:rPr>
          <w:rFonts w:ascii="黑体" w:eastAsia="黑体" w:hAnsi="黑体" w:cs="仿宋_GB2312"/>
          <w:color w:val="auto"/>
          <w:sz w:val="28"/>
          <w:szCs w:val="28"/>
          <w:lang w:eastAsia="zh-CN"/>
        </w:rPr>
        <w:t>20</w:t>
      </w:r>
      <w:r w:rsidRPr="00E644AB">
        <w:rPr>
          <w:rFonts w:ascii="黑体" w:eastAsia="黑体" w:hAnsi="黑体" w:cs="仿宋_GB2312" w:hint="eastAsia"/>
          <w:color w:val="auto"/>
          <w:sz w:val="28"/>
          <w:szCs w:val="28"/>
          <w:lang w:eastAsia="zh-CN"/>
        </w:rPr>
        <w:t>8</w:t>
      </w:r>
      <w:r w:rsidRPr="00E644AB">
        <w:rPr>
          <w:rFonts w:ascii="黑体" w:eastAsia="黑体" w:hAnsi="黑体" w:cs="仿宋_GB2312"/>
          <w:color w:val="auto"/>
          <w:sz w:val="28"/>
          <w:szCs w:val="28"/>
          <w:lang w:eastAsia="zh-CN"/>
        </w:rPr>
        <w:t>3</w:t>
      </w:r>
      <w:r w:rsidRPr="00E644AB">
        <w:rPr>
          <w:rFonts w:ascii="黑体" w:eastAsia="黑体" w:hAnsi="黑体" w:cs="仿宋_GB2312" w:hint="eastAsia"/>
          <w:color w:val="auto"/>
          <w:sz w:val="28"/>
          <w:szCs w:val="28"/>
          <w:lang w:eastAsia="zh-CN"/>
        </w:rPr>
        <w:t>根直流快充桩，以及约1</w:t>
      </w:r>
      <w:r w:rsidRPr="00E644AB">
        <w:rPr>
          <w:rFonts w:ascii="黑体" w:eastAsia="黑体" w:hAnsi="黑体" w:cs="仿宋_GB2312"/>
          <w:color w:val="auto"/>
          <w:sz w:val="28"/>
          <w:szCs w:val="28"/>
          <w:lang w:eastAsia="zh-CN"/>
        </w:rPr>
        <w:t>00</w:t>
      </w:r>
      <w:r w:rsidRPr="00E644AB">
        <w:rPr>
          <w:rFonts w:ascii="黑体" w:eastAsia="黑体" w:hAnsi="黑体" w:cs="仿宋_GB2312" w:hint="eastAsia"/>
          <w:color w:val="auto"/>
          <w:sz w:val="28"/>
          <w:szCs w:val="28"/>
          <w:lang w:eastAsia="zh-CN"/>
        </w:rPr>
        <w:t>0根交流慢充桩。当前已建成投入使用的充电桩包括203根直流快充桩和54根交流慢充桩；新增规划</w:t>
      </w:r>
      <w:r w:rsidRPr="00E644AB">
        <w:rPr>
          <w:rFonts w:ascii="黑体" w:eastAsia="黑体" w:hAnsi="黑体" w:cs="仿宋_GB2312"/>
          <w:color w:val="auto"/>
          <w:sz w:val="28"/>
          <w:szCs w:val="28"/>
          <w:lang w:eastAsia="zh-CN"/>
        </w:rPr>
        <w:t>1880</w:t>
      </w:r>
      <w:r w:rsidRPr="00E644AB">
        <w:rPr>
          <w:rFonts w:ascii="黑体" w:eastAsia="黑体" w:hAnsi="黑体" w:cs="仿宋_GB2312" w:hint="eastAsia"/>
          <w:color w:val="auto"/>
          <w:sz w:val="28"/>
          <w:szCs w:val="28"/>
          <w:lang w:eastAsia="zh-CN"/>
        </w:rPr>
        <w:t>根直流快充桩，9</w:t>
      </w:r>
      <w:r w:rsidRPr="00E644AB">
        <w:rPr>
          <w:rFonts w:ascii="黑体" w:eastAsia="黑体" w:hAnsi="黑体" w:cs="仿宋_GB2312"/>
          <w:color w:val="auto"/>
          <w:sz w:val="28"/>
          <w:szCs w:val="28"/>
          <w:lang w:eastAsia="zh-CN"/>
        </w:rPr>
        <w:t>46</w:t>
      </w:r>
      <w:r w:rsidRPr="00E644AB">
        <w:rPr>
          <w:rFonts w:ascii="黑体" w:eastAsia="黑体" w:hAnsi="黑体" w:cs="仿宋_GB2312" w:hint="eastAsia"/>
          <w:color w:val="auto"/>
          <w:sz w:val="28"/>
          <w:szCs w:val="28"/>
          <w:lang w:eastAsia="zh-CN"/>
        </w:rPr>
        <w:t>根交流慢充桩，新增规划名称如表4</w:t>
      </w:r>
      <w:r w:rsidR="00894E81">
        <w:rPr>
          <w:rFonts w:ascii="黑体" w:eastAsia="黑体" w:hAnsi="黑体" w:cs="仿宋_GB2312" w:hint="eastAsia"/>
          <w:color w:val="auto"/>
          <w:sz w:val="28"/>
          <w:szCs w:val="28"/>
          <w:lang w:eastAsia="zh-CN"/>
        </w:rPr>
        <w:t>.</w:t>
      </w:r>
      <w:r w:rsidRPr="00E644AB">
        <w:rPr>
          <w:rFonts w:ascii="黑体" w:eastAsia="黑体" w:hAnsi="黑体" w:cs="仿宋_GB2312" w:hint="eastAsia"/>
          <w:color w:val="auto"/>
          <w:sz w:val="28"/>
          <w:szCs w:val="28"/>
          <w:lang w:eastAsia="zh-CN"/>
        </w:rPr>
        <w:t>1所示。居民私人慢充桩的安装规模约为10356根，不做统一规划。</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w:t>
      </w:r>
      <w:r w:rsidR="00894E81" w:rsidRPr="00894E81">
        <w:rPr>
          <w:rFonts w:ascii="黑体" w:eastAsia="黑体" w:hAnsi="黑体" w:cs="黑体" w:hint="eastAsia"/>
          <w:color w:val="auto"/>
          <w:lang w:eastAsia="zh-CN"/>
        </w:rPr>
        <w:t>4.</w:t>
      </w:r>
      <w:r w:rsidRPr="00894E81">
        <w:rPr>
          <w:rFonts w:ascii="黑体" w:eastAsia="黑体" w:hAnsi="黑体" w:cs="黑体" w:hint="eastAsia"/>
          <w:color w:val="auto"/>
          <w:lang w:eastAsia="zh-CN"/>
        </w:rPr>
        <w:t>1 广汉市</w:t>
      </w:r>
      <w:r w:rsidR="00334547">
        <w:rPr>
          <w:rFonts w:ascii="黑体" w:eastAsia="黑体" w:hAnsi="黑体" w:cs="黑体" w:hint="eastAsia"/>
          <w:color w:val="auto"/>
          <w:lang w:eastAsia="zh-CN"/>
        </w:rPr>
        <w:t>2023</w:t>
      </w:r>
      <w:r w:rsidRPr="00894E81">
        <w:rPr>
          <w:rFonts w:ascii="黑体" w:eastAsia="黑体" w:hAnsi="黑体" w:cs="黑体" w:hint="eastAsia"/>
          <w:color w:val="auto"/>
          <w:lang w:eastAsia="zh-CN"/>
        </w:rPr>
        <w:t>-2030年充电基础设施部分新建规划</w:t>
      </w:r>
    </w:p>
    <w:tbl>
      <w:tblPr>
        <w:tblW w:w="4937" w:type="pct"/>
        <w:tblLayout w:type="fixed"/>
        <w:tblLook w:val="04A0"/>
      </w:tblPr>
      <w:tblGrid>
        <w:gridCol w:w="958"/>
        <w:gridCol w:w="2692"/>
        <w:gridCol w:w="3832"/>
        <w:gridCol w:w="852"/>
        <w:gridCol w:w="846"/>
      </w:tblGrid>
      <w:tr w:rsidR="00E644AB" w:rsidRPr="00E644AB" w:rsidTr="009A4EE1">
        <w:trPr>
          <w:trHeight w:val="270"/>
        </w:trPr>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b/>
                <w:bCs/>
                <w:color w:val="auto"/>
                <w:lang w:eastAsia="zh-CN" w:bidi="ar-SA"/>
              </w:rPr>
            </w:pPr>
            <w:r w:rsidRPr="00E644AB">
              <w:rPr>
                <w:rFonts w:ascii="黑体" w:eastAsia="黑体" w:hAnsi="黑体" w:cs="宋体" w:hint="eastAsia"/>
                <w:b/>
                <w:bCs/>
                <w:color w:val="auto"/>
                <w:lang w:eastAsia="zh-CN" w:bidi="ar-SA"/>
              </w:rPr>
              <w:t>序号</w:t>
            </w:r>
          </w:p>
        </w:tc>
        <w:tc>
          <w:tcPr>
            <w:tcW w:w="1466" w:type="pct"/>
            <w:tcBorders>
              <w:top w:val="single" w:sz="4" w:space="0" w:color="auto"/>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b/>
                <w:bCs/>
                <w:color w:val="auto"/>
                <w:lang w:eastAsia="zh-CN" w:bidi="ar-SA"/>
              </w:rPr>
            </w:pPr>
            <w:r w:rsidRPr="00E644AB">
              <w:rPr>
                <w:rFonts w:ascii="黑体" w:eastAsia="黑体" w:hAnsi="黑体" w:cs="宋体" w:hint="eastAsia"/>
                <w:b/>
                <w:bCs/>
                <w:color w:val="auto"/>
                <w:lang w:eastAsia="zh-CN" w:bidi="ar-SA"/>
              </w:rPr>
              <w:t>名称</w:t>
            </w:r>
          </w:p>
        </w:tc>
        <w:tc>
          <w:tcPr>
            <w:tcW w:w="2085" w:type="pct"/>
            <w:tcBorders>
              <w:top w:val="single" w:sz="4" w:space="0" w:color="auto"/>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b/>
                <w:bCs/>
                <w:color w:val="auto"/>
                <w:lang w:eastAsia="zh-CN" w:bidi="ar-SA"/>
              </w:rPr>
            </w:pPr>
            <w:r w:rsidRPr="00E644AB">
              <w:rPr>
                <w:rFonts w:ascii="黑体" w:eastAsia="黑体" w:hAnsi="黑体" w:cs="宋体" w:hint="eastAsia"/>
                <w:b/>
                <w:bCs/>
                <w:color w:val="auto"/>
                <w:lang w:eastAsia="zh-CN" w:bidi="ar-SA"/>
              </w:rPr>
              <w:t>位置</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E644AB" w:rsidRPr="00E644AB" w:rsidRDefault="005E58AF" w:rsidP="00E644AB">
            <w:pPr>
              <w:widowControl/>
              <w:spacing w:line="240" w:lineRule="auto"/>
              <w:ind w:firstLineChars="0" w:firstLine="0"/>
              <w:jc w:val="center"/>
              <w:rPr>
                <w:rFonts w:ascii="黑体" w:eastAsia="黑体" w:hAnsi="黑体" w:cs="宋体"/>
                <w:b/>
                <w:bCs/>
                <w:color w:val="auto"/>
                <w:lang w:eastAsia="zh-CN" w:bidi="ar-SA"/>
              </w:rPr>
            </w:pPr>
            <w:r>
              <w:rPr>
                <w:rFonts w:ascii="黑体" w:eastAsia="黑体" w:hAnsi="黑体" w:cs="宋体" w:hint="eastAsia"/>
                <w:b/>
                <w:bCs/>
                <w:color w:val="auto"/>
                <w:lang w:eastAsia="zh-CN" w:bidi="ar-SA"/>
              </w:rPr>
              <w:t>快充</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E644AB" w:rsidRPr="00E644AB" w:rsidRDefault="005E58AF" w:rsidP="00E644AB">
            <w:pPr>
              <w:widowControl/>
              <w:spacing w:line="240" w:lineRule="auto"/>
              <w:ind w:firstLineChars="0" w:firstLine="0"/>
              <w:jc w:val="center"/>
              <w:rPr>
                <w:rFonts w:ascii="黑体" w:eastAsia="黑体" w:hAnsi="黑体" w:cs="宋体"/>
                <w:b/>
                <w:bCs/>
                <w:color w:val="auto"/>
                <w:lang w:eastAsia="zh-CN" w:bidi="ar-SA"/>
              </w:rPr>
            </w:pPr>
            <w:r>
              <w:rPr>
                <w:rFonts w:ascii="黑体" w:eastAsia="黑体" w:hAnsi="黑体" w:cs="宋体" w:hint="eastAsia"/>
                <w:b/>
                <w:bCs/>
                <w:color w:val="auto"/>
                <w:lang w:eastAsia="zh-CN" w:bidi="ar-SA"/>
              </w:rPr>
              <w:t>慢充</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四川广汉实验小学</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广汉市武昌路南二段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四川省广汉市中学</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广汉市三星堆大道西一段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四川省广汉市第六中学</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广汉市书院街一段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四川省广汉市第三中学</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广汉市浏阳路东一段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广汉东门汽车站停车场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广汉市成都路东四段东门汽车站</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广汉北站停车场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广汉市城北新区北京大道南侧广汉北站停车场</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阳光丽苑小区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广汉市佛山路西二段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泓景湾小区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广汉市西安路一段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万兴一品小区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广汉市西安路二段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雒城一号小区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广汉市中山大道南三段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奥园玖珑湾小区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广汉市汉口路东二段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金雁蔚蓝郡小区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广汉市天津路西二段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13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万科悦城小区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广汉市青什路龙院南侧</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格林威治庄园小区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广汉市深圳路东三段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经典上城小区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广汉市延安路二段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金领格兰维亚小区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广汉市保定路西一段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广汉市国家现代农业产业园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广汉市旌江干道东南侧</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CC1B25"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广汉市工业集中发展区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广汉市小汉镇</w:t>
            </w:r>
            <w:r w:rsidRPr="00E644AB">
              <w:rPr>
                <w:rFonts w:ascii="黑体" w:eastAsia="黑体" w:hAnsi="黑体" w:cs="宋体" w:hint="eastAsia"/>
                <w:color w:val="auto"/>
                <w:lang w:eastAsia="zh-CN" w:bidi="ar-SA"/>
              </w:rPr>
              <w:t>G108</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CC1B25"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广汉市鑫和工业园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广汉市旌江干道东南侧</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广汉市汉州工业园区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广汉市川陕公路</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广汉市高新技术产业开发区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广汉市三亚路一段与京昆线交叉路口</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CC1B25"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广汉市湿地公园停车场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广汉市汉州大道金雁水苑湿地公园</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CC1B25"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广汉市文体中心停车场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广汉市汉口路东段广汉市文化体育中心右侧</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CC1B25"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广汉宾馆</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广汉市东西大街东一段东西大街东一段东北侧</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文庙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广汉市雒城街道武昌路南二段房湖公园东门</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广汉中山医院停车场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广汉市青岛路北二段广汉中山医院</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广汉市汉楠机械租赁站停车场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w:t>
            </w:r>
            <w:r w:rsidRPr="00E644AB">
              <w:rPr>
                <w:rFonts w:ascii="黑体" w:eastAsia="黑体" w:hAnsi="黑体" w:cs="宋体" w:hint="eastAsia"/>
                <w:color w:val="auto"/>
                <w:lang w:eastAsia="zh-CN" w:bidi="ar-SA"/>
              </w:rPr>
              <w:t>G108(</w:t>
            </w:r>
            <w:r w:rsidRPr="00E644AB">
              <w:rPr>
                <w:rFonts w:ascii="黑体" w:eastAsia="黑体" w:hAnsi="黑体" w:cs="宋体" w:hint="eastAsia"/>
                <w:color w:val="auto"/>
                <w:lang w:eastAsia="zh-CN" w:bidi="ar-SA"/>
              </w:rPr>
              <w:t>成都路东四段</w:t>
            </w:r>
            <w:r w:rsidRPr="00E644AB">
              <w:rPr>
                <w:rFonts w:ascii="黑体" w:eastAsia="黑体" w:hAnsi="黑体" w:cs="宋体" w:hint="eastAsia"/>
                <w:color w:val="auto"/>
                <w:lang w:eastAsia="zh-CN" w:bidi="ar-SA"/>
              </w:rPr>
              <w:t>)</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广汉市粮食和物资储备局停车场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广汉市武庙步行街育松园西侧</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广汉市烟草专卖局停车场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广汉市肇庆路东段皇家花苑</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金雁公园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广汉市西安路一段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广汉市文化馆</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广汉市西安路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稻虾乐园景区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754505" w:rsidP="00E644AB">
            <w:pPr>
              <w:widowControl/>
              <w:spacing w:line="240" w:lineRule="auto"/>
              <w:ind w:firstLineChars="0" w:firstLine="0"/>
              <w:jc w:val="center"/>
              <w:rPr>
                <w:rFonts w:ascii="黑体" w:eastAsia="黑体" w:hAnsi="黑体" w:cs="宋体"/>
                <w:color w:val="auto"/>
                <w:lang w:eastAsia="zh-CN" w:bidi="ar-SA"/>
              </w:rPr>
            </w:pPr>
            <w:r w:rsidRPr="00754505">
              <w:rPr>
                <w:rFonts w:ascii="黑体" w:eastAsia="黑体" w:hAnsi="黑体" w:cs="宋体"/>
                <w:color w:val="auto"/>
                <w:lang w:eastAsia="zh-CN" w:bidi="ar-SA"/>
              </w:rPr>
              <w:t>广汉市高坪镇</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雒城遗址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广汉市中山大道北一段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刘家祠堂</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等线" w:eastAsia="黑体" w:hAnsi="等线" w:cs="宋体" w:hint="eastAsia"/>
                <w:color w:val="auto"/>
                <w:lang w:eastAsia="zh-CN" w:bidi="ar-SA"/>
              </w:rPr>
              <w:t> </w:t>
            </w:r>
            <w:r w:rsidRPr="00E644AB">
              <w:rPr>
                <w:rFonts w:ascii="黑体" w:eastAsia="黑体" w:hAnsi="黑体" w:cs="宋体" w:hint="eastAsia"/>
                <w:color w:val="auto"/>
                <w:lang w:eastAsia="zh-CN" w:bidi="ar-SA"/>
              </w:rPr>
              <w:t>广汉市</w:t>
            </w:r>
            <w:r w:rsidR="00754505" w:rsidRPr="00754505">
              <w:rPr>
                <w:rFonts w:ascii="黑体" w:eastAsia="黑体" w:hAnsi="黑体" w:cs="宋体"/>
                <w:color w:val="auto"/>
                <w:lang w:eastAsia="zh-CN" w:bidi="ar-SA"/>
              </w:rPr>
              <w:t>慈城镇民族路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马牧河湿地景观公园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广汉市高雄路一段与中山大道南四段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滚石音乐公园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广汉市苏州路南段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房湖公园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广汉市武昌路南二段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段家院子</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754505">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广汉市高坪镇金九村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龙居寺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广汉市成都第二绕城高速龙居寺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松林桃花山乡村旅游区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广汉市松林镇旌金路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中国民航飞行学院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广汉市南昌路四段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西林凤腾通航基地</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广汉市高雄路一段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德阳高新区航展会展中心（航空航天科技展览馆）</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广汉市广金路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44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233F1B" w:rsidP="00E644AB">
            <w:pPr>
              <w:widowControl/>
              <w:spacing w:line="240" w:lineRule="auto"/>
              <w:ind w:firstLineChars="0" w:firstLine="0"/>
              <w:jc w:val="center"/>
              <w:rPr>
                <w:rFonts w:ascii="黑体" w:eastAsia="黑体" w:hAnsi="黑体" w:cs="宋体"/>
                <w:color w:val="auto"/>
                <w:lang w:eastAsia="zh-CN" w:bidi="ar-SA"/>
              </w:rPr>
            </w:pPr>
            <w:hyperlink r:id="rId13" w:history="1">
              <w:r w:rsidR="0015730C" w:rsidRPr="00E644AB">
                <w:rPr>
                  <w:rFonts w:ascii="黑体" w:eastAsia="黑体" w:hAnsi="黑体" w:cs="宋体" w:hint="eastAsia"/>
                  <w:color w:val="auto"/>
                  <w:lang w:eastAsia="zh-CN" w:bidi="ar-SA"/>
                </w:rPr>
                <w:t>榕树花园</w:t>
              </w:r>
            </w:hyperlink>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广汉市楠林村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233F1B" w:rsidP="00E644AB">
            <w:pPr>
              <w:widowControl/>
              <w:spacing w:line="240" w:lineRule="auto"/>
              <w:ind w:firstLineChars="0" w:firstLine="0"/>
              <w:jc w:val="center"/>
              <w:rPr>
                <w:rFonts w:ascii="黑体" w:eastAsia="黑体" w:hAnsi="黑体" w:cs="宋体"/>
                <w:color w:val="auto"/>
                <w:lang w:eastAsia="zh-CN" w:bidi="ar-SA"/>
              </w:rPr>
            </w:pPr>
            <w:hyperlink r:id="rId14" w:history="1">
              <w:r w:rsidR="0015730C" w:rsidRPr="00E644AB">
                <w:rPr>
                  <w:rFonts w:ascii="黑体" w:eastAsia="黑体" w:hAnsi="黑体" w:cs="宋体" w:hint="eastAsia"/>
                  <w:color w:val="auto"/>
                  <w:lang w:eastAsia="zh-CN" w:bidi="ar-SA"/>
                </w:rPr>
                <w:t>银杏花园</w:t>
              </w:r>
            </w:hyperlink>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754505">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广汉市九高路双泉客运站东侧</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233F1B" w:rsidP="00E644AB">
            <w:pPr>
              <w:widowControl/>
              <w:spacing w:line="240" w:lineRule="auto"/>
              <w:ind w:firstLineChars="0" w:firstLine="0"/>
              <w:jc w:val="center"/>
              <w:rPr>
                <w:rFonts w:ascii="黑体" w:eastAsia="黑体" w:hAnsi="黑体" w:cs="宋体"/>
                <w:color w:val="auto"/>
                <w:lang w:eastAsia="zh-CN" w:bidi="ar-SA"/>
              </w:rPr>
            </w:pPr>
            <w:hyperlink r:id="rId15" w:history="1">
              <w:r w:rsidR="0015730C" w:rsidRPr="00E644AB">
                <w:rPr>
                  <w:rFonts w:ascii="黑体" w:eastAsia="黑体" w:hAnsi="黑体" w:cs="宋体" w:hint="eastAsia"/>
                  <w:color w:val="auto"/>
                  <w:lang w:eastAsia="zh-CN" w:bidi="ar-SA"/>
                </w:rPr>
                <w:t>炳灵寺</w:t>
              </w:r>
            </w:hyperlink>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广汉市炳灵古寺</w:t>
            </w:r>
            <w:r w:rsidRPr="00E644AB">
              <w:rPr>
                <w:rFonts w:ascii="黑体" w:eastAsia="黑体" w:hAnsi="黑体" w:cs="宋体" w:hint="eastAsia"/>
                <w:color w:val="auto"/>
                <w:lang w:eastAsia="zh-CN" w:bidi="ar-SA"/>
              </w:rPr>
              <w:t>(108</w:t>
            </w:r>
            <w:r w:rsidRPr="00E644AB">
              <w:rPr>
                <w:rFonts w:ascii="黑体" w:eastAsia="黑体" w:hAnsi="黑体" w:cs="宋体" w:hint="eastAsia"/>
                <w:color w:val="auto"/>
                <w:lang w:eastAsia="zh-CN" w:bidi="ar-SA"/>
              </w:rPr>
              <w:t>国道南</w:t>
            </w:r>
            <w:r w:rsidRPr="00E644AB">
              <w:rPr>
                <w:rFonts w:ascii="黑体" w:eastAsia="黑体" w:hAnsi="黑体" w:cs="宋体" w:hint="eastAsia"/>
                <w:color w:val="auto"/>
                <w:lang w:eastAsia="zh-CN" w:bidi="ar-SA"/>
              </w:rPr>
              <w:t>)</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233F1B" w:rsidP="00E644AB">
            <w:pPr>
              <w:widowControl/>
              <w:spacing w:line="240" w:lineRule="auto"/>
              <w:ind w:firstLineChars="0" w:firstLine="0"/>
              <w:jc w:val="center"/>
              <w:rPr>
                <w:rFonts w:ascii="黑体" w:eastAsia="黑体" w:hAnsi="黑体" w:cs="宋体"/>
                <w:color w:val="auto"/>
                <w:lang w:eastAsia="zh-CN" w:bidi="ar-SA"/>
              </w:rPr>
            </w:pPr>
            <w:hyperlink r:id="rId16" w:history="1">
              <w:r w:rsidR="0015730C" w:rsidRPr="00E644AB">
                <w:rPr>
                  <w:rFonts w:ascii="黑体" w:eastAsia="黑体" w:hAnsi="黑体" w:cs="宋体" w:hint="eastAsia"/>
                  <w:color w:val="auto"/>
                  <w:lang w:eastAsia="zh-CN" w:bidi="ar-SA"/>
                </w:rPr>
                <w:t>广汉房湖公园</w:t>
              </w:r>
            </w:hyperlink>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广汉市武昌路南二段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高坪铺古镇</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754505"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w:t>
            </w:r>
            <w:r w:rsidR="0015730C" w:rsidRPr="00E644AB">
              <w:rPr>
                <w:rFonts w:ascii="黑体" w:eastAsia="黑体" w:hAnsi="黑体" w:cs="宋体" w:hint="eastAsia"/>
                <w:color w:val="auto"/>
                <w:lang w:eastAsia="zh-CN" w:bidi="ar-SA"/>
              </w:rPr>
              <w:t>北京大道西</w:t>
            </w:r>
            <w:r w:rsidR="0015730C" w:rsidRPr="00E644AB">
              <w:rPr>
                <w:rFonts w:ascii="黑体" w:eastAsia="黑体" w:hAnsi="黑体" w:cs="宋体" w:hint="eastAsia"/>
                <w:color w:val="auto"/>
                <w:lang w:eastAsia="zh-CN" w:bidi="ar-SA"/>
              </w:rPr>
              <w:t>200</w:t>
            </w:r>
            <w:r w:rsidR="0015730C"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广汉市西部西高花千谷</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广汉市高坪镇万柏村成德大道</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老君观</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广汉市亭江街</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德阳国际会展中心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广汉市北京大道一段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52</w:t>
            </w:r>
          </w:p>
        </w:tc>
        <w:tc>
          <w:tcPr>
            <w:tcW w:w="1466"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广汉市三星堆大草原充电站（三星堆博物馆充电站）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三星堆博物馆</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r w:rsidRPr="00E644AB">
              <w:rPr>
                <w:rFonts w:eastAsia="黑体"/>
                <w:color w:val="auto"/>
                <w:lang w:eastAsia="zh-CN" w:bidi="ar-SA"/>
              </w:rPr>
              <w:t> </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三星堆旅游综合交通枢纽客运站充电站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三星堆旅游综合交通枢纽客运站</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广汉城际列车客运站充电站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广汉城际列车客运站</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广汉市汽车客运中心充电站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广汉市汽车客运中心</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易家河坝旅游风景区充电站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易家河坝旅游风景区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广汉市明源留恋人家充电站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广汉留恋人家餐厅停车场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广汉市中山大道地下停车场充电站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广汉市中山大道北二段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广汉市长沙路停车场充电站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广汉市雁江南路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广汉市湿地公园停车场充电站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广汉市汉州大道金雁水苑湿地公园</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广汉市文体中心停车场充电站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广汉市汉口路东段广汉市文化体育中心右侧停车场内</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7A6D8B"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hint="eastAsia"/>
                <w:color w:val="auto"/>
                <w:lang w:eastAsia="zh-CN" w:bidi="ar-SA"/>
              </w:rPr>
              <w:t>广汉</w:t>
            </w:r>
            <w:r w:rsidR="0015730C" w:rsidRPr="00E644AB">
              <w:rPr>
                <w:rFonts w:ascii="黑体" w:eastAsia="黑体" w:hAnsi="黑体" w:cs="宋体" w:hint="eastAsia"/>
                <w:color w:val="auto"/>
                <w:lang w:eastAsia="zh-CN" w:bidi="ar-SA"/>
              </w:rPr>
              <w:t>市委充电站（二期）</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广汉市成都路西段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广汉市人民政府充电站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广汉市汉口路二段</w:t>
            </w:r>
            <w:r w:rsidRPr="00E644AB">
              <w:rPr>
                <w:rFonts w:ascii="黑体" w:eastAsia="黑体" w:hAnsi="黑体" w:cs="宋体" w:hint="eastAsia"/>
                <w:color w:val="auto"/>
                <w:lang w:eastAsia="zh-CN" w:bidi="ar-SA"/>
              </w:rPr>
              <w:t>102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广汉市新人民医院充电站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广汉市西安路三段</w:t>
            </w:r>
            <w:r w:rsidRPr="00E644AB">
              <w:rPr>
                <w:rFonts w:ascii="黑体" w:eastAsia="黑体" w:hAnsi="黑体" w:cs="宋体" w:hint="eastAsia"/>
                <w:color w:val="auto"/>
                <w:lang w:eastAsia="zh-CN" w:bidi="ar-SA"/>
              </w:rPr>
              <w:t>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w:t>
            </w:r>
            <w:r w:rsidRPr="00E644AB">
              <w:rPr>
                <w:rFonts w:ascii="黑体" w:eastAsia="黑体" w:hAnsi="黑体" w:cs="宋体" w:hint="eastAsia"/>
                <w:color w:val="auto"/>
                <w:lang w:eastAsia="zh-CN" w:bidi="ar-SA"/>
              </w:rPr>
              <w:t>174</w:t>
            </w:r>
            <w:r w:rsidRPr="00E644AB">
              <w:rPr>
                <w:rFonts w:ascii="黑体" w:eastAsia="黑体" w:hAnsi="黑体" w:cs="宋体" w:hint="eastAsia"/>
                <w:color w:val="auto"/>
                <w:lang w:eastAsia="zh-CN" w:bidi="ar-SA"/>
              </w:rPr>
              <w:t>小区充电站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广汉市福州路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向阳汉舟电气停车场充电站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广汉市向阳镇汉舟电气停车场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爱弥儿幼儿园充电站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广汉市天津路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广汉市宏一新能源有限公司充电站建设项目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广汉市连山镇柳埝村八社</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科锐得广汉石氏汽车产业园充电站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w:t>
            </w:r>
            <w:r w:rsidRPr="00E644AB">
              <w:rPr>
                <w:rFonts w:ascii="黑体" w:eastAsia="黑体" w:hAnsi="黑体" w:cs="宋体" w:hint="eastAsia"/>
                <w:color w:val="auto"/>
                <w:lang w:eastAsia="zh-CN" w:bidi="ar-SA"/>
              </w:rPr>
              <w:t>G108(</w:t>
            </w:r>
            <w:r w:rsidRPr="00E644AB">
              <w:rPr>
                <w:rFonts w:ascii="黑体" w:eastAsia="黑体" w:hAnsi="黑体" w:cs="宋体" w:hint="eastAsia"/>
                <w:color w:val="auto"/>
                <w:lang w:eastAsia="zh-CN" w:bidi="ar-SA"/>
              </w:rPr>
              <w:t>京昆线</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石氏汽车产业园内</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广汉市集中式充电项目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广汉市西高镇万柏村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71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广汉其云新能源项目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广汉市深圳路东二段</w:t>
            </w:r>
            <w:r w:rsidRPr="00E644AB">
              <w:rPr>
                <w:rFonts w:ascii="黑体" w:eastAsia="黑体" w:hAnsi="黑体" w:cs="宋体" w:hint="eastAsia"/>
                <w:color w:val="auto"/>
                <w:lang w:eastAsia="zh-CN" w:bidi="ar-SA"/>
              </w:rPr>
              <w:t>39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冠宇新能源汽车销售有限公司充电桩建设项目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广汉市高雄路一段</w:t>
            </w:r>
            <w:r w:rsidRPr="00E644AB">
              <w:rPr>
                <w:rFonts w:ascii="黑体" w:eastAsia="黑体" w:hAnsi="黑体" w:cs="宋体" w:hint="eastAsia"/>
                <w:color w:val="auto"/>
                <w:lang w:eastAsia="zh-CN" w:bidi="ar-SA"/>
              </w:rPr>
              <w:t>18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广青加油站增设充电桩项目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广汉市北外乡新源村</w:t>
            </w:r>
            <w:r w:rsidRPr="00E644AB">
              <w:rPr>
                <w:rFonts w:ascii="黑体" w:eastAsia="黑体" w:hAnsi="黑体" w:cs="宋体" w:hint="eastAsia"/>
                <w:color w:val="auto"/>
                <w:lang w:eastAsia="zh-CN" w:bidi="ar-SA"/>
              </w:rPr>
              <w:t>16</w:t>
            </w:r>
            <w:r w:rsidRPr="00E644AB">
              <w:rPr>
                <w:rFonts w:ascii="黑体" w:eastAsia="黑体" w:hAnsi="黑体" w:cs="宋体" w:hint="eastAsia"/>
                <w:color w:val="auto"/>
                <w:lang w:eastAsia="zh-CN" w:bidi="ar-SA"/>
              </w:rPr>
              <w:t>社</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广汉金鱼加油站新建單棚及配套设施项目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广汉市金鱼镇青岗村</w:t>
            </w:r>
            <w:r w:rsidRPr="00E644AB">
              <w:rPr>
                <w:rFonts w:ascii="黑体" w:eastAsia="黑体" w:hAnsi="黑体" w:cs="宋体" w:hint="eastAsia"/>
                <w:color w:val="auto"/>
                <w:lang w:eastAsia="zh-CN" w:bidi="ar-SA"/>
              </w:rPr>
              <w:t>16</w:t>
            </w:r>
            <w:r w:rsidRPr="00E644AB">
              <w:rPr>
                <w:rFonts w:ascii="黑体" w:eastAsia="黑体" w:hAnsi="黑体" w:cs="宋体" w:hint="eastAsia"/>
                <w:color w:val="auto"/>
                <w:lang w:eastAsia="zh-CN" w:bidi="ar-SA"/>
              </w:rPr>
              <w:t>社</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科锐得德阳广茂加油站充电站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北外乡炳灵村二社中石化广茂加油站</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广汉宝湾国际物流充电站项目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广汉市东莞路二段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号宝湾国际物流园区内</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广汉浪度家居城充电站项目</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广汉市高雄路一段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广汉市高坪镇人民政府</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东升街西段</w:t>
            </w:r>
            <w:r w:rsidRPr="00E644AB">
              <w:rPr>
                <w:rFonts w:ascii="黑体" w:eastAsia="黑体" w:hAnsi="黑体" w:cs="宋体" w:hint="eastAsia"/>
                <w:color w:val="auto"/>
                <w:lang w:eastAsia="zh-CN" w:bidi="ar-SA"/>
              </w:rPr>
              <w:t>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广汉市司法局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广汉市湖南路一段</w:t>
            </w:r>
            <w:r w:rsidRPr="00E644AB">
              <w:rPr>
                <w:rFonts w:ascii="黑体" w:eastAsia="黑体" w:hAnsi="黑体" w:cs="宋体" w:hint="eastAsia"/>
                <w:color w:val="auto"/>
                <w:lang w:eastAsia="zh-CN" w:bidi="ar-SA"/>
              </w:rPr>
              <w:t>45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广汉市小汉镇政府</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小汉镇兴镇街</w:t>
            </w:r>
            <w:r w:rsidRPr="00E644AB">
              <w:rPr>
                <w:rFonts w:ascii="黑体" w:eastAsia="黑体" w:hAnsi="黑体" w:cs="宋体" w:hint="eastAsia"/>
                <w:color w:val="auto"/>
                <w:lang w:eastAsia="zh-CN" w:bidi="ar-SA"/>
              </w:rPr>
              <w:t>20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广汉市三星堆镇人民政府</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广汉市三星堆镇兴华东街</w:t>
            </w:r>
            <w:r w:rsidRPr="00E644AB">
              <w:rPr>
                <w:rFonts w:ascii="黑体" w:eastAsia="黑体" w:hAnsi="黑体" w:cs="宋体" w:hint="eastAsia"/>
                <w:color w:val="auto"/>
                <w:lang w:eastAsia="zh-CN" w:bidi="ar-SA"/>
              </w:rPr>
              <w:t>253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广汉市财政局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广汉市银川路</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广汉市人民检察院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广汉市银川路</w:t>
            </w:r>
            <w:r w:rsidRPr="00E644AB">
              <w:rPr>
                <w:rFonts w:ascii="黑体" w:eastAsia="黑体" w:hAnsi="黑体" w:cs="宋体" w:hint="eastAsia"/>
                <w:color w:val="auto"/>
                <w:lang w:eastAsia="zh-CN" w:bidi="ar-SA"/>
              </w:rPr>
              <w:t>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金雁街道办事处</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广汉市黑塔街</w:t>
            </w:r>
            <w:r w:rsidRPr="00E644AB">
              <w:rPr>
                <w:rFonts w:ascii="黑体" w:eastAsia="黑体" w:hAnsi="黑体" w:cs="宋体" w:hint="eastAsia"/>
                <w:color w:val="auto"/>
                <w:lang w:eastAsia="zh-CN" w:bidi="ar-SA"/>
              </w:rPr>
              <w:t>86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金鱼镇人民政府</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金小路二段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中国人民银行广汉支行</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天津路西一段</w:t>
            </w:r>
            <w:r w:rsidRPr="00E644AB">
              <w:rPr>
                <w:rFonts w:ascii="黑体" w:eastAsia="黑体" w:hAnsi="黑体" w:cs="宋体" w:hint="eastAsia"/>
                <w:color w:val="auto"/>
                <w:lang w:eastAsia="zh-CN" w:bidi="ar-SA"/>
              </w:rPr>
              <w:t>36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广汉市融媒体中心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广汉市西安路一段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广汉市审计局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广汉市遵义路</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广汉市水利局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广汉市长沙路西一段</w:t>
            </w:r>
            <w:r w:rsidRPr="00E644AB">
              <w:rPr>
                <w:rFonts w:ascii="黑体" w:eastAsia="黑体" w:hAnsi="黑体" w:cs="宋体" w:hint="eastAsia"/>
                <w:color w:val="auto"/>
                <w:lang w:eastAsia="zh-CN" w:bidi="ar-SA"/>
              </w:rPr>
              <w:t>29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广汉市信访局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汉口路二段</w:t>
            </w:r>
            <w:r w:rsidRPr="00E644AB">
              <w:rPr>
                <w:rFonts w:ascii="黑体" w:eastAsia="黑体" w:hAnsi="黑体" w:cs="宋体" w:hint="eastAsia"/>
                <w:color w:val="auto"/>
                <w:lang w:eastAsia="zh-CN" w:bidi="ar-SA"/>
              </w:rPr>
              <w:t>102</w:t>
            </w:r>
            <w:r w:rsidRPr="00E644AB">
              <w:rPr>
                <w:rFonts w:ascii="黑体" w:eastAsia="黑体" w:hAnsi="黑体" w:cs="宋体" w:hint="eastAsia"/>
                <w:color w:val="auto"/>
                <w:lang w:eastAsia="zh-CN" w:bidi="ar-SA"/>
              </w:rPr>
              <w:t>号市政府侧</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广汉市自然资源局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长沙路西四段</w:t>
            </w:r>
            <w:r w:rsidRPr="00E644AB">
              <w:rPr>
                <w:rFonts w:ascii="黑体" w:eastAsia="黑体" w:hAnsi="黑体" w:cs="宋体" w:hint="eastAsia"/>
                <w:color w:val="auto"/>
                <w:lang w:eastAsia="zh-CN" w:bidi="ar-SA"/>
              </w:rPr>
              <w:t>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广汉市总工会</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广汉市张仁路一段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广汉工业集中发展区管理委员会</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广汉市小汉镇京东大道</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广汉市公安局小汉派出所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广汉市京东大道</w:t>
            </w:r>
            <w:r w:rsidRPr="00E644AB">
              <w:rPr>
                <w:rFonts w:ascii="黑体" w:eastAsia="黑体" w:hAnsi="黑体" w:cs="宋体" w:hint="eastAsia"/>
                <w:color w:val="auto"/>
                <w:lang w:eastAsia="zh-CN" w:bidi="ar-SA"/>
              </w:rPr>
              <w:t>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广汉市公安局高坪派出所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广汉市东升街</w:t>
            </w:r>
            <w:r w:rsidRPr="00E644AB">
              <w:rPr>
                <w:rFonts w:ascii="黑体" w:eastAsia="黑体" w:hAnsi="黑体" w:cs="宋体" w:hint="eastAsia"/>
                <w:color w:val="auto"/>
                <w:lang w:eastAsia="zh-CN" w:bidi="ar-SA"/>
              </w:rPr>
              <w:t>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广汉市公安局连山派出所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广汉市绵远路中段</w:t>
            </w:r>
            <w:r w:rsidRPr="00E644AB">
              <w:rPr>
                <w:rFonts w:ascii="黑体" w:eastAsia="黑体" w:hAnsi="黑体" w:cs="宋体" w:hint="eastAsia"/>
                <w:color w:val="auto"/>
                <w:lang w:eastAsia="zh-CN" w:bidi="ar-SA"/>
              </w:rPr>
              <w:t>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广汉市公安局集中办案区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广汉市金鱼监管中心内</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广汉市公安局治安大队</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广汉市北京路一段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广汉市公安局三星堆派出所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广汉市新华东街</w:t>
            </w:r>
            <w:r w:rsidRPr="00E644AB">
              <w:rPr>
                <w:rFonts w:ascii="黑体" w:eastAsia="黑体" w:hAnsi="黑体" w:cs="宋体" w:hint="eastAsia"/>
                <w:color w:val="auto"/>
                <w:lang w:eastAsia="zh-CN" w:bidi="ar-SA"/>
              </w:rPr>
              <w:t>253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广汉市公安局汉州派出所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广汉市深圳路东一段</w:t>
            </w:r>
            <w:r w:rsidRPr="00E644AB">
              <w:rPr>
                <w:rFonts w:ascii="黑体" w:eastAsia="黑体" w:hAnsi="黑体" w:cs="宋体" w:hint="eastAsia"/>
                <w:color w:val="auto"/>
                <w:lang w:eastAsia="zh-CN" w:bidi="ar-SA"/>
              </w:rPr>
              <w:t>122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101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广汉市公安局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广汉市银川路</w:t>
            </w:r>
            <w:r w:rsidRPr="00E644AB">
              <w:rPr>
                <w:rFonts w:ascii="黑体" w:eastAsia="黑体" w:hAnsi="黑体" w:cs="宋体" w:hint="eastAsia"/>
                <w:color w:val="auto"/>
                <w:lang w:eastAsia="zh-CN" w:bidi="ar-SA"/>
              </w:rPr>
              <w:t>10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广汉市汉州街道办事处</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广汉市深圳路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广汉市教育局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广汉市万寿街三段</w:t>
            </w:r>
            <w:r w:rsidRPr="00E644AB">
              <w:rPr>
                <w:rFonts w:ascii="黑体" w:eastAsia="黑体" w:hAnsi="黑体" w:cs="宋体" w:hint="eastAsia"/>
                <w:color w:val="auto"/>
                <w:lang w:eastAsia="zh-CN" w:bidi="ar-SA"/>
              </w:rPr>
              <w:t>63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广汉市金轮政府</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广汉市摇亭街北段与金鑫街</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交叉口西北</w:t>
            </w:r>
            <w:r w:rsidRPr="00E644AB">
              <w:rPr>
                <w:rFonts w:ascii="黑体" w:eastAsia="黑体" w:hAnsi="黑体" w:cs="宋体" w:hint="eastAsia"/>
                <w:color w:val="auto"/>
                <w:lang w:eastAsia="zh-CN" w:bidi="ar-SA"/>
              </w:rPr>
              <w:t>160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广汉市人力资源和社会保障局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广汉市天津路西一段</w:t>
            </w:r>
            <w:r w:rsidRPr="00E644AB">
              <w:rPr>
                <w:rFonts w:ascii="黑体" w:eastAsia="黑体" w:hAnsi="黑体" w:cs="宋体" w:hint="eastAsia"/>
                <w:color w:val="auto"/>
                <w:lang w:eastAsia="zh-CN" w:bidi="ar-SA"/>
              </w:rPr>
              <w:t>42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广汉市商务和经济合作局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广汉市金雁街道银川路</w:t>
            </w:r>
            <w:r w:rsidRPr="00E644AB">
              <w:rPr>
                <w:rFonts w:ascii="黑体" w:eastAsia="黑体" w:hAnsi="黑体" w:cs="宋体" w:hint="eastAsia"/>
                <w:color w:val="auto"/>
                <w:lang w:eastAsia="zh-CN" w:bidi="ar-SA"/>
              </w:rPr>
              <w:t>24</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广汉市行政审批局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广汉市成都路西一段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市住建局机关</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广汉市长沙路东一段</w:t>
            </w:r>
            <w:r w:rsidRPr="00E644AB">
              <w:rPr>
                <w:rFonts w:ascii="黑体" w:eastAsia="黑体" w:hAnsi="黑体" w:cs="宋体" w:hint="eastAsia"/>
                <w:color w:val="auto"/>
                <w:lang w:eastAsia="zh-CN" w:bidi="ar-SA"/>
              </w:rPr>
              <w:t>28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广汉市农业农村局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广汉市南昌路二段</w:t>
            </w:r>
            <w:r w:rsidRPr="00E644AB">
              <w:rPr>
                <w:rFonts w:ascii="黑体" w:eastAsia="黑体" w:hAnsi="黑体" w:cs="宋体" w:hint="eastAsia"/>
                <w:color w:val="auto"/>
                <w:lang w:eastAsia="zh-CN" w:bidi="ar-SA"/>
              </w:rPr>
              <w:t>35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广汉市向阳镇卫生院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广汉市向阳镇川陕路北段</w:t>
            </w:r>
            <w:r w:rsidRPr="00E644AB">
              <w:rPr>
                <w:rFonts w:ascii="黑体" w:eastAsia="黑体" w:hAnsi="黑体" w:cs="宋体" w:hint="eastAsia"/>
                <w:color w:val="auto"/>
                <w:lang w:eastAsia="zh-CN" w:bidi="ar-SA"/>
              </w:rPr>
              <w:t>72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广汉市疾病预防控制中心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广汉市顺德路</w:t>
            </w:r>
            <w:r w:rsidRPr="00E644AB">
              <w:rPr>
                <w:rFonts w:ascii="黑体" w:eastAsia="黑体" w:hAnsi="黑体" w:cs="宋体" w:hint="eastAsia"/>
                <w:color w:val="auto"/>
                <w:lang w:eastAsia="zh-CN" w:bidi="ar-SA"/>
              </w:rPr>
              <w:t>133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广汉市妇幼保健院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广汉市衡阳路一段</w:t>
            </w:r>
            <w:r w:rsidRPr="00E644AB">
              <w:rPr>
                <w:rFonts w:ascii="黑体" w:eastAsia="黑体" w:hAnsi="黑体" w:cs="宋体" w:hint="eastAsia"/>
                <w:color w:val="auto"/>
                <w:lang w:eastAsia="zh-CN" w:bidi="ar-SA"/>
              </w:rPr>
              <w:t>28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广汉市金轮镇卫生院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广汉市金轮镇摇亭街</w:t>
            </w:r>
            <w:r w:rsidRPr="00E644AB">
              <w:rPr>
                <w:rFonts w:ascii="黑体" w:eastAsia="黑体" w:hAnsi="黑体" w:cs="宋体" w:hint="eastAsia"/>
                <w:color w:val="auto"/>
                <w:lang w:eastAsia="zh-CN" w:bidi="ar-SA"/>
              </w:rPr>
              <w:t>200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广汉市三水镇卫生院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广汉市三水镇九一街北段</w:t>
            </w:r>
            <w:r w:rsidRPr="00E644AB">
              <w:rPr>
                <w:rFonts w:ascii="黑体" w:eastAsia="黑体" w:hAnsi="黑体" w:cs="宋体" w:hint="eastAsia"/>
                <w:color w:val="auto"/>
                <w:lang w:eastAsia="zh-CN" w:bidi="ar-SA"/>
              </w:rPr>
              <w:t>29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广汉市连山镇中心卫生院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广汉市连山镇新建医院（连山大道）</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广汉市金雁街道社区卫生服务中心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广汉市天津路东一段</w:t>
            </w:r>
            <w:r w:rsidRPr="00E644AB">
              <w:rPr>
                <w:rFonts w:ascii="黑体" w:eastAsia="黑体" w:hAnsi="黑体" w:cs="宋体" w:hint="eastAsia"/>
                <w:color w:val="auto"/>
                <w:lang w:eastAsia="zh-CN" w:bidi="ar-SA"/>
              </w:rPr>
              <w:t>104</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广汉市小汉镇中心卫生院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广汉市小汉镇德盛街</w:t>
            </w:r>
            <w:r w:rsidRPr="00E644AB">
              <w:rPr>
                <w:rFonts w:ascii="黑体" w:eastAsia="黑体" w:hAnsi="黑体" w:cs="宋体" w:hint="eastAsia"/>
                <w:color w:val="auto"/>
                <w:lang w:eastAsia="zh-CN" w:bidi="ar-S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119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广汉市汉州街道社区卫生服务中心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广汉市深圳路西四段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广汉市南丰镇卫生院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广汉市南丰镇龙兴街北段</w:t>
            </w:r>
            <w:r w:rsidRPr="00E644AB">
              <w:rPr>
                <w:rFonts w:ascii="黑体" w:eastAsia="黑体" w:hAnsi="黑体" w:cs="宋体" w:hint="eastAsia"/>
                <w:color w:val="auto"/>
                <w:lang w:eastAsia="zh-CN" w:bidi="ar-SA"/>
              </w:rPr>
              <w:t>39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广汉市精神病医院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广汉市青什路</w:t>
            </w:r>
            <w:r w:rsidRPr="00E644AB">
              <w:rPr>
                <w:rFonts w:ascii="黑体" w:eastAsia="黑体" w:hAnsi="黑体" w:cs="宋体" w:hint="eastAsia"/>
                <w:color w:val="auto"/>
                <w:lang w:eastAsia="zh-CN" w:bidi="ar-SA"/>
              </w:rPr>
              <w:t>130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广汉市雒城街道青什路社区卫生服务中心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广汉市青什路</w:t>
            </w:r>
            <w:r w:rsidRPr="00E644AB">
              <w:rPr>
                <w:rFonts w:ascii="黑体" w:eastAsia="黑体" w:hAnsi="黑体" w:cs="宋体" w:hint="eastAsia"/>
                <w:color w:val="auto"/>
                <w:lang w:eastAsia="zh-CN" w:bidi="ar-SA"/>
              </w:rPr>
              <w:t>130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广汉市卫生和计划生育监督执法大队</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广汉市桃源路</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广汉市三星堆镇中心卫生院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广汉市三星堆镇兴华西街</w:t>
            </w:r>
            <w:r w:rsidRPr="00E644AB">
              <w:rPr>
                <w:rFonts w:ascii="黑体" w:eastAsia="黑体" w:hAnsi="黑体" w:cs="宋体" w:hint="eastAsia"/>
                <w:color w:val="auto"/>
                <w:lang w:eastAsia="zh-CN" w:bidi="ar-SA"/>
              </w:rPr>
              <w:t>22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广汉市公共卫生健康指导中心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广汉市汉口路一段</w:t>
            </w:r>
            <w:r w:rsidRPr="00E644AB">
              <w:rPr>
                <w:rFonts w:ascii="黑体" w:eastAsia="黑体" w:hAnsi="黑体" w:cs="宋体" w:hint="eastAsia"/>
                <w:color w:val="auto"/>
                <w:lang w:eastAsia="zh-CN" w:bidi="ar-SA"/>
              </w:rPr>
              <w:t>133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广汉市金鱼镇卫生院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广汉市金鱼镇金小路</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段</w:t>
            </w:r>
            <w:r w:rsidRPr="00E644AB">
              <w:rPr>
                <w:rFonts w:ascii="黑体" w:eastAsia="黑体" w:hAnsi="黑体" w:cs="宋体" w:hint="eastAsia"/>
                <w:color w:val="auto"/>
                <w:lang w:eastAsia="zh-CN" w:bidi="ar-SA"/>
              </w:rPr>
              <w:t>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广汉市高坪镇中心卫生院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广汉市高坪镇高雄路北段</w:t>
            </w:r>
            <w:r w:rsidRPr="00E644AB">
              <w:rPr>
                <w:rFonts w:ascii="黑体" w:eastAsia="黑体" w:hAnsi="黑体" w:cs="宋体" w:hint="eastAsia"/>
                <w:color w:val="auto"/>
                <w:lang w:eastAsia="zh-CN" w:bidi="ar-SA"/>
              </w:rPr>
              <w:t>85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广汉市雒城街道顺德路社区卫生服务中心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广汉市佛山路东段</w:t>
            </w:r>
            <w:r w:rsidRPr="00E644AB">
              <w:rPr>
                <w:rFonts w:ascii="黑体" w:eastAsia="黑体" w:hAnsi="黑体" w:cs="宋体" w:hint="eastAsia"/>
                <w:color w:val="auto"/>
                <w:lang w:eastAsia="zh-CN" w:bidi="ar-SA"/>
              </w:rPr>
              <w:t>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广汉市中医医院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广汉市东西大街西二段</w:t>
            </w:r>
            <w:r w:rsidRPr="00E644AB">
              <w:rPr>
                <w:rFonts w:ascii="黑体" w:eastAsia="黑体" w:hAnsi="黑体" w:cs="宋体" w:hint="eastAsia"/>
                <w:color w:val="auto"/>
                <w:lang w:eastAsia="zh-CN" w:bidi="ar-SA"/>
              </w:rPr>
              <w:t>147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广汉市卫生健康局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广汉市银川路</w:t>
            </w:r>
            <w:r w:rsidRPr="00E644AB">
              <w:rPr>
                <w:rFonts w:ascii="黑体" w:eastAsia="黑体" w:hAnsi="黑体" w:cs="宋体" w:hint="eastAsia"/>
                <w:color w:val="auto"/>
                <w:lang w:eastAsia="zh-CN" w:bidi="ar-SA"/>
              </w:rPr>
              <w:t>16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广汉市市场监管局</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广汉市西湖路西一段</w:t>
            </w:r>
            <w:r w:rsidRPr="00E644AB">
              <w:rPr>
                <w:rFonts w:ascii="黑体" w:eastAsia="黑体" w:hAnsi="黑体" w:cs="宋体" w:hint="eastAsia"/>
                <w:color w:val="auto"/>
                <w:lang w:eastAsia="zh-CN" w:bidi="ar-SA"/>
              </w:rPr>
              <w:t>27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132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广汉市高坪镇古镇</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古镇停车场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三星堆镇场镇公共停车场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三星堆镇向新路与建兴东路交汇处东北侧</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三星堆镇场镇公共停车场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三星堆镇建兴西路南兴社区办公地北侧</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四川国际石材产业园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广汉市湘潭路八段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r w:rsidRPr="00E644AB">
              <w:rPr>
                <w:rFonts w:ascii="黑体" w:eastAsia="黑体"/>
                <w:color w:val="auto"/>
                <w:lang w:eastAsia="zh-CN" w:bidi="ar-SA"/>
              </w:rPr>
              <w:t> </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天旭城际物流基地</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广汉经济开发区高雄路西段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广汉市高新区会展中心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广汉市航空路一段</w:t>
            </w:r>
            <w:r w:rsidRPr="00E644AB">
              <w:rPr>
                <w:rFonts w:ascii="黑体" w:eastAsia="黑体" w:hAnsi="黑体" w:cs="宋体" w:hint="eastAsia"/>
                <w:color w:val="auto"/>
                <w:lang w:eastAsia="zh-CN" w:bidi="ar-SA"/>
              </w:rPr>
              <w:t>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中国航油加油站（广连站）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德阳市广汉市旌江干道西</w:t>
            </w:r>
            <w:r w:rsidRPr="00E644AB">
              <w:rPr>
                <w:rFonts w:ascii="黑体" w:eastAsia="黑体" w:hAnsi="黑体" w:cs="宋体" w:hint="eastAsia"/>
                <w:color w:val="auto"/>
                <w:lang w:eastAsia="zh-CN" w:bidi="ar-SA"/>
              </w:rPr>
              <w:t>50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r w:rsidRPr="00E644AB">
              <w:rPr>
                <w:rFonts w:ascii="黑体" w:eastAsia="黑体"/>
                <w:color w:val="auto"/>
                <w:lang w:eastAsia="zh-CN" w:bidi="ar-SA"/>
              </w:rPr>
              <w:t> </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139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广汉市兴隆场居委会</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广汉市兴隆镇金汇路二段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广汉鑫和工业园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德阳市广汉市旌江干道</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广汉市双石村卫生站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德阳市广青路和高小路交界</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华地财富广场停车场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广汉市福州路二段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中国石油川庆安检院附近</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四川省德阳市广汉市绍兴路三段</w:t>
            </w:r>
            <w:r w:rsidRPr="00E644AB">
              <w:rPr>
                <w:rFonts w:ascii="黑体" w:eastAsia="黑体" w:hAnsi="黑体" w:cs="宋体" w:hint="eastAsia"/>
                <w:color w:val="auto"/>
                <w:lang w:eastAsia="zh-CN" w:bidi="ar-SA"/>
              </w:rPr>
              <w:t>11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IPE</w:t>
            </w:r>
            <w:r w:rsidRPr="00E644AB">
              <w:rPr>
                <w:rFonts w:ascii="黑体" w:eastAsia="黑体" w:hAnsi="黑体" w:cs="宋体" w:hint="eastAsia"/>
                <w:color w:val="auto"/>
                <w:lang w:eastAsia="zh-CN" w:bidi="ar-SA"/>
              </w:rPr>
              <w:t>石油公司北侧</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四川省德阳市广东路东二段与福州路交口</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中腾石油加油站内</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广汉市三水镇广金公路与旌江干道交叉路口往东南</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梅西百货停车场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四川省德阳市广汉市中山大道南一段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54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百伦广场停车场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四川省德阳市广汉市中山大道南</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段</w:t>
            </w:r>
            <w:r w:rsidRPr="00E644AB">
              <w:rPr>
                <w:rFonts w:ascii="黑体" w:eastAsia="黑体" w:hAnsi="黑体" w:cs="宋体" w:hint="eastAsia"/>
                <w:color w:val="auto"/>
                <w:lang w:eastAsia="zh-CN" w:bidi="ar-SA"/>
              </w:rPr>
              <w:t>50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中国石油加油站（广汉城西站）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广汉市韶山路一段</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149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延长壳牌加油站（广汉南昌路站）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广汉市南昌路二段</w:t>
            </w:r>
            <w:r w:rsidRPr="00E644AB">
              <w:rPr>
                <w:rFonts w:ascii="黑体" w:eastAsia="黑体" w:hAnsi="黑体" w:cs="宋体" w:hint="eastAsia"/>
                <w:color w:val="auto"/>
                <w:lang w:eastAsia="zh-CN" w:bidi="ar-SA"/>
              </w:rPr>
              <w:t>42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吐哈石油苑</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福州路二段</w:t>
            </w:r>
            <w:r w:rsidRPr="00E644AB">
              <w:rPr>
                <w:rFonts w:ascii="黑体" w:eastAsia="黑体" w:hAnsi="黑体" w:cs="宋体" w:hint="eastAsia"/>
                <w:color w:val="auto"/>
                <w:lang w:eastAsia="zh-CN" w:bidi="ar-SA"/>
              </w:rPr>
              <w:t>58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广油苑</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中山大道南二段</w:t>
            </w:r>
            <w:r w:rsidRPr="00E644AB">
              <w:rPr>
                <w:rFonts w:ascii="黑体" w:eastAsia="黑体" w:hAnsi="黑体" w:cs="宋体" w:hint="eastAsia"/>
                <w:color w:val="auto"/>
                <w:lang w:eastAsia="zh-CN" w:bidi="ar-SA"/>
              </w:rPr>
              <w:t>87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汉州锦苑</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福州路二段</w:t>
            </w:r>
            <w:r w:rsidRPr="00E644AB">
              <w:rPr>
                <w:rFonts w:ascii="黑体" w:eastAsia="黑体" w:hAnsi="黑体" w:cs="宋体" w:hint="eastAsia"/>
                <w:color w:val="auto"/>
                <w:lang w:eastAsia="zh-CN" w:bidi="ar-SA"/>
              </w:rPr>
              <w:t>118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三亚小区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广汉市三亚路一段</w:t>
            </w:r>
            <w:r w:rsidRPr="00E644AB">
              <w:rPr>
                <w:rFonts w:ascii="黑体" w:eastAsia="黑体" w:hAnsi="黑体" w:cs="宋体" w:hint="eastAsia"/>
                <w:color w:val="auto"/>
                <w:lang w:eastAsia="zh-CN" w:bidi="ar-SA"/>
              </w:rPr>
              <w:t>108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漳州小区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漳州路北段</w:t>
            </w:r>
            <w:r w:rsidRPr="00E644AB">
              <w:rPr>
                <w:rFonts w:ascii="黑体" w:eastAsia="黑体" w:hAnsi="黑体" w:cs="宋体" w:hint="eastAsia"/>
                <w:color w:val="auto"/>
                <w:lang w:eastAsia="zh-CN" w:bidi="ar-SA"/>
              </w:rPr>
              <w:t>51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福馨苑小区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汉州街道福州路</w:t>
            </w:r>
            <w:r w:rsidRPr="00E644AB">
              <w:rPr>
                <w:rFonts w:ascii="黑体" w:eastAsia="黑体" w:hAnsi="黑体" w:cs="宋体" w:hint="eastAsia"/>
                <w:color w:val="auto"/>
                <w:lang w:eastAsia="zh-CN" w:bidi="ar-SA"/>
              </w:rPr>
              <w:t>6</w:t>
            </w:r>
            <w:r w:rsidRPr="00E644AB">
              <w:rPr>
                <w:rFonts w:ascii="黑体" w:eastAsia="黑体" w:hAnsi="黑体" w:cs="宋体" w:hint="eastAsia"/>
                <w:color w:val="auto"/>
                <w:lang w:eastAsia="zh-CN" w:bidi="ar-SA"/>
              </w:rPr>
              <w:t>段</w:t>
            </w:r>
            <w:r w:rsidRPr="00E644AB">
              <w:rPr>
                <w:rFonts w:ascii="黑体" w:eastAsia="黑体" w:hAnsi="黑体" w:cs="宋体" w:hint="eastAsia"/>
                <w:color w:val="auto"/>
                <w:lang w:eastAsia="zh-CN" w:bidi="ar-SA"/>
              </w:rPr>
              <w:t>29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马牧自建小区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深圳路东二段</w:t>
            </w:r>
            <w:r w:rsidRPr="00E644AB">
              <w:rPr>
                <w:rFonts w:ascii="黑体" w:eastAsia="黑体" w:hAnsi="黑体" w:cs="宋体" w:hint="eastAsia"/>
                <w:color w:val="auto"/>
                <w:lang w:eastAsia="zh-CN" w:bidi="ar-SA"/>
              </w:rPr>
              <w:t>126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顺兴苑小区（西区）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九江路二段</w:t>
            </w:r>
            <w:r w:rsidRPr="00E644AB">
              <w:rPr>
                <w:rFonts w:ascii="黑体" w:eastAsia="黑体" w:hAnsi="黑体" w:cs="宋体" w:hint="eastAsia"/>
                <w:color w:val="auto"/>
                <w:lang w:eastAsia="zh-CN" w:bidi="ar-SA"/>
              </w:rPr>
              <w:t>82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顺兴苑小区（东区）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浙江路南一段</w:t>
            </w:r>
            <w:r w:rsidRPr="00E644AB">
              <w:rPr>
                <w:rFonts w:ascii="黑体" w:eastAsia="黑体" w:hAnsi="黑体" w:cs="宋体" w:hint="eastAsia"/>
                <w:color w:val="auto"/>
                <w:lang w:eastAsia="zh-CN" w:bidi="ar-SA"/>
              </w:rPr>
              <w:t>55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金轮镇寨子村停车场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金轮镇寨子村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金轮镇摇亭社区幼儿园广场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金轮镇摇亭社区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广汉市衡领家庭农场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高坪镇李堰村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广汉市人民法院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广汉市天津路西一段</w:t>
            </w:r>
            <w:r w:rsidRPr="00E644AB">
              <w:rPr>
                <w:rFonts w:ascii="黑体" w:eastAsia="黑体" w:hAnsi="黑体" w:cs="宋体" w:hint="eastAsia"/>
                <w:color w:val="auto"/>
                <w:lang w:eastAsia="zh-CN" w:bidi="ar-SA"/>
              </w:rPr>
              <w:t>48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广汉市新协和农机专合社</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南丰镇阳关村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164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广汉市稻香研究院</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金鱼镇上岺村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高坪镇稻虾乐园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高坪镇百里社区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8</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松林桃花山乡村旅游区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连山镇</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北区汽车公园充电站（二期）</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金雁街道</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新广汉中学充电站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广汉市三星堆大道西一段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169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三星湖环湖充电站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三星湖</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高新区双创中心停车场充电站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高新区双创中心停车场</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联东</w:t>
            </w:r>
            <w:r w:rsidRPr="00E644AB">
              <w:rPr>
                <w:rFonts w:ascii="黑体" w:eastAsia="黑体" w:hAnsi="黑体" w:cs="宋体" w:hint="eastAsia"/>
                <w:color w:val="auto"/>
                <w:lang w:eastAsia="zh-CN" w:bidi="ar-SA"/>
              </w:rPr>
              <w:t>U</w:t>
            </w:r>
            <w:r w:rsidRPr="00E644AB">
              <w:rPr>
                <w:rFonts w:ascii="黑体" w:eastAsia="黑体" w:hAnsi="黑体" w:cs="宋体" w:hint="eastAsia"/>
                <w:color w:val="auto"/>
                <w:lang w:eastAsia="zh-CN" w:bidi="ar-SA"/>
              </w:rPr>
              <w:t>谷产业园充电站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联东</w:t>
            </w:r>
            <w:r w:rsidRPr="00E644AB">
              <w:rPr>
                <w:rFonts w:ascii="黑体" w:eastAsia="黑体" w:hAnsi="黑体" w:cs="宋体" w:hint="eastAsia"/>
                <w:color w:val="auto"/>
                <w:lang w:eastAsia="zh-CN" w:bidi="ar-SA"/>
              </w:rPr>
              <w:t>U</w:t>
            </w:r>
            <w:r w:rsidRPr="00E644AB">
              <w:rPr>
                <w:rFonts w:ascii="黑体" w:eastAsia="黑体" w:hAnsi="黑体" w:cs="宋体" w:hint="eastAsia"/>
                <w:color w:val="auto"/>
                <w:lang w:eastAsia="zh-CN" w:bidi="ar-SA"/>
              </w:rPr>
              <w:t>谷产业园</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南山产业园充电站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南山产业园</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京东西南智能结算中心停车场充电站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京东西南智能结算中心</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普洛斯物流园充电站（二期）</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普洛斯物流园</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金雁湖公园</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广汉市北京路一段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广汉市金雁广场充电站</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广汉市林园巷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35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银座城市中心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广汉市中山大道北二段</w:t>
            </w:r>
            <w:r w:rsidRPr="00E644AB">
              <w:rPr>
                <w:rFonts w:ascii="黑体" w:eastAsia="黑体" w:hAnsi="黑体" w:cs="宋体" w:hint="eastAsia"/>
                <w:color w:val="auto"/>
                <w:lang w:eastAsia="zh-CN" w:bidi="ar-SA"/>
              </w:rPr>
              <w:t>27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世纪百盛</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广汉市东西大街东一段</w:t>
            </w:r>
            <w:r w:rsidRPr="00E644AB">
              <w:rPr>
                <w:rFonts w:ascii="黑体" w:eastAsia="黑体" w:hAnsi="黑体" w:cs="宋体" w:hint="eastAsia"/>
                <w:color w:val="auto"/>
                <w:lang w:eastAsia="zh-CN" w:bidi="ar-SA"/>
              </w:rPr>
              <w:t>17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179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锦弘广场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广汉市扬州路</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中山商场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中山大道北二段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麦丁小城</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汉州街道大件路与汉口路交汇处</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银河国际商贸广场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佛山路奥特莱斯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4</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置地商业广场</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三星堆镇政府东</w:t>
            </w:r>
            <w:r w:rsidRPr="00E644AB">
              <w:rPr>
                <w:rFonts w:ascii="黑体" w:eastAsia="黑体" w:hAnsi="黑体" w:cs="宋体" w:hint="eastAsia"/>
                <w:color w:val="auto"/>
                <w:lang w:eastAsia="zh-CN" w:bidi="ar-SA"/>
              </w:rPr>
              <w:t>100</w:t>
            </w:r>
            <w:r w:rsidRPr="00E644AB">
              <w:rPr>
                <w:rFonts w:ascii="黑体" w:eastAsia="黑体" w:hAnsi="黑体" w:cs="宋体" w:hint="eastAsia"/>
                <w:color w:val="auto"/>
                <w:lang w:eastAsia="zh-CN" w:bidi="ar-SA"/>
              </w:rPr>
              <w:t>米九高路南</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广汉百货大楼</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中山大道南</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段</w:t>
            </w:r>
            <w:r w:rsidRPr="00E644AB">
              <w:rPr>
                <w:rFonts w:ascii="黑体" w:eastAsia="黑体" w:hAnsi="黑体" w:cs="宋体" w:hint="eastAsia"/>
                <w:color w:val="auto"/>
                <w:lang w:eastAsia="zh-CN" w:bidi="ar-SA"/>
              </w:rPr>
              <w:t>6</w:t>
            </w:r>
            <w:r w:rsidRPr="00E644AB">
              <w:rPr>
                <w:rFonts w:ascii="黑体" w:eastAsia="黑体" w:hAnsi="黑体" w:cs="宋体" w:hint="eastAsia"/>
                <w:color w:val="auto"/>
                <w:lang w:eastAsia="zh-CN" w:bidi="ar-SA"/>
              </w:rPr>
              <w:t>号西北</w:t>
            </w:r>
            <w:r w:rsidRPr="00E644AB">
              <w:rPr>
                <w:rFonts w:ascii="黑体" w:eastAsia="黑体" w:hAnsi="黑体" w:cs="宋体" w:hint="eastAsia"/>
                <w:color w:val="auto"/>
                <w:lang w:eastAsia="zh-CN" w:bidi="ar-SA"/>
              </w:rPr>
              <w:t>50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百斯特购物中心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向阳镇马岱路</w:t>
            </w:r>
            <w:r w:rsidRPr="00E644AB">
              <w:rPr>
                <w:rFonts w:ascii="黑体" w:eastAsia="黑体" w:hAnsi="黑体" w:cs="宋体" w:hint="eastAsia"/>
                <w:color w:val="auto"/>
                <w:lang w:eastAsia="zh-CN" w:bidi="ar-SA"/>
              </w:rPr>
              <w:t>13</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世纪景度购物中心</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001</w:t>
            </w:r>
            <w:r w:rsidRPr="00E644AB">
              <w:rPr>
                <w:rFonts w:ascii="黑体" w:eastAsia="黑体" w:hAnsi="黑体" w:cs="宋体" w:hint="eastAsia"/>
                <w:color w:val="auto"/>
                <w:lang w:eastAsia="zh-CN" w:bidi="ar-SA"/>
              </w:rPr>
              <w:t>乡道与同心街交叉路口北</w:t>
            </w:r>
            <w:r w:rsidRPr="00E644AB">
              <w:rPr>
                <w:rFonts w:ascii="黑体" w:eastAsia="黑体" w:hAnsi="黑体" w:cs="宋体" w:hint="eastAsia"/>
                <w:color w:val="auto"/>
                <w:lang w:eastAsia="zh-CN" w:bidi="ar-SA"/>
              </w:rPr>
              <w:t>160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5</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广汉双燕站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广汉市旌江干道</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连山站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广汉市九高路连山镇</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蜀汉站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广汉市广德路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九高路站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广汉市九高路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广青加油站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广汉市北外乡新源村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广汉园盛站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广汉市北京大道与宏达立交交叉口</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中国石油加气站</w:t>
            </w:r>
            <w:r w:rsidRPr="00E644AB">
              <w:rPr>
                <w:rFonts w:ascii="黑体" w:eastAsia="黑体" w:hAnsi="黑体" w:cs="宋体" w:hint="eastAsia"/>
                <w:color w:val="auto"/>
                <w:lang w:eastAsia="zh-CN" w:bidi="ar-SA"/>
              </w:rPr>
              <w:t>(cng</w:t>
            </w:r>
            <w:r w:rsidRPr="00E644AB">
              <w:rPr>
                <w:rFonts w:ascii="黑体" w:eastAsia="黑体" w:hAnsi="黑体" w:cs="宋体" w:hint="eastAsia"/>
                <w:color w:val="auto"/>
                <w:lang w:eastAsia="zh-CN" w:bidi="ar-SA"/>
              </w:rPr>
              <w:t>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广汉市成都路东三段</w:t>
            </w:r>
            <w:r w:rsidRPr="00E644AB">
              <w:rPr>
                <w:rFonts w:ascii="黑体" w:eastAsia="黑体" w:hAnsi="黑体" w:cs="宋体" w:hint="eastAsia"/>
                <w:color w:val="auto"/>
                <w:lang w:eastAsia="zh-CN" w:bidi="ar-SA"/>
              </w:rPr>
              <w:t>102</w:t>
            </w:r>
            <w:r w:rsidRPr="00E644AB">
              <w:rPr>
                <w:rFonts w:ascii="黑体" w:eastAsia="黑体" w:hAnsi="黑体" w:cs="宋体" w:hint="eastAsia"/>
                <w:color w:val="auto"/>
                <w:lang w:eastAsia="zh-CN" w:bidi="ar-SA"/>
              </w:rPr>
              <w:t>号东门加气站后面</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广汉南方加油站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广汉市南昌路四段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中国石油广汉城南加油</w:t>
            </w:r>
            <w:r w:rsidRPr="00E644AB">
              <w:rPr>
                <w:rFonts w:ascii="黑体" w:eastAsia="黑体" w:hAnsi="黑体" w:cs="宋体" w:hint="eastAsia"/>
                <w:color w:val="auto"/>
                <w:lang w:eastAsia="zh-CN" w:bidi="ar-SA"/>
              </w:rPr>
              <w:lastRenderedPageBreak/>
              <w:t>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 xml:space="preserve"> </w:t>
            </w:r>
            <w:r w:rsidRPr="00E644AB">
              <w:rPr>
                <w:rFonts w:ascii="黑体" w:eastAsia="黑体" w:hAnsi="黑体" w:cs="宋体" w:hint="eastAsia"/>
                <w:color w:val="auto"/>
                <w:lang w:eastAsia="zh-CN" w:bidi="ar-SA"/>
              </w:rPr>
              <w:t>广汉市九江路二段</w:t>
            </w:r>
            <w:r w:rsidRPr="00E644AB">
              <w:rPr>
                <w:rFonts w:ascii="黑体" w:eastAsia="黑体" w:hAnsi="黑体" w:cs="宋体" w:hint="eastAsia"/>
                <w:color w:val="auto"/>
                <w:lang w:eastAsia="zh-CN" w:bidi="ar-SA"/>
              </w:rPr>
              <w:t>32</w:t>
            </w:r>
            <w:r w:rsidRPr="00E644AB">
              <w:rPr>
                <w:rFonts w:ascii="黑体" w:eastAsia="黑体" w:hAnsi="黑体" w:cs="宋体" w:hint="eastAsia"/>
                <w:color w:val="auto"/>
                <w:lang w:eastAsia="zh-CN" w:bidi="ar-SA"/>
              </w:rPr>
              <w:t>号</w:t>
            </w:r>
            <w:r w:rsidRPr="00E644AB">
              <w:rPr>
                <w:rFonts w:ascii="黑体" w:eastAsia="黑体" w:hAnsi="黑体" w:cs="宋体" w:hint="eastAsia"/>
                <w:color w:val="auto"/>
                <w:lang w:eastAsia="zh-CN" w:bidi="ar-SA"/>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196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中腾石油加油站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三友站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广汉市三水镇石观村广金公路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深圳路站</w:t>
            </w:r>
            <w:r w:rsidRPr="00E644AB">
              <w:rPr>
                <w:rFonts w:ascii="黑体" w:eastAsia="黑体" w:hAnsi="黑体" w:cs="宋体" w:hint="eastAsia"/>
                <w:color w:val="auto"/>
                <w:lang w:eastAsia="zh-CN" w:bidi="ar-SA"/>
              </w:rPr>
              <w:t>)</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广汉市深圳路西五段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中国石油广汉广青加油站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广汉市金雁街道广青路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199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中国石油广汉西外加油站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广汉市九高路与玉林路交叉处</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中国石油广汉三星加油站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广汉市三亚路一段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大件路</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广汉市成都路东一段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中国石油广汉观音寺加油站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广汉市北京大道与向新路交叉路口</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中国石油广汉城西加油站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广汉市雒城镇西湖路西一段</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中国石油广汉向阳加油站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广汉市向阳镇胜利村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金火街</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广汉市金轮镇雒金路中国石油金轮桥加油站</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湘潭路</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广汉市湘潭路七段</w:t>
            </w:r>
            <w:r w:rsidRPr="00E644AB">
              <w:rPr>
                <w:rFonts w:ascii="黑体" w:eastAsia="黑体" w:hAnsi="黑体" w:cs="宋体" w:hint="eastAsia"/>
                <w:color w:val="auto"/>
                <w:lang w:eastAsia="zh-CN" w:bidi="ar-SA"/>
              </w:rPr>
              <w:t>10</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中国石油万福加油站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广大路</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 </w:t>
            </w:r>
            <w:r w:rsidRPr="00E644AB">
              <w:rPr>
                <w:rFonts w:ascii="黑体" w:eastAsia="黑体" w:hAnsi="黑体" w:cs="宋体" w:hint="eastAsia"/>
                <w:color w:val="auto"/>
                <w:lang w:eastAsia="zh-CN" w:bidi="ar-SA"/>
              </w:rPr>
              <w:t>广汉市广大路</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中国石油广汉西林加油站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广汉市雒金路与成德大道交叉口</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中国石化金谷加油站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广汉市三星堆镇金谷村三星堆快速通道旁</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中国石化利民加油站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广汉市高坪镇金九村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中国石化白云加油站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广汉市金鱼镇白云村九高路旁</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中国石化凤凰加油站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广汉市向阳镇江南村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广青路</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广汉市大同路与广青路交叉口</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九高路</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广汉市金鱼镇北京大道与九高路交叉口</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中国石化广茂加油站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广汉市金雁街道炳灵村二社</w:t>
            </w:r>
            <w:r w:rsidRPr="00E644AB">
              <w:rPr>
                <w:rFonts w:ascii="黑体" w:eastAsia="黑体" w:hAnsi="黑体" w:cs="宋体" w:hint="eastAsia"/>
                <w:color w:val="auto"/>
                <w:lang w:eastAsia="zh-CN" w:bidi="ar-SA"/>
              </w:rPr>
              <w:t>108</w:t>
            </w:r>
            <w:r w:rsidRPr="00E644AB">
              <w:rPr>
                <w:rFonts w:ascii="黑体" w:eastAsia="黑体" w:hAnsi="黑体" w:cs="宋体" w:hint="eastAsia"/>
                <w:color w:val="auto"/>
                <w:lang w:eastAsia="zh-CN" w:bidi="ar-SA"/>
              </w:rPr>
              <w:t>国道旁</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中国石化广汉停车区西加油站</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广汉市新丰街道卡房村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中国石化广汉东加油站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广汉市新丰镇卡房村</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中国石化高雄加油气站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广汉市高雄路与</w:t>
            </w:r>
            <w:r w:rsidRPr="00E644AB">
              <w:rPr>
                <w:rFonts w:ascii="黑体" w:eastAsia="黑体" w:hAnsi="黑体" w:cs="宋体" w:hint="eastAsia"/>
                <w:color w:val="auto"/>
                <w:lang w:eastAsia="zh-CN" w:bidi="ar-SA"/>
              </w:rPr>
              <w:t>G108</w:t>
            </w:r>
            <w:r w:rsidRPr="00E644AB">
              <w:rPr>
                <w:rFonts w:ascii="黑体" w:eastAsia="黑体" w:hAnsi="黑体" w:cs="宋体" w:hint="eastAsia"/>
                <w:color w:val="auto"/>
                <w:lang w:eastAsia="zh-CN" w:bidi="ar-SA"/>
              </w:rPr>
              <w:t>国道交汇处</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219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中国石化天华加油站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广汉市中山大道南四段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延长壳牌广汉德广加油</w:t>
            </w:r>
            <w:r w:rsidRPr="00E644AB">
              <w:rPr>
                <w:rFonts w:ascii="黑体" w:eastAsia="黑体" w:hAnsi="黑体" w:cs="宋体" w:hint="eastAsia"/>
                <w:color w:val="auto"/>
                <w:lang w:eastAsia="zh-CN" w:bidi="ar-SA"/>
              </w:rPr>
              <w:lastRenderedPageBreak/>
              <w:t>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广汉市</w:t>
            </w:r>
            <w:r w:rsidRPr="00E644AB">
              <w:rPr>
                <w:rFonts w:ascii="黑体" w:eastAsia="黑体" w:hAnsi="黑体" w:cs="宋体" w:hint="eastAsia"/>
                <w:color w:val="auto"/>
                <w:lang w:eastAsia="zh-CN" w:bidi="ar-SA"/>
              </w:rPr>
              <w:t>108</w:t>
            </w:r>
            <w:r w:rsidRPr="00E644AB">
              <w:rPr>
                <w:rFonts w:ascii="黑体" w:eastAsia="黑体" w:hAnsi="黑体" w:cs="宋体" w:hint="eastAsia"/>
                <w:color w:val="auto"/>
                <w:lang w:eastAsia="zh-CN" w:bidi="ar-SA"/>
              </w:rPr>
              <w:t>国道东南</w:t>
            </w:r>
            <w:r w:rsidRPr="00E644AB">
              <w:rPr>
                <w:rFonts w:ascii="黑体" w:eastAsia="黑体" w:hAnsi="黑体" w:cs="宋体" w:hint="eastAsia"/>
                <w:color w:val="auto"/>
                <w:lang w:eastAsia="zh-CN" w:bidi="ar-SA"/>
              </w:rPr>
              <w:t>30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221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延长壳牌加油站</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龙潭站</w:t>
            </w:r>
            <w:r w:rsidRPr="00E644AB">
              <w:rPr>
                <w:rFonts w:ascii="黑体" w:eastAsia="黑体" w:hAnsi="黑体" w:cs="宋体" w:hint="eastAsia"/>
                <w:color w:val="auto"/>
                <w:lang w:eastAsia="zh-CN" w:bidi="ar-SA"/>
              </w:rPr>
              <w:t xml:space="preserve">) </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广汉市北京大道高坪镇花朵幼儿园</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洛小路</w:t>
            </w:r>
            <w:r w:rsidRPr="00E644AB">
              <w:rPr>
                <w:rFonts w:ascii="黑体" w:eastAsia="黑体" w:hAnsi="黑体" w:cs="宋体" w:hint="eastAsia"/>
                <w:color w:val="auto"/>
                <w:lang w:eastAsia="zh-CN" w:bidi="ar-SA"/>
              </w:rPr>
              <w:t>)</w:t>
            </w:r>
            <w:r w:rsidRPr="00E644AB">
              <w:rPr>
                <w:rFonts w:ascii="黑体" w:eastAsia="黑体" w:hAnsi="黑体" w:cs="宋体" w:hint="eastAsia"/>
                <w:color w:val="auto"/>
                <w:lang w:eastAsia="zh-CN" w:bidi="ar-SA"/>
              </w:rPr>
              <w:t>东侧</w:t>
            </w:r>
          </w:p>
        </w:tc>
        <w:tc>
          <w:tcPr>
            <w:tcW w:w="464"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广汉市环境卫生管理处停车场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广汉市东西大街西二段三星堆宾馆东北侧约</w:t>
            </w:r>
            <w:r w:rsidRPr="00E644AB">
              <w:rPr>
                <w:rFonts w:ascii="黑体" w:eastAsia="黑体" w:hAnsi="黑体" w:cs="宋体" w:hint="eastAsia"/>
                <w:color w:val="auto"/>
                <w:lang w:eastAsia="zh-CN" w:bidi="ar-SA"/>
              </w:rPr>
              <w:t>30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广汉市安吉汽车物流有限公司停车场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广汉市旌阳区泰山南路三段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224</w:t>
            </w:r>
          </w:p>
        </w:tc>
        <w:tc>
          <w:tcPr>
            <w:tcW w:w="1466"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广汉市第一运输有限责任公司停车场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广汉市苏州路北一段</w:t>
            </w:r>
            <w:r w:rsidRPr="00E644AB">
              <w:rPr>
                <w:rFonts w:ascii="黑体" w:eastAsia="黑体" w:hAnsi="黑体" w:cs="宋体" w:hint="eastAsia"/>
                <w:color w:val="auto"/>
                <w:lang w:eastAsia="zh-CN" w:bidi="ar-SA"/>
              </w:rPr>
              <w:t>45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广汉市力展物流停车场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广汉市福州路吐哈石油苑东侧约</w:t>
            </w:r>
            <w:r w:rsidRPr="00E644AB">
              <w:rPr>
                <w:rFonts w:ascii="黑体" w:eastAsia="黑体" w:hAnsi="黑体" w:cs="宋体" w:hint="eastAsia"/>
                <w:color w:val="auto"/>
                <w:lang w:eastAsia="zh-CN" w:bidi="ar-SA"/>
              </w:rPr>
              <w:t>100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20</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广汉市长吉货运停车场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广汉市苏州路南段</w:t>
            </w:r>
            <w:r w:rsidRPr="00E644AB">
              <w:rPr>
                <w:rFonts w:ascii="黑体" w:eastAsia="黑体" w:hAnsi="黑体" w:cs="宋体" w:hint="eastAsia"/>
                <w:color w:val="auto"/>
                <w:lang w:eastAsia="zh-CN" w:bidi="ar-SA"/>
              </w:rPr>
              <w:t>99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0</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广汉瞿上园大酒店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广汉市长沙路西四段</w:t>
            </w:r>
            <w:r w:rsidRPr="00E644AB">
              <w:rPr>
                <w:rFonts w:ascii="黑体" w:eastAsia="黑体" w:hAnsi="黑体" w:cs="宋体" w:hint="eastAsia"/>
                <w:color w:val="auto"/>
                <w:lang w:eastAsia="zh-CN" w:bidi="ar-SA"/>
              </w:rPr>
              <w:t>125</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广汉岷江瑞邦大酒店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广汉市贵阳路二段</w:t>
            </w:r>
            <w:r w:rsidRPr="00E644AB">
              <w:rPr>
                <w:rFonts w:ascii="黑体" w:eastAsia="黑体" w:hAnsi="黑体" w:cs="宋体" w:hint="eastAsia"/>
                <w:color w:val="auto"/>
                <w:lang w:eastAsia="zh-CN" w:bidi="ar-SA"/>
              </w:rPr>
              <w:t>182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229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广汉汉庭酒店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广汉市南昌路一段</w:t>
            </w:r>
            <w:r w:rsidRPr="00E644AB">
              <w:rPr>
                <w:rFonts w:ascii="黑体" w:eastAsia="黑体" w:hAnsi="黑体" w:cs="宋体" w:hint="eastAsia"/>
                <w:color w:val="auto"/>
                <w:lang w:eastAsia="zh-CN" w:bidi="ar-SA"/>
              </w:rPr>
              <w:t>59</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广汉海伦酒店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广汉市成都大道北一段</w:t>
            </w:r>
            <w:r w:rsidRPr="00E644AB">
              <w:rPr>
                <w:rFonts w:ascii="黑体" w:eastAsia="黑体" w:hAnsi="黑体" w:cs="宋体" w:hint="eastAsia"/>
                <w:color w:val="auto"/>
                <w:lang w:eastAsia="zh-CN" w:bidi="ar-SA"/>
              </w:rPr>
              <w:t>188</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广汉酣嘟嘟时尚酒店</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广汉市长沙路西三段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广汉丽枫酒店</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广汉市中山大道南</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广汉西园大酒店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广汉市中山大道南一段</w:t>
            </w:r>
            <w:r w:rsidRPr="00E644AB">
              <w:rPr>
                <w:rFonts w:ascii="黑体" w:eastAsia="黑体" w:hAnsi="黑体" w:cs="宋体" w:hint="eastAsia"/>
                <w:color w:val="auto"/>
                <w:lang w:eastAsia="zh-CN" w:bidi="ar-SA"/>
              </w:rPr>
              <w:t>17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广汉清沐铂金酒店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广汉市中山大道与大件路交汇处</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广汉栖木香檀酒店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广汉市高雄路二段</w:t>
            </w:r>
            <w:r w:rsidRPr="00E644AB">
              <w:rPr>
                <w:rFonts w:ascii="黑体" w:eastAsia="黑体" w:hAnsi="黑体" w:cs="宋体" w:hint="eastAsia"/>
                <w:color w:val="auto"/>
                <w:lang w:eastAsia="zh-CN" w:bidi="ar-SA"/>
              </w:rPr>
              <w:t>36</w:t>
            </w:r>
            <w:r w:rsidRPr="00E644AB">
              <w:rPr>
                <w:rFonts w:ascii="黑体" w:eastAsia="黑体" w:hAnsi="黑体" w:cs="宋体" w:hint="eastAsia"/>
                <w:color w:val="auto"/>
                <w:lang w:eastAsia="zh-CN" w:bidi="ar-SA"/>
              </w:rPr>
              <w:t>号喜邻新中心</w:t>
            </w:r>
            <w:r w:rsidRPr="00E644AB">
              <w:rPr>
                <w:rFonts w:ascii="黑体" w:eastAsia="黑体" w:hAnsi="黑体" w:cs="宋体" w:hint="eastAsia"/>
                <w:color w:val="auto"/>
                <w:lang w:eastAsia="zh-CN" w:bidi="ar-SA"/>
              </w:rPr>
              <w:t>1</w:t>
            </w:r>
            <w:r w:rsidRPr="00E644AB">
              <w:rPr>
                <w:rFonts w:ascii="黑体" w:eastAsia="黑体" w:hAnsi="黑体" w:cs="宋体" w:hint="eastAsia"/>
                <w:color w:val="auto"/>
                <w:lang w:eastAsia="zh-CN" w:bidi="ar-SA"/>
              </w:rPr>
              <w:t>栋</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广汉红豆树商务酒店</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广汉市中山大道南三段</w:t>
            </w:r>
            <w:r w:rsidRPr="00E644AB">
              <w:rPr>
                <w:rFonts w:ascii="黑体" w:eastAsia="黑体" w:hAnsi="黑体" w:cs="宋体" w:hint="eastAsia"/>
                <w:color w:val="auto"/>
                <w:lang w:eastAsia="zh-CN" w:bidi="ar-SA"/>
              </w:rPr>
              <w:t>36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5E58AF" w:rsidP="00E644AB">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color w:val="auto"/>
                <w:lang w:eastAsia="zh-CN" w:bidi="ar-SA"/>
              </w:rPr>
              <w:t>6</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广汉领峰国际广场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广汉市新丰街道遵义路</w:t>
            </w:r>
            <w:r w:rsidRPr="00E644AB">
              <w:rPr>
                <w:rFonts w:ascii="黑体" w:eastAsia="黑体" w:hAnsi="黑体" w:cs="宋体" w:hint="eastAsia"/>
                <w:color w:val="auto"/>
                <w:lang w:eastAsia="zh-CN" w:bidi="ar-SA"/>
              </w:rPr>
              <w:t>96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广汉学院国际时代广场</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广汉市三水镇南昌路四段与广金公路交叉口西</w:t>
            </w:r>
            <w:r w:rsidRPr="00E644AB">
              <w:rPr>
                <w:rFonts w:ascii="黑体" w:eastAsia="黑体" w:hAnsi="黑体" w:cs="宋体" w:hint="eastAsia"/>
                <w:color w:val="auto"/>
                <w:lang w:eastAsia="zh-CN" w:bidi="ar-SA"/>
              </w:rPr>
              <w:t>50</w:t>
            </w:r>
            <w:r w:rsidRPr="00E644AB">
              <w:rPr>
                <w:rFonts w:ascii="黑体" w:eastAsia="黑体" w:hAnsi="黑体" w:cs="宋体" w:hint="eastAsia"/>
                <w:color w:val="auto"/>
                <w:lang w:eastAsia="zh-CN" w:bidi="ar-SA"/>
              </w:rPr>
              <w:t>米</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w:t>
            </w:r>
            <w:r w:rsidR="005E58AF">
              <w:rPr>
                <w:rFonts w:ascii="黑体" w:eastAsia="黑体" w:hAnsi="黑体" w:cs="宋体"/>
                <w:color w:val="auto"/>
                <w:lang w:eastAsia="zh-CN" w:bidi="ar-SA"/>
              </w:rPr>
              <w:t>5</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239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广汉广宇大厦</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广汉市中山大道北二段</w:t>
            </w:r>
            <w:r w:rsidRPr="00E644AB">
              <w:rPr>
                <w:rFonts w:ascii="黑体" w:eastAsia="黑体" w:hAnsi="黑体" w:cs="宋体" w:hint="eastAsia"/>
                <w:color w:val="auto"/>
                <w:lang w:eastAsia="zh-CN" w:bidi="ar-SA"/>
              </w:rPr>
              <w:t>81</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广汉地质大厦</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广汉市苏州路</w:t>
            </w:r>
            <w:r w:rsidRPr="00E644AB">
              <w:rPr>
                <w:rFonts w:ascii="黑体" w:eastAsia="黑体" w:hAnsi="黑体" w:cs="宋体" w:hint="eastAsia"/>
                <w:color w:val="auto"/>
                <w:lang w:eastAsia="zh-CN" w:bidi="ar-SA"/>
              </w:rPr>
              <w:t>137</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广汉市国际金融大厦</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广汉市湖南路一段</w:t>
            </w:r>
            <w:r w:rsidRPr="00E644AB">
              <w:rPr>
                <w:rFonts w:ascii="黑体" w:eastAsia="黑体" w:hAnsi="黑体" w:cs="宋体" w:hint="eastAsia"/>
                <w:color w:val="auto"/>
                <w:lang w:eastAsia="zh-CN" w:bidi="ar-SA"/>
              </w:rPr>
              <w:t>12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广汉帝景湾综合楼</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广汉市长沙路西四段</w:t>
            </w:r>
            <w:r w:rsidRPr="00E644AB">
              <w:rPr>
                <w:rFonts w:ascii="黑体" w:eastAsia="黑体" w:hAnsi="黑体" w:cs="宋体" w:hint="eastAsia"/>
                <w:color w:val="auto"/>
                <w:lang w:eastAsia="zh-CN" w:bidi="ar-SA"/>
              </w:rPr>
              <w:t>16</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广汉工业集中发展区工会办公楼</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广汉市工业集中发展区管理委员会内</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广汉东顺大厦</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广汉市苏州路南段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广汉双益商务大厦</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广汉市佛山路东段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广汉市运城路利宝大厦</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广汉市广汉市金雁街道运城路</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247</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广汉市凯帝乐门业有限公司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广汉市湘潭路</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248</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广汉市德盛钢铁有限责任公司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广汉市兴华东街与九高路交汇处</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249</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广汉广云铝业有限公司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广汉市湘潭大道</w:t>
            </w:r>
            <w:r w:rsidRPr="00E644AB">
              <w:rPr>
                <w:rFonts w:ascii="黑体" w:eastAsia="黑体" w:hAnsi="黑体" w:cs="宋体" w:hint="eastAsia"/>
                <w:color w:val="auto"/>
                <w:lang w:eastAsia="zh-CN" w:bidi="ar-SA"/>
              </w:rPr>
              <w:t>8</w:t>
            </w:r>
            <w:r w:rsidRPr="00E644AB">
              <w:rPr>
                <w:rFonts w:ascii="黑体" w:eastAsia="黑体" w:hAnsi="黑体" w:cs="宋体" w:hint="eastAsia"/>
                <w:color w:val="auto"/>
                <w:lang w:eastAsia="zh-CN" w:bidi="ar-SA"/>
              </w:rPr>
              <w:t>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250</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广汉众望食品有限公司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广汉市台北路西一段</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251</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广汉凯威塑业有限公司</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广汉市北外乡高坪镇西</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252</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广汉市车友汽车销售有限责任公司</w:t>
            </w:r>
          </w:p>
        </w:tc>
        <w:tc>
          <w:tcPr>
            <w:tcW w:w="2085"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四川省德阳市广汉市北京大道三段</w:t>
            </w:r>
            <w:r w:rsidRPr="00E644AB">
              <w:rPr>
                <w:rFonts w:ascii="黑体" w:eastAsia="黑体" w:hAnsi="黑体" w:cs="宋体" w:hint="eastAsia"/>
                <w:color w:val="auto"/>
                <w:lang w:eastAsia="zh-CN" w:bidi="ar-SA"/>
              </w:rPr>
              <w:t>2</w:t>
            </w:r>
            <w:r w:rsidRPr="00E644AB">
              <w:rPr>
                <w:rFonts w:ascii="黑体" w:eastAsia="黑体" w:hAnsi="黑体" w:cs="宋体" w:hint="eastAsia"/>
                <w:color w:val="auto"/>
                <w:lang w:eastAsia="zh-CN" w:bidi="ar-SA"/>
              </w:rPr>
              <w:t>号</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lastRenderedPageBreak/>
              <w:t>253</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广汉国雄饲料有限公司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广汉市张华村</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254</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广汉特驱农牧科技公司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广汉市飞宇路</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255</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广汉市百唯制药有限公司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广汉市南丰镇阳关村</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E644AB" w:rsidRPr="00E644AB" w:rsidTr="009A4EE1">
        <w:trPr>
          <w:trHeight w:val="270"/>
        </w:trPr>
        <w:tc>
          <w:tcPr>
            <w:tcW w:w="522" w:type="pct"/>
            <w:tcBorders>
              <w:top w:val="nil"/>
              <w:left w:val="single" w:sz="4" w:space="0" w:color="auto"/>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256</w:t>
            </w:r>
          </w:p>
        </w:tc>
        <w:tc>
          <w:tcPr>
            <w:tcW w:w="1466"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四川永豪钢结构有限公司广汉分公司</w:t>
            </w:r>
          </w:p>
        </w:tc>
        <w:tc>
          <w:tcPr>
            <w:tcW w:w="2085"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广汉市玉林路</w:t>
            </w:r>
          </w:p>
        </w:tc>
        <w:tc>
          <w:tcPr>
            <w:tcW w:w="464" w:type="pct"/>
            <w:tcBorders>
              <w:top w:val="nil"/>
              <w:left w:val="nil"/>
              <w:bottom w:val="single" w:sz="4" w:space="0" w:color="auto"/>
              <w:right w:val="single" w:sz="4" w:space="0" w:color="auto"/>
            </w:tcBorders>
            <w:shd w:val="clear" w:color="auto" w:fill="auto"/>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12</w:t>
            </w:r>
          </w:p>
        </w:tc>
        <w:tc>
          <w:tcPr>
            <w:tcW w:w="463" w:type="pct"/>
            <w:tcBorders>
              <w:top w:val="nil"/>
              <w:left w:val="nil"/>
              <w:bottom w:val="single" w:sz="4" w:space="0" w:color="auto"/>
              <w:right w:val="single" w:sz="4" w:space="0" w:color="auto"/>
            </w:tcBorders>
            <w:shd w:val="clear" w:color="auto" w:fill="auto"/>
            <w:noWrap/>
            <w:vAlign w:val="center"/>
            <w:hideMark/>
          </w:tcPr>
          <w:p w:rsidR="00E644AB" w:rsidRPr="00E644AB" w:rsidRDefault="0015730C"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7</w:t>
            </w:r>
          </w:p>
        </w:tc>
      </w:tr>
      <w:tr w:rsidR="009A4EE1" w:rsidRPr="00E644AB" w:rsidTr="009A4EE1">
        <w:trPr>
          <w:trHeight w:val="270"/>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9A4EE1" w:rsidRPr="00E644AB" w:rsidRDefault="009A4EE1" w:rsidP="009A4EE1">
            <w:pPr>
              <w:widowControl/>
              <w:spacing w:line="240" w:lineRule="auto"/>
              <w:ind w:firstLineChars="0" w:firstLine="0"/>
              <w:jc w:val="center"/>
              <w:rPr>
                <w:rFonts w:ascii="黑体" w:eastAsia="黑体" w:hAnsi="黑体" w:cs="宋体"/>
                <w:color w:val="auto"/>
                <w:lang w:eastAsia="zh-CN" w:bidi="ar-SA"/>
              </w:rPr>
            </w:pPr>
            <w:r>
              <w:rPr>
                <w:rFonts w:ascii="黑体" w:eastAsia="黑体" w:hAnsi="黑体" w:cs="宋体" w:hint="eastAsia"/>
                <w:color w:val="auto"/>
                <w:lang w:eastAsia="zh-CN" w:bidi="ar-SA"/>
              </w:rPr>
              <w:t>2</w:t>
            </w:r>
            <w:r>
              <w:rPr>
                <w:rFonts w:ascii="黑体" w:eastAsia="黑体" w:hAnsi="黑体" w:cs="宋体"/>
                <w:color w:val="auto"/>
                <w:lang w:eastAsia="zh-CN" w:bidi="ar-SA"/>
              </w:rPr>
              <w:t>57</w:t>
            </w:r>
          </w:p>
        </w:tc>
        <w:tc>
          <w:tcPr>
            <w:tcW w:w="3553" w:type="pct"/>
            <w:gridSpan w:val="2"/>
            <w:tcBorders>
              <w:top w:val="nil"/>
              <w:left w:val="single" w:sz="4" w:space="0" w:color="auto"/>
              <w:bottom w:val="single" w:sz="4" w:space="0" w:color="auto"/>
              <w:right w:val="single" w:sz="4" w:space="0" w:color="auto"/>
            </w:tcBorders>
            <w:shd w:val="clear" w:color="auto" w:fill="auto"/>
            <w:vAlign w:val="center"/>
          </w:tcPr>
          <w:p w:rsidR="009A4EE1" w:rsidRPr="00E644AB" w:rsidRDefault="009A4EE1" w:rsidP="00754505">
            <w:pPr>
              <w:spacing w:line="240" w:lineRule="auto"/>
              <w:ind w:firstLine="48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 xml:space="preserve">总计　</w:t>
            </w:r>
          </w:p>
        </w:tc>
        <w:tc>
          <w:tcPr>
            <w:tcW w:w="464" w:type="pct"/>
            <w:tcBorders>
              <w:top w:val="nil"/>
              <w:left w:val="nil"/>
              <w:bottom w:val="single" w:sz="4" w:space="0" w:color="auto"/>
              <w:right w:val="single" w:sz="4" w:space="0" w:color="auto"/>
            </w:tcBorders>
            <w:shd w:val="clear" w:color="auto" w:fill="auto"/>
            <w:noWrap/>
            <w:vAlign w:val="center"/>
            <w:hideMark/>
          </w:tcPr>
          <w:p w:rsidR="009A4EE1" w:rsidRPr="00E644AB" w:rsidRDefault="009A4EE1"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1880</w:t>
            </w:r>
          </w:p>
        </w:tc>
        <w:tc>
          <w:tcPr>
            <w:tcW w:w="463" w:type="pct"/>
            <w:tcBorders>
              <w:top w:val="nil"/>
              <w:left w:val="nil"/>
              <w:bottom w:val="single" w:sz="4" w:space="0" w:color="auto"/>
              <w:right w:val="single" w:sz="4" w:space="0" w:color="auto"/>
            </w:tcBorders>
            <w:shd w:val="clear" w:color="auto" w:fill="auto"/>
            <w:noWrap/>
            <w:vAlign w:val="center"/>
            <w:hideMark/>
          </w:tcPr>
          <w:p w:rsidR="009A4EE1" w:rsidRPr="00E644AB" w:rsidRDefault="009A4EE1" w:rsidP="00E644AB">
            <w:pPr>
              <w:widowControl/>
              <w:spacing w:line="240" w:lineRule="auto"/>
              <w:ind w:firstLineChars="0" w:firstLine="0"/>
              <w:jc w:val="center"/>
              <w:rPr>
                <w:rFonts w:ascii="黑体" w:eastAsia="黑体" w:hAnsi="黑体" w:cs="宋体"/>
                <w:color w:val="auto"/>
                <w:lang w:eastAsia="zh-CN" w:bidi="ar-SA"/>
              </w:rPr>
            </w:pPr>
            <w:r w:rsidRPr="00E644AB">
              <w:rPr>
                <w:rFonts w:ascii="黑体" w:eastAsia="黑体" w:hAnsi="黑体" w:cs="宋体" w:hint="eastAsia"/>
                <w:color w:val="auto"/>
                <w:lang w:eastAsia="zh-CN" w:bidi="ar-SA"/>
              </w:rPr>
              <w:t>946</w:t>
            </w:r>
          </w:p>
        </w:tc>
      </w:tr>
    </w:tbl>
    <w:p w:rsidR="00FC37F6" w:rsidRPr="00223645" w:rsidRDefault="00FC37F6">
      <w:pPr>
        <w:widowControl/>
        <w:ind w:firstLine="480"/>
        <w:rPr>
          <w:rFonts w:ascii="黑体" w:eastAsia="黑体" w:hAnsi="黑体"/>
          <w:color w:val="auto"/>
          <w:lang w:eastAsia="zh-CN" w:bidi="ar-SA"/>
        </w:rPr>
      </w:pPr>
    </w:p>
    <w:p w:rsidR="00FC37F6" w:rsidRPr="00223645" w:rsidRDefault="00223645">
      <w:pPr>
        <w:widowControl/>
        <w:ind w:firstLine="480"/>
        <w:rPr>
          <w:rFonts w:ascii="黑体" w:eastAsia="黑体" w:hAnsi="黑体"/>
          <w:color w:val="auto"/>
          <w:lang w:eastAsia="zh-CN"/>
        </w:rPr>
      </w:pPr>
      <w:r w:rsidRPr="00223645">
        <w:rPr>
          <w:rFonts w:ascii="黑体" w:eastAsia="黑体" w:hAnsi="黑体"/>
          <w:noProof/>
          <w:color w:val="auto"/>
          <w:lang w:eastAsia="zh-CN" w:bidi="ar-SA"/>
        </w:rPr>
        <w:drawing>
          <wp:inline distT="0" distB="0" distL="114300" distR="114300">
            <wp:extent cx="5765165" cy="4448175"/>
            <wp:effectExtent l="0" t="0" r="6985" b="9525"/>
            <wp:docPr id="6" name="图片 6" descr="广汉规划点位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汉规划点位标注"/>
                    <pic:cNvPicPr>
                      <a:picLocks noChangeAspect="1"/>
                    </pic:cNvPicPr>
                  </pic:nvPicPr>
                  <pic:blipFill>
                    <a:blip r:embed="rId17" cstate="print"/>
                    <a:stretch>
                      <a:fillRect/>
                    </a:stretch>
                  </pic:blipFill>
                  <pic:spPr>
                    <a:xfrm>
                      <a:off x="0" y="0"/>
                      <a:ext cx="5765165" cy="4448175"/>
                    </a:xfrm>
                    <a:prstGeom prst="rect">
                      <a:avLst/>
                    </a:prstGeom>
                  </pic:spPr>
                </pic:pic>
              </a:graphicData>
            </a:graphic>
          </wp:inline>
        </w:drawing>
      </w: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图4</w:t>
      </w:r>
      <w:r w:rsidR="00894E81">
        <w:rPr>
          <w:rFonts w:ascii="黑体" w:eastAsia="黑体" w:hAnsi="黑体" w:cs="仿宋" w:hint="eastAsia"/>
          <w:color w:val="auto"/>
          <w:lang w:eastAsia="zh-CN"/>
        </w:rPr>
        <w:t>.</w:t>
      </w:r>
      <w:r w:rsidRPr="00894E81">
        <w:rPr>
          <w:rFonts w:ascii="黑体" w:eastAsia="黑体" w:hAnsi="黑体" w:cs="仿宋" w:hint="eastAsia"/>
          <w:color w:val="auto"/>
          <w:lang w:eastAsia="zh-CN"/>
        </w:rPr>
        <w:t>1 广汉市规划充电站布局图</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具体布局位置如图4.1所示。</w:t>
      </w:r>
    </w:p>
    <w:p w:rsidR="00FC37F6" w:rsidRPr="00223645" w:rsidRDefault="00223645">
      <w:pPr>
        <w:widowControl/>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依据车辆预测，至2030年底广汉市电动汽车总保有量预计为23717辆，规划总计建设约</w:t>
      </w:r>
      <w:r w:rsidRPr="00223645">
        <w:rPr>
          <w:rFonts w:ascii="黑体" w:eastAsia="黑体" w:hAnsi="黑体" w:cs="仿宋_GB2312"/>
          <w:color w:val="auto"/>
          <w:sz w:val="28"/>
          <w:szCs w:val="28"/>
          <w:lang w:eastAsia="zh-CN"/>
        </w:rPr>
        <w:t>20</w:t>
      </w:r>
      <w:r w:rsidRPr="00223645">
        <w:rPr>
          <w:rFonts w:ascii="黑体" w:eastAsia="黑体" w:hAnsi="黑体" w:cs="仿宋_GB2312" w:hint="eastAsia"/>
          <w:color w:val="auto"/>
          <w:sz w:val="28"/>
          <w:szCs w:val="28"/>
          <w:lang w:eastAsia="zh-CN"/>
        </w:rPr>
        <w:t>8</w:t>
      </w:r>
      <w:r w:rsidRPr="00223645">
        <w:rPr>
          <w:rFonts w:ascii="黑体" w:eastAsia="黑体" w:hAnsi="黑体" w:cs="仿宋_GB2312"/>
          <w:color w:val="auto"/>
          <w:sz w:val="28"/>
          <w:szCs w:val="28"/>
          <w:lang w:eastAsia="zh-CN"/>
        </w:rPr>
        <w:t>3</w:t>
      </w:r>
      <w:r w:rsidRPr="00223645">
        <w:rPr>
          <w:rFonts w:ascii="黑体" w:eastAsia="黑体" w:hAnsi="黑体" w:cs="仿宋_GB2312" w:hint="eastAsia"/>
          <w:color w:val="auto"/>
          <w:sz w:val="28"/>
          <w:szCs w:val="28"/>
          <w:lang w:eastAsia="zh-CN"/>
        </w:rPr>
        <w:t>根直流快充桩，以及约1</w:t>
      </w:r>
      <w:r w:rsidRPr="00223645">
        <w:rPr>
          <w:rFonts w:ascii="黑体" w:eastAsia="黑体" w:hAnsi="黑体" w:cs="仿宋_GB2312"/>
          <w:color w:val="auto"/>
          <w:sz w:val="28"/>
          <w:szCs w:val="28"/>
          <w:lang w:eastAsia="zh-CN"/>
        </w:rPr>
        <w:t>00</w:t>
      </w:r>
      <w:r w:rsidRPr="00223645">
        <w:rPr>
          <w:rFonts w:ascii="黑体" w:eastAsia="黑体" w:hAnsi="黑体" w:cs="仿宋_GB2312" w:hint="eastAsia"/>
          <w:color w:val="auto"/>
          <w:sz w:val="28"/>
          <w:szCs w:val="28"/>
          <w:lang w:eastAsia="zh-CN"/>
        </w:rPr>
        <w:t>0根交流慢充桩，公共充电桩与电动汽车比例为1:</w:t>
      </w:r>
      <w:r w:rsidRPr="00223645">
        <w:rPr>
          <w:rFonts w:ascii="黑体" w:eastAsia="黑体" w:hAnsi="黑体" w:cs="仿宋_GB2312"/>
          <w:color w:val="auto"/>
          <w:sz w:val="28"/>
          <w:szCs w:val="28"/>
          <w:lang w:eastAsia="zh-CN"/>
        </w:rPr>
        <w:t>7.7</w:t>
      </w:r>
      <w:r w:rsidRPr="00223645">
        <w:rPr>
          <w:rFonts w:ascii="黑体" w:eastAsia="黑体" w:hAnsi="黑体" w:cs="仿宋_GB2312" w:hint="eastAsia"/>
          <w:color w:val="auto"/>
          <w:sz w:val="28"/>
          <w:szCs w:val="28"/>
          <w:lang w:eastAsia="zh-CN"/>
        </w:rPr>
        <w:t>；广汉市核心区域面积约为40.1平方公里，规划充电站服务半径约为0.72km。满足国家能源局和四川省相</w:t>
      </w:r>
      <w:r w:rsidR="00E8452E">
        <w:rPr>
          <w:rFonts w:ascii="黑体" w:eastAsia="黑体" w:hAnsi="黑体" w:cs="仿宋_GB2312" w:hint="eastAsia"/>
          <w:color w:val="auto"/>
          <w:sz w:val="28"/>
          <w:szCs w:val="28"/>
          <w:lang w:eastAsia="zh-CN"/>
        </w:rPr>
        <w:t>关</w:t>
      </w:r>
      <w:r w:rsidR="00754505">
        <w:rPr>
          <w:rFonts w:ascii="黑体" w:eastAsia="黑体" w:hAnsi="黑体" w:cs="仿宋_GB2312" w:hint="eastAsia"/>
          <w:color w:val="auto"/>
          <w:sz w:val="28"/>
          <w:szCs w:val="28"/>
          <w:lang w:eastAsia="zh-CN"/>
        </w:rPr>
        <w:t>部门</w:t>
      </w:r>
      <w:r w:rsidRPr="00223645">
        <w:rPr>
          <w:rFonts w:ascii="黑体" w:eastAsia="黑体" w:hAnsi="黑体" w:cs="仿宋_GB2312" w:hint="eastAsia"/>
          <w:color w:val="auto"/>
          <w:sz w:val="28"/>
          <w:szCs w:val="28"/>
          <w:lang w:eastAsia="zh-CN"/>
        </w:rPr>
        <w:t>规划的比例范围。</w:t>
      </w:r>
    </w:p>
    <w:p w:rsidR="00FC37F6" w:rsidRPr="00223645" w:rsidRDefault="002236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02" w:name="_Hlk120524938"/>
      <w:r w:rsidRPr="00223645">
        <w:rPr>
          <w:rFonts w:ascii="黑体" w:eastAsia="黑体" w:hAnsi="黑体" w:cs="仿宋_GB2312" w:hint="eastAsia"/>
          <w:color w:val="auto"/>
          <w:sz w:val="28"/>
          <w:szCs w:val="28"/>
          <w:lang w:eastAsia="zh-CN"/>
        </w:rPr>
        <w:lastRenderedPageBreak/>
        <w:t>根据国家能源局发布的《电动汽车充电基础设施发展指南（2015—2020年）》（发改能源〔2015〕1454号），按电动汽车充电设施发展区域划分，全国可分为加快发展地区、示范推广地区、积极促进地区。德阳市位于“示范推广地区”，指南要求“在新能源汽车推广应用城市，公共充电桩与电动汽车比例不低于1:8，城市核心区公共充电服务半径小于0.9公里。”</w:t>
      </w:r>
      <w:r w:rsidRPr="00223645">
        <w:rPr>
          <w:rFonts w:ascii="黑体" w:eastAsia="黑体" w:hAnsi="黑体" w:cs="仿宋_GB2312"/>
          <w:color w:val="auto"/>
          <w:sz w:val="28"/>
          <w:szCs w:val="28"/>
          <w:lang w:eastAsia="zh-CN"/>
        </w:rPr>
        <w:t xml:space="preserve"> </w:t>
      </w:r>
    </w:p>
    <w:p w:rsidR="00FC37F6" w:rsidRPr="00223645" w:rsidRDefault="0022364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223645">
        <w:rPr>
          <w:rFonts w:ascii="黑体" w:eastAsia="黑体" w:hAnsi="黑体" w:cs="仿宋_GB2312" w:hint="eastAsia"/>
          <w:color w:val="auto"/>
          <w:sz w:val="28"/>
          <w:szCs w:val="28"/>
          <w:lang w:eastAsia="zh-CN"/>
        </w:rPr>
        <w:t>根据《</w:t>
      </w:r>
      <w:r w:rsidRPr="00223645">
        <w:rPr>
          <w:rFonts w:ascii="黑体" w:eastAsia="黑体" w:hAnsi="黑体" w:cs="仿宋_GB2312"/>
          <w:color w:val="auto"/>
          <w:sz w:val="28"/>
          <w:szCs w:val="28"/>
          <w:lang w:eastAsia="zh-CN"/>
        </w:rPr>
        <w:t>四川省推进电动汽车充电基础设施建设工作方案</w:t>
      </w:r>
      <w:r w:rsidRPr="00223645">
        <w:rPr>
          <w:rFonts w:ascii="黑体" w:eastAsia="黑体" w:hAnsi="黑体" w:cs="仿宋_GB2312" w:hint="eastAsia"/>
          <w:color w:val="auto"/>
          <w:sz w:val="28"/>
          <w:szCs w:val="28"/>
          <w:lang w:eastAsia="zh-CN"/>
        </w:rPr>
        <w:t>》，“</w:t>
      </w:r>
      <w:r w:rsidRPr="00223645">
        <w:rPr>
          <w:rFonts w:ascii="黑体" w:eastAsia="黑体" w:hAnsi="黑体" w:cs="仿宋_GB2312"/>
          <w:color w:val="auto"/>
          <w:sz w:val="28"/>
          <w:szCs w:val="28"/>
          <w:lang w:eastAsia="zh-CN"/>
        </w:rPr>
        <w:t>以德阳、绵阳、南充、宜宾、眉山、资阳为代表的充电基础设施超前发展地区，公（专）用充电设施与电动汽车比例不低于1：10，居住社区充电设施与私人电动汽车比例不低于1：8，城市核心区公共充电设施服务半径不大于1.5公里</w:t>
      </w:r>
      <w:r w:rsidRPr="00223645">
        <w:rPr>
          <w:rFonts w:ascii="黑体" w:eastAsia="黑体" w:hAnsi="黑体" w:cs="仿宋_GB2312" w:hint="eastAsia"/>
          <w:color w:val="auto"/>
          <w:sz w:val="28"/>
          <w:szCs w:val="28"/>
          <w:lang w:eastAsia="zh-CN"/>
        </w:rPr>
        <w:t>”</w:t>
      </w:r>
      <w:r w:rsidRPr="00223645">
        <w:rPr>
          <w:rFonts w:ascii="黑体" w:eastAsia="黑体" w:hAnsi="黑体" w:cs="仿宋_GB2312"/>
          <w:color w:val="auto"/>
          <w:sz w:val="28"/>
          <w:szCs w:val="28"/>
          <w:lang w:eastAsia="zh-CN"/>
        </w:rPr>
        <w:t>。</w:t>
      </w:r>
    </w:p>
    <w:p w:rsidR="00FC37F6" w:rsidRPr="00223645" w:rsidRDefault="00223645">
      <w:pPr>
        <w:pStyle w:val="2"/>
        <w:ind w:firstLine="643"/>
        <w:jc w:val="center"/>
        <w:rPr>
          <w:rFonts w:ascii="黑体" w:hAnsi="黑体"/>
          <w:color w:val="auto"/>
          <w:lang w:eastAsia="zh-CN"/>
        </w:rPr>
      </w:pPr>
      <w:bookmarkStart w:id="103" w:name="_Toc27436"/>
      <w:bookmarkStart w:id="104" w:name="_Toc29798"/>
      <w:bookmarkStart w:id="105" w:name="_Toc117194228"/>
      <w:bookmarkEnd w:id="102"/>
      <w:r w:rsidRPr="00223645">
        <w:rPr>
          <w:rFonts w:ascii="黑体" w:hAnsi="黑体" w:hint="eastAsia"/>
          <w:color w:val="auto"/>
          <w:lang w:eastAsia="zh-CN"/>
        </w:rPr>
        <w:t>第四节 重点任务</w:t>
      </w:r>
      <w:bookmarkEnd w:id="103"/>
      <w:bookmarkEnd w:id="104"/>
      <w:bookmarkEnd w:id="105"/>
    </w:p>
    <w:p w:rsidR="00FC37F6" w:rsidRPr="00223645" w:rsidRDefault="00223645" w:rsidP="00C95BD9">
      <w:pPr>
        <w:pStyle w:val="3"/>
        <w:numPr>
          <w:ilvl w:val="0"/>
          <w:numId w:val="25"/>
        </w:numPr>
        <w:ind w:firstLineChars="0"/>
        <w:rPr>
          <w:rFonts w:ascii="黑体" w:eastAsia="黑体" w:hAnsi="黑体"/>
          <w:color w:val="auto"/>
          <w:lang w:eastAsia="zh-CN"/>
        </w:rPr>
      </w:pPr>
      <w:r w:rsidRPr="00223645">
        <w:rPr>
          <w:rFonts w:ascii="黑体" w:eastAsia="黑体" w:hAnsi="黑体" w:hint="eastAsia"/>
          <w:color w:val="auto"/>
          <w:lang w:eastAsia="zh-CN"/>
        </w:rPr>
        <w:t>加快推进中心城区公共充电站网络建设</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（1）按照从城市中心到边缘、一类地区向二类地区逐步推进的原则，逐步增大公共充电基础设施分布密度。在中心城区以外区域或新能源重点发展地区适当新建独立用地的公共充电站。</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（2）优先结合商业中心、文体场馆等配建停车场，以及交通枢纽、轨道交通换乘站等社会公共停车场开展城市公共充电基础设施建设。</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（3）鼓励公交车、出租车、环卫、物流等企业自有停车站场配建充电基础设施并向社会公众开放。</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（4）鼓励具备条件的加油加气站配建公共充电基础设施。</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（5）鼓励具备条件的公务与私人充电桩向社会公众开放。</w:t>
      </w:r>
    </w:p>
    <w:p w:rsidR="00FC37F6" w:rsidRPr="00223645" w:rsidRDefault="00223645" w:rsidP="00C95BD9">
      <w:pPr>
        <w:pStyle w:val="3"/>
        <w:numPr>
          <w:ilvl w:val="0"/>
          <w:numId w:val="25"/>
        </w:numPr>
        <w:ind w:firstLineChars="0"/>
        <w:rPr>
          <w:rFonts w:ascii="黑体" w:eastAsia="黑体" w:hAnsi="黑体"/>
          <w:color w:val="auto"/>
          <w:lang w:eastAsia="zh-CN"/>
        </w:rPr>
      </w:pPr>
      <w:bookmarkStart w:id="106" w:name="_Toc19679"/>
      <w:r w:rsidRPr="00223645">
        <w:rPr>
          <w:rFonts w:ascii="黑体" w:eastAsia="黑体" w:hAnsi="黑体" w:hint="eastAsia"/>
          <w:color w:val="auto"/>
          <w:lang w:eastAsia="zh-CN"/>
        </w:rPr>
        <w:lastRenderedPageBreak/>
        <w:t>大力推进居民小区公用和自用充电设施建设</w:t>
      </w:r>
      <w:bookmarkEnd w:id="106"/>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积极推动住宅小区建设自用充电基础设施。对于自有产权车位或长期租赁车位的用户，优先考虑结合停车位建设充电桩，推荐采用“统建统筹、有序充电”的方式，建设个人充电桩；鼓励在已建住宅小区公共停车位配建一定比例的公共充电车位，建立充电车位分时共享机制，开展机械式和立体式停车充电一体化设施建设；对于实施条件较为困难的住宅小区，积极在周边区域发展公共充电基础设施。</w:t>
      </w:r>
    </w:p>
    <w:p w:rsidR="00FC37F6" w:rsidRPr="00223645" w:rsidRDefault="00223645" w:rsidP="00C95BD9">
      <w:pPr>
        <w:pStyle w:val="3"/>
        <w:numPr>
          <w:ilvl w:val="0"/>
          <w:numId w:val="25"/>
        </w:numPr>
        <w:ind w:firstLineChars="0"/>
        <w:rPr>
          <w:rFonts w:ascii="黑体" w:eastAsia="黑体" w:hAnsi="黑体"/>
          <w:color w:val="auto"/>
          <w:lang w:eastAsia="zh-CN"/>
        </w:rPr>
      </w:pPr>
      <w:bookmarkStart w:id="107" w:name="_Toc2125"/>
      <w:r w:rsidRPr="00223645">
        <w:rPr>
          <w:rFonts w:ascii="黑体" w:eastAsia="黑体" w:hAnsi="黑体" w:hint="eastAsia"/>
          <w:color w:val="auto"/>
          <w:lang w:eastAsia="zh-CN"/>
        </w:rPr>
        <w:t>推广公共机构停车场建设充换电设施</w:t>
      </w:r>
      <w:bookmarkEnd w:id="107"/>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1）推广公共机构新能源汽车配备使用，布局建设电动汽车充换电设施，具备条件的政府机关、学校、医院、文体场所等公共机构及企事业单位，应结合单位电动汽车配备更新计划以及职工购买使用电动汽车需求，利用单位内部停车场资源，规划电动汽车专用停车位，配建充电桩。</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（2）根据具体场所的车辆充电特点，推荐采用“快充为主、慢充为辅、灵活配比”的原则推广建设。</w:t>
      </w:r>
    </w:p>
    <w:p w:rsidR="00FC37F6" w:rsidRPr="00223645" w:rsidRDefault="00223645" w:rsidP="00C95BD9">
      <w:pPr>
        <w:pStyle w:val="3"/>
        <w:numPr>
          <w:ilvl w:val="0"/>
          <w:numId w:val="25"/>
        </w:numPr>
        <w:ind w:firstLineChars="0"/>
        <w:rPr>
          <w:rFonts w:ascii="黑体" w:eastAsia="黑体" w:hAnsi="黑体"/>
          <w:color w:val="auto"/>
          <w:lang w:eastAsia="zh-CN"/>
        </w:rPr>
      </w:pPr>
      <w:r w:rsidRPr="00223645">
        <w:rPr>
          <w:rFonts w:ascii="黑体" w:eastAsia="黑体" w:hAnsi="黑体" w:hint="eastAsia"/>
          <w:color w:val="auto"/>
          <w:lang w:eastAsia="zh-CN"/>
        </w:rPr>
        <w:t>统筹大型专用充电站建设加强充电关键技术创新应用</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鼓励科技创新，引导单位和园区内部充电设施开展“光储充放检”一体化试点应用，鼓励推广智能有序充电，逐步提高智能有序充电桩建设比例，建立充电车位分时共享机制。创新居住社区充电服务商业模式，鼓励“临近车位共享”“多车一桩”等新模式；鼓励大功率充电、车网互动等示范类设施，积极推进车网互动技术及虚拟电厂等方向创新与试点示范；鼓励创新型金融机构和保险机构在广汉市域，探索充电设施建设的金融支持和保险产品。</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lastRenderedPageBreak/>
        <w:t>对于大型的专用充电站，例如公交车专用充电站、物流环卫专用充电站等，应统筹统建，科学规划推进时序。在规划站点中应大力推广柔性互动直流充电机，V2G直流充电机等新型充电设施。因大型专用充电站中，桩数量多、功率大，加强电动汽车充放电运行调控平台、桩群调度运行等技术创新，破解电动汽车技术瓶颈，引入“虚拟电厂”与电网进行双向互动，提供充电站充电系统效率及稳定性，降低对电网的影响。推动车网友好互动。积极推广智能有序充电，落实充电设施峰谷电价政策，引导居民选用具备智能有序充电功能的充电设施参与智能有序充电，逐步提高智能有序充电设施建设比例。探索开展“光储充放”一体化试点应用，推动（V2G）模式发展，鼓励电动车作为灵活的储存电能装置；探索开展“光储充检“一体化试点应用，推动“光伏+储能+检测”模式发展，积极参与电力系统调节。</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在配电网的构成方面，构建以充电网、微电网、储能网为载体的虚拟电厂，实现以下功能</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2"/>
        <w:rPr>
          <w:rFonts w:ascii="黑体" w:eastAsia="黑体" w:hAnsi="黑体" w:cs="仿宋_GB2312"/>
          <w:color w:val="auto"/>
          <w:sz w:val="28"/>
          <w:szCs w:val="28"/>
          <w:lang w:eastAsia="zh-CN"/>
        </w:rPr>
      </w:pPr>
      <w:r w:rsidRPr="00E644AB">
        <w:rPr>
          <w:rFonts w:ascii="黑体" w:eastAsia="黑体" w:hAnsi="黑体" w:cs="仿宋_GB2312" w:hint="eastAsia"/>
          <w:b/>
          <w:color w:val="auto"/>
          <w:sz w:val="28"/>
          <w:szCs w:val="28"/>
          <w:lang w:eastAsia="zh-CN"/>
        </w:rPr>
        <w:t>有序充电</w:t>
      </w:r>
      <w:r w:rsidRPr="00E644AB">
        <w:rPr>
          <w:rFonts w:ascii="黑体" w:eastAsia="黑体" w:hAnsi="黑体" w:cs="仿宋_GB2312" w:hint="eastAsia"/>
          <w:color w:val="auto"/>
          <w:sz w:val="28"/>
          <w:szCs w:val="28"/>
          <w:lang w:eastAsia="zh-CN"/>
        </w:rPr>
        <w:t>：电动汽车作为可调负荷，低谷充电，实现移峰填谷；</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2"/>
        <w:rPr>
          <w:rFonts w:ascii="黑体" w:eastAsia="黑体" w:hAnsi="黑体" w:cs="仿宋_GB2312"/>
          <w:color w:val="auto"/>
          <w:sz w:val="28"/>
          <w:szCs w:val="28"/>
          <w:lang w:eastAsia="zh-CN"/>
        </w:rPr>
      </w:pPr>
      <w:r w:rsidRPr="00E644AB">
        <w:rPr>
          <w:rFonts w:ascii="黑体" w:eastAsia="黑体" w:hAnsi="黑体" w:cs="仿宋_GB2312" w:hint="eastAsia"/>
          <w:b/>
          <w:color w:val="auto"/>
          <w:sz w:val="28"/>
          <w:szCs w:val="28"/>
          <w:lang w:eastAsia="zh-CN"/>
        </w:rPr>
        <w:t>移动储能</w:t>
      </w:r>
      <w:r w:rsidRPr="00E644AB">
        <w:rPr>
          <w:rFonts w:ascii="黑体" w:eastAsia="黑体" w:hAnsi="黑体" w:cs="仿宋_GB2312" w:hint="eastAsia"/>
          <w:color w:val="auto"/>
          <w:sz w:val="28"/>
          <w:szCs w:val="28"/>
          <w:lang w:eastAsia="zh-CN"/>
        </w:rPr>
        <w:t>：将电池当天富余电量在高峰期放电，形成移动储能网；</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2"/>
        <w:rPr>
          <w:rFonts w:ascii="黑体" w:eastAsia="黑体" w:hAnsi="黑体" w:cs="仿宋_GB2312"/>
          <w:color w:val="auto"/>
          <w:sz w:val="28"/>
          <w:szCs w:val="28"/>
          <w:lang w:eastAsia="zh-CN"/>
        </w:rPr>
      </w:pPr>
      <w:r w:rsidRPr="00E644AB">
        <w:rPr>
          <w:rFonts w:ascii="黑体" w:eastAsia="黑体" w:hAnsi="黑体" w:cs="仿宋_GB2312" w:hint="eastAsia"/>
          <w:b/>
          <w:color w:val="auto"/>
          <w:sz w:val="28"/>
          <w:szCs w:val="28"/>
          <w:lang w:eastAsia="zh-CN"/>
        </w:rPr>
        <w:t>虚拟电厂</w:t>
      </w:r>
      <w:r w:rsidRPr="00E644AB">
        <w:rPr>
          <w:rFonts w:ascii="黑体" w:eastAsia="黑体" w:hAnsi="黑体" w:cs="仿宋_GB2312" w:hint="eastAsia"/>
          <w:color w:val="auto"/>
          <w:sz w:val="28"/>
          <w:szCs w:val="28"/>
          <w:lang w:eastAsia="zh-CN"/>
        </w:rPr>
        <w:t>：电量聚合，参与电网调峰调频辅助服务；</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2"/>
        <w:rPr>
          <w:rFonts w:ascii="黑体" w:eastAsia="黑体" w:hAnsi="黑体" w:cs="仿宋_GB2312"/>
          <w:color w:val="auto"/>
          <w:sz w:val="28"/>
          <w:szCs w:val="28"/>
          <w:lang w:eastAsia="zh-CN"/>
        </w:rPr>
      </w:pPr>
      <w:r w:rsidRPr="00E644AB">
        <w:rPr>
          <w:rFonts w:ascii="黑体" w:eastAsia="黑体" w:hAnsi="黑体" w:cs="仿宋_GB2312" w:hint="eastAsia"/>
          <w:b/>
          <w:color w:val="auto"/>
          <w:sz w:val="28"/>
          <w:szCs w:val="28"/>
          <w:lang w:eastAsia="zh-CN"/>
        </w:rPr>
        <w:t>建立光-储-充-放（检）</w:t>
      </w:r>
      <w:r w:rsidRPr="00E644AB">
        <w:rPr>
          <w:rFonts w:ascii="黑体" w:eastAsia="黑体" w:hAnsi="黑体" w:cs="仿宋_GB2312" w:hint="eastAsia"/>
          <w:color w:val="auto"/>
          <w:sz w:val="28"/>
          <w:szCs w:val="28"/>
          <w:lang w:eastAsia="zh-CN"/>
        </w:rPr>
        <w:t>：交直流混合的微电网系统；</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搭建以电为核心，一站式解决多能互补“源-网-荷-储-用”的能源供应协同和互动；让用户使用更多绿电，存储更便宜的能源，服务更多的新能源汽车，提供更快、更安全的用户体验。</w:t>
      </w:r>
    </w:p>
    <w:p w:rsidR="00FC37F6" w:rsidRPr="00223645" w:rsidRDefault="00FC37F6">
      <w:pPr>
        <w:widowControl/>
        <w:ind w:firstLine="620"/>
        <w:rPr>
          <w:rFonts w:ascii="黑体" w:eastAsia="黑体" w:hAnsi="黑体" w:cs="仿宋_GB2312"/>
          <w:color w:val="auto"/>
          <w:sz w:val="31"/>
          <w:szCs w:val="31"/>
          <w:lang w:eastAsia="zh-CN"/>
        </w:rPr>
      </w:pPr>
    </w:p>
    <w:p w:rsidR="00FC37F6" w:rsidRPr="00223645" w:rsidRDefault="00223645" w:rsidP="00C95BD9">
      <w:pPr>
        <w:pStyle w:val="3"/>
        <w:numPr>
          <w:ilvl w:val="0"/>
          <w:numId w:val="25"/>
        </w:numPr>
        <w:ind w:firstLineChars="0"/>
        <w:rPr>
          <w:rFonts w:ascii="黑体" w:eastAsia="黑体" w:hAnsi="黑体"/>
          <w:color w:val="auto"/>
          <w:lang w:eastAsia="zh-CN"/>
        </w:rPr>
      </w:pPr>
      <w:r w:rsidRPr="00223645">
        <w:rPr>
          <w:rFonts w:ascii="黑体" w:eastAsia="黑体" w:hAnsi="黑体" w:hint="eastAsia"/>
          <w:color w:val="auto"/>
          <w:lang w:eastAsia="zh-CN"/>
        </w:rPr>
        <w:lastRenderedPageBreak/>
        <w:t>统筹城乡充电设施协调发展促进乡村振兴</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随着城乡居民的低碳意识不断提高，绿色出行已成为共识，在已建成投运的新能源汽车充电站建设运营经验基础上，优化规划建设方案和运营模式。更好地满足乡村新能源汽车的充电需求，选择合理建设区位和使用培训，为乡村振兴注入绿色发展新动能。</w:t>
      </w:r>
    </w:p>
    <w:p w:rsidR="00FC37F6" w:rsidRPr="00223645" w:rsidRDefault="00223645" w:rsidP="00C95BD9">
      <w:pPr>
        <w:pStyle w:val="3"/>
        <w:numPr>
          <w:ilvl w:val="0"/>
          <w:numId w:val="25"/>
        </w:numPr>
        <w:ind w:firstLineChars="0"/>
        <w:rPr>
          <w:rFonts w:ascii="黑体" w:eastAsia="黑体" w:hAnsi="黑体"/>
          <w:color w:val="auto"/>
          <w:lang w:eastAsia="zh-CN"/>
        </w:rPr>
      </w:pPr>
      <w:bookmarkStart w:id="108" w:name="_Toc13413"/>
      <w:r w:rsidRPr="00223645">
        <w:rPr>
          <w:rFonts w:ascii="黑体" w:eastAsia="黑体" w:hAnsi="黑体" w:hint="eastAsia"/>
          <w:color w:val="auto"/>
          <w:lang w:eastAsia="zh-CN"/>
        </w:rPr>
        <w:t>加强运维管理平台的建设</w:t>
      </w:r>
      <w:bookmarkEnd w:id="108"/>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由能源管理部门组织建设充电基础设施管理服务平台，面向政府主管部门、充电设施运营商、电动汽车车主提供公共服务的综合信息共享平台，实现“人、车、桩”互联互通为基础，通过采集新能源汽车、充电基础设施运行监测信息，系统分析各场景新能源汽车充电行为特征，实时获取充电信息，实现充电设施信息管理、查询统计、实时监控、大屏幕综合展示、多平台联动以及中小企业设备代运维等综合服务管理功能，对于优化充电桩规划布局，提高企业投资积极性，畅通充用电信息发挥重要作用。</w:t>
      </w:r>
    </w:p>
    <w:p w:rsidR="00FC37F6" w:rsidRPr="00223645" w:rsidRDefault="00223645">
      <w:pPr>
        <w:pStyle w:val="2"/>
        <w:ind w:firstLine="643"/>
        <w:jc w:val="center"/>
        <w:rPr>
          <w:rFonts w:ascii="黑体" w:hAnsi="黑体"/>
          <w:color w:val="auto"/>
          <w:lang w:eastAsia="zh-CN"/>
        </w:rPr>
      </w:pPr>
      <w:bookmarkStart w:id="109" w:name="_Toc440885697"/>
      <w:bookmarkStart w:id="110" w:name="_Toc5677"/>
      <w:bookmarkStart w:id="111" w:name="_Toc19476"/>
      <w:r w:rsidRPr="00223645">
        <w:rPr>
          <w:rFonts w:ascii="黑体" w:hAnsi="黑体" w:hint="eastAsia"/>
          <w:color w:val="auto"/>
          <w:lang w:eastAsia="zh-CN"/>
        </w:rPr>
        <w:t xml:space="preserve">第五节 </w:t>
      </w:r>
      <w:bookmarkEnd w:id="109"/>
      <w:bookmarkEnd w:id="110"/>
      <w:r w:rsidRPr="00223645">
        <w:rPr>
          <w:rFonts w:ascii="黑体" w:hAnsi="黑体" w:hint="eastAsia"/>
          <w:color w:val="auto"/>
          <w:lang w:eastAsia="zh-CN"/>
        </w:rPr>
        <w:t>配套需求</w:t>
      </w:r>
      <w:bookmarkEnd w:id="111"/>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根据规划，需要新增规划公共充电用途的</w:t>
      </w:r>
      <w:r w:rsidRPr="00E644AB">
        <w:rPr>
          <w:rFonts w:ascii="黑体" w:eastAsia="黑体" w:hAnsi="黑体" w:cs="仿宋_GB2312"/>
          <w:color w:val="auto"/>
          <w:sz w:val="28"/>
          <w:szCs w:val="28"/>
          <w:lang w:eastAsia="zh-CN"/>
        </w:rPr>
        <w:t>1880</w:t>
      </w:r>
      <w:r w:rsidRPr="00E644AB">
        <w:rPr>
          <w:rFonts w:ascii="黑体" w:eastAsia="黑体" w:hAnsi="黑体" w:cs="仿宋_GB2312" w:hint="eastAsia"/>
          <w:color w:val="auto"/>
          <w:sz w:val="28"/>
          <w:szCs w:val="28"/>
          <w:lang w:eastAsia="zh-CN"/>
        </w:rPr>
        <w:t>根直流快充桩、和9</w:t>
      </w:r>
      <w:r w:rsidRPr="00E644AB">
        <w:rPr>
          <w:rFonts w:ascii="黑体" w:eastAsia="黑体" w:hAnsi="黑体" w:cs="仿宋_GB2312"/>
          <w:color w:val="auto"/>
          <w:sz w:val="28"/>
          <w:szCs w:val="28"/>
          <w:lang w:eastAsia="zh-CN"/>
        </w:rPr>
        <w:t>46</w:t>
      </w:r>
      <w:r w:rsidRPr="00E644AB">
        <w:rPr>
          <w:rFonts w:ascii="黑体" w:eastAsia="黑体" w:hAnsi="黑体" w:cs="仿宋_GB2312" w:hint="eastAsia"/>
          <w:color w:val="auto"/>
          <w:sz w:val="28"/>
          <w:szCs w:val="28"/>
          <w:lang w:eastAsia="zh-CN"/>
        </w:rPr>
        <w:t>根交流慢充桩的建设，以及居民私人慢充桩预计10356根的安装规模，依据建设条件与标准，测算充电站投资建设成本，由于充电站的技术更新速度较快，本报告以当前市场使用较多的</w:t>
      </w:r>
      <w:r w:rsidRPr="00E644AB">
        <w:rPr>
          <w:rFonts w:ascii="黑体" w:eastAsia="黑体" w:hAnsi="黑体" w:cs="仿宋_GB2312"/>
          <w:color w:val="auto"/>
          <w:sz w:val="28"/>
          <w:szCs w:val="28"/>
          <w:lang w:eastAsia="zh-CN"/>
        </w:rPr>
        <w:t>120</w:t>
      </w:r>
      <w:r w:rsidRPr="00E644AB">
        <w:rPr>
          <w:rFonts w:ascii="黑体" w:eastAsia="黑体" w:hAnsi="黑体" w:cs="仿宋_GB2312" w:hint="eastAsia"/>
          <w:color w:val="auto"/>
          <w:sz w:val="28"/>
          <w:szCs w:val="28"/>
          <w:lang w:eastAsia="zh-CN"/>
        </w:rPr>
        <w:t>kW直流快充桩和7kW交流慢充桩为测算参考。</w:t>
      </w:r>
    </w:p>
    <w:p w:rsidR="00FC37F6" w:rsidRPr="00894E81" w:rsidRDefault="00223645" w:rsidP="00894E81">
      <w:pPr>
        <w:ind w:firstLine="480"/>
        <w:jc w:val="center"/>
        <w:rPr>
          <w:rFonts w:ascii="黑体" w:eastAsia="黑体" w:hAnsi="黑体" w:cs="黑体"/>
          <w:color w:val="auto"/>
          <w:lang w:eastAsia="zh-CN"/>
        </w:rPr>
      </w:pPr>
      <w:r w:rsidRPr="00894E81">
        <w:rPr>
          <w:rFonts w:ascii="黑体" w:eastAsia="黑体" w:hAnsi="黑体" w:cs="黑体" w:hint="eastAsia"/>
          <w:color w:val="auto"/>
          <w:lang w:eastAsia="zh-CN"/>
        </w:rPr>
        <w:t>表</w:t>
      </w:r>
      <w:r w:rsidRPr="00894E81">
        <w:rPr>
          <w:rFonts w:ascii="黑体" w:eastAsia="黑体" w:hAnsi="黑体" w:cs="黑体"/>
          <w:color w:val="auto"/>
          <w:lang w:eastAsia="zh-CN"/>
        </w:rPr>
        <w:t>4</w:t>
      </w:r>
      <w:r w:rsidR="00894E81" w:rsidRPr="00894E81">
        <w:rPr>
          <w:rFonts w:ascii="黑体" w:eastAsia="黑体" w:hAnsi="黑体" w:cs="黑体" w:hint="eastAsia"/>
          <w:color w:val="auto"/>
          <w:lang w:eastAsia="zh-CN"/>
        </w:rPr>
        <w:t>.</w:t>
      </w:r>
      <w:r w:rsidRPr="00894E81">
        <w:rPr>
          <w:rFonts w:ascii="黑体" w:eastAsia="黑体" w:hAnsi="黑体" w:cs="黑体"/>
          <w:color w:val="auto"/>
          <w:lang w:eastAsia="zh-CN"/>
        </w:rPr>
        <w:t>2</w:t>
      </w:r>
      <w:r w:rsidRPr="00894E81">
        <w:rPr>
          <w:rFonts w:ascii="黑体" w:eastAsia="黑体" w:hAnsi="黑体" w:cs="黑体" w:hint="eastAsia"/>
          <w:color w:val="auto"/>
          <w:lang w:eastAsia="zh-CN"/>
        </w:rPr>
        <w:t xml:space="preserve"> 充电桩投资估算表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9"/>
        <w:gridCol w:w="1253"/>
        <w:gridCol w:w="1846"/>
        <w:gridCol w:w="2264"/>
        <w:gridCol w:w="835"/>
        <w:gridCol w:w="1550"/>
      </w:tblGrid>
      <w:tr w:rsidR="000D1C27" w:rsidRPr="00223645" w:rsidTr="000D1C27">
        <w:trPr>
          <w:trHeight w:val="464"/>
          <w:tblHeader/>
          <w:jc w:val="center"/>
        </w:trPr>
        <w:tc>
          <w:tcPr>
            <w:tcW w:w="1549" w:type="dxa"/>
            <w:vAlign w:val="center"/>
          </w:tcPr>
          <w:p w:rsidR="00FC37F6" w:rsidRPr="00223645" w:rsidRDefault="00223645" w:rsidP="00733F57">
            <w:pPr>
              <w:widowControl/>
              <w:spacing w:line="240" w:lineRule="auto"/>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分类</w:t>
            </w:r>
          </w:p>
        </w:tc>
        <w:tc>
          <w:tcPr>
            <w:tcW w:w="1253" w:type="dxa"/>
            <w:noWrap/>
            <w:vAlign w:val="center"/>
          </w:tcPr>
          <w:p w:rsidR="00FC37F6" w:rsidRPr="00223645" w:rsidRDefault="00223645" w:rsidP="00733F57">
            <w:pPr>
              <w:widowControl/>
              <w:spacing w:line="240" w:lineRule="auto"/>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规格</w:t>
            </w:r>
          </w:p>
        </w:tc>
        <w:tc>
          <w:tcPr>
            <w:tcW w:w="1846" w:type="dxa"/>
            <w:noWrap/>
            <w:vAlign w:val="center"/>
          </w:tcPr>
          <w:p w:rsidR="000D1C27"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单桩参考价格</w:t>
            </w:r>
          </w:p>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（万元）</w:t>
            </w:r>
          </w:p>
        </w:tc>
        <w:tc>
          <w:tcPr>
            <w:tcW w:w="2264"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单桩参考建设成本（万元）</w:t>
            </w:r>
          </w:p>
        </w:tc>
        <w:tc>
          <w:tcPr>
            <w:tcW w:w="835" w:type="dxa"/>
            <w:noWrap/>
            <w:vAlign w:val="center"/>
          </w:tcPr>
          <w:p w:rsidR="000D1C27" w:rsidRDefault="00223645" w:rsidP="00733F5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数量</w:t>
            </w:r>
          </w:p>
          <w:p w:rsidR="00FC37F6" w:rsidRPr="00223645" w:rsidRDefault="00223645" w:rsidP="00733F5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（个）</w:t>
            </w:r>
          </w:p>
        </w:tc>
        <w:tc>
          <w:tcPr>
            <w:tcW w:w="1550" w:type="dxa"/>
            <w:noWrap/>
            <w:vAlign w:val="center"/>
          </w:tcPr>
          <w:p w:rsidR="000D1C27" w:rsidRDefault="00223645" w:rsidP="00733F57">
            <w:pPr>
              <w:widowControl/>
              <w:spacing w:line="240" w:lineRule="auto"/>
              <w:ind w:firstLineChars="0" w:firstLine="0"/>
              <w:jc w:val="center"/>
              <w:rPr>
                <w:rFonts w:ascii="黑体" w:eastAsia="黑体" w:hAnsi="黑体" w:cs="仿宋"/>
                <w:color w:val="auto"/>
              </w:rPr>
            </w:pPr>
            <w:r w:rsidRPr="00223645">
              <w:rPr>
                <w:rFonts w:ascii="黑体" w:eastAsia="黑体" w:hAnsi="黑体" w:cs="仿宋" w:hint="eastAsia"/>
                <w:color w:val="auto"/>
              </w:rPr>
              <w:t>总投资额</w:t>
            </w:r>
          </w:p>
          <w:p w:rsidR="00FC37F6" w:rsidRPr="00223645" w:rsidRDefault="00223645" w:rsidP="00733F57">
            <w:pPr>
              <w:widowControl/>
              <w:spacing w:line="240" w:lineRule="auto"/>
              <w:ind w:firstLineChars="0" w:firstLine="0"/>
              <w:jc w:val="center"/>
              <w:rPr>
                <w:rFonts w:ascii="黑体" w:eastAsia="黑体" w:hAnsi="黑体" w:cs="仿宋"/>
                <w:color w:val="auto"/>
              </w:rPr>
            </w:pPr>
            <w:r w:rsidRPr="00223645">
              <w:rPr>
                <w:rFonts w:ascii="黑体" w:eastAsia="黑体" w:hAnsi="黑体" w:cs="仿宋"/>
                <w:color w:val="auto"/>
              </w:rPr>
              <w:t>（</w:t>
            </w:r>
            <w:r w:rsidR="000D1C27">
              <w:rPr>
                <w:rFonts w:ascii="黑体" w:eastAsia="黑体" w:hAnsi="黑体" w:cs="仿宋" w:hint="eastAsia"/>
                <w:color w:val="auto"/>
                <w:lang w:eastAsia="zh-CN"/>
              </w:rPr>
              <w:t>万</w:t>
            </w:r>
            <w:r w:rsidRPr="00223645">
              <w:rPr>
                <w:rFonts w:ascii="黑体" w:eastAsia="黑体" w:hAnsi="黑体" w:cs="仿宋" w:hint="eastAsia"/>
                <w:color w:val="auto"/>
              </w:rPr>
              <w:t>元</w:t>
            </w:r>
            <w:r w:rsidRPr="00223645">
              <w:rPr>
                <w:rFonts w:ascii="黑体" w:eastAsia="黑体" w:hAnsi="黑体" w:cs="仿宋"/>
                <w:color w:val="auto"/>
              </w:rPr>
              <w:t>）</w:t>
            </w:r>
          </w:p>
        </w:tc>
      </w:tr>
      <w:tr w:rsidR="000D1C27" w:rsidRPr="00223645" w:rsidTr="000D1C27">
        <w:trPr>
          <w:trHeight w:val="409"/>
          <w:jc w:val="center"/>
        </w:trPr>
        <w:tc>
          <w:tcPr>
            <w:tcW w:w="1549" w:type="dxa"/>
            <w:noWrap/>
            <w:vAlign w:val="center"/>
          </w:tcPr>
          <w:p w:rsidR="00FC37F6" w:rsidRPr="00223645" w:rsidRDefault="00223645" w:rsidP="00733F5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直流</w:t>
            </w:r>
            <w:r w:rsidR="000D1C27">
              <w:rPr>
                <w:rFonts w:ascii="黑体" w:eastAsia="黑体" w:hAnsi="黑体" w:cs="仿宋" w:hint="eastAsia"/>
                <w:color w:val="auto"/>
                <w:lang w:eastAsia="zh-CN"/>
              </w:rPr>
              <w:t>充电</w:t>
            </w:r>
            <w:r w:rsidRPr="00223645">
              <w:rPr>
                <w:rFonts w:ascii="黑体" w:eastAsia="黑体" w:hAnsi="黑体" w:cs="仿宋" w:hint="eastAsia"/>
                <w:color w:val="auto"/>
                <w:lang w:eastAsia="zh-CN"/>
              </w:rPr>
              <w:t>桩</w:t>
            </w:r>
          </w:p>
        </w:tc>
        <w:tc>
          <w:tcPr>
            <w:tcW w:w="1253"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color w:val="auto"/>
                <w:lang w:eastAsia="zh-CN"/>
              </w:rPr>
              <w:t>120</w:t>
            </w:r>
            <w:r w:rsidRPr="00223645">
              <w:rPr>
                <w:rFonts w:ascii="黑体" w:eastAsia="黑体" w:hAnsi="黑体" w:cs="仿宋" w:hint="eastAsia"/>
                <w:color w:val="auto"/>
                <w:lang w:eastAsia="zh-CN"/>
              </w:rPr>
              <w:t>k</w:t>
            </w:r>
            <w:r w:rsidR="000D1C27">
              <w:rPr>
                <w:rFonts w:ascii="黑体" w:eastAsia="黑体" w:hAnsi="黑体" w:cs="仿宋"/>
                <w:color w:val="auto"/>
                <w:lang w:eastAsia="zh-CN"/>
              </w:rPr>
              <w:t>W</w:t>
            </w:r>
          </w:p>
        </w:tc>
        <w:tc>
          <w:tcPr>
            <w:tcW w:w="1846"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5-7</w:t>
            </w:r>
          </w:p>
        </w:tc>
        <w:tc>
          <w:tcPr>
            <w:tcW w:w="2264"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6-7</w:t>
            </w:r>
          </w:p>
        </w:tc>
        <w:tc>
          <w:tcPr>
            <w:tcW w:w="835"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18</w:t>
            </w:r>
            <w:r w:rsidRPr="00223645">
              <w:rPr>
                <w:rFonts w:ascii="黑体" w:eastAsia="黑体" w:hAnsi="黑体" w:cs="仿宋"/>
                <w:color w:val="auto"/>
                <w:lang w:eastAsia="zh-CN"/>
              </w:rPr>
              <w:t>80</w:t>
            </w:r>
          </w:p>
        </w:tc>
        <w:tc>
          <w:tcPr>
            <w:tcW w:w="1550"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hint="eastAsia"/>
                <w:color w:val="auto"/>
                <w:lang w:eastAsia="zh-CN"/>
              </w:rPr>
              <w:t>2</w:t>
            </w:r>
            <w:r>
              <w:rPr>
                <w:rFonts w:ascii="黑体" w:eastAsia="黑体" w:hAnsi="黑体" w:cs="仿宋"/>
                <w:color w:val="auto"/>
                <w:lang w:eastAsia="zh-CN"/>
              </w:rPr>
              <w:t>3500</w:t>
            </w:r>
          </w:p>
        </w:tc>
      </w:tr>
      <w:tr w:rsidR="000D1C27" w:rsidRPr="00223645" w:rsidTr="000D1C27">
        <w:trPr>
          <w:trHeight w:val="409"/>
          <w:jc w:val="center"/>
        </w:trPr>
        <w:tc>
          <w:tcPr>
            <w:tcW w:w="1549" w:type="dxa"/>
            <w:noWrap/>
            <w:vAlign w:val="center"/>
          </w:tcPr>
          <w:p w:rsidR="00FC37F6" w:rsidRPr="00223645" w:rsidRDefault="00223645" w:rsidP="00733F5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交流慢充桩</w:t>
            </w:r>
          </w:p>
        </w:tc>
        <w:tc>
          <w:tcPr>
            <w:tcW w:w="1253"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7k</w:t>
            </w:r>
            <w:r w:rsidR="000D1C27">
              <w:rPr>
                <w:rFonts w:ascii="黑体" w:eastAsia="黑体" w:hAnsi="黑体" w:cs="仿宋"/>
                <w:color w:val="auto"/>
                <w:lang w:eastAsia="zh-CN"/>
              </w:rPr>
              <w:t>W</w:t>
            </w:r>
          </w:p>
        </w:tc>
        <w:tc>
          <w:tcPr>
            <w:tcW w:w="1846"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0.2-0.3</w:t>
            </w:r>
          </w:p>
        </w:tc>
        <w:tc>
          <w:tcPr>
            <w:tcW w:w="2264"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lang w:eastAsia="zh-CN"/>
              </w:rPr>
            </w:pPr>
            <w:r w:rsidRPr="00223645">
              <w:rPr>
                <w:rFonts w:ascii="黑体" w:eastAsia="黑体" w:hAnsi="黑体" w:cs="仿宋" w:hint="eastAsia"/>
                <w:color w:val="auto"/>
                <w:lang w:eastAsia="zh-CN"/>
              </w:rPr>
              <w:t>0.3-0.5</w:t>
            </w:r>
          </w:p>
        </w:tc>
        <w:tc>
          <w:tcPr>
            <w:tcW w:w="835"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color w:val="auto"/>
                <w:lang w:eastAsia="zh-CN"/>
              </w:rPr>
              <w:t>946</w:t>
            </w:r>
          </w:p>
        </w:tc>
        <w:tc>
          <w:tcPr>
            <w:tcW w:w="1550"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hint="eastAsia"/>
                <w:color w:val="auto"/>
                <w:lang w:eastAsia="zh-CN"/>
              </w:rPr>
              <w:t>6</w:t>
            </w:r>
            <w:r>
              <w:rPr>
                <w:rFonts w:ascii="黑体" w:eastAsia="黑体" w:hAnsi="黑体" w:cs="仿宋"/>
                <w:color w:val="auto"/>
                <w:lang w:eastAsia="zh-CN"/>
              </w:rPr>
              <w:t>15</w:t>
            </w:r>
          </w:p>
        </w:tc>
      </w:tr>
      <w:tr w:rsidR="000D1C27" w:rsidRPr="00223645" w:rsidTr="000D1C27">
        <w:trPr>
          <w:trHeight w:val="409"/>
          <w:jc w:val="center"/>
        </w:trPr>
        <w:tc>
          <w:tcPr>
            <w:tcW w:w="1549" w:type="dxa"/>
            <w:noWrap/>
            <w:vAlign w:val="center"/>
          </w:tcPr>
          <w:p w:rsidR="00FC37F6" w:rsidRPr="00223645" w:rsidRDefault="00223645" w:rsidP="00733F57">
            <w:pPr>
              <w:widowControl/>
              <w:spacing w:line="240" w:lineRule="auto"/>
              <w:ind w:firstLineChars="0" w:firstLine="0"/>
              <w:jc w:val="center"/>
              <w:rPr>
                <w:rFonts w:ascii="黑体" w:eastAsia="黑体" w:hAnsi="黑体" w:cs="仿宋"/>
                <w:color w:val="auto"/>
              </w:rPr>
            </w:pPr>
            <w:r w:rsidRPr="00223645">
              <w:rPr>
                <w:rFonts w:ascii="黑体" w:eastAsia="黑体" w:hAnsi="黑体" w:cs="仿宋" w:hint="eastAsia"/>
                <w:color w:val="auto"/>
              </w:rPr>
              <w:lastRenderedPageBreak/>
              <w:t>总计</w:t>
            </w:r>
          </w:p>
        </w:tc>
        <w:tc>
          <w:tcPr>
            <w:tcW w:w="1253"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color w:val="auto"/>
                <w:lang w:eastAsia="zh-CN"/>
              </w:rPr>
              <w:t>-</w:t>
            </w:r>
          </w:p>
        </w:tc>
        <w:tc>
          <w:tcPr>
            <w:tcW w:w="1846"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color w:val="auto"/>
                <w:lang w:eastAsia="zh-CN"/>
              </w:rPr>
              <w:t>-</w:t>
            </w:r>
          </w:p>
        </w:tc>
        <w:tc>
          <w:tcPr>
            <w:tcW w:w="2264"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color w:val="auto"/>
                <w:lang w:eastAsia="zh-CN"/>
              </w:rPr>
              <w:t>-</w:t>
            </w:r>
          </w:p>
        </w:tc>
        <w:tc>
          <w:tcPr>
            <w:tcW w:w="835" w:type="dxa"/>
            <w:noWrap/>
            <w:vAlign w:val="center"/>
          </w:tcPr>
          <w:p w:rsidR="00FC37F6" w:rsidRPr="00223645" w:rsidRDefault="000D1C27" w:rsidP="000D1C27">
            <w:pPr>
              <w:widowControl/>
              <w:spacing w:line="240" w:lineRule="auto"/>
              <w:ind w:firstLineChars="0" w:firstLine="0"/>
              <w:jc w:val="center"/>
              <w:rPr>
                <w:rFonts w:ascii="黑体" w:eastAsia="黑体" w:hAnsi="黑体" w:cs="仿宋"/>
                <w:color w:val="auto"/>
                <w:lang w:eastAsia="zh-CN"/>
              </w:rPr>
            </w:pPr>
            <w:r>
              <w:rPr>
                <w:rFonts w:ascii="黑体" w:eastAsia="黑体" w:hAnsi="黑体" w:cs="仿宋"/>
                <w:color w:val="auto"/>
                <w:lang w:eastAsia="zh-CN"/>
              </w:rPr>
              <w:t>282</w:t>
            </w:r>
            <w:r>
              <w:rPr>
                <w:rFonts w:ascii="黑体" w:eastAsia="黑体" w:hAnsi="黑体" w:cs="仿宋" w:hint="eastAsia"/>
                <w:color w:val="auto"/>
                <w:lang w:eastAsia="zh-CN"/>
              </w:rPr>
              <w:t>6</w:t>
            </w:r>
          </w:p>
        </w:tc>
        <w:tc>
          <w:tcPr>
            <w:tcW w:w="1550" w:type="dxa"/>
            <w:noWrap/>
            <w:vAlign w:val="center"/>
          </w:tcPr>
          <w:p w:rsidR="00FC37F6" w:rsidRPr="00223645" w:rsidRDefault="00223645" w:rsidP="000D1C27">
            <w:pPr>
              <w:widowControl/>
              <w:spacing w:line="240" w:lineRule="auto"/>
              <w:ind w:firstLineChars="0" w:firstLine="0"/>
              <w:jc w:val="center"/>
              <w:rPr>
                <w:rFonts w:ascii="黑体" w:eastAsia="黑体" w:hAnsi="黑体" w:cs="仿宋"/>
                <w:color w:val="auto"/>
              </w:rPr>
            </w:pPr>
            <w:r w:rsidRPr="00223645">
              <w:rPr>
                <w:rFonts w:ascii="黑体" w:eastAsia="黑体" w:hAnsi="黑体" w:cs="仿宋" w:hint="eastAsia"/>
                <w:color w:val="auto"/>
                <w:lang w:eastAsia="zh-CN"/>
              </w:rPr>
              <w:t>2</w:t>
            </w:r>
            <w:r w:rsidR="000D1C27">
              <w:rPr>
                <w:rFonts w:ascii="黑体" w:eastAsia="黑体" w:hAnsi="黑体" w:cs="仿宋"/>
                <w:color w:val="auto"/>
                <w:lang w:eastAsia="zh-CN"/>
              </w:rPr>
              <w:t>411</w:t>
            </w:r>
            <w:r w:rsidRPr="00223645">
              <w:rPr>
                <w:rFonts w:ascii="黑体" w:eastAsia="黑体" w:hAnsi="黑体" w:cs="仿宋" w:hint="eastAsia"/>
                <w:color w:val="auto"/>
                <w:lang w:eastAsia="zh-CN"/>
              </w:rPr>
              <w:t>5</w:t>
            </w:r>
          </w:p>
        </w:tc>
      </w:tr>
    </w:tbl>
    <w:p w:rsidR="00FC37F6" w:rsidRDefault="00223645">
      <w:pPr>
        <w:widowControl/>
        <w:ind w:leftChars="200" w:left="480" w:firstLineChars="0" w:firstLine="0"/>
        <w:rPr>
          <w:rFonts w:ascii="黑体" w:eastAsia="黑体" w:hAnsi="黑体" w:cs="仿宋_GB2312"/>
          <w:color w:val="auto"/>
          <w:lang w:eastAsia="zh-CN"/>
        </w:rPr>
      </w:pPr>
      <w:r w:rsidRPr="00223645">
        <w:rPr>
          <w:rFonts w:ascii="黑体" w:eastAsia="黑体" w:hAnsi="黑体" w:cs="仿宋_GB2312" w:hint="eastAsia"/>
          <w:color w:val="auto"/>
          <w:lang w:eastAsia="zh-CN"/>
        </w:rPr>
        <w:t>注 1：综合考虑充电基础设施及其配套的线路、配变、安装、建筑、通信等投资</w:t>
      </w:r>
      <w:r w:rsidR="000D1C27">
        <w:rPr>
          <w:rFonts w:ascii="黑体" w:eastAsia="黑体" w:hAnsi="黑体" w:cs="仿宋_GB2312" w:hint="eastAsia"/>
          <w:color w:val="auto"/>
          <w:lang w:eastAsia="zh-CN"/>
        </w:rPr>
        <w:t>；</w:t>
      </w:r>
      <w:r w:rsidRPr="00223645">
        <w:rPr>
          <w:rFonts w:ascii="黑体" w:eastAsia="黑体" w:hAnsi="黑体" w:cs="仿宋_GB2312" w:hint="eastAsia"/>
          <w:color w:val="auto"/>
          <w:lang w:eastAsia="zh-CN"/>
        </w:rPr>
        <w:t>注 2：综合考虑通信、建筑、安装、配变、线路等投资</w:t>
      </w:r>
      <w:r w:rsidR="000D1C27">
        <w:rPr>
          <w:rFonts w:ascii="黑体" w:eastAsia="黑体" w:hAnsi="黑体" w:cs="仿宋_GB2312" w:hint="eastAsia"/>
          <w:color w:val="auto"/>
          <w:lang w:eastAsia="zh-CN"/>
        </w:rPr>
        <w:t>；</w:t>
      </w:r>
    </w:p>
    <w:p w:rsidR="000D1C27" w:rsidRPr="000D1C27" w:rsidRDefault="000D1C27" w:rsidP="000D1C27">
      <w:pPr>
        <w:pStyle w:val="a0"/>
        <w:ind w:firstLine="480"/>
        <w:rPr>
          <w:lang w:eastAsia="zh-CN"/>
        </w:rPr>
      </w:pPr>
      <w:r w:rsidRPr="00223645">
        <w:rPr>
          <w:rFonts w:ascii="黑体" w:eastAsia="黑体" w:hAnsi="黑体" w:cs="仿宋_GB2312" w:hint="eastAsia"/>
          <w:color w:val="auto"/>
          <w:lang w:eastAsia="zh-CN"/>
        </w:rPr>
        <w:t xml:space="preserve">注 </w:t>
      </w:r>
      <w:r>
        <w:rPr>
          <w:rFonts w:ascii="黑体" w:eastAsia="黑体" w:hAnsi="黑体" w:cs="仿宋_GB2312"/>
          <w:color w:val="auto"/>
          <w:lang w:eastAsia="zh-CN"/>
        </w:rPr>
        <w:t>3</w:t>
      </w:r>
      <w:r w:rsidRPr="00223645">
        <w:rPr>
          <w:rFonts w:ascii="黑体" w:eastAsia="黑体" w:hAnsi="黑体" w:cs="仿宋_GB2312" w:hint="eastAsia"/>
          <w:color w:val="auto"/>
          <w:lang w:eastAsia="zh-CN"/>
        </w:rPr>
        <w:t>：</w:t>
      </w:r>
      <w:r>
        <w:rPr>
          <w:rFonts w:ascii="黑体" w:eastAsia="黑体" w:hAnsi="黑体" w:cs="仿宋_GB2312" w:hint="eastAsia"/>
          <w:color w:val="auto"/>
          <w:lang w:eastAsia="zh-CN"/>
        </w:rPr>
        <w:t>居民小区私人车位自建充电桩的投资未计算在本投资估算表内。</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根据全市电动汽车充电基础设施建设的总体目标，测算全市公共领域充电基础设施建设投资规模，到</w:t>
      </w:r>
      <w:r w:rsidRPr="00E644AB">
        <w:rPr>
          <w:rFonts w:ascii="黑体" w:eastAsia="黑体" w:hAnsi="黑体" w:cs="仿宋_GB2312"/>
          <w:color w:val="auto"/>
          <w:sz w:val="28"/>
          <w:szCs w:val="28"/>
          <w:lang w:eastAsia="zh-CN"/>
        </w:rPr>
        <w:t>20</w:t>
      </w:r>
      <w:r w:rsidRPr="00E644AB">
        <w:rPr>
          <w:rFonts w:ascii="黑体" w:eastAsia="黑体" w:hAnsi="黑体" w:cs="仿宋_GB2312" w:hint="eastAsia"/>
          <w:color w:val="auto"/>
          <w:sz w:val="28"/>
          <w:szCs w:val="28"/>
          <w:lang w:eastAsia="zh-CN"/>
        </w:rPr>
        <w:t>30年累计充电桩单项新增投资约2.</w:t>
      </w:r>
      <w:r w:rsidR="000D1C27">
        <w:rPr>
          <w:rFonts w:ascii="黑体" w:eastAsia="黑体" w:hAnsi="黑体" w:cs="仿宋_GB2312"/>
          <w:color w:val="auto"/>
          <w:sz w:val="28"/>
          <w:szCs w:val="28"/>
          <w:lang w:eastAsia="zh-CN"/>
        </w:rPr>
        <w:t>41</w:t>
      </w:r>
      <w:r w:rsidRPr="00E644AB">
        <w:rPr>
          <w:rFonts w:ascii="黑体" w:eastAsia="黑体" w:hAnsi="黑体" w:cs="仿宋_GB2312" w:hint="eastAsia"/>
          <w:color w:val="auto"/>
          <w:sz w:val="28"/>
          <w:szCs w:val="28"/>
          <w:lang w:eastAsia="zh-CN"/>
        </w:rPr>
        <w:t>亿元。</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另考虑在充电站引入新能源投资费用。根据第四章中的规划结果，所有非私家充电桩的总功率数为245460千瓦，参照全国其他省市新能源开发储能配置比例标准，其储能比例不低于不确定性发电或负荷容量的10%（运行时间不低于2个小时），储能预计投资为0.88亿元，并配备5%比例的太阳能发电设施，参考市场造价为4000元/千瓦，太阳能发电设备预计投资为0.49亿元。停车场费用建设单价为125元/㎡，新建面积预估300000㎡，新增停车场建设费用约为375万元。合计投资为3.</w:t>
      </w:r>
      <w:r w:rsidR="002C111C">
        <w:rPr>
          <w:rFonts w:ascii="黑体" w:eastAsia="黑体" w:hAnsi="黑体" w:cs="仿宋_GB2312"/>
          <w:color w:val="auto"/>
          <w:sz w:val="28"/>
          <w:szCs w:val="28"/>
          <w:lang w:eastAsia="zh-CN"/>
        </w:rPr>
        <w:t>82</w:t>
      </w:r>
      <w:r w:rsidRPr="00E644AB">
        <w:rPr>
          <w:rFonts w:ascii="黑体" w:eastAsia="黑体" w:hAnsi="黑体" w:cs="仿宋_GB2312" w:hint="eastAsia"/>
          <w:color w:val="auto"/>
          <w:sz w:val="28"/>
          <w:szCs w:val="28"/>
          <w:lang w:eastAsia="zh-CN"/>
        </w:rPr>
        <w:t>亿元。</w:t>
      </w:r>
    </w:p>
    <w:p w:rsidR="00FC37F6" w:rsidRPr="00223645" w:rsidRDefault="00FC37F6">
      <w:pPr>
        <w:ind w:firstLine="480"/>
        <w:rPr>
          <w:rFonts w:ascii="黑体" w:eastAsia="黑体" w:hAnsi="黑体"/>
          <w:color w:val="auto"/>
          <w:lang w:eastAsia="zh-CN"/>
        </w:rPr>
      </w:pPr>
    </w:p>
    <w:p w:rsidR="00FC37F6" w:rsidRPr="00223645" w:rsidRDefault="00FC37F6">
      <w:pPr>
        <w:ind w:firstLine="480"/>
        <w:rPr>
          <w:rFonts w:ascii="黑体" w:eastAsia="黑体" w:hAnsi="黑体"/>
          <w:color w:val="auto"/>
          <w:lang w:eastAsia="zh-CN"/>
        </w:rPr>
      </w:pPr>
    </w:p>
    <w:p w:rsidR="00FC37F6" w:rsidRPr="00223645" w:rsidRDefault="00223645">
      <w:pPr>
        <w:pStyle w:val="1"/>
        <w:ind w:firstLine="883"/>
        <w:rPr>
          <w:rFonts w:ascii="黑体" w:hAnsi="黑体"/>
          <w:color w:val="auto"/>
          <w:lang w:eastAsia="zh-CN"/>
        </w:rPr>
      </w:pPr>
      <w:bookmarkStart w:id="112" w:name="bookmark262"/>
      <w:bookmarkStart w:id="113" w:name="bookmark260"/>
      <w:bookmarkStart w:id="114" w:name="_Toc1147327329"/>
      <w:bookmarkStart w:id="115" w:name="bookmark263"/>
      <w:bookmarkStart w:id="116" w:name="bookmark261"/>
      <w:r w:rsidRPr="00223645">
        <w:rPr>
          <w:rFonts w:ascii="黑体" w:hAnsi="黑体"/>
          <w:color w:val="auto"/>
          <w:lang w:eastAsia="zh-CN"/>
        </w:rPr>
        <w:br w:type="page"/>
      </w:r>
      <w:bookmarkStart w:id="117" w:name="_Toc12150"/>
      <w:r w:rsidRPr="00223645">
        <w:rPr>
          <w:rFonts w:ascii="黑体" w:hAnsi="黑体"/>
          <w:color w:val="auto"/>
          <w:lang w:eastAsia="zh-CN"/>
        </w:rPr>
        <w:lastRenderedPageBreak/>
        <w:t>第</w:t>
      </w:r>
      <w:r w:rsidRPr="00223645">
        <w:rPr>
          <w:rFonts w:ascii="黑体" w:hAnsi="黑体" w:hint="eastAsia"/>
          <w:color w:val="auto"/>
          <w:lang w:eastAsia="zh-CN"/>
        </w:rPr>
        <w:t>五</w:t>
      </w:r>
      <w:r w:rsidRPr="00223645">
        <w:rPr>
          <w:rFonts w:ascii="黑体" w:hAnsi="黑体"/>
          <w:color w:val="auto"/>
          <w:lang w:eastAsia="zh-CN"/>
        </w:rPr>
        <w:t>章</w:t>
      </w:r>
      <w:r w:rsidRPr="00223645">
        <w:rPr>
          <w:rFonts w:ascii="黑体" w:hAnsi="黑体" w:hint="eastAsia"/>
          <w:color w:val="auto"/>
          <w:lang w:eastAsia="zh-CN"/>
        </w:rPr>
        <w:t xml:space="preserve"> </w:t>
      </w:r>
      <w:r w:rsidRPr="00223645">
        <w:rPr>
          <w:rFonts w:ascii="黑体" w:hAnsi="黑体"/>
          <w:color w:val="auto"/>
          <w:lang w:eastAsia="zh-CN"/>
        </w:rPr>
        <w:t>环境保护及安全措施</w:t>
      </w:r>
      <w:bookmarkEnd w:id="112"/>
      <w:bookmarkEnd w:id="113"/>
      <w:bookmarkEnd w:id="114"/>
      <w:bookmarkEnd w:id="115"/>
      <w:bookmarkEnd w:id="116"/>
      <w:bookmarkEnd w:id="117"/>
    </w:p>
    <w:p w:rsidR="00FC37F6" w:rsidRPr="00223645" w:rsidRDefault="00223645">
      <w:pPr>
        <w:pStyle w:val="2"/>
        <w:ind w:firstLine="643"/>
        <w:jc w:val="center"/>
        <w:rPr>
          <w:rFonts w:ascii="黑体" w:hAnsi="黑体"/>
          <w:color w:val="auto"/>
          <w:lang w:eastAsia="zh-CN"/>
        </w:rPr>
      </w:pPr>
      <w:bookmarkStart w:id="118" w:name="bookmark264"/>
      <w:bookmarkStart w:id="119" w:name="bookmark266"/>
      <w:bookmarkStart w:id="120" w:name="bookmark265"/>
      <w:bookmarkStart w:id="121" w:name="_Toc874752090"/>
      <w:bookmarkStart w:id="122" w:name="bookmark267"/>
      <w:bookmarkStart w:id="123" w:name="bookmark268"/>
      <w:bookmarkStart w:id="124" w:name="_Toc28220"/>
      <w:r w:rsidRPr="00223645">
        <w:rPr>
          <w:rFonts w:ascii="黑体" w:hAnsi="黑体"/>
          <w:color w:val="auto"/>
          <w:lang w:eastAsia="zh-CN"/>
        </w:rPr>
        <w:t>第一节</w:t>
      </w:r>
      <w:r w:rsidRPr="00223645">
        <w:rPr>
          <w:rFonts w:ascii="黑体" w:hAnsi="黑体" w:hint="eastAsia"/>
          <w:color w:val="auto"/>
          <w:lang w:eastAsia="zh-CN"/>
        </w:rPr>
        <w:t xml:space="preserve"> </w:t>
      </w:r>
      <w:r w:rsidRPr="00223645">
        <w:rPr>
          <w:rFonts w:ascii="黑体" w:hAnsi="黑体"/>
          <w:color w:val="auto"/>
          <w:lang w:eastAsia="zh-CN"/>
        </w:rPr>
        <w:t>环保措施</w:t>
      </w:r>
      <w:bookmarkEnd w:id="118"/>
      <w:bookmarkEnd w:id="119"/>
      <w:bookmarkEnd w:id="120"/>
      <w:bookmarkEnd w:id="121"/>
      <w:bookmarkEnd w:id="122"/>
      <w:bookmarkEnd w:id="123"/>
      <w:bookmarkEnd w:id="124"/>
    </w:p>
    <w:p w:rsidR="00FC37F6" w:rsidRPr="00223645" w:rsidRDefault="00223645" w:rsidP="00C95BD9">
      <w:pPr>
        <w:pStyle w:val="3"/>
        <w:numPr>
          <w:ilvl w:val="0"/>
          <w:numId w:val="26"/>
        </w:numPr>
        <w:ind w:firstLineChars="0"/>
        <w:rPr>
          <w:rFonts w:ascii="黑体" w:eastAsia="黑体" w:hAnsi="黑体"/>
          <w:color w:val="auto"/>
          <w:lang w:eastAsia="zh-CN"/>
        </w:rPr>
      </w:pPr>
      <w:bookmarkStart w:id="125" w:name="bookmark270"/>
      <w:bookmarkStart w:id="126" w:name="bookmark269"/>
      <w:bookmarkStart w:id="127" w:name="bookmark272"/>
      <w:r w:rsidRPr="00223645">
        <w:rPr>
          <w:rFonts w:ascii="黑体" w:eastAsia="黑体" w:hAnsi="黑体" w:hint="eastAsia"/>
          <w:color w:val="auto"/>
          <w:lang w:eastAsia="zh-CN"/>
        </w:rPr>
        <w:t>施工建设期间</w:t>
      </w:r>
      <w:bookmarkEnd w:id="125"/>
      <w:bookmarkEnd w:id="126"/>
      <w:bookmarkEnd w:id="127"/>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t>主要污染是施工期废气（扬尘）、废水、噪声以及固废等，其对周围环境的影响是短期的、暂时的，将随着施工期的结束而消失，应针对性的采取保护措施，具体如下：</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废气（扬尘）：施工机械和运输车辆行驶会排放废气，产生扬尘，而且建筑施工 材料（水泥、石灰、砂石料）的装卸、运输过程以及开挖弃土的堆砌、运输过程中会 产生扬尘。对施工现场设置围栏；开挖过程采取湿法作业；对临时堆场进行毡布覆盖; 对运输车辆采取覆盖篷布；对驶离车辆采取喷淋、冲洗；对施工场地定时清扫等措施 减少废气、扬尘的产生。</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废水：主要是车辆冲洗产生的废水，在施工工地应设置简易污水沉淀池，废水经 沉淀处理后回用于施工场地，禁止施工废水未经处理直接排放。</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噪声：施工过程中，施工机械和设备、运输车辆等容易产生噪声。对施工场地四 周设置围隔屏障，做到封闭施工；选用低噪声施工设备；选择低噪声的工艺和施工方 法；合理安排作业时间，避免强噪声机械持续作业；禁止在夜间施工等措施。</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28" w:name="bookmark273"/>
      <w:r w:rsidRPr="00E644AB">
        <w:rPr>
          <w:rFonts w:ascii="黑体" w:eastAsia="黑体" w:hAnsi="黑体" w:cs="仿宋_GB2312" w:hint="eastAsia"/>
          <w:color w:val="auto"/>
          <w:sz w:val="28"/>
          <w:szCs w:val="28"/>
          <w:lang w:eastAsia="zh-CN"/>
        </w:rPr>
        <w:t>固废：施工期产生的固体废物主要是建筑垃圾、生活垃圾和开挖土石方。对于建 筑垃圾和开挖土石方，可首先用于场地回填和平整场地，不能完全利用的应外运处置。 施工单位应向所在地的渣土管理部门申报建筑垃圾和渣土运输处置计划，明确渣土的 运输方式、线路和去向，严禁任意倾</w:t>
      </w:r>
      <w:r w:rsidRPr="00E644AB">
        <w:rPr>
          <w:rFonts w:ascii="黑体" w:eastAsia="黑体" w:hAnsi="黑体" w:cs="仿宋_GB2312" w:hint="eastAsia"/>
          <w:color w:val="auto"/>
          <w:sz w:val="28"/>
          <w:szCs w:val="28"/>
          <w:lang w:eastAsia="zh-CN"/>
        </w:rPr>
        <w:lastRenderedPageBreak/>
        <w:t>倒堆放。施工人员产生的生活垃圾依托当地已有 的环卫系统进行合理有效的处置。</w:t>
      </w:r>
      <w:bookmarkEnd w:id="128"/>
    </w:p>
    <w:p w:rsidR="00FC37F6" w:rsidRPr="00223645" w:rsidRDefault="00223645" w:rsidP="00C95BD9">
      <w:pPr>
        <w:pStyle w:val="3"/>
        <w:numPr>
          <w:ilvl w:val="0"/>
          <w:numId w:val="26"/>
        </w:numPr>
        <w:ind w:firstLineChars="0"/>
        <w:rPr>
          <w:rFonts w:ascii="黑体" w:eastAsia="黑体" w:hAnsi="黑体"/>
          <w:color w:val="auto"/>
          <w:lang w:eastAsia="zh-CN"/>
        </w:rPr>
      </w:pPr>
      <w:bookmarkStart w:id="129" w:name="bookmark275"/>
      <w:bookmarkStart w:id="130" w:name="bookmark277"/>
      <w:bookmarkStart w:id="131" w:name="bookmark274"/>
      <w:r w:rsidRPr="00223645">
        <w:rPr>
          <w:rFonts w:ascii="黑体" w:eastAsia="黑体" w:hAnsi="黑体" w:hint="eastAsia"/>
          <w:color w:val="auto"/>
          <w:lang w:eastAsia="zh-CN"/>
        </w:rPr>
        <w:t>充电运营期间</w:t>
      </w:r>
      <w:bookmarkEnd w:id="129"/>
      <w:bookmarkEnd w:id="130"/>
      <w:bookmarkEnd w:id="131"/>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充电运营：污染源主要是各类变电设备产生的噪音、电磁辐射等，污染将伴随着 充电设施的运营长期并存，因此应强化后期管理。</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噪音：充电设备在运行过程中可能会产生一定的噪音污染，需要对充变电设备做 好吸声降噪、隔振降噪等防噪音措施来进一步降低噪音污染。</w:t>
      </w:r>
    </w:p>
    <w:p w:rsidR="00FC37F6" w:rsidRPr="00E644AB" w:rsidRDefault="00223645" w:rsidP="00E644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E644AB">
        <w:rPr>
          <w:rFonts w:ascii="黑体" w:eastAsia="黑体" w:hAnsi="黑体" w:cs="仿宋_GB2312" w:hint="eastAsia"/>
          <w:color w:val="auto"/>
          <w:sz w:val="28"/>
          <w:szCs w:val="28"/>
          <w:lang w:eastAsia="zh-CN"/>
        </w:rPr>
        <w:t>电磁辐射：在充电设施建设过程中严格按照相关规范要求进行，确保电磁辐射满</w:t>
      </w:r>
      <w:bookmarkStart w:id="132" w:name="bookmark278"/>
      <w:r w:rsidRPr="00E644AB">
        <w:rPr>
          <w:rFonts w:ascii="黑体" w:eastAsia="黑体" w:hAnsi="黑体" w:cs="仿宋_GB2312" w:hint="eastAsia"/>
          <w:color w:val="auto"/>
          <w:sz w:val="28"/>
          <w:szCs w:val="28"/>
          <w:lang w:eastAsia="zh-CN"/>
        </w:rPr>
        <w:t>足环境安全要求。</w:t>
      </w:r>
      <w:bookmarkEnd w:id="132"/>
    </w:p>
    <w:p w:rsidR="00FC37F6" w:rsidRPr="00223645" w:rsidRDefault="00223645">
      <w:pPr>
        <w:pStyle w:val="2"/>
        <w:ind w:firstLine="643"/>
        <w:jc w:val="center"/>
        <w:rPr>
          <w:rFonts w:ascii="黑体" w:hAnsi="黑体"/>
          <w:color w:val="auto"/>
          <w:lang w:eastAsia="zh-CN"/>
        </w:rPr>
      </w:pPr>
      <w:bookmarkStart w:id="133" w:name="bookmark280"/>
      <w:bookmarkStart w:id="134" w:name="_Toc285329268"/>
      <w:bookmarkStart w:id="135" w:name="_Toc16024"/>
      <w:bookmarkStart w:id="136" w:name="bookmark279"/>
      <w:bookmarkStart w:id="137" w:name="bookmark282"/>
      <w:bookmarkStart w:id="138" w:name="bookmark281"/>
      <w:r w:rsidRPr="00223645">
        <w:rPr>
          <w:rFonts w:ascii="黑体" w:hAnsi="黑体"/>
          <w:color w:val="auto"/>
          <w:lang w:eastAsia="zh-CN"/>
        </w:rPr>
        <w:t>第二节</w:t>
      </w:r>
      <w:r w:rsidRPr="00223645">
        <w:rPr>
          <w:rFonts w:ascii="黑体" w:hAnsi="黑体" w:hint="eastAsia"/>
          <w:color w:val="auto"/>
          <w:lang w:eastAsia="zh-CN"/>
        </w:rPr>
        <w:t xml:space="preserve"> </w:t>
      </w:r>
      <w:r w:rsidRPr="00223645">
        <w:rPr>
          <w:rFonts w:ascii="黑体" w:hAnsi="黑体"/>
          <w:color w:val="auto"/>
          <w:lang w:eastAsia="zh-CN"/>
        </w:rPr>
        <w:t>安全措施</w:t>
      </w:r>
      <w:bookmarkEnd w:id="133"/>
      <w:bookmarkEnd w:id="134"/>
      <w:bookmarkEnd w:id="135"/>
      <w:bookmarkEnd w:id="136"/>
      <w:bookmarkEnd w:id="137"/>
      <w:bookmarkEnd w:id="138"/>
    </w:p>
    <w:p w:rsidR="00FC37F6" w:rsidRPr="00223645" w:rsidRDefault="00223645" w:rsidP="00C95BD9">
      <w:pPr>
        <w:pStyle w:val="3"/>
        <w:numPr>
          <w:ilvl w:val="0"/>
          <w:numId w:val="27"/>
        </w:numPr>
        <w:ind w:firstLineChars="0"/>
        <w:rPr>
          <w:rFonts w:ascii="黑体" w:eastAsia="黑体" w:hAnsi="黑体"/>
          <w:color w:val="auto"/>
          <w:lang w:eastAsia="zh-CN"/>
        </w:rPr>
      </w:pPr>
      <w:bookmarkStart w:id="139" w:name="bookmark284"/>
      <w:bookmarkStart w:id="140" w:name="bookmark283"/>
      <w:bookmarkStart w:id="141" w:name="bookmark286"/>
      <w:r w:rsidRPr="00223645">
        <w:rPr>
          <w:rFonts w:ascii="黑体" w:eastAsia="黑体" w:hAnsi="黑体" w:hint="eastAsia"/>
          <w:color w:val="auto"/>
          <w:lang w:eastAsia="zh-CN"/>
        </w:rPr>
        <w:t>消防环境安全</w:t>
      </w:r>
      <w:bookmarkEnd w:id="139"/>
      <w:bookmarkEnd w:id="140"/>
      <w:bookmarkEnd w:id="141"/>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消防环境：主要是指消防安全管理。</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消防设计：包括供电监控系统、充换电站重点区域消防设计及消防设施可靠性、 充换电站重点区域应急照明等。</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42" w:name="bookmark287"/>
      <w:r w:rsidRPr="0040199A">
        <w:rPr>
          <w:rFonts w:ascii="黑体" w:eastAsia="黑体" w:hAnsi="黑体" w:cs="仿宋_GB2312" w:hint="eastAsia"/>
          <w:color w:val="auto"/>
          <w:sz w:val="28"/>
          <w:szCs w:val="28"/>
          <w:lang w:eastAsia="zh-CN"/>
        </w:rPr>
        <w:t>应急管理：包括完善的安全疏散通道、完善的应急预案、健全的应急组织体系和 应急队伍、完善的应急保障体系、应急演练计划、培训、实施和评估等。</w:t>
      </w:r>
      <w:bookmarkEnd w:id="142"/>
    </w:p>
    <w:p w:rsidR="00FC37F6" w:rsidRPr="00223645" w:rsidRDefault="00223645" w:rsidP="00C95BD9">
      <w:pPr>
        <w:pStyle w:val="3"/>
        <w:numPr>
          <w:ilvl w:val="0"/>
          <w:numId w:val="27"/>
        </w:numPr>
        <w:ind w:firstLineChars="0"/>
        <w:rPr>
          <w:rFonts w:ascii="黑体" w:eastAsia="黑体" w:hAnsi="黑体"/>
          <w:color w:val="auto"/>
          <w:lang w:eastAsia="zh-CN"/>
        </w:rPr>
      </w:pPr>
      <w:bookmarkStart w:id="143" w:name="bookmark291"/>
      <w:bookmarkStart w:id="144" w:name="bookmark289"/>
      <w:bookmarkStart w:id="145" w:name="bookmark288"/>
      <w:r w:rsidRPr="00223645">
        <w:rPr>
          <w:rFonts w:ascii="黑体" w:eastAsia="黑体" w:hAnsi="黑体" w:hint="eastAsia"/>
          <w:color w:val="auto"/>
          <w:lang w:eastAsia="zh-CN"/>
        </w:rPr>
        <w:t>选址规划安全</w:t>
      </w:r>
      <w:bookmarkEnd w:id="143"/>
      <w:bookmarkEnd w:id="144"/>
      <w:bookmarkEnd w:id="145"/>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选址规划：主要安全因素是周围环境和自然气候环境。</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周围环境：主要考虑防火防爆安全的要求，远离易燃、易爆、污染等危险源，以 及与周边建筑物、电气设施及轨道交通的安全距离和建筑物耐火等级。</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46" w:name="bookmark292"/>
      <w:r w:rsidRPr="0040199A">
        <w:rPr>
          <w:rFonts w:ascii="黑体" w:eastAsia="黑体" w:hAnsi="黑体" w:cs="仿宋_GB2312" w:hint="eastAsia"/>
          <w:color w:val="auto"/>
          <w:sz w:val="28"/>
          <w:szCs w:val="28"/>
          <w:lang w:eastAsia="zh-CN"/>
        </w:rPr>
        <w:lastRenderedPageBreak/>
        <w:t>自然气候环境：考虑地震、洪水等自然灾害、恶劣的气候条件，极其复杂的地质 条件，文物、动植物保护等对充换电服务网络建设和运营产生的影响。</w:t>
      </w:r>
      <w:bookmarkEnd w:id="146"/>
    </w:p>
    <w:p w:rsidR="00FC37F6" w:rsidRPr="00223645" w:rsidRDefault="00223645" w:rsidP="00C95BD9">
      <w:pPr>
        <w:pStyle w:val="3"/>
        <w:numPr>
          <w:ilvl w:val="0"/>
          <w:numId w:val="27"/>
        </w:numPr>
        <w:ind w:firstLineChars="0"/>
        <w:rPr>
          <w:rFonts w:ascii="黑体" w:eastAsia="黑体" w:hAnsi="黑体"/>
          <w:color w:val="auto"/>
          <w:lang w:eastAsia="zh-CN"/>
        </w:rPr>
      </w:pPr>
      <w:bookmarkStart w:id="147" w:name="bookmark294"/>
      <w:bookmarkStart w:id="148" w:name="bookmark293"/>
      <w:bookmarkStart w:id="149" w:name="bookmark296"/>
      <w:r w:rsidRPr="00223645">
        <w:rPr>
          <w:rFonts w:ascii="黑体" w:eastAsia="黑体" w:hAnsi="黑体" w:hint="eastAsia"/>
          <w:color w:val="auto"/>
          <w:lang w:eastAsia="zh-CN"/>
        </w:rPr>
        <w:t>场址设计安全</w:t>
      </w:r>
      <w:bookmarkEnd w:id="147"/>
      <w:bookmarkEnd w:id="148"/>
      <w:bookmarkEnd w:id="149"/>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场址设计：综合考虑场内外行车道、充电区、供配电设施等区域。</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场内外行车道：场内道路可采用单向或双向行车道路，满足消防及服务车辆通行 的要求，进出口道宜分开与站外道路连接，应设置缓冲距离或缓冲地带，附设电动汽 车等候充电的停车道，便于电动汽车进出。</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充电区：充电设备不应妨碍其它车辆的充电和通行，充换电设备保持通风良好， 远离危险源和破坏充电设备绝缘的有害介质，采取保护充电设备及操作人员安全的措施。</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供配电设施：高压开关柜、变压器、低压开关柜、充电机、监控装置等宜安装在 各自的功能房间，在醒目位置设置导引标志、安全警示标识等。</w:t>
      </w:r>
    </w:p>
    <w:p w:rsidR="00FC37F6" w:rsidRPr="00223645" w:rsidRDefault="00223645">
      <w:pPr>
        <w:pStyle w:val="1"/>
        <w:ind w:firstLine="883"/>
        <w:rPr>
          <w:rFonts w:ascii="黑体" w:hAnsi="黑体"/>
          <w:color w:val="auto"/>
          <w:lang w:eastAsia="zh-CN"/>
        </w:rPr>
      </w:pPr>
      <w:bookmarkStart w:id="150" w:name="bookmark299"/>
      <w:bookmarkStart w:id="151" w:name="bookmark300"/>
      <w:bookmarkStart w:id="152" w:name="_Toc198023525"/>
      <w:bookmarkStart w:id="153" w:name="bookmark297"/>
      <w:bookmarkStart w:id="154" w:name="bookmark298"/>
      <w:r w:rsidRPr="00223645">
        <w:rPr>
          <w:rFonts w:ascii="黑体" w:hAnsi="黑体"/>
          <w:color w:val="auto"/>
          <w:lang w:eastAsia="zh-CN"/>
        </w:rPr>
        <w:br w:type="page"/>
      </w:r>
      <w:bookmarkStart w:id="155" w:name="_Toc4392"/>
      <w:r w:rsidRPr="00223645">
        <w:rPr>
          <w:rFonts w:ascii="黑体" w:hAnsi="黑体"/>
          <w:color w:val="auto"/>
          <w:lang w:eastAsia="zh-CN"/>
        </w:rPr>
        <w:lastRenderedPageBreak/>
        <w:t>第</w:t>
      </w:r>
      <w:r w:rsidRPr="00223645">
        <w:rPr>
          <w:rFonts w:ascii="黑体" w:hAnsi="黑体" w:hint="eastAsia"/>
          <w:color w:val="auto"/>
          <w:lang w:eastAsia="zh-CN"/>
        </w:rPr>
        <w:t>六</w:t>
      </w:r>
      <w:r w:rsidRPr="00223645">
        <w:rPr>
          <w:rFonts w:ascii="黑体" w:hAnsi="黑体"/>
          <w:color w:val="auto"/>
          <w:lang w:eastAsia="zh-CN"/>
        </w:rPr>
        <w:t>章</w:t>
      </w:r>
      <w:r w:rsidRPr="00223645">
        <w:rPr>
          <w:rFonts w:ascii="黑体" w:hAnsi="黑体" w:hint="eastAsia"/>
          <w:color w:val="auto"/>
          <w:lang w:eastAsia="zh-CN"/>
        </w:rPr>
        <w:t xml:space="preserve"> </w:t>
      </w:r>
      <w:r w:rsidRPr="00223645">
        <w:rPr>
          <w:rFonts w:ascii="黑体" w:hAnsi="黑体"/>
          <w:color w:val="auto"/>
          <w:lang w:eastAsia="zh-CN"/>
        </w:rPr>
        <w:t>规划实施</w:t>
      </w:r>
      <w:bookmarkEnd w:id="150"/>
      <w:bookmarkEnd w:id="151"/>
      <w:bookmarkEnd w:id="152"/>
      <w:bookmarkEnd w:id="153"/>
      <w:bookmarkEnd w:id="154"/>
      <w:bookmarkEnd w:id="155"/>
    </w:p>
    <w:p w:rsidR="00FC37F6" w:rsidRPr="00223645" w:rsidRDefault="00223645">
      <w:pPr>
        <w:pStyle w:val="2"/>
        <w:ind w:firstLine="643"/>
        <w:jc w:val="center"/>
        <w:rPr>
          <w:rFonts w:ascii="黑体" w:hAnsi="黑体"/>
          <w:color w:val="auto"/>
          <w:lang w:eastAsia="zh-CN"/>
        </w:rPr>
      </w:pPr>
      <w:bookmarkStart w:id="156" w:name="bookmark305"/>
      <w:bookmarkStart w:id="157" w:name="bookmark301"/>
      <w:bookmarkStart w:id="158" w:name="_Toc1729215472"/>
      <w:bookmarkStart w:id="159" w:name="bookmark304"/>
      <w:bookmarkStart w:id="160" w:name="bookmark302"/>
      <w:bookmarkStart w:id="161" w:name="bookmark303"/>
      <w:bookmarkStart w:id="162" w:name="_Toc20862"/>
      <w:r w:rsidRPr="00223645">
        <w:rPr>
          <w:rFonts w:ascii="黑体" w:hAnsi="黑体"/>
          <w:color w:val="auto"/>
          <w:lang w:eastAsia="zh-CN"/>
        </w:rPr>
        <w:t>第一节</w:t>
      </w:r>
      <w:bookmarkEnd w:id="156"/>
      <w:bookmarkEnd w:id="157"/>
      <w:bookmarkEnd w:id="158"/>
      <w:bookmarkEnd w:id="159"/>
      <w:bookmarkEnd w:id="160"/>
      <w:bookmarkEnd w:id="161"/>
      <w:r w:rsidRPr="00223645">
        <w:rPr>
          <w:rFonts w:ascii="黑体" w:hAnsi="黑体"/>
          <w:color w:val="auto"/>
          <w:lang w:eastAsia="zh-CN"/>
        </w:rPr>
        <w:t xml:space="preserve"> </w:t>
      </w:r>
      <w:r w:rsidRPr="00223645">
        <w:rPr>
          <w:rFonts w:ascii="黑体" w:hAnsi="黑体" w:hint="eastAsia"/>
          <w:color w:val="auto"/>
          <w:lang w:eastAsia="zh-CN"/>
        </w:rPr>
        <w:t>实施原则</w:t>
      </w:r>
      <w:bookmarkEnd w:id="162"/>
    </w:p>
    <w:p w:rsidR="00FC37F6" w:rsidRPr="00223645" w:rsidRDefault="00223645" w:rsidP="00C95BD9">
      <w:pPr>
        <w:pStyle w:val="3"/>
        <w:numPr>
          <w:ilvl w:val="0"/>
          <w:numId w:val="28"/>
        </w:numPr>
        <w:ind w:firstLineChars="0"/>
        <w:rPr>
          <w:rFonts w:ascii="黑体" w:eastAsia="黑体" w:hAnsi="黑体"/>
          <w:color w:val="auto"/>
          <w:lang w:eastAsia="zh-CN"/>
        </w:rPr>
      </w:pPr>
      <w:bookmarkStart w:id="163" w:name="bookmark306"/>
      <w:bookmarkStart w:id="164" w:name="bookmark309"/>
      <w:bookmarkStart w:id="165" w:name="bookmark307"/>
      <w:r w:rsidRPr="00223645">
        <w:rPr>
          <w:rFonts w:ascii="黑体" w:eastAsia="黑体" w:hAnsi="黑体" w:hint="eastAsia"/>
          <w:color w:val="auto"/>
          <w:lang w:eastAsia="zh-CN"/>
        </w:rPr>
        <w:t>强化建设管理</w:t>
      </w:r>
      <w:bookmarkEnd w:id="163"/>
      <w:bookmarkEnd w:id="164"/>
      <w:bookmarkEnd w:id="165"/>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66" w:name="bookmark310"/>
      <w:r w:rsidRPr="0040199A">
        <w:rPr>
          <w:rFonts w:ascii="黑体" w:eastAsia="黑体" w:hAnsi="黑体" w:cs="仿宋_GB2312" w:hint="eastAsia"/>
          <w:color w:val="auto"/>
          <w:sz w:val="28"/>
          <w:szCs w:val="28"/>
          <w:lang w:eastAsia="zh-CN"/>
        </w:rPr>
        <w:t>强化充电基础设施建设管理，明确项目开工建设应办理的前置要件、建设单位资质要求等。建立安全监管体系，完善制度标准，加强消防监督检查力度。明确充电设 施生产方、所有方、建设方、运营方的责任，支持使用具备完善安全保障和服务体系 的新产品。健全施工安全管理制度，严格执行安全生产“三同时”制度。督促充电基 础设施运营使用的单位或个人，加强对充电基础设施及其设置场所的日常消防安全检 查及管理，及时消除安全隐患。加强竣工验收管理，按照《电动汽车分散充电基础设 施工程技术标准》GB/T51313-2018）、《电动汽车充换电设施工程施工和竣工验收规 范》（NB/T33004）等有关文件要求开展竣工验收，项目建成后报住房城乡建设部门进 行验收备案，其中：自用、专用充电基础设由投资主体按照有关规定会同小区物业公 司、业主委员会等相关部门共同验收即可。依法依规对充电基础设施设置场所实施消 防设计审查、消防验收以及备案抽查，并加强消防监督检查。供电企业按照有关规定 制定项目并网实施办法，为项目建设创造基础条件。加大对用户私拉电线、违规用电、 不规范建设施工等行为的查处力度。</w:t>
      </w:r>
      <w:bookmarkEnd w:id="166"/>
    </w:p>
    <w:p w:rsidR="00FC37F6" w:rsidRPr="00223645" w:rsidRDefault="00223645" w:rsidP="00C95BD9">
      <w:pPr>
        <w:pStyle w:val="3"/>
        <w:numPr>
          <w:ilvl w:val="0"/>
          <w:numId w:val="28"/>
        </w:numPr>
        <w:ind w:firstLineChars="0"/>
        <w:rPr>
          <w:rFonts w:ascii="黑体" w:eastAsia="黑体" w:hAnsi="黑体"/>
          <w:color w:val="auto"/>
          <w:lang w:eastAsia="zh-CN"/>
        </w:rPr>
      </w:pPr>
      <w:bookmarkStart w:id="167" w:name="bookmark311"/>
      <w:bookmarkStart w:id="168" w:name="bookmark312"/>
      <w:bookmarkStart w:id="169" w:name="bookmark314"/>
      <w:r w:rsidRPr="00223645">
        <w:rPr>
          <w:rFonts w:ascii="黑体" w:eastAsia="黑体" w:hAnsi="黑体" w:hint="eastAsia"/>
          <w:color w:val="auto"/>
          <w:lang w:eastAsia="zh-CN"/>
        </w:rPr>
        <w:lastRenderedPageBreak/>
        <w:t>完善配套电网</w:t>
      </w:r>
      <w:bookmarkEnd w:id="167"/>
      <w:bookmarkEnd w:id="168"/>
      <w:bookmarkEnd w:id="169"/>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 xml:space="preserve">加强配套电网建设，切实做到“设施建设、电网先行”，在用地保障、廊道通行 等方面支持充电基础设施配套电网建设与改造项目建设。根据各类建筑物配建充电基 础设施需求，合理提高各类建筑物用电设计标准，加强相关标准与规范的制修订工作。 电网建设中要充分考虑用电高峰与聚集性充电叠加造成的电力可靠供应风险，不断优 化城市的供电系统，提升电网的供电能力。严格执行电网接入技术要求，避免充电设 施对电网产生谐波污染，造成电压波动大、电能质量下降等。老旧居住（小）区充电基 础设施建设，应主动协调电力公司做好相关电力基础网络改造工作。电网企业要为充 电基础设施接入电网提供便利条件，开辟绿色通道，优化流程，简化手续，提高效率, 限时办结。充电基础设施产权分界点至电网的配套接网工程，由电网企业负责建设和 运行维护，不得收取接网费用，相应资产全额纳入有效资产，相应成本据实计入准许 </w:t>
      </w:r>
      <w:bookmarkStart w:id="170" w:name="bookmark315"/>
      <w:r w:rsidRPr="0040199A">
        <w:rPr>
          <w:rFonts w:ascii="黑体" w:eastAsia="黑体" w:hAnsi="黑体" w:cs="仿宋_GB2312" w:hint="eastAsia"/>
          <w:color w:val="auto"/>
          <w:sz w:val="28"/>
          <w:szCs w:val="28"/>
          <w:lang w:eastAsia="zh-CN"/>
        </w:rPr>
        <w:t>成本，纳入电网输配电价回收。充电基础设施项目验收工作完成后，电网企业应及时 并网通电。</w:t>
      </w:r>
      <w:bookmarkEnd w:id="170"/>
    </w:p>
    <w:p w:rsidR="00FC37F6" w:rsidRPr="00223645" w:rsidRDefault="00223645" w:rsidP="00C95BD9">
      <w:pPr>
        <w:pStyle w:val="3"/>
        <w:numPr>
          <w:ilvl w:val="0"/>
          <w:numId w:val="28"/>
        </w:numPr>
        <w:ind w:firstLineChars="0"/>
        <w:rPr>
          <w:rFonts w:ascii="黑体" w:eastAsia="黑体" w:hAnsi="黑体"/>
          <w:color w:val="auto"/>
          <w:lang w:eastAsia="zh-CN"/>
        </w:rPr>
      </w:pPr>
      <w:bookmarkStart w:id="171" w:name="bookmark319"/>
      <w:bookmarkStart w:id="172" w:name="bookmark317"/>
      <w:bookmarkStart w:id="173" w:name="bookmark316"/>
      <w:r w:rsidRPr="00223645">
        <w:rPr>
          <w:rFonts w:ascii="黑体" w:eastAsia="黑体" w:hAnsi="黑体" w:hint="eastAsia"/>
          <w:color w:val="auto"/>
          <w:lang w:eastAsia="zh-CN"/>
        </w:rPr>
        <w:t>优化运营模式</w:t>
      </w:r>
      <w:bookmarkEnd w:id="171"/>
      <w:bookmarkEnd w:id="172"/>
      <w:bookmarkEnd w:id="173"/>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74" w:name="bookmark320"/>
      <w:r w:rsidRPr="0040199A">
        <w:rPr>
          <w:rFonts w:ascii="黑体" w:eastAsia="黑体" w:hAnsi="黑体" w:cs="仿宋_GB2312" w:hint="eastAsia"/>
          <w:color w:val="auto"/>
          <w:sz w:val="28"/>
          <w:szCs w:val="28"/>
          <w:lang w:eastAsia="zh-CN"/>
        </w:rPr>
        <w:t>建立以社会投资为主体、政府投资为补充的投融资机制，丰富建设主体层级，充 分发挥社会资本在充电基础设施建设领域的核心作用，引导国企、民企、私人业主等 多方参与充电基础设施建设，形成可持续的投融资模式，支撑充电基础设施健康发展。 针对不同领域、不同场所、不同类型充电基础设施建设运营的特点，积极推动建立委 托代建、自建自用、随车配建等多元化充电基础设施建设运营模式。完善充电基础设 施的信息化服务，建立全市范围统一的充电设施运营服务平台，实现互联互通、信息 共享与统一结算。促进电动汽车与智能电网间能量和信息的双向互动，提高充电设施 监控、管理和服务的数字化和智能化水平，提升运行安全、运营</w:t>
      </w:r>
      <w:r w:rsidRPr="0040199A">
        <w:rPr>
          <w:rFonts w:ascii="黑体" w:eastAsia="黑体" w:hAnsi="黑体" w:cs="仿宋_GB2312" w:hint="eastAsia"/>
          <w:color w:val="auto"/>
          <w:sz w:val="28"/>
          <w:szCs w:val="28"/>
          <w:lang w:eastAsia="zh-CN"/>
        </w:rPr>
        <w:lastRenderedPageBreak/>
        <w:t>效率。建立电动汽车 用户服务平台，围绕用户需求，为用户提供充电导航、状态查询、充电预约、费用结 算等服务，拓展平台增值业务，提升运营效率和用户体验。</w:t>
      </w:r>
      <w:bookmarkEnd w:id="174"/>
    </w:p>
    <w:p w:rsidR="00FC37F6" w:rsidRPr="00223645" w:rsidRDefault="00223645" w:rsidP="00C95BD9">
      <w:pPr>
        <w:pStyle w:val="3"/>
        <w:numPr>
          <w:ilvl w:val="0"/>
          <w:numId w:val="28"/>
        </w:numPr>
        <w:ind w:firstLineChars="0"/>
        <w:rPr>
          <w:rFonts w:ascii="黑体" w:eastAsia="黑体" w:hAnsi="黑体"/>
          <w:color w:val="auto"/>
          <w:lang w:eastAsia="zh-CN"/>
        </w:rPr>
      </w:pPr>
      <w:bookmarkStart w:id="175" w:name="bookmark324"/>
      <w:bookmarkStart w:id="176" w:name="bookmark322"/>
      <w:bookmarkStart w:id="177" w:name="bookmark321"/>
      <w:r w:rsidRPr="00223645">
        <w:rPr>
          <w:rFonts w:ascii="黑体" w:eastAsia="黑体" w:hAnsi="黑体" w:hint="eastAsia"/>
          <w:color w:val="auto"/>
          <w:lang w:eastAsia="zh-CN"/>
        </w:rPr>
        <w:t>加强宣传引导</w:t>
      </w:r>
      <w:bookmarkEnd w:id="175"/>
      <w:bookmarkEnd w:id="176"/>
      <w:bookmarkEnd w:id="177"/>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78" w:name="bookmark325"/>
      <w:r w:rsidRPr="0040199A">
        <w:rPr>
          <w:rFonts w:ascii="黑体" w:eastAsia="黑体" w:hAnsi="黑体" w:cs="仿宋_GB2312" w:hint="eastAsia"/>
          <w:color w:val="auto"/>
          <w:sz w:val="28"/>
          <w:szCs w:val="28"/>
          <w:lang w:eastAsia="zh-CN"/>
        </w:rPr>
        <w:t>普及电动汽车相关知识，增强公众对电动汽车的认知度和接受度，加强对电动汽 车购买优惠政策措施的宣传，充分吸引社会各界购买使用电动汽车。充分利用各类媒 体，加强对充电基础设施优惠发展政策、规划布局和建设动态等的宣传，让社会各界 全面了解充电基础设施建设的有关情况，提高社会的认知度和接受度，吸引更多社会 资本参与充电基础设施建设运营。积极宣传示范效果好的站点，让社会各界体验感受 智能电网、电动汽车带给生活各个方面的改变，从而推动社会对电动汽车及充电基础 设施的认可。加强舆论监督，曝光阻碍充电基础设施建设、损害消费者权益等行为， 形成有利于电动汽车推广使用和充电基础设施发展建设的良好氛围。</w:t>
      </w:r>
      <w:bookmarkEnd w:id="178"/>
    </w:p>
    <w:p w:rsidR="00FC37F6" w:rsidRPr="00223645" w:rsidRDefault="00223645">
      <w:pPr>
        <w:pStyle w:val="2"/>
        <w:ind w:firstLine="643"/>
        <w:jc w:val="center"/>
        <w:rPr>
          <w:rFonts w:ascii="黑体" w:hAnsi="黑体"/>
          <w:color w:val="auto"/>
          <w:lang w:eastAsia="zh-CN"/>
        </w:rPr>
      </w:pPr>
      <w:bookmarkStart w:id="179" w:name="bookmark328"/>
      <w:bookmarkStart w:id="180" w:name="bookmark329"/>
      <w:bookmarkStart w:id="181" w:name="bookmark327"/>
      <w:bookmarkStart w:id="182" w:name="_Toc8095"/>
      <w:bookmarkStart w:id="183" w:name="bookmark326"/>
      <w:bookmarkStart w:id="184" w:name="_Toc1028243053"/>
      <w:r w:rsidRPr="00223645">
        <w:rPr>
          <w:rFonts w:ascii="黑体" w:hAnsi="黑体"/>
          <w:color w:val="auto"/>
          <w:lang w:eastAsia="zh-CN"/>
        </w:rPr>
        <w:t>第二节</w:t>
      </w:r>
      <w:r w:rsidRPr="00223645">
        <w:rPr>
          <w:rFonts w:ascii="黑体" w:hAnsi="黑体" w:hint="eastAsia"/>
          <w:color w:val="auto"/>
          <w:lang w:eastAsia="zh-CN"/>
        </w:rPr>
        <w:t xml:space="preserve"> </w:t>
      </w:r>
      <w:r w:rsidRPr="00223645">
        <w:rPr>
          <w:rFonts w:ascii="黑体" w:hAnsi="黑体"/>
          <w:color w:val="auto"/>
          <w:lang w:eastAsia="zh-CN"/>
        </w:rPr>
        <w:t>保障措施</w:t>
      </w:r>
      <w:bookmarkEnd w:id="179"/>
      <w:bookmarkEnd w:id="180"/>
      <w:bookmarkEnd w:id="181"/>
      <w:bookmarkEnd w:id="182"/>
      <w:bookmarkEnd w:id="183"/>
      <w:bookmarkEnd w:id="184"/>
    </w:p>
    <w:p w:rsidR="00FC37F6" w:rsidRPr="00223645" w:rsidRDefault="00223645" w:rsidP="00C95BD9">
      <w:pPr>
        <w:pStyle w:val="3"/>
        <w:numPr>
          <w:ilvl w:val="0"/>
          <w:numId w:val="29"/>
        </w:numPr>
        <w:ind w:firstLineChars="0"/>
        <w:rPr>
          <w:rFonts w:ascii="黑体" w:eastAsia="黑体" w:hAnsi="黑体"/>
          <w:color w:val="auto"/>
          <w:lang w:eastAsia="zh-CN"/>
        </w:rPr>
      </w:pPr>
      <w:bookmarkStart w:id="185" w:name="bookmark331"/>
      <w:bookmarkStart w:id="186" w:name="bookmark330"/>
      <w:bookmarkStart w:id="187" w:name="bookmark333"/>
      <w:r w:rsidRPr="00223645">
        <w:rPr>
          <w:rFonts w:ascii="黑体" w:eastAsia="黑体" w:hAnsi="黑体" w:hint="eastAsia"/>
          <w:color w:val="auto"/>
          <w:lang w:eastAsia="zh-CN"/>
        </w:rPr>
        <w:t>加强组织领导</w:t>
      </w:r>
      <w:bookmarkEnd w:id="185"/>
      <w:bookmarkEnd w:id="186"/>
      <w:bookmarkEnd w:id="187"/>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建立联席会议制度，统筹推进充电基础设施建设。联席会议成员单位由市发改局、市经信科技局、市住建局、市自然资源局、市财政局、市交通局、市公安局、市国资委、市应急局、市城管局、市市场监管局、市机管中心等有关部门组成。由广汉市发展改革局牵头组织召开联席会议，研究、协调充电基础设施</w:t>
      </w:r>
      <w:bookmarkStart w:id="188" w:name="bookmark334"/>
      <w:r w:rsidRPr="0040199A">
        <w:rPr>
          <w:rFonts w:ascii="黑体" w:eastAsia="黑体" w:hAnsi="黑体" w:cs="仿宋_GB2312" w:hint="eastAsia"/>
          <w:color w:val="auto"/>
          <w:sz w:val="28"/>
          <w:szCs w:val="28"/>
          <w:lang w:eastAsia="zh-CN"/>
        </w:rPr>
        <w:t>建设推进中存在的主要问题。在推进工作中，要积极稳妥、循序渐进，以运行区域相对固定的公共服务领域车辆为重点先行示范，避免不切实际、一哄而上，造成资源闲置浪费。</w:t>
      </w:r>
      <w:bookmarkEnd w:id="188"/>
    </w:p>
    <w:p w:rsidR="00FC37F6" w:rsidRPr="00223645" w:rsidRDefault="00223645" w:rsidP="00C95BD9">
      <w:pPr>
        <w:pStyle w:val="3"/>
        <w:numPr>
          <w:ilvl w:val="0"/>
          <w:numId w:val="29"/>
        </w:numPr>
        <w:ind w:firstLineChars="0"/>
        <w:rPr>
          <w:rFonts w:ascii="黑体" w:eastAsia="黑体" w:hAnsi="黑体"/>
          <w:color w:val="auto"/>
          <w:lang w:eastAsia="zh-CN"/>
        </w:rPr>
      </w:pPr>
      <w:bookmarkStart w:id="189" w:name="bookmark335"/>
      <w:bookmarkStart w:id="190" w:name="bookmark336"/>
      <w:bookmarkStart w:id="191" w:name="bookmark338"/>
      <w:r w:rsidRPr="00223645">
        <w:rPr>
          <w:rFonts w:ascii="黑体" w:eastAsia="黑体" w:hAnsi="黑体" w:hint="eastAsia"/>
          <w:color w:val="auto"/>
          <w:lang w:eastAsia="zh-CN"/>
        </w:rPr>
        <w:lastRenderedPageBreak/>
        <w:t>细化责任分工</w:t>
      </w:r>
      <w:bookmarkEnd w:id="189"/>
      <w:bookmarkEnd w:id="190"/>
      <w:bookmarkEnd w:id="191"/>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192" w:name="bookmark339"/>
      <w:bookmarkStart w:id="193" w:name="bookmark340"/>
      <w:bookmarkStart w:id="194" w:name="bookmark341"/>
      <w:bookmarkStart w:id="195" w:name="bookmark343"/>
      <w:r w:rsidRPr="0040199A">
        <w:rPr>
          <w:rFonts w:ascii="黑体" w:eastAsia="黑体" w:hAnsi="黑体" w:cs="仿宋_GB2312" w:hint="eastAsia"/>
          <w:color w:val="auto"/>
          <w:sz w:val="28"/>
          <w:szCs w:val="28"/>
          <w:lang w:eastAsia="zh-CN"/>
        </w:rPr>
        <w:t>按照国、省及德阳市有关文件精神，结合各部门职能职责，细化明确各部门职责。市发展 改革委负责指导充电基础设施规划和建设运营管理，制定落实充电价格政策，牵头协调解决工作推进中的重大问题。</w:t>
      </w:r>
      <w:bookmarkEnd w:id="192"/>
      <w:r w:rsidRPr="0040199A">
        <w:rPr>
          <w:rFonts w:ascii="黑体" w:eastAsia="黑体" w:hAnsi="黑体" w:cs="仿宋_GB2312" w:hint="eastAsia"/>
          <w:color w:val="auto"/>
          <w:sz w:val="28"/>
          <w:szCs w:val="28"/>
          <w:lang w:eastAsia="zh-CN"/>
        </w:rPr>
        <w:t>职责分工如下：</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一）市发改局负责本市电动汽车充电设施建设统筹协调与推进工作；负责编制本市充电设施建设专项规划，组织制定充电设施建设计划并协调实施；负责统筹本市充电设施建设支持政策，负责本市充电设施用电价格及充电服务费管理。负责指导充电设施平台接入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（二）市行政审批局负责做好全市电动汽车充电设施项目备案和节能审查工作。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三）市住建局负责督促属地住建部门指导物业服务机构配合营运商和居民个人、电网企业、施工单位，按现行法律法规协助做好充电设施建设工作，针对符合条件建设的小区，物业服务机构不得以任何理由阻挠项目建设及增加审批限制。负责将充电设施配建比例要求纳入新建住宅项目建设条件和工程整体验收范畴。指导小区物业、业委会等小区管理部门对充电设施建设应予支持和配合。居民私桩或专桩建成后，使用者向小区管理部门备案。</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（四）市机管中心负责本市党政机关、事业单位办公场所电动汽车充电设施建设事宜。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（五）市国资金融局负责本市国有企业办公场所、国有产权公共区域进行电动汽车充电设施建设推进工作。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（六）市市场监管局负责组织实施对用电价格政策执行情况进行检查；负责充电设施生产和销售环节的产品质量监督。</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lastRenderedPageBreak/>
        <w:t>（七）市应急局负责督促相关行业管理部门强化充电设施建设、运营安全监管，督促指导行业部门依法查处充电设施建设、运营等相关安全生产违法违规行为。</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（八）市消防救援大队负责对充电设施所属的机关、团体、企业、事业等单位遵守消防法律法规的情况依法进行监督检查，开展火灾扑救、火灾事故调查处理等工作。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（九）市自然资源局负责对新建建筑电动汽车充电设施的配置比例进行审查，对新建独立占地的公（专）用充电基础设施用地予以保障。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（十）市文体旅游局负责各旅游景区等区域电动汽车充电设施建设工作，负责各体育场馆区域内电动汽车充电设施建设工作。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（十一）市人防办负责指导人防防护区内充电设施建设工作。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（十二）市综合执法局主动协调、加强监督，指导在公共停车场和公共停车位区域内，电动汽车充电设施的建设和配套设备改造增建工作。</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（十三）国网广汉供电公司负责做好小区电力增容、受理报装接电等工作；负责指导充电运营商做好有序充电，确保居民正常生活用电。</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（十四）市财政局、市经科局、市生态环境局等部门按照各自职责，做好相关工作，支持充电设施规范有序建设。</w:t>
      </w:r>
    </w:p>
    <w:p w:rsidR="00FC37F6" w:rsidRPr="00223645" w:rsidRDefault="00223645" w:rsidP="00C95BD9">
      <w:pPr>
        <w:pStyle w:val="3"/>
        <w:numPr>
          <w:ilvl w:val="0"/>
          <w:numId w:val="29"/>
        </w:numPr>
        <w:ind w:firstLineChars="0"/>
        <w:rPr>
          <w:rFonts w:ascii="黑体" w:eastAsia="黑体" w:hAnsi="黑体"/>
          <w:color w:val="auto"/>
          <w:lang w:eastAsia="zh-CN"/>
        </w:rPr>
      </w:pPr>
      <w:r w:rsidRPr="00223645">
        <w:rPr>
          <w:rFonts w:ascii="黑体" w:eastAsia="黑体" w:hAnsi="黑体" w:hint="eastAsia"/>
          <w:color w:val="auto"/>
          <w:lang w:eastAsia="zh-CN"/>
        </w:rPr>
        <w:t>强化政策支持</w:t>
      </w:r>
      <w:bookmarkEnd w:id="193"/>
      <w:bookmarkEnd w:id="194"/>
      <w:bookmarkEnd w:id="195"/>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突出规划引领作用，将电动汽车充电基础设施专项规划相关内容纳入城乡规划、 土地利用规划、交通规划、城市基础设施规划、电网建设改造规划，做好与国民经济 和社会发展规划、电动汽车发展规划的衔接，尤其将公共充电设施选址、建设标准纳</w:t>
      </w:r>
      <w:bookmarkStart w:id="196" w:name="bookmark344"/>
      <w:r w:rsidRPr="0040199A">
        <w:rPr>
          <w:rFonts w:ascii="黑体" w:eastAsia="黑体" w:hAnsi="黑体" w:cs="仿宋_GB2312" w:hint="eastAsia"/>
          <w:color w:val="auto"/>
          <w:sz w:val="28"/>
          <w:szCs w:val="28"/>
          <w:lang w:eastAsia="zh-CN"/>
        </w:rPr>
        <w:t>入城乡规划管理体系，在控制性详细规划中，应落实充电设施专项规划的相关建设要求，化解充电设施建设过程中存在的难点，保障电动汽车充电需求，促进电动汽车产业发展，方便群众生活。</w:t>
      </w:r>
      <w:bookmarkEnd w:id="196"/>
    </w:p>
    <w:p w:rsidR="00FC37F6" w:rsidRPr="00223645" w:rsidRDefault="00223645">
      <w:pPr>
        <w:pStyle w:val="2"/>
        <w:ind w:firstLine="643"/>
        <w:jc w:val="center"/>
        <w:rPr>
          <w:rFonts w:ascii="黑体" w:hAnsi="黑体"/>
          <w:color w:val="auto"/>
          <w:lang w:eastAsia="zh-CN"/>
        </w:rPr>
      </w:pPr>
      <w:bookmarkStart w:id="197" w:name="bookmark347"/>
      <w:bookmarkStart w:id="198" w:name="_Toc880084362"/>
      <w:bookmarkStart w:id="199" w:name="_Toc8769"/>
      <w:bookmarkStart w:id="200" w:name="bookmark345"/>
      <w:bookmarkStart w:id="201" w:name="bookmark348"/>
      <w:bookmarkStart w:id="202" w:name="bookmark346"/>
      <w:r w:rsidRPr="00223645">
        <w:rPr>
          <w:rFonts w:ascii="黑体" w:hAnsi="黑体"/>
          <w:color w:val="auto"/>
          <w:lang w:eastAsia="zh-CN"/>
        </w:rPr>
        <w:lastRenderedPageBreak/>
        <w:t>第三节</w:t>
      </w:r>
      <w:r w:rsidRPr="00223645">
        <w:rPr>
          <w:rFonts w:ascii="黑体" w:hAnsi="黑体" w:hint="eastAsia"/>
          <w:color w:val="auto"/>
          <w:lang w:eastAsia="zh-CN"/>
        </w:rPr>
        <w:t xml:space="preserve"> </w:t>
      </w:r>
      <w:r w:rsidRPr="00223645">
        <w:rPr>
          <w:rFonts w:ascii="黑体" w:hAnsi="黑体"/>
          <w:color w:val="auto"/>
          <w:lang w:eastAsia="zh-CN"/>
        </w:rPr>
        <w:t>实施效果</w:t>
      </w:r>
      <w:bookmarkEnd w:id="197"/>
      <w:bookmarkEnd w:id="198"/>
      <w:bookmarkEnd w:id="199"/>
      <w:bookmarkEnd w:id="200"/>
      <w:bookmarkEnd w:id="201"/>
      <w:bookmarkEnd w:id="202"/>
    </w:p>
    <w:p w:rsidR="00FC37F6" w:rsidRPr="00223645" w:rsidRDefault="00223645" w:rsidP="00C95BD9">
      <w:pPr>
        <w:pStyle w:val="3"/>
        <w:numPr>
          <w:ilvl w:val="0"/>
          <w:numId w:val="30"/>
        </w:numPr>
        <w:ind w:firstLineChars="0"/>
        <w:rPr>
          <w:rFonts w:ascii="黑体" w:eastAsia="黑体" w:hAnsi="黑体"/>
          <w:color w:val="auto"/>
          <w:lang w:eastAsia="zh-CN"/>
        </w:rPr>
      </w:pPr>
      <w:bookmarkStart w:id="203" w:name="bookmark349"/>
      <w:bookmarkStart w:id="204" w:name="bookmark352"/>
      <w:bookmarkStart w:id="205" w:name="bookmark350"/>
      <w:r w:rsidRPr="00223645">
        <w:rPr>
          <w:rFonts w:ascii="黑体" w:eastAsia="黑体" w:hAnsi="黑体" w:hint="eastAsia"/>
          <w:color w:val="auto"/>
          <w:lang w:eastAsia="zh-CN"/>
        </w:rPr>
        <w:t>经济效益</w:t>
      </w:r>
      <w:bookmarkEnd w:id="203"/>
      <w:bookmarkEnd w:id="204"/>
      <w:bookmarkEnd w:id="205"/>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广汉市充电基础设施的规划、建设会更好地带动广汉电动汽车的发展。由于电动汽车主要靠电能实现驱动，而单位电价远低于化石燃料的单位价格，因此电动汽车的 推广能够减少化石能源的使用，降低能源的使用成本。</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电动公交（客运）车年均行驶里程约7万公里，平均耗电约90千瓦时/100公里; 电动出租车年均行驶里程约10万公里，平均耗电约18千瓦时/100公里；电动市政车年均行驶里程约4万公里，平均耗电约26千瓦时/100公里；电动货运车年均行驶里 程约4万公里，平均耗电约26千瓦时/100公里；其他电动汽车年均行驶里程约1. 5 万公里，平均耗电约15千瓦时/100公里。</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据此测算，随着电动汽车保有量增加，充电需求逐步攀升，到2030年，年充电量13728万千瓦时。</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06" w:name="bookmark353"/>
      <w:r w:rsidRPr="0040199A">
        <w:rPr>
          <w:rFonts w:ascii="黑体" w:eastAsia="黑体" w:hAnsi="黑体" w:cs="仿宋_GB2312" w:hint="eastAsia"/>
          <w:color w:val="auto"/>
          <w:sz w:val="28"/>
          <w:szCs w:val="28"/>
          <w:lang w:eastAsia="zh-CN"/>
        </w:rPr>
        <w:t>电动汽车大多采用白天行驶、夜间充电的运行方式，有利于减小系统负荷过大的 峰谷差值、解决电力系统调峰问题；电网负荷特性的改善有利于电网峰谷平衡以及盈 余电力的消费；提高电力运行效率，减少电能损耗，提高电能资源利用率。</w:t>
      </w:r>
      <w:bookmarkEnd w:id="206"/>
    </w:p>
    <w:p w:rsidR="00FC37F6" w:rsidRPr="00223645" w:rsidRDefault="00223645" w:rsidP="00C95BD9">
      <w:pPr>
        <w:pStyle w:val="3"/>
        <w:numPr>
          <w:ilvl w:val="0"/>
          <w:numId w:val="30"/>
        </w:numPr>
        <w:ind w:firstLineChars="0"/>
        <w:rPr>
          <w:rFonts w:ascii="黑体" w:eastAsia="黑体" w:hAnsi="黑体"/>
          <w:color w:val="auto"/>
          <w:lang w:eastAsia="zh-CN"/>
        </w:rPr>
      </w:pPr>
      <w:bookmarkStart w:id="207" w:name="bookmark354"/>
      <w:bookmarkStart w:id="208" w:name="bookmark355"/>
      <w:bookmarkStart w:id="209" w:name="bookmark357"/>
      <w:r w:rsidRPr="00223645">
        <w:rPr>
          <w:rFonts w:ascii="黑体" w:eastAsia="黑体" w:hAnsi="黑体" w:hint="eastAsia"/>
          <w:color w:val="auto"/>
          <w:lang w:eastAsia="zh-CN"/>
        </w:rPr>
        <w:t>环境效益</w:t>
      </w:r>
      <w:bookmarkEnd w:id="207"/>
      <w:bookmarkEnd w:id="208"/>
      <w:bookmarkEnd w:id="209"/>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按照本规划预计的电动汽车规模及充电基础设施建设规模，将减少二氧化碳以及 一氧化碳、氮氧化物、碳氢化合物、硫化物等有毒气体的排放，净化空气，使城市真 正的实现绿色发展，进一步改善城市人居环境。</w:t>
      </w:r>
    </w:p>
    <w:p w:rsidR="00FC37F6" w:rsidRPr="00223645"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31"/>
          <w:szCs w:val="31"/>
          <w:lang w:eastAsia="zh-CN"/>
        </w:rPr>
        <w:sectPr w:rsidR="00FC37F6" w:rsidRPr="00223645" w:rsidSect="00954DED">
          <w:headerReference w:type="even" r:id="rId18"/>
          <w:headerReference w:type="default" r:id="rId19"/>
          <w:footerReference w:type="even" r:id="rId20"/>
          <w:footerReference w:type="default" r:id="rId21"/>
          <w:headerReference w:type="first" r:id="rId22"/>
          <w:footerReference w:type="first" r:id="rId23"/>
          <w:pgSz w:w="11900" w:h="16840"/>
          <w:pgMar w:top="1354" w:right="1387" w:bottom="1436" w:left="1432" w:header="0" w:footer="3" w:gutter="0"/>
          <w:cols w:space="720"/>
          <w:titlePg/>
          <w:docGrid w:linePitch="360"/>
        </w:sectPr>
      </w:pPr>
      <w:r w:rsidRPr="0040199A">
        <w:rPr>
          <w:rFonts w:ascii="黑体" w:eastAsia="黑体" w:hAnsi="黑体" w:cs="仿宋_GB2312" w:hint="eastAsia"/>
          <w:color w:val="auto"/>
          <w:sz w:val="28"/>
          <w:szCs w:val="28"/>
          <w:lang w:eastAsia="zh-CN"/>
        </w:rPr>
        <w:t>传统公交（客运）车年均行驶里程约7万公里，平均燃料消耗量约30升/100公 里；传统出租车年均行驶里程约10万公里，平均燃料消耗量约</w:t>
      </w:r>
      <w:r w:rsidRPr="0040199A">
        <w:rPr>
          <w:rFonts w:ascii="黑体" w:eastAsia="黑体" w:hAnsi="黑体" w:cs="仿宋_GB2312" w:hint="eastAsia"/>
          <w:color w:val="auto"/>
          <w:sz w:val="28"/>
          <w:szCs w:val="28"/>
          <w:lang w:eastAsia="zh-CN"/>
        </w:rPr>
        <w:lastRenderedPageBreak/>
        <w:t>8升/100公里；传统市政车年均行驶里程约4万公里，平均燃料消耗量约10升/100公里，市政三轮车平均燃料消耗量约5升/100公里；传统货运车年均行驶里程约4万公里，平均燃料消耗量约15升/100公里，货运三轮车平均燃料消耗量约5升/100公里；其他传统车年均行驶里 程约1.5万公里，平均燃料消耗量约10升/100公里。普通乘用车汽车每升燃油的二氧化碳 排放量约2.4千克。据此测算，到2030年，通过发展电动汽车可节约燃油9453万升，减少二氧化碳 排放量22.69万吨。</w:t>
      </w:r>
    </w:p>
    <w:p w:rsidR="00FC37F6" w:rsidRPr="00223645" w:rsidRDefault="00223645">
      <w:pPr>
        <w:pStyle w:val="1"/>
        <w:ind w:firstLine="883"/>
        <w:rPr>
          <w:rFonts w:ascii="黑体" w:hAnsi="黑体"/>
          <w:color w:val="auto"/>
          <w:lang w:eastAsia="zh-CN"/>
        </w:rPr>
      </w:pPr>
      <w:bookmarkStart w:id="210" w:name="_Toc17405"/>
      <w:bookmarkStart w:id="211" w:name="_Toc1857995245"/>
      <w:r w:rsidRPr="00223645">
        <w:rPr>
          <w:rFonts w:ascii="黑体" w:hAnsi="黑体" w:hint="eastAsia"/>
          <w:color w:val="auto"/>
          <w:lang w:eastAsia="zh-CN"/>
        </w:rPr>
        <w:lastRenderedPageBreak/>
        <w:t>第七章 新型技术及相关案例</w:t>
      </w:r>
      <w:bookmarkEnd w:id="210"/>
    </w:p>
    <w:p w:rsidR="00FC37F6" w:rsidRPr="00223645" w:rsidRDefault="00223645">
      <w:pPr>
        <w:pStyle w:val="2"/>
        <w:ind w:firstLine="643"/>
        <w:rPr>
          <w:rFonts w:ascii="黑体" w:hAnsi="黑体"/>
          <w:color w:val="auto"/>
          <w:lang w:eastAsia="zh-CN"/>
        </w:rPr>
      </w:pPr>
      <w:bookmarkStart w:id="212" w:name="_Toc20432"/>
      <w:bookmarkEnd w:id="211"/>
      <w:r w:rsidRPr="00223645">
        <w:rPr>
          <w:rFonts w:ascii="黑体" w:hAnsi="黑体" w:hint="eastAsia"/>
          <w:color w:val="auto"/>
          <w:lang w:eastAsia="zh-CN"/>
        </w:rPr>
        <w:t>第一节 新型技术</w:t>
      </w:r>
      <w:bookmarkEnd w:id="212"/>
    </w:p>
    <w:p w:rsidR="00FC37F6" w:rsidRPr="00223645" w:rsidRDefault="00223645" w:rsidP="00C95BD9">
      <w:pPr>
        <w:pStyle w:val="3"/>
        <w:numPr>
          <w:ilvl w:val="0"/>
          <w:numId w:val="31"/>
        </w:numPr>
        <w:ind w:firstLineChars="0"/>
        <w:rPr>
          <w:rFonts w:ascii="黑体" w:eastAsia="黑体" w:hAnsi="黑体"/>
          <w:color w:val="auto"/>
          <w:lang w:eastAsia="zh-CN"/>
        </w:rPr>
      </w:pPr>
      <w:r w:rsidRPr="00223645">
        <w:rPr>
          <w:rFonts w:ascii="黑体" w:eastAsia="黑体" w:hAnsi="黑体" w:hint="eastAsia"/>
          <w:color w:val="auto"/>
          <w:lang w:eastAsia="zh-CN"/>
        </w:rPr>
        <w:t>虚拟电厂技术</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随着30/60双碳目标的提出,我国新能源发电量大幅提升，2022年风电光伏发电量的渗透率已经接近14%，比2021提高2个百分递,随着电源端风光新能源的渗透率的不断提升，到2025年预计可到20%，到2030这个数据预计进一步突破 30%。新能源的间歇性与波动性对用户侧用电的稳定提出了挑战。如何匹配电源端新能源的高渗透率，目前的可行方案就是以虚拟电厂技术为基础的用户侧综合智慧零碳电厂，链接用户侧各类资源，包含分布式电源、电动汽车移动储能、可调柔性负荷等实现源网荷双向互动。</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在未来政策体制、市场机制的支持下，用户侧虚拟电厂能满足《发电厂并网细则》及《发电厂辅助服务细则》两个细则的要求，与实体电厂一样具备参加电力市场及电力调度的市场主体资格，开展以下多项综合服务：</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1.购售电运营：售电、现货交易</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2.充电桩业务：充电桩运营、电动汽车移动储能管理V2G</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3.新能源运营IEMS：分布式光储与电网协同，电费需量管理</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4.碳管理：碳排放数据、碳足迹、碳资产、碳交易</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5.需求响应：预约/实时响应、负荷聚合控制</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lastRenderedPageBreak/>
        <w:t>6.辅助服务：电网调峰调频</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实现创新商业模式，开发利用存量资产潜力，为用户节能减排、降本增效创造价值！同时这个电厂的投资成本只有实体电厂的5%，实现了清洁低碳、安全可靠、经济高效的多目标统筹的兼顾。</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具体来说，虚拟电厂技术是一种通过先进信息通信技术和软件系统，实现分布式发电DG、储能系统（包含电动汽车移动储能系统）、可控负荷等用户侧分布式资源DER的聚合和协调优化，以作为一个特殊电厂参与电力市场和电网运行的电源协调管理系统。实现电源侧多能互补，负荷侧柔性可控。虚拟电厂概念的核心可以总结为“通信”和“聚合”。虚拟电厂的关键技术主要包括协调控制技术、智能计量技术以及信息通信技术。</w:t>
      </w:r>
    </w:p>
    <w:p w:rsidR="00FC37F6" w:rsidRPr="00223645" w:rsidRDefault="00223645">
      <w:pPr>
        <w:ind w:left="420" w:firstLine="620"/>
        <w:rPr>
          <w:rFonts w:ascii="黑体" w:eastAsia="黑体" w:hAnsi="黑体" w:cs="仿宋_GB2312"/>
          <w:color w:val="auto"/>
          <w:sz w:val="31"/>
          <w:szCs w:val="31"/>
          <w:lang w:eastAsia="zh-CN"/>
        </w:rPr>
      </w:pPr>
      <w:r w:rsidRPr="00223645">
        <w:rPr>
          <w:rFonts w:ascii="黑体" w:eastAsia="黑体" w:hAnsi="黑体" w:cs="仿宋_GB2312" w:hint="eastAsia"/>
          <w:noProof/>
          <w:color w:val="auto"/>
          <w:sz w:val="31"/>
          <w:szCs w:val="31"/>
          <w:lang w:eastAsia="zh-CN" w:bidi="ar-SA"/>
        </w:rPr>
        <w:drawing>
          <wp:inline distT="0" distB="0" distL="114300" distR="114300">
            <wp:extent cx="5269865" cy="1577975"/>
            <wp:effectExtent l="0" t="0" r="6985"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4" cstate="print"/>
                    <a:stretch>
                      <a:fillRect/>
                    </a:stretch>
                  </pic:blipFill>
                  <pic:spPr>
                    <a:xfrm>
                      <a:off x="0" y="0"/>
                      <a:ext cx="5269865" cy="1577975"/>
                    </a:xfrm>
                    <a:prstGeom prst="rect">
                      <a:avLst/>
                    </a:prstGeom>
                    <a:noFill/>
                    <a:ln>
                      <a:noFill/>
                    </a:ln>
                  </pic:spPr>
                </pic:pic>
              </a:graphicData>
            </a:graphic>
          </wp:inline>
        </w:drawing>
      </w:r>
    </w:p>
    <w:p w:rsidR="00FC37F6" w:rsidRPr="00223645" w:rsidRDefault="00223645" w:rsidP="00894E81">
      <w:pPr>
        <w:ind w:firstLine="480"/>
        <w:jc w:val="center"/>
        <w:rPr>
          <w:rFonts w:ascii="黑体" w:eastAsia="黑体" w:hAnsi="黑体" w:cs="黑体"/>
          <w:color w:val="auto"/>
          <w:lang w:eastAsia="zh-CN"/>
        </w:rPr>
      </w:pPr>
      <w:r w:rsidRPr="00223645">
        <w:rPr>
          <w:rFonts w:ascii="黑体" w:eastAsia="黑体" w:hAnsi="黑体" w:cs="黑体" w:hint="eastAsia"/>
          <w:color w:val="auto"/>
          <w:lang w:eastAsia="zh-CN"/>
        </w:rPr>
        <w:t>图7.1 虚拟电厂核心思想</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在政策层面，国家发改委、国家能源局2022年初发布的《“十四五”现代能源体系规划》明确，要大力提升电力负荷弹性，开展工业可调节负荷、楼宇空调负荷、大数据中心负荷、用户侧储能、新能源汽车与电网（V2G）能量互动等各类资源聚合的虚拟电厂示范。《上海电力调峰辅助服务市场运营规则》《第三方独立主体参与华北电力</w:t>
      </w:r>
      <w:r w:rsidRPr="0040199A">
        <w:rPr>
          <w:rFonts w:ascii="黑体" w:eastAsia="黑体" w:hAnsi="黑体" w:cs="仿宋_GB2312" w:hint="eastAsia"/>
          <w:color w:val="auto"/>
          <w:sz w:val="28"/>
          <w:szCs w:val="28"/>
          <w:lang w:eastAsia="zh-CN"/>
        </w:rPr>
        <w:lastRenderedPageBreak/>
        <w:t>调峰辅助服务市场规则》等政策，均加速推动了虚拟电厂由邀约模式向市场化交易模式转型。</w:t>
      </w:r>
    </w:p>
    <w:p w:rsidR="00FC37F6" w:rsidRPr="00223645" w:rsidRDefault="00223645" w:rsidP="00C95BD9">
      <w:pPr>
        <w:pStyle w:val="3"/>
        <w:numPr>
          <w:ilvl w:val="0"/>
          <w:numId w:val="31"/>
        </w:numPr>
        <w:ind w:firstLineChars="0"/>
        <w:rPr>
          <w:rFonts w:ascii="黑体" w:eastAsia="黑体" w:hAnsi="黑体"/>
          <w:color w:val="auto"/>
          <w:lang w:eastAsia="zh-CN"/>
        </w:rPr>
      </w:pPr>
      <w:r w:rsidRPr="00223645">
        <w:rPr>
          <w:rFonts w:ascii="黑体" w:eastAsia="黑体" w:hAnsi="黑体" w:hint="eastAsia"/>
          <w:color w:val="auto"/>
          <w:lang w:eastAsia="zh-CN"/>
        </w:rPr>
        <w:t>桩群充电控制协调策略</w:t>
      </w:r>
    </w:p>
    <w:p w:rsidR="00FC37F6" w:rsidRPr="00223645"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480"/>
        <w:rPr>
          <w:rFonts w:ascii="黑体" w:eastAsia="黑体" w:hAnsi="黑体"/>
          <w:color w:val="auto"/>
          <w:lang w:eastAsia="zh-CN"/>
        </w:rPr>
      </w:pPr>
      <w:r w:rsidRPr="00223645">
        <w:rPr>
          <w:rFonts w:ascii="黑体" w:eastAsia="黑体" w:hAnsi="黑体" w:hint="eastAsia"/>
          <w:color w:val="auto"/>
          <w:lang w:eastAsia="zh-CN"/>
        </w:rPr>
        <w:t xml:space="preserve">   </w:t>
      </w:r>
      <w:r w:rsidRPr="00223645">
        <w:rPr>
          <w:rFonts w:ascii="黑体" w:eastAsia="黑体" w:hAnsi="黑体" w:cs="仿宋_GB2312" w:hint="eastAsia"/>
          <w:color w:val="auto"/>
          <w:sz w:val="31"/>
          <w:szCs w:val="31"/>
          <w:lang w:eastAsia="zh-CN"/>
        </w:rPr>
        <w:t xml:space="preserve"> </w:t>
      </w:r>
      <w:r w:rsidRPr="0040199A">
        <w:rPr>
          <w:rFonts w:ascii="黑体" w:eastAsia="黑体" w:hAnsi="黑体" w:cs="仿宋_GB2312" w:hint="eastAsia"/>
          <w:color w:val="auto"/>
          <w:sz w:val="28"/>
          <w:szCs w:val="28"/>
          <w:lang w:eastAsia="zh-CN"/>
        </w:rPr>
        <w:t xml:space="preserve">充电桩控制协调策略的研究为了解决充电桩的无序充电行为将在配电网的峰值负荷上叠加新的负荷尖峰、导致配电网馈线典雅便宜、配电变压器过载、网损增加、运行效率恶化和电网稳定性下降等问题。分为（1）电价引导充电控制策略 利用电价优惠政策引导用户根据充电需求自主选择充电时段。（2）集中式充电控制策略 电网运营商通过通信设备获取控制区域内所有电动汽车的基本信息，包括初始充电状态、期望充电状态、充电起始时刻、充电结束时刻、充电功率约束等，然后将控制信号与每辆电动汽车进行双向传递。该类控制方法能够实现全网资源的有效利用和配置。（3）分散式充电控制策略 在分层、分散式控制方式中，代理商起到连接电动汽车与区域电网调控中心的作用，控制信号先由控制中心发送至代理商，再有代理商将信号分发至受管理的每辆电动汽车，因此对通信带宽要求较低，从而避免了集中式控制策略不适用于实施调度的缺点。  </w:t>
      </w:r>
    </w:p>
    <w:p w:rsidR="00FC37F6" w:rsidRPr="00223645" w:rsidRDefault="00223645">
      <w:pPr>
        <w:pStyle w:val="2"/>
        <w:ind w:firstLine="643"/>
        <w:rPr>
          <w:rFonts w:ascii="黑体" w:hAnsi="黑体"/>
          <w:color w:val="auto"/>
          <w:lang w:eastAsia="zh-CN"/>
        </w:rPr>
      </w:pPr>
      <w:bookmarkStart w:id="213" w:name="_Toc20335"/>
      <w:r w:rsidRPr="00223645">
        <w:rPr>
          <w:rFonts w:ascii="黑体" w:hAnsi="黑体" w:hint="eastAsia"/>
          <w:color w:val="auto"/>
          <w:lang w:eastAsia="zh-CN"/>
        </w:rPr>
        <w:t>第二节 先进案例</w:t>
      </w:r>
      <w:bookmarkEnd w:id="213"/>
    </w:p>
    <w:p w:rsidR="00FC37F6" w:rsidRPr="00223645" w:rsidRDefault="00FC37F6">
      <w:pPr>
        <w:ind w:firstLine="480"/>
        <w:rPr>
          <w:rFonts w:ascii="黑体" w:eastAsia="黑体" w:hAnsi="黑体"/>
          <w:color w:val="auto"/>
          <w:lang w:eastAsia="zh-CN"/>
        </w:rPr>
      </w:pPr>
    </w:p>
    <w:p w:rsidR="00FC37F6" w:rsidRPr="00223645" w:rsidRDefault="00223645">
      <w:pPr>
        <w:ind w:firstLine="602"/>
        <w:jc w:val="center"/>
        <w:rPr>
          <w:rFonts w:ascii="黑体" w:eastAsia="黑体" w:hAnsi="黑体" w:cs="黑体"/>
          <w:b/>
          <w:bCs/>
          <w:color w:val="auto"/>
          <w:sz w:val="30"/>
          <w:szCs w:val="30"/>
          <w:lang w:eastAsia="zh-CN"/>
        </w:rPr>
      </w:pPr>
      <w:bookmarkStart w:id="214" w:name="_Toc766371688"/>
      <w:bookmarkStart w:id="215" w:name="_Toc15587"/>
      <w:r w:rsidRPr="00223645">
        <w:rPr>
          <w:rFonts w:ascii="黑体" w:eastAsia="黑体" w:hAnsi="黑体" w:cs="黑体" w:hint="eastAsia"/>
          <w:b/>
          <w:bCs/>
          <w:color w:val="auto"/>
          <w:sz w:val="30"/>
          <w:szCs w:val="30"/>
          <w:lang w:eastAsia="zh-CN"/>
        </w:rPr>
        <w:t>案例一、上海黄浦区虚拟电厂项目</w:t>
      </w:r>
      <w:bookmarkEnd w:id="214"/>
      <w:bookmarkEnd w:id="215"/>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2021年，国家电网在上海黄浦区开展了国内首次基于虚拟电厂技术的电力需求响应行动，迄今最大规模的一次试运行，参与楼宇超</w:t>
      </w:r>
      <w:r w:rsidRPr="0040199A">
        <w:rPr>
          <w:rFonts w:ascii="黑体" w:eastAsia="黑体" w:hAnsi="黑体" w:cs="仿宋_GB2312" w:hint="eastAsia"/>
          <w:color w:val="auto"/>
          <w:sz w:val="28"/>
          <w:szCs w:val="28"/>
          <w:lang w:eastAsia="zh-CN"/>
        </w:rPr>
        <w:lastRenderedPageBreak/>
        <w:t>过50栋，释放负荷约10MW，仅仅1h的测试，就能产生150MW·h的电量。在这次测试中，累计调节电网负荷562MW·h，消纳清洁能源电量1236MW·h，减少碳排放量约336t。实现途径为：在用电高峰时段，系统对虚拟电厂区域内，相关建筑中央空调的温度、风量、转速等多个特征参数，进行自动调节，且对用户体验影响不大。技术层面是有一些工作量的，包括控制、计量、调度、交易等，以往的能源调控颗粒度比较大，虚拟电厂针对的是设备级，而且要求自动响应的话，复杂程度就很高了。以上海项目为例，还是在系统平台上，负荷集成商进行竞价。三级的架构，即平台、负荷集成商、用户。补贴价格根据响应时间，也有区分。用户在30min之内进行削峰，补贴是基准价格的3倍，30min到2h之间是基准价格的2倍，时间更长补贴就更低。补贴的来源目前主要是各省的跨省区可再生能源电力现货交易购电差价的盈余部分，所以还是有一些制约，很多省份还没有开始现货交易。</w:t>
      </w:r>
    </w:p>
    <w:p w:rsidR="00FC37F6" w:rsidRPr="00223645" w:rsidRDefault="00223645">
      <w:pPr>
        <w:ind w:firstLine="602"/>
        <w:jc w:val="center"/>
        <w:rPr>
          <w:rFonts w:ascii="黑体" w:eastAsia="黑体" w:hAnsi="黑体" w:cs="黑体"/>
          <w:b/>
          <w:bCs/>
          <w:color w:val="auto"/>
          <w:sz w:val="30"/>
          <w:szCs w:val="30"/>
          <w:lang w:eastAsia="zh-CN"/>
        </w:rPr>
      </w:pPr>
      <w:bookmarkStart w:id="216" w:name="_Toc1949529157"/>
      <w:r w:rsidRPr="00223645">
        <w:rPr>
          <w:rFonts w:ascii="黑体" w:eastAsia="黑体" w:hAnsi="黑体" w:cs="黑体" w:hint="eastAsia"/>
          <w:b/>
          <w:bCs/>
          <w:color w:val="auto"/>
          <w:sz w:val="30"/>
          <w:szCs w:val="30"/>
          <w:lang w:eastAsia="zh-CN"/>
        </w:rPr>
        <w:t>案例二、南方电网深圳虚拟电厂实践项目</w:t>
      </w:r>
      <w:bookmarkEnd w:id="216"/>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2021年，由南方电网深圳供电局、南方电网科学研究院联合研发，国内首个“网地一体虚拟电厂运营管理平台”在深圳试运行。该平台部署于南方电网调度云，网省两级均可直接调度，为传统“源随荷动”调度模式转变为“源荷互动”新模式提供了解决方案。深圳供电局通过该平台向10余家用户发起电网调峰需求，深圳能源售电公司代理的深圳地铁集团站点、深圳水务集团笔架山水厂参与响应。</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lastRenderedPageBreak/>
        <w:t>随后，深圳地铁集团站点、深圳水务集团笔架山水厂在保证正常安全生产的基础前提下，按照计划精准调节用电负荷共计3MW，相当于2000户家庭的空调用电负荷量。</w:t>
      </w:r>
    </w:p>
    <w:p w:rsidR="00FC37F6" w:rsidRPr="00223645" w:rsidRDefault="00223645">
      <w:pPr>
        <w:ind w:firstLine="602"/>
        <w:jc w:val="center"/>
        <w:rPr>
          <w:rFonts w:ascii="黑体" w:eastAsia="黑体" w:hAnsi="黑体" w:cs="黑体"/>
          <w:b/>
          <w:bCs/>
          <w:color w:val="auto"/>
          <w:sz w:val="30"/>
          <w:szCs w:val="30"/>
          <w:lang w:eastAsia="zh-CN"/>
        </w:rPr>
      </w:pPr>
      <w:bookmarkStart w:id="217" w:name="_Toc1578539420"/>
      <w:r w:rsidRPr="00223645">
        <w:rPr>
          <w:rFonts w:ascii="黑体" w:eastAsia="黑体" w:hAnsi="黑体" w:cs="黑体" w:hint="eastAsia"/>
          <w:b/>
          <w:bCs/>
          <w:color w:val="auto"/>
          <w:sz w:val="30"/>
          <w:szCs w:val="30"/>
          <w:lang w:eastAsia="zh-CN"/>
        </w:rPr>
        <w:t>案例三、国家电网冀北虚拟电厂示范项目</w:t>
      </w:r>
      <w:bookmarkEnd w:id="217"/>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2019年年底，国家电网冀北虚拟电厂示范项目投运。公开数据显示，到2020年，冀北电网夏季空调负荷将达6GW，10%空调负荷通过虚拟电厂进行实时响应，相当于少建一座600MW的传统电厂。“煤改电”最大负荷将达2GW，蓄热式电采暖负荷通过虚拟电厂进行实时响应，预计可增发清洁能源720GW·h，减排63.65万t二氧化碳。</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案例一到案例三为虚拟电厂应用案例，作为智能管家，为破解清洁能源消纳和绿色能源转型提供有效的解决方案。虚拟电厂采用的先进通信技术将多类型的分布式能源进行自由聚合，有效实现了传统新能源电力的强随机波动性。</w:t>
      </w:r>
    </w:p>
    <w:p w:rsidR="00FC37F6" w:rsidRPr="00223645" w:rsidRDefault="00223645">
      <w:pPr>
        <w:ind w:firstLine="602"/>
        <w:jc w:val="center"/>
        <w:rPr>
          <w:rFonts w:ascii="黑体" w:eastAsia="黑体" w:hAnsi="黑体" w:cs="黑体"/>
          <w:b/>
          <w:bCs/>
          <w:color w:val="auto"/>
          <w:sz w:val="30"/>
          <w:szCs w:val="30"/>
          <w:lang w:eastAsia="zh-CN"/>
        </w:rPr>
      </w:pPr>
      <w:r w:rsidRPr="00223645">
        <w:rPr>
          <w:rFonts w:ascii="黑体" w:eastAsia="黑体" w:hAnsi="黑体" w:cs="黑体" w:hint="eastAsia"/>
          <w:b/>
          <w:bCs/>
          <w:color w:val="auto"/>
          <w:sz w:val="30"/>
          <w:szCs w:val="30"/>
          <w:lang w:eastAsia="zh-CN"/>
        </w:rPr>
        <w:t>案例四、玉环市商展中心光储充放充电站项目</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集“屋顶BIPV+分布式储能+智能双向充电桩”多功能为一体，建成了智能绿色充电示范站。充电站建设了容量为1250kVA的充电箱变，配置了26台直流充电终端，2台充放电终端，桩平均功率为80kW，可满足28辆新能源汽车同时充电；建设有200kWh磷酸铁锂电池储能系统；商展中心分布着800kWp屋顶BIPV光伏建筑一体化光伏系统；充电车位安装78kWp光伏车棚，值得一提的是，顶棚光伏组件为双玻双面发电，相比于传统光伏组件发电效率可提高20%。储能系统通过能量管理进行“削峰填谷”，将系统内光伏余电或电网低价电存储起</w:t>
      </w:r>
      <w:r w:rsidRPr="0040199A">
        <w:rPr>
          <w:rFonts w:ascii="黑体" w:eastAsia="黑体" w:hAnsi="黑体" w:cs="仿宋_GB2312" w:hint="eastAsia"/>
          <w:color w:val="auto"/>
          <w:sz w:val="28"/>
          <w:szCs w:val="28"/>
          <w:lang w:eastAsia="zh-CN"/>
        </w:rPr>
        <w:lastRenderedPageBreak/>
        <w:t>来，在电价高峰时间放出，通过套取电价差获取利润。该模式打开了新能源消纳通道，提高了可再生能源的使用比例，真正实现了新能源车充新能源电。项目年发电量96万度，节约标准煤约312.2吨，碳减排约895.21吨。</w:t>
      </w:r>
    </w:p>
    <w:p w:rsidR="00FC37F6" w:rsidRPr="00223645" w:rsidRDefault="00223645">
      <w:pPr>
        <w:pStyle w:val="a0"/>
        <w:spacing w:line="240" w:lineRule="auto"/>
        <w:ind w:firstLineChars="0" w:firstLine="0"/>
        <w:jc w:val="both"/>
        <w:rPr>
          <w:rFonts w:ascii="黑体" w:eastAsia="黑体" w:hAnsi="黑体" w:cs="仿宋_GB2312"/>
          <w:color w:val="auto"/>
          <w:sz w:val="31"/>
          <w:szCs w:val="31"/>
          <w:lang w:eastAsia="zh-CN"/>
        </w:rPr>
      </w:pPr>
      <w:r w:rsidRPr="00223645">
        <w:rPr>
          <w:rFonts w:ascii="黑体" w:eastAsia="黑体" w:hAnsi="黑体" w:cs="仿宋_GB2312"/>
          <w:noProof/>
          <w:color w:val="auto"/>
          <w:sz w:val="31"/>
          <w:szCs w:val="31"/>
          <w:lang w:eastAsia="zh-CN" w:bidi="ar-SA"/>
        </w:rPr>
        <w:drawing>
          <wp:inline distT="0" distB="0" distL="114300" distR="114300">
            <wp:extent cx="5749925" cy="3232150"/>
            <wp:effectExtent l="0" t="0" r="3175" b="6350"/>
            <wp:docPr id="16" name="图片 16" descr="167819608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8196089174"/>
                    <pic:cNvPicPr>
                      <a:picLocks noChangeAspect="1"/>
                    </pic:cNvPicPr>
                  </pic:nvPicPr>
                  <pic:blipFill>
                    <a:blip r:embed="rId25" cstate="print"/>
                    <a:stretch>
                      <a:fillRect/>
                    </a:stretch>
                  </pic:blipFill>
                  <pic:spPr>
                    <a:xfrm>
                      <a:off x="0" y="0"/>
                      <a:ext cx="5749925" cy="3232150"/>
                    </a:xfrm>
                    <a:prstGeom prst="rect">
                      <a:avLst/>
                    </a:prstGeom>
                  </pic:spPr>
                </pic:pic>
              </a:graphicData>
            </a:graphic>
          </wp:inline>
        </w:drawing>
      </w: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 xml:space="preserve">图7.2 玉环市光储充放充电站实景图 </w:t>
      </w:r>
    </w:p>
    <w:p w:rsidR="00FC37F6" w:rsidRPr="00223645" w:rsidRDefault="00FC37F6">
      <w:pPr>
        <w:pStyle w:val="a0"/>
        <w:ind w:firstLine="620"/>
        <w:rPr>
          <w:rFonts w:ascii="黑体" w:eastAsia="黑体" w:hAnsi="黑体" w:cs="仿宋_GB2312"/>
          <w:color w:val="auto"/>
          <w:sz w:val="31"/>
          <w:szCs w:val="31"/>
          <w:lang w:eastAsia="zh-CN"/>
        </w:rPr>
      </w:pPr>
    </w:p>
    <w:p w:rsidR="00FC37F6" w:rsidRPr="00223645" w:rsidRDefault="00FC37F6">
      <w:pPr>
        <w:pStyle w:val="a0"/>
        <w:ind w:firstLine="480"/>
        <w:rPr>
          <w:rFonts w:ascii="黑体" w:eastAsia="黑体" w:hAnsi="黑体"/>
          <w:color w:val="auto"/>
          <w:lang w:eastAsia="zh-CN"/>
        </w:rPr>
      </w:pPr>
    </w:p>
    <w:p w:rsidR="00FC37F6" w:rsidRPr="0040199A" w:rsidRDefault="00223645" w:rsidP="0040199A">
      <w:pPr>
        <w:ind w:firstLine="602"/>
        <w:jc w:val="center"/>
        <w:rPr>
          <w:rFonts w:ascii="黑体" w:eastAsia="黑体" w:hAnsi="黑体" w:cs="黑体"/>
          <w:b/>
          <w:bCs/>
          <w:color w:val="auto"/>
          <w:sz w:val="30"/>
          <w:szCs w:val="30"/>
          <w:lang w:eastAsia="zh-CN"/>
        </w:rPr>
      </w:pPr>
      <w:bookmarkStart w:id="218" w:name="_Toc2126042458"/>
      <w:r w:rsidRPr="0040199A">
        <w:rPr>
          <w:rFonts w:ascii="黑体" w:eastAsia="黑体" w:hAnsi="黑体" w:cs="黑体" w:hint="eastAsia"/>
          <w:b/>
          <w:bCs/>
          <w:color w:val="auto"/>
          <w:sz w:val="30"/>
          <w:szCs w:val="30"/>
          <w:lang w:eastAsia="zh-CN"/>
        </w:rPr>
        <w:t>案例五、宜宾港荣时代汇2000kWh商业储能站</w:t>
      </w:r>
      <w:bookmarkEnd w:id="218"/>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快卜与宜宾港荣美成投资集团合作，打造宜宾时代汇2000kWh商业储能站。装机容量为2MW/2MWh，用于商业区用电削峰填谷、降低用电成本，同时可作为应急备用电源。</w:t>
      </w:r>
    </w:p>
    <w:p w:rsidR="00FC37F6" w:rsidRPr="00223645" w:rsidRDefault="00FC37F6">
      <w:pPr>
        <w:spacing w:line="240" w:lineRule="auto"/>
        <w:ind w:firstLineChars="0" w:firstLine="0"/>
        <w:jc w:val="both"/>
        <w:rPr>
          <w:rFonts w:ascii="黑体" w:eastAsia="黑体" w:hAnsi="黑体"/>
          <w:color w:val="auto"/>
          <w:kern w:val="2"/>
          <w:sz w:val="21"/>
          <w:szCs w:val="22"/>
          <w:lang w:eastAsia="zh-CN" w:bidi="ar-SA"/>
        </w:rPr>
      </w:pPr>
    </w:p>
    <w:p w:rsidR="00FC37F6" w:rsidRPr="00223645" w:rsidRDefault="00223645">
      <w:pPr>
        <w:spacing w:line="240" w:lineRule="auto"/>
        <w:ind w:firstLineChars="0" w:firstLine="0"/>
        <w:jc w:val="center"/>
        <w:rPr>
          <w:rFonts w:ascii="黑体" w:eastAsia="黑体" w:hAnsi="黑体" w:cs="仿宋_GB2312"/>
          <w:color w:val="auto"/>
          <w:sz w:val="31"/>
          <w:szCs w:val="31"/>
          <w:lang w:eastAsia="zh-CN"/>
        </w:rPr>
      </w:pPr>
      <w:r w:rsidRPr="00223645">
        <w:rPr>
          <w:rFonts w:ascii="黑体" w:eastAsia="黑体" w:hAnsi="黑体" w:cs="仿宋_GB2312" w:hint="eastAsia"/>
          <w:noProof/>
          <w:color w:val="auto"/>
          <w:sz w:val="31"/>
          <w:szCs w:val="31"/>
          <w:lang w:eastAsia="zh-CN" w:bidi="ar-SA"/>
        </w:rPr>
        <w:lastRenderedPageBreak/>
        <w:drawing>
          <wp:inline distT="0" distB="0" distL="114300" distR="114300">
            <wp:extent cx="5247005" cy="279146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cstate="print"/>
                    <a:stretch>
                      <a:fillRect/>
                    </a:stretch>
                  </pic:blipFill>
                  <pic:spPr>
                    <a:xfrm>
                      <a:off x="0" y="0"/>
                      <a:ext cx="5247005" cy="2791460"/>
                    </a:xfrm>
                    <a:prstGeom prst="rect">
                      <a:avLst/>
                    </a:prstGeom>
                    <a:noFill/>
                    <a:ln>
                      <a:noFill/>
                    </a:ln>
                  </pic:spPr>
                </pic:pic>
              </a:graphicData>
            </a:graphic>
          </wp:inline>
        </w:drawing>
      </w:r>
    </w:p>
    <w:p w:rsidR="00FC37F6" w:rsidRPr="00894E81" w:rsidRDefault="00223645" w:rsidP="00894E81">
      <w:pPr>
        <w:ind w:firstLine="480"/>
        <w:jc w:val="center"/>
        <w:rPr>
          <w:rFonts w:ascii="黑体" w:eastAsia="黑体" w:hAnsi="黑体" w:cs="仿宋"/>
          <w:color w:val="auto"/>
          <w:lang w:eastAsia="zh-CN"/>
        </w:rPr>
      </w:pPr>
      <w:r w:rsidRPr="00894E81">
        <w:rPr>
          <w:rFonts w:ascii="黑体" w:eastAsia="黑体" w:hAnsi="黑体" w:cs="仿宋" w:hint="eastAsia"/>
          <w:color w:val="auto"/>
          <w:lang w:eastAsia="zh-CN"/>
        </w:rPr>
        <w:t xml:space="preserve">  图7.3 宜宾港荣时代储能站结构图</w:t>
      </w:r>
    </w:p>
    <w:p w:rsidR="00FC37F6" w:rsidRPr="00223645" w:rsidRDefault="00FC37F6">
      <w:pPr>
        <w:ind w:firstLineChars="0" w:firstLine="0"/>
        <w:jc w:val="both"/>
        <w:rPr>
          <w:rFonts w:ascii="黑体" w:eastAsia="黑体" w:hAnsi="黑体" w:cs="仿宋_GB2312"/>
          <w:color w:val="auto"/>
          <w:sz w:val="31"/>
          <w:szCs w:val="31"/>
          <w:lang w:eastAsia="zh-CN"/>
        </w:rPr>
      </w:pP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该方案整体由源网荷储用五部分构成，“源”即是光伏发电系统，“网”即是电网，“荷”即是负荷，包含(园/厂)区用电和充电桩负荷两部分，“储“即储能系统，包含10kV级联储能系统和动力电池检测系统两部分；”用“即快充场景的应用。</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方案具备以下优势：</w:t>
      </w:r>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19" w:name="_Toc415189173"/>
      <w:r w:rsidRPr="0040199A">
        <w:rPr>
          <w:rFonts w:ascii="黑体" w:eastAsia="黑体" w:hAnsi="黑体" w:cs="仿宋_GB2312" w:hint="eastAsia"/>
          <w:color w:val="auto"/>
          <w:sz w:val="28"/>
          <w:szCs w:val="28"/>
          <w:lang w:eastAsia="zh-CN"/>
        </w:rPr>
        <w:t>实现分布式电源与电网协同控制；</w:t>
      </w:r>
      <w:bookmarkEnd w:id="219"/>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20" w:name="_Toc910061508"/>
      <w:r w:rsidRPr="0040199A">
        <w:rPr>
          <w:rFonts w:ascii="黑体" w:eastAsia="黑体" w:hAnsi="黑体" w:cs="仿宋_GB2312" w:hint="eastAsia"/>
          <w:color w:val="auto"/>
          <w:sz w:val="28"/>
          <w:szCs w:val="28"/>
          <w:lang w:eastAsia="zh-CN"/>
        </w:rPr>
        <w:t>解决部分电网增容、扩容的矛盾；</w:t>
      </w:r>
      <w:bookmarkEnd w:id="220"/>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21" w:name="_Toc1025231022"/>
      <w:r w:rsidRPr="0040199A">
        <w:rPr>
          <w:rFonts w:ascii="黑体" w:eastAsia="黑体" w:hAnsi="黑体" w:cs="仿宋_GB2312" w:hint="eastAsia"/>
          <w:color w:val="auto"/>
          <w:sz w:val="28"/>
          <w:szCs w:val="28"/>
          <w:lang w:eastAsia="zh-CN"/>
        </w:rPr>
        <w:t>微电网削峰填谷，平抑电动汽车超充引起的电网波动；</w:t>
      </w:r>
      <w:bookmarkEnd w:id="221"/>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22" w:name="_Toc1796486873"/>
      <w:r w:rsidRPr="0040199A">
        <w:rPr>
          <w:rFonts w:ascii="黑体" w:eastAsia="黑体" w:hAnsi="黑体" w:cs="仿宋_GB2312" w:hint="eastAsia"/>
          <w:color w:val="auto"/>
          <w:sz w:val="28"/>
          <w:szCs w:val="28"/>
          <w:lang w:eastAsia="zh-CN"/>
        </w:rPr>
        <w:t>提高发电接纳能力，减少弃光；</w:t>
      </w:r>
      <w:bookmarkEnd w:id="222"/>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23" w:name="_Toc2082281338"/>
      <w:r w:rsidRPr="0040199A">
        <w:rPr>
          <w:rFonts w:ascii="黑体" w:eastAsia="黑体" w:hAnsi="黑体" w:cs="仿宋_GB2312" w:hint="eastAsia"/>
          <w:color w:val="auto"/>
          <w:sz w:val="28"/>
          <w:szCs w:val="28"/>
          <w:lang w:eastAsia="zh-CN"/>
        </w:rPr>
        <w:t>实现查卡器低压用户检测，提高用户用电质量；</w:t>
      </w:r>
      <w:bookmarkEnd w:id="223"/>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24" w:name="_Toc1508936254"/>
      <w:r w:rsidRPr="0040199A">
        <w:rPr>
          <w:rFonts w:ascii="黑体" w:eastAsia="黑体" w:hAnsi="黑体" w:cs="仿宋_GB2312" w:hint="eastAsia"/>
          <w:color w:val="auto"/>
          <w:sz w:val="28"/>
          <w:szCs w:val="28"/>
          <w:lang w:eastAsia="zh-CN"/>
        </w:rPr>
        <w:t>实现微电网孤岛运行；</w:t>
      </w:r>
      <w:bookmarkEnd w:id="224"/>
    </w:p>
    <w:p w:rsidR="00FC37F6" w:rsidRPr="0040199A" w:rsidRDefault="00223645" w:rsidP="0040199A">
      <w:pPr>
        <w:pStyle w:val="af5"/>
        <w:widowControl/>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Chars="0"/>
        <w:rPr>
          <w:rFonts w:ascii="黑体" w:eastAsia="黑体" w:hAnsi="黑体" w:cs="仿宋_GB2312"/>
          <w:color w:val="auto"/>
          <w:sz w:val="28"/>
          <w:szCs w:val="28"/>
          <w:lang w:eastAsia="zh-CN"/>
        </w:rPr>
      </w:pPr>
      <w:bookmarkStart w:id="225" w:name="_Toc1057233555"/>
      <w:r w:rsidRPr="0040199A">
        <w:rPr>
          <w:rFonts w:ascii="黑体" w:eastAsia="黑体" w:hAnsi="黑体" w:cs="仿宋_GB2312" w:hint="eastAsia"/>
          <w:color w:val="auto"/>
          <w:sz w:val="28"/>
          <w:szCs w:val="28"/>
          <w:lang w:eastAsia="zh-CN"/>
        </w:rPr>
        <w:t>实现V2G车网互动和充放电过程的动力电池健康检测。</w:t>
      </w:r>
      <w:bookmarkEnd w:id="225"/>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lastRenderedPageBreak/>
        <w:t>案例四和案例五都是通过能量的存储管理与优化调度实现本地能源生产与用能负荷的基本平衡，平缓了新能源的波动性，缓解了充电桩用电对电网的冲击，提高了能源转换效率，并且可以通过电价差进行盈利。</w:t>
      </w:r>
    </w:p>
    <w:p w:rsidR="00FC37F6" w:rsidRPr="0040199A" w:rsidRDefault="00223645" w:rsidP="0040199A">
      <w:pPr>
        <w:ind w:firstLine="602"/>
        <w:jc w:val="center"/>
        <w:rPr>
          <w:rFonts w:ascii="黑体" w:eastAsia="黑体" w:hAnsi="黑体" w:cs="黑体"/>
          <w:b/>
          <w:bCs/>
          <w:color w:val="auto"/>
          <w:sz w:val="30"/>
          <w:szCs w:val="30"/>
          <w:lang w:eastAsia="zh-CN"/>
        </w:rPr>
      </w:pPr>
      <w:r w:rsidRPr="0040199A">
        <w:rPr>
          <w:rFonts w:ascii="黑体" w:eastAsia="黑体" w:hAnsi="黑体" w:cs="黑体" w:hint="eastAsia"/>
          <w:b/>
          <w:bCs/>
          <w:color w:val="auto"/>
          <w:sz w:val="30"/>
          <w:szCs w:val="30"/>
          <w:lang w:eastAsia="zh-CN"/>
        </w:rPr>
        <w:t>案例六：天府软件园C区的“光储充放检”智慧微网项目</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r w:rsidRPr="0040199A">
        <w:rPr>
          <w:rFonts w:ascii="黑体" w:eastAsia="黑体" w:hAnsi="黑体" w:cs="仿宋_GB2312" w:hint="eastAsia"/>
          <w:color w:val="auto"/>
          <w:sz w:val="28"/>
          <w:szCs w:val="28"/>
          <w:lang w:eastAsia="zh-CN"/>
        </w:rPr>
        <w:t>充电站建设了容量为1250kVA的充电箱变，配置了26台直流充电终端，55台充放电终端分为别：2个液冷超级快充终端，33根60kW直流快充桩，6根7kW交流桩，10根4kW小直流直流桩，4根20kW  V2G双向充放电桩。新能源方面配备了碲化镉光伏雨棚组件弱光发电容量为64.7kWH，储能方面配备了150kWH梯次电池储能+500kWH全钒液流电池储能。微网能量管理系统（EMS）对站内光伏、储能、充电、放电统一管理，统一调度，实时反映天气、电价、新能源车电池状态、能源流转与消纳信息，通过智能调度光伏、储能和新能源汽车的有序充放电，形成局域微电网、虚拟电厂，成为零碳园区应用的典型场景；同时V2G的电动汽车移动储能及分布式光伏、储能又为园区重要负荷提供了备用电源的保障。</w:t>
      </w:r>
    </w:p>
    <w:p w:rsidR="00FC37F6" w:rsidRPr="00223645" w:rsidRDefault="00FC37F6">
      <w:pPr>
        <w:ind w:firstLine="620"/>
        <w:rPr>
          <w:rFonts w:ascii="黑体" w:eastAsia="黑体" w:hAnsi="黑体" w:cs="仿宋_GB2312"/>
          <w:color w:val="auto"/>
          <w:sz w:val="31"/>
          <w:szCs w:val="31"/>
          <w:lang w:eastAsia="zh-CN"/>
        </w:rPr>
      </w:pPr>
    </w:p>
    <w:p w:rsidR="00FC37F6" w:rsidRPr="00223645" w:rsidRDefault="00FC37F6">
      <w:pPr>
        <w:ind w:firstLineChars="0" w:firstLine="0"/>
        <w:rPr>
          <w:rFonts w:ascii="黑体" w:eastAsia="黑体" w:hAnsi="黑体" w:cs="仿宋_GB2312"/>
          <w:color w:val="auto"/>
          <w:sz w:val="31"/>
          <w:szCs w:val="31"/>
          <w:lang w:eastAsia="zh-CN"/>
        </w:rPr>
      </w:pPr>
    </w:p>
    <w:p w:rsidR="00FC37F6" w:rsidRPr="00223645" w:rsidRDefault="00223645">
      <w:pPr>
        <w:pStyle w:val="1"/>
        <w:ind w:firstLine="883"/>
        <w:rPr>
          <w:rFonts w:ascii="黑体" w:hAnsi="黑体"/>
          <w:color w:val="auto"/>
          <w:lang w:eastAsia="zh-CN"/>
        </w:rPr>
      </w:pPr>
      <w:bookmarkStart w:id="226" w:name="bookmark359"/>
      <w:bookmarkStart w:id="227" w:name="_Toc17593"/>
      <w:bookmarkStart w:id="228" w:name="bookmark361"/>
      <w:bookmarkStart w:id="229" w:name="bookmark358"/>
      <w:bookmarkStart w:id="230" w:name="_Toc644663607"/>
      <w:bookmarkStart w:id="231" w:name="bookmark360"/>
      <w:r w:rsidRPr="00223645">
        <w:rPr>
          <w:rFonts w:ascii="黑体" w:hAnsi="黑体"/>
          <w:color w:val="auto"/>
          <w:lang w:eastAsia="zh-CN"/>
        </w:rPr>
        <w:lastRenderedPageBreak/>
        <w:t>附件</w:t>
      </w:r>
      <w:bookmarkEnd w:id="226"/>
      <w:bookmarkEnd w:id="227"/>
      <w:bookmarkEnd w:id="228"/>
      <w:bookmarkEnd w:id="229"/>
      <w:bookmarkEnd w:id="230"/>
      <w:bookmarkEnd w:id="231"/>
    </w:p>
    <w:p w:rsidR="00FC37F6" w:rsidRPr="00223645" w:rsidRDefault="00223645">
      <w:pPr>
        <w:pStyle w:val="2"/>
        <w:ind w:firstLine="643"/>
        <w:rPr>
          <w:rFonts w:ascii="黑体" w:hAnsi="黑体"/>
          <w:color w:val="auto"/>
          <w:lang w:eastAsia="zh-CN"/>
        </w:rPr>
      </w:pPr>
      <w:bookmarkStart w:id="232" w:name="_Toc806243734"/>
      <w:bookmarkStart w:id="233" w:name="bookmark365"/>
      <w:bookmarkStart w:id="234" w:name="bookmark362"/>
      <w:bookmarkStart w:id="235" w:name="bookmark363"/>
      <w:bookmarkStart w:id="236" w:name="_Toc12312"/>
      <w:bookmarkStart w:id="237" w:name="bookmark364"/>
      <w:r w:rsidRPr="00223645">
        <w:rPr>
          <w:rFonts w:ascii="黑体" w:hAnsi="黑体"/>
          <w:color w:val="auto"/>
          <w:lang w:eastAsia="zh-CN"/>
        </w:rPr>
        <w:t>名词解释</w:t>
      </w:r>
      <w:bookmarkEnd w:id="232"/>
      <w:bookmarkEnd w:id="233"/>
      <w:bookmarkEnd w:id="234"/>
      <w:bookmarkEnd w:id="235"/>
      <w:bookmarkEnd w:id="236"/>
      <w:bookmarkEnd w:id="237"/>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620"/>
        <w:rPr>
          <w:rFonts w:ascii="黑体" w:eastAsia="黑体" w:hAnsi="黑体" w:cs="仿宋_GB2312"/>
          <w:color w:val="auto"/>
          <w:sz w:val="28"/>
          <w:szCs w:val="28"/>
          <w:lang w:eastAsia="zh-CN"/>
        </w:rPr>
      </w:pPr>
      <w:bookmarkStart w:id="238" w:name="bookmark366"/>
      <w:r w:rsidRPr="00223645">
        <w:rPr>
          <w:rFonts w:ascii="黑体" w:eastAsia="黑体" w:hAnsi="黑体" w:cs="仿宋_GB2312" w:hint="eastAsia"/>
          <w:color w:val="auto"/>
          <w:sz w:val="31"/>
          <w:szCs w:val="31"/>
          <w:lang w:eastAsia="zh-CN"/>
        </w:rPr>
        <w:t>1</w:t>
      </w:r>
      <w:bookmarkEnd w:id="238"/>
      <w:r w:rsidRPr="00223645">
        <w:rPr>
          <w:rFonts w:ascii="黑体" w:eastAsia="黑体" w:hAnsi="黑体" w:cs="仿宋_GB2312" w:hint="eastAsia"/>
          <w:color w:val="auto"/>
          <w:sz w:val="31"/>
          <w:szCs w:val="31"/>
          <w:lang w:eastAsia="zh-CN"/>
        </w:rPr>
        <w:t>、</w:t>
      </w:r>
      <w:r w:rsidRPr="0040199A">
        <w:rPr>
          <w:rFonts w:ascii="黑体" w:eastAsia="黑体" w:hAnsi="黑体" w:cs="仿宋_GB2312" w:hint="eastAsia"/>
          <w:color w:val="auto"/>
          <w:sz w:val="28"/>
          <w:szCs w:val="28"/>
          <w:lang w:eastAsia="zh-CN"/>
        </w:rPr>
        <w:t>新能源汽车：是指采用非常规的车用燃料作为动力来源(或使用常规的车用燃 料、采用新型车载动力装置)，综合车辆的动力控制和驱动方面的先进技术，形成的 技术原理先进、具有新技术、新结构的汽车。</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39" w:name="bookmark367"/>
      <w:r w:rsidRPr="0040199A">
        <w:rPr>
          <w:rFonts w:ascii="黑体" w:eastAsia="黑体" w:hAnsi="黑体" w:cs="仿宋_GB2312" w:hint="eastAsia"/>
          <w:color w:val="auto"/>
          <w:sz w:val="28"/>
          <w:szCs w:val="28"/>
          <w:lang w:eastAsia="zh-CN"/>
        </w:rPr>
        <w:t>2</w:t>
      </w:r>
      <w:bookmarkEnd w:id="239"/>
      <w:r w:rsidRPr="0040199A">
        <w:rPr>
          <w:rFonts w:ascii="黑体" w:eastAsia="黑体" w:hAnsi="黑体" w:cs="仿宋_GB2312" w:hint="eastAsia"/>
          <w:color w:val="auto"/>
          <w:sz w:val="28"/>
          <w:szCs w:val="28"/>
          <w:lang w:eastAsia="zh-CN"/>
        </w:rPr>
        <w:t>、电动汽车(BEV)：是指以车载电源为动力，用电机驱动车轮行驶，符合道路交 通、安全法规各项要求的车辆。电动汽车的种类分为</w:t>
      </w:r>
      <w:hyperlink r:id="rId27" w:history="1">
        <w:r w:rsidRPr="0040199A">
          <w:rPr>
            <w:rFonts w:ascii="黑体" w:eastAsia="黑体" w:hAnsi="黑体" w:cs="仿宋_GB2312" w:hint="eastAsia"/>
            <w:color w:val="auto"/>
            <w:sz w:val="28"/>
            <w:szCs w:val="28"/>
            <w:lang w:eastAsia="zh-CN"/>
          </w:rPr>
          <w:t>纯电动汽车</w:t>
        </w:r>
      </w:hyperlink>
      <w:r w:rsidRPr="0040199A">
        <w:rPr>
          <w:rFonts w:ascii="黑体" w:eastAsia="黑体" w:hAnsi="黑体" w:cs="仿宋_GB2312" w:hint="eastAsia"/>
          <w:color w:val="auto"/>
          <w:sz w:val="28"/>
          <w:szCs w:val="28"/>
          <w:lang w:eastAsia="zh-CN"/>
        </w:rPr>
        <w:t>(BEV)、</w:t>
      </w:r>
      <w:hyperlink r:id="rId28" w:history="1">
        <w:r w:rsidRPr="0040199A">
          <w:rPr>
            <w:rFonts w:ascii="黑体" w:eastAsia="黑体" w:hAnsi="黑体" w:cs="仿宋_GB2312" w:hint="eastAsia"/>
            <w:color w:val="auto"/>
            <w:sz w:val="28"/>
            <w:szCs w:val="28"/>
            <w:lang w:eastAsia="zh-CN"/>
          </w:rPr>
          <w:t>混合动力汽车</w:t>
        </w:r>
      </w:hyperlink>
      <w:r w:rsidRPr="0040199A">
        <w:rPr>
          <w:rFonts w:ascii="黑体" w:eastAsia="黑体" w:hAnsi="黑体" w:cs="仿宋_GB2312" w:hint="eastAsia"/>
          <w:color w:val="auto"/>
          <w:sz w:val="28"/>
          <w:szCs w:val="28"/>
          <w:lang w:eastAsia="zh-CN"/>
        </w:rPr>
        <w:t xml:space="preserve"> (HEV)、</w:t>
      </w:r>
      <w:hyperlink r:id="rId29" w:history="1">
        <w:r w:rsidRPr="0040199A">
          <w:rPr>
            <w:rFonts w:ascii="黑体" w:eastAsia="黑体" w:hAnsi="黑体" w:cs="仿宋_GB2312" w:hint="eastAsia"/>
            <w:color w:val="auto"/>
            <w:sz w:val="28"/>
            <w:szCs w:val="28"/>
            <w:lang w:eastAsia="zh-CN"/>
          </w:rPr>
          <w:t>燃料电池汽车</w:t>
        </w:r>
      </w:hyperlink>
      <w:r w:rsidRPr="0040199A">
        <w:rPr>
          <w:rFonts w:ascii="黑体" w:eastAsia="黑体" w:hAnsi="黑体" w:cs="仿宋_GB2312" w:hint="eastAsia"/>
          <w:color w:val="auto"/>
          <w:sz w:val="28"/>
          <w:szCs w:val="28"/>
          <w:lang w:eastAsia="zh-CN"/>
        </w:rPr>
        <w:t>(</w:t>
      </w:r>
      <w:hyperlink r:id="rId30" w:history="1">
        <w:r w:rsidRPr="0040199A">
          <w:rPr>
            <w:rFonts w:ascii="黑体" w:eastAsia="黑体" w:hAnsi="黑体" w:cs="仿宋_GB2312" w:hint="eastAsia"/>
            <w:color w:val="auto"/>
            <w:sz w:val="28"/>
            <w:szCs w:val="28"/>
            <w:lang w:eastAsia="zh-CN"/>
          </w:rPr>
          <w:t>FCEV</w:t>
        </w:r>
      </w:hyperlink>
      <w:r w:rsidRPr="0040199A">
        <w:rPr>
          <w:rFonts w:ascii="黑体" w:eastAsia="黑体" w:hAnsi="黑体" w:cs="仿宋_GB2312" w:hint="eastAsia"/>
          <w:color w:val="auto"/>
          <w:sz w:val="28"/>
          <w:szCs w:val="28"/>
          <w:lang w:eastAsia="zh-CN"/>
        </w:rPr>
        <w:t>) o本规划的电动汽车指纯电动汽车和混合动力汽车。</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40" w:name="bookmark368"/>
      <w:r w:rsidRPr="0040199A">
        <w:rPr>
          <w:rFonts w:ascii="黑体" w:eastAsia="黑体" w:hAnsi="黑体" w:cs="仿宋_GB2312" w:hint="eastAsia"/>
          <w:color w:val="auto"/>
          <w:sz w:val="28"/>
          <w:szCs w:val="28"/>
          <w:lang w:eastAsia="zh-CN"/>
        </w:rPr>
        <w:t>3</w:t>
      </w:r>
      <w:bookmarkEnd w:id="240"/>
      <w:r w:rsidRPr="0040199A">
        <w:rPr>
          <w:rFonts w:ascii="黑体" w:eastAsia="黑体" w:hAnsi="黑体" w:cs="仿宋_GB2312" w:hint="eastAsia"/>
          <w:color w:val="auto"/>
          <w:sz w:val="28"/>
          <w:szCs w:val="28"/>
          <w:lang w:eastAsia="zh-CN"/>
        </w:rPr>
        <w:t>、充电基础设施：是指各类集中式充换电站和分散式充电桩。</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41" w:name="bookmark369"/>
      <w:r w:rsidRPr="0040199A">
        <w:rPr>
          <w:rFonts w:ascii="黑体" w:eastAsia="黑体" w:hAnsi="黑体" w:cs="仿宋_GB2312" w:hint="eastAsia"/>
          <w:color w:val="auto"/>
          <w:sz w:val="28"/>
          <w:szCs w:val="28"/>
          <w:lang w:eastAsia="zh-CN"/>
        </w:rPr>
        <w:t>4</w:t>
      </w:r>
      <w:bookmarkEnd w:id="241"/>
      <w:r w:rsidRPr="0040199A">
        <w:rPr>
          <w:rFonts w:ascii="黑体" w:eastAsia="黑体" w:hAnsi="黑体" w:cs="仿宋_GB2312" w:hint="eastAsia"/>
          <w:color w:val="auto"/>
          <w:sz w:val="28"/>
          <w:szCs w:val="28"/>
          <w:lang w:eastAsia="zh-CN"/>
        </w:rPr>
        <w:t>、快速充电桩：是指部分采用交流充电模式，多采用直流充电模式，充电功率较 高，一般采用不低于45kW的功率为电动汽车提供充电服务。</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42" w:name="bookmark370"/>
      <w:r w:rsidRPr="0040199A">
        <w:rPr>
          <w:rFonts w:ascii="黑体" w:eastAsia="黑体" w:hAnsi="黑体" w:cs="仿宋_GB2312" w:hint="eastAsia"/>
          <w:color w:val="auto"/>
          <w:sz w:val="28"/>
          <w:szCs w:val="28"/>
          <w:lang w:eastAsia="zh-CN"/>
        </w:rPr>
        <w:t>5</w:t>
      </w:r>
      <w:bookmarkEnd w:id="242"/>
      <w:r w:rsidRPr="0040199A">
        <w:rPr>
          <w:rFonts w:ascii="黑体" w:eastAsia="黑体" w:hAnsi="黑体" w:cs="仿宋_GB2312" w:hint="eastAsia"/>
          <w:color w:val="auto"/>
          <w:sz w:val="28"/>
          <w:szCs w:val="28"/>
          <w:lang w:eastAsia="zh-CN"/>
        </w:rPr>
        <w:t>、慢速充电桩：是指一般采用交流充电模式，充电功率较低，一般以7kW的功率 为电动汽车提供充电服务。</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43" w:name="bookmark371"/>
      <w:r w:rsidRPr="0040199A">
        <w:rPr>
          <w:rFonts w:ascii="黑体" w:eastAsia="黑体" w:hAnsi="黑体" w:cs="仿宋_GB2312" w:hint="eastAsia"/>
          <w:color w:val="auto"/>
          <w:sz w:val="28"/>
          <w:szCs w:val="28"/>
          <w:lang w:eastAsia="zh-CN"/>
        </w:rPr>
        <w:t>6</w:t>
      </w:r>
      <w:bookmarkEnd w:id="243"/>
      <w:r w:rsidRPr="0040199A">
        <w:rPr>
          <w:rFonts w:ascii="黑体" w:eastAsia="黑体" w:hAnsi="黑体" w:cs="仿宋_GB2312" w:hint="eastAsia"/>
          <w:color w:val="auto"/>
          <w:sz w:val="28"/>
          <w:szCs w:val="28"/>
          <w:lang w:eastAsia="zh-CN"/>
        </w:rPr>
        <w:t>、分散式充电桩:是指在某一指定区域分散或集中安装若干个快速或慢速充电桩, 具备常规充电功能的场所。根据国省相关文件以及广汉市实际情况，本规划重点抓好 专用、公共分散式充电桩规划布局，并将其定义为安装有5个及以上，15个以下充电 桩的相关设施，规划中简称分散式点位。</w:t>
      </w:r>
    </w:p>
    <w:p w:rsidR="00FC37F6" w:rsidRPr="0040199A"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s="仿宋_GB2312"/>
          <w:color w:val="auto"/>
          <w:sz w:val="28"/>
          <w:szCs w:val="28"/>
          <w:lang w:eastAsia="zh-CN"/>
        </w:rPr>
      </w:pPr>
      <w:bookmarkStart w:id="244" w:name="bookmark372"/>
      <w:r w:rsidRPr="0040199A">
        <w:rPr>
          <w:rFonts w:ascii="黑体" w:eastAsia="黑体" w:hAnsi="黑体" w:cs="仿宋_GB2312" w:hint="eastAsia"/>
          <w:color w:val="auto"/>
          <w:sz w:val="28"/>
          <w:szCs w:val="28"/>
          <w:lang w:eastAsia="zh-CN"/>
        </w:rPr>
        <w:lastRenderedPageBreak/>
        <w:t>7</w:t>
      </w:r>
      <w:bookmarkEnd w:id="244"/>
      <w:r w:rsidRPr="0040199A">
        <w:rPr>
          <w:rFonts w:ascii="黑体" w:eastAsia="黑体" w:hAnsi="黑体" w:cs="仿宋_GB2312" w:hint="eastAsia"/>
          <w:color w:val="auto"/>
          <w:sz w:val="28"/>
          <w:szCs w:val="28"/>
          <w:lang w:eastAsia="zh-CN"/>
        </w:rPr>
        <w:t>、充电站：根据国省相关文件以及广汉市实际情况，本规划所称充电站是指由15个及以上快速充电桩集中组成，能为电动汽车进行充电，并能够在充电过程中对充 电设备进行状态监控的场所。其中大型充电站充电桩数量应达到30个，站内应包括： 行车道、停车位、充电设备、监控室、供电设施及休息室、卫生间等必要的辅助服务设施。</w:t>
      </w:r>
    </w:p>
    <w:p w:rsidR="00FC37F6" w:rsidRPr="00223645" w:rsidRDefault="00223645" w:rsidP="004019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0"/>
        <w:rPr>
          <w:rFonts w:ascii="黑体" w:eastAsia="黑体" w:hAnsi="黑体"/>
          <w:color w:val="auto"/>
          <w:sz w:val="28"/>
          <w:szCs w:val="28"/>
          <w:lang w:eastAsia="zh-CN"/>
        </w:rPr>
      </w:pPr>
      <w:bookmarkStart w:id="245" w:name="bookmark373"/>
      <w:r w:rsidRPr="0040199A">
        <w:rPr>
          <w:rFonts w:ascii="黑体" w:eastAsia="黑体" w:hAnsi="黑体" w:cs="仿宋_GB2312" w:hint="eastAsia"/>
          <w:color w:val="auto"/>
          <w:sz w:val="28"/>
          <w:szCs w:val="28"/>
          <w:lang w:eastAsia="zh-CN"/>
        </w:rPr>
        <w:t>8</w:t>
      </w:r>
      <w:bookmarkEnd w:id="245"/>
      <w:r w:rsidRPr="0040199A">
        <w:rPr>
          <w:rFonts w:ascii="黑体" w:eastAsia="黑体" w:hAnsi="黑体" w:cs="仿宋_GB2312" w:hint="eastAsia"/>
          <w:color w:val="auto"/>
          <w:sz w:val="28"/>
          <w:szCs w:val="28"/>
          <w:lang w:eastAsia="zh-CN"/>
        </w:rPr>
        <w:t>、充换电站：是指同时可为电动汽车提供整车充电服务和电池更换服务的场所及设施。</w:t>
      </w:r>
    </w:p>
    <w:sectPr w:rsidR="00FC37F6" w:rsidRPr="00223645" w:rsidSect="00C17765">
      <w:headerReference w:type="default" r:id="rId31"/>
      <w:footerReference w:type="default" r:id="rId32"/>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78FB3B" w15:done="0"/>
  <w15:commentEx w15:paraId="3F4AEE6F" w15:done="0"/>
  <w15:commentEx w15:paraId="38A9F6A9" w15:done="0"/>
  <w15:commentEx w15:paraId="6B687F2B" w15:done="0"/>
  <w15:commentEx w15:paraId="22E3834B" w15:done="0"/>
  <w15:commentEx w15:paraId="0D3092AA" w15:done="0"/>
  <w15:commentEx w15:paraId="1B774300" w15:done="0"/>
  <w15:commentEx w15:paraId="4952162A" w15:done="0"/>
  <w15:commentEx w15:paraId="6D2927D1" w15:done="0"/>
  <w15:commentEx w15:paraId="5EE95F9B" w15:done="0"/>
  <w15:commentEx w15:paraId="04CC0FBD" w15:done="0"/>
  <w15:commentEx w15:paraId="23846F3F" w15:done="0"/>
  <w15:commentEx w15:paraId="2AAC9676" w15:done="0"/>
  <w15:commentEx w15:paraId="0A56D0F8" w15:done="0"/>
  <w15:commentEx w15:paraId="4EE69685" w15:done="0"/>
  <w15:commentEx w15:paraId="55C847D0" w15:done="0"/>
  <w15:commentEx w15:paraId="143C6259" w15:done="0"/>
  <w15:commentEx w15:paraId="6B95A202" w15:done="0"/>
  <w15:commentEx w15:paraId="1DA080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78FB3B" w16cid:durableId="27D9A529"/>
  <w16cid:commentId w16cid:paraId="3F4AEE6F" w16cid:durableId="27D9A52A"/>
  <w16cid:commentId w16cid:paraId="38A9F6A9" w16cid:durableId="27D9A52B"/>
  <w16cid:commentId w16cid:paraId="6B687F2B" w16cid:durableId="27D9A52C"/>
  <w16cid:commentId w16cid:paraId="22E3834B" w16cid:durableId="27D9A52D"/>
  <w16cid:commentId w16cid:paraId="0D3092AA" w16cid:durableId="27D9A52E"/>
  <w16cid:commentId w16cid:paraId="1B774300" w16cid:durableId="27D9A52F"/>
  <w16cid:commentId w16cid:paraId="4952162A" w16cid:durableId="27D9A530"/>
  <w16cid:commentId w16cid:paraId="6D2927D1" w16cid:durableId="27D9A531"/>
  <w16cid:commentId w16cid:paraId="5EE95F9B" w16cid:durableId="27D9A532"/>
  <w16cid:commentId w16cid:paraId="04CC0FBD" w16cid:durableId="27D9A533"/>
  <w16cid:commentId w16cid:paraId="23846F3F" w16cid:durableId="27D9A534"/>
  <w16cid:commentId w16cid:paraId="2AAC9676" w16cid:durableId="27D9A535"/>
  <w16cid:commentId w16cid:paraId="0A56D0F8" w16cid:durableId="27D9C3A0"/>
  <w16cid:commentId w16cid:paraId="4EE69685" w16cid:durableId="27D9A537"/>
  <w16cid:commentId w16cid:paraId="55C847D0" w16cid:durableId="27D9A538"/>
  <w16cid:commentId w16cid:paraId="143C6259" w16cid:durableId="27D9A539"/>
  <w16cid:commentId w16cid:paraId="6B95A202" w16cid:durableId="27D9A53A"/>
  <w16cid:commentId w16cid:paraId="1DA0803F" w16cid:durableId="27D9A53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30C" w:rsidRDefault="0015730C">
      <w:pPr>
        <w:spacing w:line="240" w:lineRule="auto"/>
        <w:ind w:firstLine="480"/>
      </w:pPr>
      <w:r>
        <w:separator/>
      </w:r>
    </w:p>
  </w:endnote>
  <w:endnote w:type="continuationSeparator" w:id="0">
    <w:p w:rsidR="0015730C" w:rsidRDefault="0015730C">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仿宋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334547">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233F1B">
    <w:pPr>
      <w:spacing w:line="1" w:lineRule="exact"/>
      <w:ind w:firstLine="480"/>
    </w:pPr>
    <w:r>
      <w:rPr>
        <w:noProof/>
        <w:lang w:eastAsia="zh-CN" w:bidi="ar-SA"/>
      </w:rPr>
      <w:pict>
        <v:shapetype id="_x0000_t202" coordsize="21600,21600" o:spt="202" path="m,l,21600r21600,l21600,xe">
          <v:stroke joinstyle="miter"/>
          <v:path gradientshapeok="t" o:connecttype="rect"/>
        </v:shapetype>
        <v:shape id="Shape 14" o:spid="_x0000_s2054" type="#_x0000_t202" style="position:absolute;left:0;text-align:left;margin-left:294.25pt;margin-top:783.6pt;width:6pt;height:6.7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" filled="f" stroked="f">
          <v:textbox style="mso-fit-shape-to-text:t" inset="0,0,0,0">
            <w:txbxContent>
              <w:p w:rsidR="00334547" w:rsidRDefault="00233F1B">
                <w:pPr>
                  <w:pStyle w:val="Headerorfooter2"/>
                  <w:spacing w:line="240" w:lineRule="auto"/>
                  <w:ind w:firstLine="400"/>
                  <w:rPr>
                    <w:sz w:val="22"/>
                    <w:szCs w:val="22"/>
                  </w:rPr>
                </w:pPr>
                <w:r w:rsidRPr="00233F1B">
                  <w:fldChar w:fldCharType="begin"/>
                </w:r>
                <w:r w:rsidR="00334547">
                  <w:instrText xml:space="preserve"> PAGE \* MERGEFORMAT </w:instrText>
                </w:r>
                <w:r w:rsidRPr="00233F1B">
                  <w:fldChar w:fldCharType="separate"/>
                </w:r>
                <w:r w:rsidR="00CA3E26" w:rsidRPr="00CA3E26">
                  <w:rPr>
                    <w:rFonts w:eastAsia="Times New Roman"/>
                    <w:noProof/>
                    <w:sz w:val="22"/>
                    <w:szCs w:val="22"/>
                  </w:rPr>
                  <w:t>2</w:t>
                </w:r>
                <w:r>
                  <w:rPr>
                    <w:rFonts w:eastAsia="Times New Roman"/>
                    <w:sz w:val="22"/>
                    <w:szCs w:val="22"/>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334547">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233F1B">
    <w:pPr>
      <w:spacing w:line="1" w:lineRule="exact"/>
      <w:ind w:firstLine="480"/>
    </w:pPr>
    <w:r>
      <w:rPr>
        <w:noProof/>
        <w:lang w:eastAsia="zh-CN" w:bidi="ar-SA"/>
      </w:rPr>
      <w:pict>
        <v:shapetype id="_x0000_t202" coordsize="21600,21600" o:spt="202" path="m,l,21600r21600,l21600,xe">
          <v:stroke joinstyle="miter"/>
          <v:path gradientshapeok="t" o:connecttype="rect"/>
        </v:shapetype>
        <v:shape id="_x0000_s2049" type="#_x0000_t202" style="position:absolute;left:0;text-align:left;margin-left:292.1pt;margin-top:782.2pt;width:10.3pt;height:6.7pt;z-index:-2516510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" filled="f" stroked="f">
          <v:textbox style="mso-fit-shape-to-text:t" inset="0,0,0,0">
            <w:txbxContent>
              <w:p w:rsidR="00334547" w:rsidRDefault="00233F1B">
                <w:pPr>
                  <w:pStyle w:val="Headerorfooter1"/>
                  <w:spacing w:line="240" w:lineRule="auto"/>
                  <w:ind w:firstLine="360"/>
                  <w:rPr>
                    <w:sz w:val="22"/>
                    <w:szCs w:val="22"/>
                  </w:rPr>
                </w:pPr>
                <w:r w:rsidRPr="00233F1B">
                  <w:fldChar w:fldCharType="begin"/>
                </w:r>
                <w:r w:rsidR="00334547">
                  <w:instrText xml:space="preserve"> PAGE \* MERGEFORMAT </w:instrText>
                </w:r>
                <w:r w:rsidRPr="00233F1B">
                  <w:fldChar w:fldCharType="separate"/>
                </w:r>
                <w:r w:rsidR="00CA3E26" w:rsidRPr="00CA3E26">
                  <w:rPr>
                    <w:rFonts w:ascii="Times New Roman" w:eastAsia="Times New Roman" w:hAnsi="Times New Roman" w:cs="Times New Roman"/>
                    <w:noProof/>
                    <w:sz w:val="22"/>
                    <w:szCs w:val="22"/>
                  </w:rPr>
                  <w:t>87</w:t>
                </w:r>
                <w:r>
                  <w:rPr>
                    <w:rFonts w:ascii="Times New Roman" w:eastAsia="Times New Roman" w:hAnsi="Times New Roman" w:cs="Times New Roman"/>
                    <w:sz w:val="22"/>
                    <w:szCs w:val="22"/>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30C" w:rsidRDefault="0015730C">
      <w:pPr>
        <w:ind w:firstLine="480"/>
      </w:pPr>
      <w:r>
        <w:separator/>
      </w:r>
    </w:p>
  </w:footnote>
  <w:footnote w:type="continuationSeparator" w:id="0">
    <w:p w:rsidR="0015730C" w:rsidRDefault="0015730C">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334547">
    <w:pPr>
      <w:pStyle w:val="a9"/>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233F1B" w:rsidP="00223645">
    <w:pPr>
      <w:spacing w:line="1" w:lineRule="exact"/>
      <w:ind w:firstLine="480"/>
    </w:pPr>
    <w:r>
      <w:rPr>
        <w:noProof/>
        <w:lang w:eastAsia="zh-CN" w:bidi="ar-SA"/>
      </w:rPr>
      <w:pict>
        <v:shapetype id="_x0000_t202" coordsize="21600,21600" o:spt="202" path="m,l,21600r21600,l21600,xe">
          <v:stroke joinstyle="miter"/>
          <v:path gradientshapeok="t" o:connecttype="rect"/>
        </v:shapetype>
        <v:shape id="_x0000_s2059" type="#_x0000_t202" style="position:absolute;left:0;text-align:left;margin-left:179.8pt;margin-top:46.6pt;width:231.1pt;height:8.4pt;z-index:-2516500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" filled="f" stroked="f">
          <v:textbox style="mso-fit-shape-to-text:t" inset="0,0,0,0">
            <w:txbxContent>
              <w:p w:rsidR="00954DED" w:rsidRDefault="00954DED" w:rsidP="00954DED">
                <w:pPr>
                  <w:pStyle w:val="Headerorfooter1"/>
                  <w:spacing w:line="240" w:lineRule="auto"/>
                  <w:ind w:firstLine="360"/>
                </w:pPr>
                <w:r>
                  <w:rPr>
                    <w:rFonts w:hint="eastAsia"/>
                    <w:lang w:eastAsia="zh-CN"/>
                  </w:rPr>
                  <w:t>广汉</w:t>
                </w:r>
                <w:r>
                  <w:t>市电动汽车充电基础设施专项规划</w:t>
                </w:r>
                <w:r>
                  <w:rPr>
                    <w:lang w:val="en-US" w:eastAsia="zh-CN" w:bidi="en-US"/>
                  </w:rPr>
                  <w:t>(</w:t>
                </w:r>
                <w:r>
                  <w:rPr>
                    <w:rFonts w:ascii="Times New Roman" w:eastAsia="Times New Roman" w:hAnsi="Times New Roman" w:cs="Times New Roman"/>
                    <w:sz w:val="22"/>
                    <w:szCs w:val="22"/>
                    <w:lang w:val="en-US" w:eastAsia="zh-CN" w:bidi="en-US"/>
                  </w:rPr>
                  <w:t>202</w:t>
                </w:r>
                <w:r>
                  <w:rPr>
                    <w:rFonts w:ascii="Times New Roman" w:eastAsiaTheme="minorEastAsia" w:hAnsi="Times New Roman" w:cs="Times New Roman" w:hint="eastAsia"/>
                    <w:sz w:val="22"/>
                    <w:szCs w:val="22"/>
                    <w:lang w:val="en-US" w:eastAsia="zh-CN" w:bidi="en-US"/>
                  </w:rPr>
                  <w:t>3</w:t>
                </w:r>
                <w:r>
                  <w:rPr>
                    <w:lang w:val="en-US" w:eastAsia="zh-CN" w:bidi="en-US"/>
                  </w:rPr>
                  <w:t>—</w:t>
                </w:r>
                <w:r>
                  <w:rPr>
                    <w:rFonts w:ascii="Times New Roman" w:eastAsia="Times New Roman" w:hAnsi="Times New Roman" w:cs="Times New Roman"/>
                    <w:sz w:val="22"/>
                    <w:szCs w:val="22"/>
                    <w:lang w:val="en-US" w:eastAsia="zh-CN" w:bidi="en-US"/>
                  </w:rPr>
                  <w:t>2030</w:t>
                </w:r>
                <w:r>
                  <w:t>年)</w:t>
                </w:r>
              </w:p>
            </w:txbxContent>
          </v:textbox>
          <w10:wrap anchorx="page" anchory="page"/>
        </v:shape>
      </w:pict>
    </w:r>
    <w:r>
      <w:rPr>
        <w:noProof/>
        <w:lang w:eastAsia="zh-CN" w:bidi="ar-SA"/>
      </w:rPr>
      <w:pict>
        <v:shapetype id="_x0000_t32" coordsize="21600,21600" o:spt="32" o:oned="t" path="m,l21600,21600e" filled="f">
          <v:path arrowok="t" fillok="f" o:connecttype="none"/>
          <o:lock v:ext="edit" shapetype="t"/>
        </v:shapetype>
        <v:shape id="Shape 13" o:spid="_x0000_s2055" type="#_x0000_t32" style="position:absolute;left:0;text-align:left;margin-left:90.7pt;margin-top:59.35pt;width:412.8pt;height:0;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" strokecolor="white" strokeweight="1pt">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334547">
    <w:pPr>
      <w:pStyle w:val="a9"/>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547" w:rsidRDefault="00233F1B">
    <w:pPr>
      <w:spacing w:line="1" w:lineRule="exact"/>
      <w:ind w:firstLine="480"/>
    </w:pPr>
    <w:r>
      <w:rPr>
        <w:noProof/>
        <w:lang w:eastAsia="zh-CN" w:bidi="ar-SA"/>
      </w:rPr>
      <w:pict>
        <v:shapetype id="_x0000_t202" coordsize="21600,21600" o:spt="202" path="m,l,21600r21600,l21600,xe">
          <v:stroke joinstyle="miter"/>
          <v:path gradientshapeok="t" o:connecttype="rect"/>
        </v:shapetype>
        <v:shape id="Shape 119" o:spid="_x0000_s2051" type="#_x0000_t202" style="position:absolute;left:0;text-align:left;margin-left:179.8pt;margin-top:46.6pt;width:231.1pt;height:8.4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" filled="f" stroked="f">
          <v:textbox style="mso-fit-shape-to-text:t" inset="0,0,0,0">
            <w:txbxContent>
              <w:p w:rsidR="00334547" w:rsidRDefault="00334547">
                <w:pPr>
                  <w:pStyle w:val="Headerorfooter1"/>
                  <w:spacing w:line="240" w:lineRule="auto"/>
                  <w:ind w:firstLine="360"/>
                </w:pPr>
                <w:r>
                  <w:rPr>
                    <w:rFonts w:hint="eastAsia"/>
                    <w:lang w:eastAsia="zh-CN"/>
                  </w:rPr>
                  <w:t>广汉</w:t>
                </w:r>
                <w:r>
                  <w:t>市电动汽车充电基础设施专项规划</w:t>
                </w:r>
                <w:r>
                  <w:rPr>
                    <w:lang w:val="en-US" w:eastAsia="zh-CN" w:bidi="en-US"/>
                  </w:rPr>
                  <w:t>(</w:t>
                </w:r>
                <w:r>
                  <w:rPr>
                    <w:rFonts w:ascii="Times New Roman" w:eastAsia="Times New Roman" w:hAnsi="Times New Roman" w:cs="Times New Roman"/>
                    <w:sz w:val="22"/>
                    <w:szCs w:val="22"/>
                    <w:lang w:val="en-US" w:eastAsia="zh-CN" w:bidi="en-US"/>
                  </w:rPr>
                  <w:t>202</w:t>
                </w:r>
                <w:r>
                  <w:rPr>
                    <w:rFonts w:ascii="Times New Roman" w:eastAsiaTheme="minorEastAsia" w:hAnsi="Times New Roman" w:cs="Times New Roman" w:hint="eastAsia"/>
                    <w:sz w:val="22"/>
                    <w:szCs w:val="22"/>
                    <w:lang w:val="en-US" w:eastAsia="zh-CN" w:bidi="en-US"/>
                  </w:rPr>
                  <w:t>3</w:t>
                </w:r>
                <w:r>
                  <w:rPr>
                    <w:lang w:val="en-US" w:eastAsia="zh-CN" w:bidi="en-US"/>
                  </w:rPr>
                  <w:t>—</w:t>
                </w:r>
                <w:r>
                  <w:rPr>
                    <w:rFonts w:ascii="Times New Roman" w:eastAsia="Times New Roman" w:hAnsi="Times New Roman" w:cs="Times New Roman"/>
                    <w:sz w:val="22"/>
                    <w:szCs w:val="22"/>
                    <w:lang w:val="en-US" w:eastAsia="zh-CN" w:bidi="en-US"/>
                  </w:rPr>
                  <w:t>2030</w:t>
                </w:r>
                <w:r>
                  <w:t>年)</w:t>
                </w:r>
              </w:p>
            </w:txbxContent>
          </v:textbox>
          <w10:wrap anchorx="page" anchory="page"/>
        </v:shape>
      </w:pict>
    </w:r>
    <w:r>
      <w:rPr>
        <w:noProof/>
        <w:lang w:eastAsia="zh-CN" w:bidi="ar-SA"/>
      </w:rPr>
      <w:pict>
        <v:shapetype id="_x0000_t32" coordsize="21600,21600" o:spt="32" o:oned="t" path="m,l21600,21600e" filled="f">
          <v:path arrowok="t" fillok="f" o:connecttype="none"/>
          <o:lock v:ext="edit" shapetype="t"/>
        </v:shapetype>
        <v:shape id="Shape 121" o:spid="_x0000_s2050" type="#_x0000_t32" style="position:absolute;left:0;text-align:left;margin-left:74.9pt;margin-top:58pt;width:445.2pt;height:0;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" strokecolor="white" strokeweigh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7212DC"/>
    <w:multiLevelType w:val="singleLevel"/>
    <w:tmpl w:val="A07212DC"/>
    <w:lvl w:ilvl="0">
      <w:start w:val="1"/>
      <w:numFmt w:val="chineseCounting"/>
      <w:suff w:val="space"/>
      <w:lvlText w:val="第%1节"/>
      <w:lvlJc w:val="left"/>
      <w:rPr>
        <w:rFonts w:hint="eastAsia"/>
      </w:rPr>
    </w:lvl>
  </w:abstractNum>
  <w:abstractNum w:abstractNumId="1">
    <w:nsid w:val="C0BD7274"/>
    <w:multiLevelType w:val="singleLevel"/>
    <w:tmpl w:val="C0BD7274"/>
    <w:lvl w:ilvl="0">
      <w:start w:val="1"/>
      <w:numFmt w:val="decimal"/>
      <w:suff w:val="nothing"/>
      <w:lvlText w:val="（%1）"/>
      <w:lvlJc w:val="left"/>
    </w:lvl>
  </w:abstractNum>
  <w:abstractNum w:abstractNumId="2">
    <w:nsid w:val="FA853C39"/>
    <w:multiLevelType w:val="singleLevel"/>
    <w:tmpl w:val="FA853C39"/>
    <w:lvl w:ilvl="0">
      <w:start w:val="1"/>
      <w:numFmt w:val="decimal"/>
      <w:suff w:val="space"/>
      <w:lvlText w:val="%1."/>
      <w:lvlJc w:val="left"/>
    </w:lvl>
  </w:abstractNum>
  <w:abstractNum w:abstractNumId="3">
    <w:nsid w:val="FEC85185"/>
    <w:multiLevelType w:val="singleLevel"/>
    <w:tmpl w:val="FEC85185"/>
    <w:lvl w:ilvl="0">
      <w:start w:val="2"/>
      <w:numFmt w:val="decimal"/>
      <w:lvlText w:val="%1."/>
      <w:lvlJc w:val="left"/>
      <w:pPr>
        <w:tabs>
          <w:tab w:val="left" w:pos="312"/>
        </w:tabs>
      </w:pPr>
    </w:lvl>
  </w:abstractNum>
  <w:abstractNum w:abstractNumId="4">
    <w:nsid w:val="063E2825"/>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5">
    <w:nsid w:val="068A0213"/>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6">
    <w:nsid w:val="0FBC6B99"/>
    <w:multiLevelType w:val="singleLevel"/>
    <w:tmpl w:val="0FBC6B99"/>
    <w:lvl w:ilvl="0">
      <w:start w:val="1"/>
      <w:numFmt w:val="decimal"/>
      <w:suff w:val="nothing"/>
      <w:lvlText w:val="（%1）"/>
      <w:lvlJc w:val="left"/>
      <w:pPr>
        <w:ind w:left="-620"/>
      </w:pPr>
    </w:lvl>
  </w:abstractNum>
  <w:abstractNum w:abstractNumId="7">
    <w:nsid w:val="139D017F"/>
    <w:multiLevelType w:val="singleLevel"/>
    <w:tmpl w:val="139D017F"/>
    <w:lvl w:ilvl="0">
      <w:start w:val="1"/>
      <w:numFmt w:val="decimal"/>
      <w:lvlText w:val="%1."/>
      <w:lvlJc w:val="left"/>
      <w:pPr>
        <w:tabs>
          <w:tab w:val="left" w:pos="312"/>
        </w:tabs>
      </w:pPr>
    </w:lvl>
  </w:abstractNum>
  <w:abstractNum w:abstractNumId="8">
    <w:nsid w:val="141E0183"/>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9">
    <w:nsid w:val="1610A785"/>
    <w:multiLevelType w:val="singleLevel"/>
    <w:tmpl w:val="1610A785"/>
    <w:lvl w:ilvl="0">
      <w:start w:val="1"/>
      <w:numFmt w:val="decimal"/>
      <w:suff w:val="nothing"/>
      <w:lvlText w:val="（%1）"/>
      <w:lvlJc w:val="left"/>
    </w:lvl>
  </w:abstractNum>
  <w:abstractNum w:abstractNumId="10">
    <w:nsid w:val="16C001DD"/>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11">
    <w:nsid w:val="24131E46"/>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12">
    <w:nsid w:val="2BDA005F"/>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13">
    <w:nsid w:val="2D624B32"/>
    <w:multiLevelType w:val="hybridMultilevel"/>
    <w:tmpl w:val="81CA983A"/>
    <w:lvl w:ilvl="0" w:tplc="DF463A8C">
      <w:start w:val="1"/>
      <w:numFmt w:val="decimal"/>
      <w:lvlText w:val="%1."/>
      <w:lvlJc w:val="left"/>
      <w:pPr>
        <w:ind w:left="980" w:hanging="360"/>
      </w:pPr>
      <w:rPr>
        <w:rFonts w:hint="default"/>
      </w:rPr>
    </w:lvl>
    <w:lvl w:ilvl="1" w:tplc="04090019" w:tentative="1">
      <w:start w:val="1"/>
      <w:numFmt w:val="lowerLetter"/>
      <w:lvlText w:val="%2)"/>
      <w:lvlJc w:val="left"/>
      <w:pPr>
        <w:ind w:left="1500" w:hanging="440"/>
      </w:pPr>
    </w:lvl>
    <w:lvl w:ilvl="2" w:tplc="0409001B" w:tentative="1">
      <w:start w:val="1"/>
      <w:numFmt w:val="lowerRoman"/>
      <w:lvlText w:val="%3."/>
      <w:lvlJc w:val="right"/>
      <w:pPr>
        <w:ind w:left="1940" w:hanging="440"/>
      </w:pPr>
    </w:lvl>
    <w:lvl w:ilvl="3" w:tplc="0409000F" w:tentative="1">
      <w:start w:val="1"/>
      <w:numFmt w:val="decimal"/>
      <w:lvlText w:val="%4."/>
      <w:lvlJc w:val="left"/>
      <w:pPr>
        <w:ind w:left="2380" w:hanging="440"/>
      </w:pPr>
    </w:lvl>
    <w:lvl w:ilvl="4" w:tplc="04090019" w:tentative="1">
      <w:start w:val="1"/>
      <w:numFmt w:val="lowerLetter"/>
      <w:lvlText w:val="%5)"/>
      <w:lvlJc w:val="left"/>
      <w:pPr>
        <w:ind w:left="2820" w:hanging="440"/>
      </w:pPr>
    </w:lvl>
    <w:lvl w:ilvl="5" w:tplc="0409001B" w:tentative="1">
      <w:start w:val="1"/>
      <w:numFmt w:val="lowerRoman"/>
      <w:lvlText w:val="%6."/>
      <w:lvlJc w:val="right"/>
      <w:pPr>
        <w:ind w:left="3260" w:hanging="440"/>
      </w:pPr>
    </w:lvl>
    <w:lvl w:ilvl="6" w:tplc="0409000F" w:tentative="1">
      <w:start w:val="1"/>
      <w:numFmt w:val="decimal"/>
      <w:lvlText w:val="%7."/>
      <w:lvlJc w:val="left"/>
      <w:pPr>
        <w:ind w:left="3700" w:hanging="440"/>
      </w:pPr>
    </w:lvl>
    <w:lvl w:ilvl="7" w:tplc="04090019" w:tentative="1">
      <w:start w:val="1"/>
      <w:numFmt w:val="lowerLetter"/>
      <w:lvlText w:val="%8)"/>
      <w:lvlJc w:val="left"/>
      <w:pPr>
        <w:ind w:left="4140" w:hanging="440"/>
      </w:pPr>
    </w:lvl>
    <w:lvl w:ilvl="8" w:tplc="0409001B" w:tentative="1">
      <w:start w:val="1"/>
      <w:numFmt w:val="lowerRoman"/>
      <w:lvlText w:val="%9."/>
      <w:lvlJc w:val="right"/>
      <w:pPr>
        <w:ind w:left="4580" w:hanging="440"/>
      </w:pPr>
    </w:lvl>
  </w:abstractNum>
  <w:abstractNum w:abstractNumId="14">
    <w:nsid w:val="2D8D2F5A"/>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15">
    <w:nsid w:val="2EE4110F"/>
    <w:multiLevelType w:val="multilevel"/>
    <w:tmpl w:val="2EE4110F"/>
    <w:lvl w:ilvl="0">
      <w:start w:val="1"/>
      <w:numFmt w:val="decimal"/>
      <w:lvlText w:val="%1）"/>
      <w:lvlJc w:val="left"/>
      <w:pPr>
        <w:ind w:left="1212" w:hanging="720"/>
      </w:pPr>
      <w:rPr>
        <w:rFonts w:hint="default"/>
      </w:rPr>
    </w:lvl>
    <w:lvl w:ilvl="1">
      <w:start w:val="1"/>
      <w:numFmt w:val="lowerLetter"/>
      <w:lvlText w:val="%2)"/>
      <w:lvlJc w:val="left"/>
      <w:pPr>
        <w:ind w:left="1332" w:hanging="420"/>
      </w:pPr>
    </w:lvl>
    <w:lvl w:ilvl="2">
      <w:start w:val="1"/>
      <w:numFmt w:val="lowerRoman"/>
      <w:lvlText w:val="%3."/>
      <w:lvlJc w:val="right"/>
      <w:pPr>
        <w:ind w:left="1752" w:hanging="420"/>
      </w:pPr>
    </w:lvl>
    <w:lvl w:ilvl="3">
      <w:start w:val="1"/>
      <w:numFmt w:val="decimal"/>
      <w:lvlText w:val="%4."/>
      <w:lvlJc w:val="left"/>
      <w:pPr>
        <w:ind w:left="2172" w:hanging="420"/>
      </w:pPr>
    </w:lvl>
    <w:lvl w:ilvl="4">
      <w:start w:val="1"/>
      <w:numFmt w:val="lowerLetter"/>
      <w:lvlText w:val="%5)"/>
      <w:lvlJc w:val="left"/>
      <w:pPr>
        <w:ind w:left="2592" w:hanging="420"/>
      </w:pPr>
    </w:lvl>
    <w:lvl w:ilvl="5">
      <w:start w:val="1"/>
      <w:numFmt w:val="lowerRoman"/>
      <w:lvlText w:val="%6."/>
      <w:lvlJc w:val="right"/>
      <w:pPr>
        <w:ind w:left="3012" w:hanging="420"/>
      </w:pPr>
    </w:lvl>
    <w:lvl w:ilvl="6">
      <w:start w:val="1"/>
      <w:numFmt w:val="decimal"/>
      <w:lvlText w:val="%7."/>
      <w:lvlJc w:val="left"/>
      <w:pPr>
        <w:ind w:left="3432" w:hanging="420"/>
      </w:pPr>
    </w:lvl>
    <w:lvl w:ilvl="7">
      <w:start w:val="1"/>
      <w:numFmt w:val="lowerLetter"/>
      <w:lvlText w:val="%8)"/>
      <w:lvlJc w:val="left"/>
      <w:pPr>
        <w:ind w:left="3852" w:hanging="420"/>
      </w:pPr>
    </w:lvl>
    <w:lvl w:ilvl="8">
      <w:start w:val="1"/>
      <w:numFmt w:val="lowerRoman"/>
      <w:lvlText w:val="%9."/>
      <w:lvlJc w:val="right"/>
      <w:pPr>
        <w:ind w:left="4272" w:hanging="420"/>
      </w:pPr>
    </w:lvl>
  </w:abstractNum>
  <w:abstractNum w:abstractNumId="16">
    <w:nsid w:val="30590907"/>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17">
    <w:nsid w:val="36C2F16C"/>
    <w:multiLevelType w:val="singleLevel"/>
    <w:tmpl w:val="36C2F16C"/>
    <w:lvl w:ilvl="0">
      <w:start w:val="2"/>
      <w:numFmt w:val="decimal"/>
      <w:suff w:val="space"/>
      <w:lvlText w:val="%1."/>
      <w:lvlJc w:val="left"/>
    </w:lvl>
  </w:abstractNum>
  <w:abstractNum w:abstractNumId="18">
    <w:nsid w:val="39814338"/>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19">
    <w:nsid w:val="3D3A209C"/>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0">
    <w:nsid w:val="3DCE4E72"/>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1">
    <w:nsid w:val="3F2F314F"/>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2">
    <w:nsid w:val="484D774F"/>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3">
    <w:nsid w:val="4E5DD330"/>
    <w:multiLevelType w:val="singleLevel"/>
    <w:tmpl w:val="4E5DD330"/>
    <w:lvl w:ilvl="0">
      <w:start w:val="4"/>
      <w:numFmt w:val="decimal"/>
      <w:suff w:val="nothing"/>
      <w:lvlText w:val="（%1）"/>
      <w:lvlJc w:val="left"/>
    </w:lvl>
  </w:abstractNum>
  <w:abstractNum w:abstractNumId="24">
    <w:nsid w:val="50A47CBB"/>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5">
    <w:nsid w:val="50ACE585"/>
    <w:multiLevelType w:val="singleLevel"/>
    <w:tmpl w:val="50ACE585"/>
    <w:lvl w:ilvl="0">
      <w:start w:val="2"/>
      <w:numFmt w:val="decimal"/>
      <w:lvlText w:val="%1."/>
      <w:lvlJc w:val="left"/>
      <w:pPr>
        <w:tabs>
          <w:tab w:val="left" w:pos="312"/>
        </w:tabs>
      </w:pPr>
    </w:lvl>
  </w:abstractNum>
  <w:abstractNum w:abstractNumId="26">
    <w:nsid w:val="5C9460FC"/>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7">
    <w:nsid w:val="605D29F3"/>
    <w:multiLevelType w:val="hybridMultilevel"/>
    <w:tmpl w:val="1376F5AC"/>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67270D15"/>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29">
    <w:nsid w:val="6ACE2FA1"/>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30">
    <w:nsid w:val="700C5CCC"/>
    <w:multiLevelType w:val="multilevel"/>
    <w:tmpl w:val="39814338"/>
    <w:lvl w:ilvl="0">
      <w:start w:val="1"/>
      <w:numFmt w:val="decimal"/>
      <w:lvlText w:val="%1."/>
      <w:lvlJc w:val="left"/>
      <w:pPr>
        <w:ind w:left="922" w:hanging="36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abstractNum w:abstractNumId="31">
    <w:nsid w:val="768491B3"/>
    <w:multiLevelType w:val="singleLevel"/>
    <w:tmpl w:val="768491B3"/>
    <w:lvl w:ilvl="0">
      <w:start w:val="1"/>
      <w:numFmt w:val="decimal"/>
      <w:suff w:val="nothing"/>
      <w:lvlText w:val="（%1）"/>
      <w:lvlJc w:val="left"/>
    </w:lvl>
  </w:abstractNum>
  <w:abstractNum w:abstractNumId="32">
    <w:nsid w:val="7E4717B0"/>
    <w:multiLevelType w:val="singleLevel"/>
    <w:tmpl w:val="7E4717B0"/>
    <w:lvl w:ilvl="0">
      <w:start w:val="7"/>
      <w:numFmt w:val="decimal"/>
      <w:suff w:val="nothing"/>
      <w:lvlText w:val="（%1）"/>
      <w:lvlJc w:val="left"/>
    </w:lvl>
  </w:abstractNum>
  <w:num w:numId="1">
    <w:abstractNumId w:val="0"/>
  </w:num>
  <w:num w:numId="2">
    <w:abstractNumId w:val="7"/>
  </w:num>
  <w:num w:numId="3">
    <w:abstractNumId w:val="1"/>
  </w:num>
  <w:num w:numId="4">
    <w:abstractNumId w:val="32"/>
  </w:num>
  <w:num w:numId="5">
    <w:abstractNumId w:val="17"/>
  </w:num>
  <w:num w:numId="6">
    <w:abstractNumId w:val="23"/>
  </w:num>
  <w:num w:numId="7">
    <w:abstractNumId w:val="9"/>
  </w:num>
  <w:num w:numId="8">
    <w:abstractNumId w:val="31"/>
  </w:num>
  <w:num w:numId="9">
    <w:abstractNumId w:val="6"/>
  </w:num>
  <w:num w:numId="10">
    <w:abstractNumId w:val="2"/>
  </w:num>
  <w:num w:numId="11">
    <w:abstractNumId w:val="3"/>
  </w:num>
  <w:num w:numId="12">
    <w:abstractNumId w:val="18"/>
  </w:num>
  <w:num w:numId="13">
    <w:abstractNumId w:val="25"/>
  </w:num>
  <w:num w:numId="14">
    <w:abstractNumId w:val="15"/>
  </w:num>
  <w:num w:numId="15">
    <w:abstractNumId w:val="13"/>
  </w:num>
  <w:num w:numId="16">
    <w:abstractNumId w:val="19"/>
  </w:num>
  <w:num w:numId="17">
    <w:abstractNumId w:val="14"/>
  </w:num>
  <w:num w:numId="18">
    <w:abstractNumId w:val="20"/>
  </w:num>
  <w:num w:numId="19">
    <w:abstractNumId w:val="11"/>
  </w:num>
  <w:num w:numId="20">
    <w:abstractNumId w:val="8"/>
  </w:num>
  <w:num w:numId="21">
    <w:abstractNumId w:val="12"/>
  </w:num>
  <w:num w:numId="22">
    <w:abstractNumId w:val="29"/>
  </w:num>
  <w:num w:numId="23">
    <w:abstractNumId w:val="28"/>
  </w:num>
  <w:num w:numId="24">
    <w:abstractNumId w:val="10"/>
  </w:num>
  <w:num w:numId="25">
    <w:abstractNumId w:val="16"/>
  </w:num>
  <w:num w:numId="26">
    <w:abstractNumId w:val="5"/>
  </w:num>
  <w:num w:numId="27">
    <w:abstractNumId w:val="22"/>
  </w:num>
  <w:num w:numId="28">
    <w:abstractNumId w:val="26"/>
  </w:num>
  <w:num w:numId="29">
    <w:abstractNumId w:val="30"/>
  </w:num>
  <w:num w:numId="30">
    <w:abstractNumId w:val="21"/>
  </w:num>
  <w:num w:numId="31">
    <w:abstractNumId w:val="24"/>
  </w:num>
  <w:num w:numId="32">
    <w:abstractNumId w:val="4"/>
  </w:num>
  <w:num w:numId="3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刘涛">
    <w15:presenceInfo w15:providerId="None" w15:userId="刘涛"/>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12290"/>
    <o:shapelayout v:ext="edit">
      <o:idmap v:ext="edit" data="2"/>
      <o:rules v:ext="edit">
        <o:r id="V:Rule3" type="connector" idref="#Shape 13"/>
        <o:r id="V:Rule4" type="connector" idref="#Shape 121"/>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WFiNjhkZWUwYWM5NzRkNDYyYmRmY2YyZTA2ZDdkZTAifQ=="/>
    <w:docVar w:name="KSO_WPS_MARK_KEY" w:val="d9e14f66-67e0-4aad-aadb-93a0ef9645a7"/>
  </w:docVars>
  <w:rsids>
    <w:rsidRoot w:val="6F230FCC"/>
    <w:rsid w:val="EF685AEA"/>
    <w:rsid w:val="F8FC4F5B"/>
    <w:rsid w:val="00031221"/>
    <w:rsid w:val="0005717C"/>
    <w:rsid w:val="0008629F"/>
    <w:rsid w:val="000B4ECE"/>
    <w:rsid w:val="000D1C27"/>
    <w:rsid w:val="000E4ED4"/>
    <w:rsid w:val="001548C3"/>
    <w:rsid w:val="0015730C"/>
    <w:rsid w:val="001B3BB3"/>
    <w:rsid w:val="001F61BF"/>
    <w:rsid w:val="00223645"/>
    <w:rsid w:val="0022608B"/>
    <w:rsid w:val="00233F1B"/>
    <w:rsid w:val="00242563"/>
    <w:rsid w:val="002429EF"/>
    <w:rsid w:val="002828F6"/>
    <w:rsid w:val="0029510C"/>
    <w:rsid w:val="002A46D5"/>
    <w:rsid w:val="002C111C"/>
    <w:rsid w:val="002D2655"/>
    <w:rsid w:val="0031258E"/>
    <w:rsid w:val="00334547"/>
    <w:rsid w:val="0036579B"/>
    <w:rsid w:val="003A0C42"/>
    <w:rsid w:val="003C557E"/>
    <w:rsid w:val="003D2DF8"/>
    <w:rsid w:val="003E30F0"/>
    <w:rsid w:val="00416173"/>
    <w:rsid w:val="00417A08"/>
    <w:rsid w:val="004230B8"/>
    <w:rsid w:val="0042379C"/>
    <w:rsid w:val="004323CA"/>
    <w:rsid w:val="00436458"/>
    <w:rsid w:val="004561B8"/>
    <w:rsid w:val="004836F3"/>
    <w:rsid w:val="00497444"/>
    <w:rsid w:val="004A2092"/>
    <w:rsid w:val="004D25FD"/>
    <w:rsid w:val="004F5E23"/>
    <w:rsid w:val="00527695"/>
    <w:rsid w:val="005369BC"/>
    <w:rsid w:val="005A6270"/>
    <w:rsid w:val="005B6BE8"/>
    <w:rsid w:val="005D759C"/>
    <w:rsid w:val="005E58AF"/>
    <w:rsid w:val="00605C5F"/>
    <w:rsid w:val="006563B9"/>
    <w:rsid w:val="00677C87"/>
    <w:rsid w:val="00733F57"/>
    <w:rsid w:val="00747E1E"/>
    <w:rsid w:val="00750354"/>
    <w:rsid w:val="00754505"/>
    <w:rsid w:val="0078294B"/>
    <w:rsid w:val="00790609"/>
    <w:rsid w:val="00791F83"/>
    <w:rsid w:val="007A6D8B"/>
    <w:rsid w:val="007E0059"/>
    <w:rsid w:val="007E4196"/>
    <w:rsid w:val="00810EC0"/>
    <w:rsid w:val="00811376"/>
    <w:rsid w:val="00822928"/>
    <w:rsid w:val="00841779"/>
    <w:rsid w:val="00872692"/>
    <w:rsid w:val="00890B56"/>
    <w:rsid w:val="00894E81"/>
    <w:rsid w:val="008A4104"/>
    <w:rsid w:val="008B599D"/>
    <w:rsid w:val="008E5D3A"/>
    <w:rsid w:val="008F5F4A"/>
    <w:rsid w:val="00913A19"/>
    <w:rsid w:val="00925F6A"/>
    <w:rsid w:val="00951111"/>
    <w:rsid w:val="00954DED"/>
    <w:rsid w:val="00961CF9"/>
    <w:rsid w:val="009816AA"/>
    <w:rsid w:val="009851F3"/>
    <w:rsid w:val="00996A79"/>
    <w:rsid w:val="009A091A"/>
    <w:rsid w:val="009A4EE1"/>
    <w:rsid w:val="009A5CDD"/>
    <w:rsid w:val="009B6489"/>
    <w:rsid w:val="009C2986"/>
    <w:rsid w:val="00A11008"/>
    <w:rsid w:val="00A31305"/>
    <w:rsid w:val="00A324A7"/>
    <w:rsid w:val="00A41175"/>
    <w:rsid w:val="00A733A5"/>
    <w:rsid w:val="00A92FD8"/>
    <w:rsid w:val="00B04068"/>
    <w:rsid w:val="00B42AA9"/>
    <w:rsid w:val="00B86F59"/>
    <w:rsid w:val="00BA77EA"/>
    <w:rsid w:val="00BB693A"/>
    <w:rsid w:val="00BD7313"/>
    <w:rsid w:val="00BE27E6"/>
    <w:rsid w:val="00BE7397"/>
    <w:rsid w:val="00C17765"/>
    <w:rsid w:val="00C238CB"/>
    <w:rsid w:val="00C44A27"/>
    <w:rsid w:val="00C773F2"/>
    <w:rsid w:val="00C8736E"/>
    <w:rsid w:val="00C95BD9"/>
    <w:rsid w:val="00CA3E26"/>
    <w:rsid w:val="00CB177F"/>
    <w:rsid w:val="00CC1B25"/>
    <w:rsid w:val="00D10AB2"/>
    <w:rsid w:val="00D16470"/>
    <w:rsid w:val="00D361C3"/>
    <w:rsid w:val="00D5254D"/>
    <w:rsid w:val="00DA52ED"/>
    <w:rsid w:val="00DB3D25"/>
    <w:rsid w:val="00DF39CD"/>
    <w:rsid w:val="00E06529"/>
    <w:rsid w:val="00E15764"/>
    <w:rsid w:val="00E20619"/>
    <w:rsid w:val="00E357DC"/>
    <w:rsid w:val="00E47498"/>
    <w:rsid w:val="00E47892"/>
    <w:rsid w:val="00E5374C"/>
    <w:rsid w:val="00E834DE"/>
    <w:rsid w:val="00E8452E"/>
    <w:rsid w:val="00E86108"/>
    <w:rsid w:val="00EB0701"/>
    <w:rsid w:val="00EC5268"/>
    <w:rsid w:val="00EE5F3F"/>
    <w:rsid w:val="00F0578B"/>
    <w:rsid w:val="00F50208"/>
    <w:rsid w:val="00F526C7"/>
    <w:rsid w:val="00F54C17"/>
    <w:rsid w:val="00F636E7"/>
    <w:rsid w:val="00F75F36"/>
    <w:rsid w:val="00F81905"/>
    <w:rsid w:val="00F907C0"/>
    <w:rsid w:val="00FA0F6E"/>
    <w:rsid w:val="00FC37F6"/>
    <w:rsid w:val="00FE345F"/>
    <w:rsid w:val="00FF71E2"/>
    <w:rsid w:val="01304203"/>
    <w:rsid w:val="05913990"/>
    <w:rsid w:val="07EC38A4"/>
    <w:rsid w:val="093C56FD"/>
    <w:rsid w:val="09A678CA"/>
    <w:rsid w:val="0B406DCD"/>
    <w:rsid w:val="0DA96533"/>
    <w:rsid w:val="12A32349"/>
    <w:rsid w:val="17D30AAB"/>
    <w:rsid w:val="18C50312"/>
    <w:rsid w:val="19FC1A1C"/>
    <w:rsid w:val="1AC678BB"/>
    <w:rsid w:val="1BA67F19"/>
    <w:rsid w:val="1CEA2F1D"/>
    <w:rsid w:val="21283E4B"/>
    <w:rsid w:val="260C7FAB"/>
    <w:rsid w:val="26CD47AC"/>
    <w:rsid w:val="2B8225F3"/>
    <w:rsid w:val="2ED67138"/>
    <w:rsid w:val="2FA06B5C"/>
    <w:rsid w:val="32132F24"/>
    <w:rsid w:val="327965FF"/>
    <w:rsid w:val="34C11510"/>
    <w:rsid w:val="362777A9"/>
    <w:rsid w:val="37F55480"/>
    <w:rsid w:val="37FF04D1"/>
    <w:rsid w:val="3D8813B9"/>
    <w:rsid w:val="3DEC63C1"/>
    <w:rsid w:val="3FB52A91"/>
    <w:rsid w:val="41902917"/>
    <w:rsid w:val="4290005B"/>
    <w:rsid w:val="435B501E"/>
    <w:rsid w:val="47411B55"/>
    <w:rsid w:val="47575770"/>
    <w:rsid w:val="48E956C7"/>
    <w:rsid w:val="4B50680B"/>
    <w:rsid w:val="4B855694"/>
    <w:rsid w:val="4BF43758"/>
    <w:rsid w:val="4F3F4BCC"/>
    <w:rsid w:val="50736E1F"/>
    <w:rsid w:val="52430645"/>
    <w:rsid w:val="526443F1"/>
    <w:rsid w:val="52D1656E"/>
    <w:rsid w:val="55DB3175"/>
    <w:rsid w:val="56051665"/>
    <w:rsid w:val="57E423D7"/>
    <w:rsid w:val="5E1F650A"/>
    <w:rsid w:val="5E2C0A11"/>
    <w:rsid w:val="60D96069"/>
    <w:rsid w:val="61730824"/>
    <w:rsid w:val="63051831"/>
    <w:rsid w:val="659E3FD1"/>
    <w:rsid w:val="6C1D6B38"/>
    <w:rsid w:val="6F230FCC"/>
    <w:rsid w:val="753F0BD2"/>
    <w:rsid w:val="7600678B"/>
    <w:rsid w:val="761906BB"/>
    <w:rsid w:val="77246FDE"/>
    <w:rsid w:val="77400C32"/>
    <w:rsid w:val="7BBE1EF6"/>
    <w:rsid w:val="7BCC3F54"/>
    <w:rsid w:val="7C02527B"/>
    <w:rsid w:val="7E2874DE"/>
    <w:rsid w:val="7EBB3981"/>
    <w:rsid w:val="7F3E328B"/>
    <w:rsid w:val="7F5EFD80"/>
    <w:rsid w:val="7FFF31CB"/>
    <w:rsid w:val="BFFB2404"/>
    <w:rsid w:val="003104AD"/>
    <w:rsid w:val="0040199A"/>
    <w:rsid w:val="00477ACA"/>
    <w:rsid w:val="005831DE"/>
    <w:rsid w:val="006D1AC8"/>
    <w:rsid w:val="007A1469"/>
    <w:rsid w:val="008443F7"/>
    <w:rsid w:val="0090186E"/>
    <w:rsid w:val="00990C9D"/>
    <w:rsid w:val="00A23180"/>
    <w:rsid w:val="00B837DA"/>
    <w:rsid w:val="00C22403"/>
    <w:rsid w:val="00CD66CE"/>
    <w:rsid w:val="00DF708B"/>
    <w:rsid w:val="00E644AB"/>
    <w:rsid w:val="00F079CA"/>
    <w:rsid w:val="00F91B9B"/>
    <w:rsid w:val="081B727D"/>
    <w:rsid w:val="19D3307E"/>
    <w:rsid w:val="298712CF"/>
    <w:rsid w:val="36383817"/>
    <w:rsid w:val="42984C6A"/>
    <w:rsid w:val="4C2368AC"/>
    <w:rsid w:val="57A520C0"/>
    <w:rsid w:val="67FF227C"/>
    <w:rsid w:val="740561E6"/>
    <w:rsid w:val="7B977E1A"/>
    <w:rsid w:val="7FFE6C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Normal Indent" w:uiPriority="9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FollowedHyperlink" w:uiPriority="99"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17765"/>
    <w:pPr>
      <w:widowControl w:val="0"/>
      <w:spacing w:line="360" w:lineRule="auto"/>
      <w:ind w:firstLineChars="200" w:firstLine="880"/>
    </w:pPr>
    <w:rPr>
      <w:color w:val="000000"/>
      <w:sz w:val="24"/>
      <w:szCs w:val="24"/>
      <w:lang w:eastAsia="en-US" w:bidi="en-US"/>
    </w:rPr>
  </w:style>
  <w:style w:type="paragraph" w:styleId="1">
    <w:name w:val="heading 1"/>
    <w:basedOn w:val="a"/>
    <w:next w:val="a"/>
    <w:link w:val="1Char"/>
    <w:qFormat/>
    <w:rsid w:val="00C17765"/>
    <w:pPr>
      <w:keepNext/>
      <w:keepLines/>
      <w:spacing w:before="340" w:after="330" w:line="576" w:lineRule="auto"/>
      <w:jc w:val="center"/>
      <w:outlineLvl w:val="0"/>
    </w:pPr>
    <w:rPr>
      <w:rFonts w:eastAsia="黑体"/>
      <w:b/>
      <w:kern w:val="44"/>
      <w:sz w:val="44"/>
    </w:rPr>
  </w:style>
  <w:style w:type="paragraph" w:styleId="2">
    <w:name w:val="heading 2"/>
    <w:basedOn w:val="a"/>
    <w:next w:val="a"/>
    <w:unhideWhenUsed/>
    <w:qFormat/>
    <w:rsid w:val="00C17765"/>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rsid w:val="00C17765"/>
    <w:pPr>
      <w:keepNext/>
      <w:keepLines/>
      <w:spacing w:before="260" w:after="260" w:line="413" w:lineRule="auto"/>
      <w:outlineLvl w:val="2"/>
    </w:pPr>
    <w:rPr>
      <w:b/>
      <w:sz w:val="28"/>
    </w:rPr>
  </w:style>
  <w:style w:type="paragraph" w:styleId="4">
    <w:name w:val="heading 4"/>
    <w:basedOn w:val="a"/>
    <w:next w:val="a"/>
    <w:unhideWhenUsed/>
    <w:qFormat/>
    <w:rsid w:val="00C17765"/>
    <w:pPr>
      <w:keepNext/>
      <w:keepLines/>
      <w:spacing w:before="280" w:after="290" w:line="376" w:lineRule="auto"/>
      <w:outlineLvl w:val="3"/>
    </w:pPr>
    <w:rPr>
      <w:rFonts w:ascii="Calibri Light" w:hAnsi="Calibri Light"/>
      <w:b/>
      <w:bCs/>
      <w:sz w:val="28"/>
      <w:szCs w:val="28"/>
    </w:rPr>
  </w:style>
  <w:style w:type="paragraph" w:styleId="7">
    <w:name w:val="heading 7"/>
    <w:basedOn w:val="a"/>
    <w:next w:val="a"/>
    <w:unhideWhenUsed/>
    <w:qFormat/>
    <w:rsid w:val="00C17765"/>
    <w:pPr>
      <w:keepNext/>
      <w:keepLines/>
      <w:spacing w:before="240" w:after="64" w:line="320" w:lineRule="auto"/>
      <w:outlineLvl w:val="6"/>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C17765"/>
    <w:pPr>
      <w:ind w:firstLine="420"/>
    </w:pPr>
    <w:rPr>
      <w:rFonts w:ascii="Calibri" w:hAnsi="Calibri"/>
    </w:rPr>
  </w:style>
  <w:style w:type="character" w:customStyle="1" w:styleId="1Char">
    <w:name w:val="标题 1 Char"/>
    <w:link w:val="1"/>
    <w:qFormat/>
    <w:rsid w:val="00C17765"/>
    <w:rPr>
      <w:rFonts w:eastAsia="黑体"/>
      <w:b/>
      <w:kern w:val="44"/>
      <w:sz w:val="44"/>
    </w:rPr>
  </w:style>
  <w:style w:type="character" w:customStyle="1" w:styleId="3Char">
    <w:name w:val="标题 3 Char"/>
    <w:link w:val="3"/>
    <w:qFormat/>
    <w:rsid w:val="00C17765"/>
    <w:rPr>
      <w:b/>
      <w:sz w:val="28"/>
    </w:rPr>
  </w:style>
  <w:style w:type="paragraph" w:styleId="a4">
    <w:name w:val="annotation text"/>
    <w:basedOn w:val="a"/>
    <w:link w:val="Char"/>
    <w:qFormat/>
    <w:rsid w:val="00C17765"/>
  </w:style>
  <w:style w:type="character" w:customStyle="1" w:styleId="Char">
    <w:name w:val="批注文字 Char"/>
    <w:basedOn w:val="a1"/>
    <w:link w:val="a4"/>
    <w:qFormat/>
    <w:rsid w:val="00C17765"/>
    <w:rPr>
      <w:color w:val="000000"/>
      <w:sz w:val="24"/>
      <w:szCs w:val="24"/>
      <w:lang w:eastAsia="en-US" w:bidi="en-US"/>
    </w:rPr>
  </w:style>
  <w:style w:type="paragraph" w:styleId="a5">
    <w:name w:val="Closing"/>
    <w:basedOn w:val="a"/>
    <w:qFormat/>
    <w:rsid w:val="00C17765"/>
    <w:pPr>
      <w:ind w:leftChars="2100" w:left="100"/>
    </w:pPr>
  </w:style>
  <w:style w:type="paragraph" w:styleId="a6">
    <w:name w:val="Plain Text"/>
    <w:basedOn w:val="a"/>
    <w:link w:val="Char0"/>
    <w:qFormat/>
    <w:rsid w:val="00C17765"/>
    <w:rPr>
      <w:rFonts w:ascii="宋体" w:hAnsi="Courier New" w:cs="Courier New"/>
    </w:rPr>
  </w:style>
  <w:style w:type="character" w:customStyle="1" w:styleId="Char0">
    <w:name w:val="纯文本 Char"/>
    <w:basedOn w:val="a1"/>
    <w:link w:val="a6"/>
    <w:qFormat/>
    <w:rsid w:val="00C17765"/>
    <w:rPr>
      <w:rFonts w:ascii="宋体" w:hAnsi="Courier New" w:cs="Courier New"/>
      <w:color w:val="000000"/>
      <w:sz w:val="24"/>
      <w:szCs w:val="24"/>
      <w:lang w:eastAsia="en-US" w:bidi="en-US"/>
    </w:rPr>
  </w:style>
  <w:style w:type="paragraph" w:styleId="a7">
    <w:name w:val="Balloon Text"/>
    <w:basedOn w:val="a"/>
    <w:link w:val="Char1"/>
    <w:qFormat/>
    <w:rsid w:val="00C17765"/>
    <w:pPr>
      <w:spacing w:line="240" w:lineRule="auto"/>
    </w:pPr>
    <w:rPr>
      <w:sz w:val="18"/>
      <w:szCs w:val="18"/>
    </w:rPr>
  </w:style>
  <w:style w:type="character" w:customStyle="1" w:styleId="Char1">
    <w:name w:val="批注框文本 Char"/>
    <w:basedOn w:val="a1"/>
    <w:link w:val="a7"/>
    <w:qFormat/>
    <w:rsid w:val="00C17765"/>
    <w:rPr>
      <w:color w:val="000000"/>
      <w:sz w:val="18"/>
      <w:szCs w:val="18"/>
      <w:lang w:eastAsia="en-US" w:bidi="en-US"/>
    </w:rPr>
  </w:style>
  <w:style w:type="paragraph" w:styleId="a8">
    <w:name w:val="footer"/>
    <w:basedOn w:val="a"/>
    <w:qFormat/>
    <w:rsid w:val="00C17765"/>
    <w:pPr>
      <w:tabs>
        <w:tab w:val="center" w:pos="4153"/>
        <w:tab w:val="right" w:pos="8306"/>
      </w:tabs>
      <w:snapToGrid w:val="0"/>
    </w:pPr>
    <w:rPr>
      <w:sz w:val="18"/>
    </w:rPr>
  </w:style>
  <w:style w:type="paragraph" w:styleId="a9">
    <w:name w:val="header"/>
    <w:basedOn w:val="a"/>
    <w:qFormat/>
    <w:rsid w:val="00C17765"/>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C17765"/>
  </w:style>
  <w:style w:type="paragraph" w:styleId="aa">
    <w:name w:val="footnote text"/>
    <w:basedOn w:val="a"/>
    <w:qFormat/>
    <w:rsid w:val="00C17765"/>
    <w:pPr>
      <w:snapToGrid w:val="0"/>
    </w:pPr>
    <w:rPr>
      <w:sz w:val="18"/>
    </w:rPr>
  </w:style>
  <w:style w:type="paragraph" w:styleId="20">
    <w:name w:val="toc 2"/>
    <w:basedOn w:val="a"/>
    <w:next w:val="a"/>
    <w:qFormat/>
    <w:rsid w:val="00C17765"/>
    <w:pPr>
      <w:ind w:leftChars="200" w:left="420"/>
    </w:pPr>
  </w:style>
  <w:style w:type="paragraph" w:styleId="ab">
    <w:name w:val="Normal (Web)"/>
    <w:basedOn w:val="a"/>
    <w:qFormat/>
    <w:rsid w:val="00C17765"/>
    <w:rPr>
      <w:lang w:eastAsia="zh-CN" w:bidi="ar-SA"/>
    </w:rPr>
  </w:style>
  <w:style w:type="paragraph" w:styleId="ac">
    <w:name w:val="Title"/>
    <w:basedOn w:val="a"/>
    <w:next w:val="a"/>
    <w:link w:val="Char2"/>
    <w:qFormat/>
    <w:rsid w:val="00C17765"/>
    <w:pPr>
      <w:spacing w:before="240" w:after="60"/>
      <w:jc w:val="center"/>
      <w:outlineLvl w:val="0"/>
    </w:pPr>
    <w:rPr>
      <w:rFonts w:ascii="Calibri Light" w:hAnsi="Calibri Light"/>
      <w:b/>
      <w:bCs/>
      <w:sz w:val="32"/>
      <w:szCs w:val="32"/>
    </w:rPr>
  </w:style>
  <w:style w:type="character" w:customStyle="1" w:styleId="Char2">
    <w:name w:val="标题 Char"/>
    <w:basedOn w:val="a1"/>
    <w:link w:val="ac"/>
    <w:qFormat/>
    <w:rsid w:val="00C17765"/>
    <w:rPr>
      <w:rFonts w:ascii="Calibri Light" w:eastAsia="宋体" w:hAnsi="Calibri Light" w:cs="Times New Roman"/>
      <w:b/>
      <w:bCs/>
      <w:color w:val="000000"/>
      <w:sz w:val="32"/>
      <w:szCs w:val="32"/>
      <w:lang w:eastAsia="en-US" w:bidi="en-US"/>
    </w:rPr>
  </w:style>
  <w:style w:type="paragraph" w:styleId="ad">
    <w:name w:val="annotation subject"/>
    <w:basedOn w:val="a4"/>
    <w:next w:val="a4"/>
    <w:link w:val="Char3"/>
    <w:qFormat/>
    <w:rsid w:val="00C17765"/>
    <w:rPr>
      <w:b/>
      <w:bCs/>
    </w:rPr>
  </w:style>
  <w:style w:type="character" w:customStyle="1" w:styleId="Char3">
    <w:name w:val="批注主题 Char"/>
    <w:basedOn w:val="Char"/>
    <w:link w:val="ad"/>
    <w:qFormat/>
    <w:rsid w:val="00C17765"/>
    <w:rPr>
      <w:b/>
      <w:bCs/>
      <w:color w:val="000000"/>
      <w:sz w:val="24"/>
      <w:szCs w:val="24"/>
      <w:lang w:eastAsia="en-US" w:bidi="en-US"/>
    </w:rPr>
  </w:style>
  <w:style w:type="table" w:styleId="ae">
    <w:name w:val="Table Grid"/>
    <w:basedOn w:val="a2"/>
    <w:qFormat/>
    <w:rsid w:val="00C1776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qFormat/>
    <w:rsid w:val="00C17765"/>
  </w:style>
  <w:style w:type="character" w:styleId="af0">
    <w:name w:val="FollowedHyperlink"/>
    <w:basedOn w:val="a1"/>
    <w:uiPriority w:val="99"/>
    <w:qFormat/>
    <w:rsid w:val="00C17765"/>
    <w:rPr>
      <w:color w:val="000000"/>
      <w:u w:val="none"/>
    </w:rPr>
  </w:style>
  <w:style w:type="character" w:styleId="af1">
    <w:name w:val="Emphasis"/>
    <w:basedOn w:val="a1"/>
    <w:qFormat/>
    <w:rsid w:val="00C17765"/>
  </w:style>
  <w:style w:type="character" w:styleId="HTML">
    <w:name w:val="HTML Definition"/>
    <w:basedOn w:val="a1"/>
    <w:qFormat/>
    <w:rsid w:val="00C17765"/>
  </w:style>
  <w:style w:type="character" w:styleId="HTML0">
    <w:name w:val="HTML Acronym"/>
    <w:basedOn w:val="a1"/>
    <w:qFormat/>
    <w:rsid w:val="00C17765"/>
  </w:style>
  <w:style w:type="character" w:styleId="HTML1">
    <w:name w:val="HTML Variable"/>
    <w:basedOn w:val="a1"/>
    <w:qFormat/>
    <w:rsid w:val="00C17765"/>
  </w:style>
  <w:style w:type="character" w:styleId="af2">
    <w:name w:val="Hyperlink"/>
    <w:basedOn w:val="a1"/>
    <w:uiPriority w:val="99"/>
    <w:qFormat/>
    <w:rsid w:val="00C17765"/>
    <w:rPr>
      <w:color w:val="000000"/>
      <w:u w:val="none"/>
    </w:rPr>
  </w:style>
  <w:style w:type="character" w:styleId="HTML2">
    <w:name w:val="HTML Code"/>
    <w:basedOn w:val="a1"/>
    <w:qFormat/>
    <w:rsid w:val="00C17765"/>
    <w:rPr>
      <w:rFonts w:ascii="Consolas" w:eastAsia="Consolas" w:hAnsi="Consolas" w:cs="Consolas"/>
      <w:color w:val="C7254E"/>
      <w:sz w:val="21"/>
      <w:szCs w:val="21"/>
      <w:shd w:val="clear" w:color="auto" w:fill="F9F2F4"/>
    </w:rPr>
  </w:style>
  <w:style w:type="character" w:styleId="af3">
    <w:name w:val="annotation reference"/>
    <w:basedOn w:val="a1"/>
    <w:qFormat/>
    <w:rsid w:val="00C17765"/>
    <w:rPr>
      <w:sz w:val="21"/>
      <w:szCs w:val="21"/>
    </w:rPr>
  </w:style>
  <w:style w:type="character" w:styleId="HTML3">
    <w:name w:val="HTML Cite"/>
    <w:basedOn w:val="a1"/>
    <w:qFormat/>
    <w:rsid w:val="00C17765"/>
  </w:style>
  <w:style w:type="character" w:styleId="af4">
    <w:name w:val="footnote reference"/>
    <w:basedOn w:val="a1"/>
    <w:qFormat/>
    <w:rsid w:val="00C17765"/>
    <w:rPr>
      <w:vertAlign w:val="superscript"/>
    </w:rPr>
  </w:style>
  <w:style w:type="character" w:styleId="HTML4">
    <w:name w:val="HTML Keyboard"/>
    <w:basedOn w:val="a1"/>
    <w:qFormat/>
    <w:rsid w:val="00C17765"/>
    <w:rPr>
      <w:rFonts w:ascii="Consolas" w:eastAsia="Consolas" w:hAnsi="Consolas" w:cs="Consolas" w:hint="default"/>
      <w:color w:val="FFFFFF"/>
      <w:sz w:val="21"/>
      <w:szCs w:val="21"/>
      <w:shd w:val="clear" w:color="auto" w:fill="333333"/>
    </w:rPr>
  </w:style>
  <w:style w:type="character" w:styleId="HTML5">
    <w:name w:val="HTML Sample"/>
    <w:basedOn w:val="a1"/>
    <w:qFormat/>
    <w:rsid w:val="00C17765"/>
    <w:rPr>
      <w:rFonts w:ascii="Consolas" w:eastAsia="Consolas" w:hAnsi="Consolas" w:cs="Consolas" w:hint="default"/>
      <w:sz w:val="21"/>
      <w:szCs w:val="21"/>
    </w:rPr>
  </w:style>
  <w:style w:type="paragraph" w:customStyle="1" w:styleId="Char4">
    <w:name w:val="Char"/>
    <w:basedOn w:val="a"/>
    <w:uiPriority w:val="99"/>
    <w:qFormat/>
    <w:rsid w:val="00C17765"/>
    <w:pPr>
      <w:spacing w:line="240" w:lineRule="auto"/>
    </w:pPr>
    <w:rPr>
      <w:sz w:val="21"/>
      <w:szCs w:val="20"/>
    </w:rPr>
  </w:style>
  <w:style w:type="paragraph" w:customStyle="1" w:styleId="WPSOffice1">
    <w:name w:val="WPSOffice手动目录 1"/>
    <w:qFormat/>
    <w:rsid w:val="00C17765"/>
    <w:rPr>
      <w:rFonts w:ascii="Calibri" w:hAnsi="Calibri"/>
    </w:rPr>
  </w:style>
  <w:style w:type="paragraph" w:customStyle="1" w:styleId="WPSOffice2">
    <w:name w:val="WPSOffice手动目录 2"/>
    <w:qFormat/>
    <w:rsid w:val="00C17765"/>
    <w:pPr>
      <w:ind w:leftChars="200" w:left="200"/>
    </w:pPr>
    <w:rPr>
      <w:rFonts w:ascii="Calibri" w:hAnsi="Calibri"/>
    </w:rPr>
  </w:style>
  <w:style w:type="paragraph" w:styleId="af5">
    <w:name w:val="List Paragraph"/>
    <w:basedOn w:val="a"/>
    <w:uiPriority w:val="99"/>
    <w:qFormat/>
    <w:rsid w:val="00C17765"/>
    <w:pPr>
      <w:ind w:firstLine="420"/>
    </w:pPr>
  </w:style>
  <w:style w:type="paragraph" w:customStyle="1" w:styleId="Bodytext1">
    <w:name w:val="Body text|1"/>
    <w:basedOn w:val="a"/>
    <w:qFormat/>
    <w:rsid w:val="00C17765"/>
    <w:pPr>
      <w:spacing w:after="60" w:line="410" w:lineRule="auto"/>
      <w:ind w:firstLine="400"/>
    </w:pPr>
    <w:rPr>
      <w:rFonts w:ascii="宋体" w:hAnsi="宋体" w:cs="宋体"/>
      <w:lang w:val="zh-TW" w:eastAsia="zh-TW" w:bidi="zh-TW"/>
    </w:rPr>
  </w:style>
  <w:style w:type="paragraph" w:customStyle="1" w:styleId="Headerorfooter2">
    <w:name w:val="Header or footer|2"/>
    <w:basedOn w:val="a"/>
    <w:qFormat/>
    <w:rsid w:val="00C17765"/>
    <w:rPr>
      <w:sz w:val="20"/>
      <w:szCs w:val="20"/>
      <w:lang w:val="zh-TW" w:eastAsia="zh-TW" w:bidi="zh-TW"/>
    </w:rPr>
  </w:style>
  <w:style w:type="paragraph" w:customStyle="1" w:styleId="Headerorfooter1">
    <w:name w:val="Header or footer|1"/>
    <w:basedOn w:val="a"/>
    <w:qFormat/>
    <w:rsid w:val="00C17765"/>
    <w:rPr>
      <w:rFonts w:ascii="宋体" w:hAnsi="宋体" w:cs="宋体"/>
      <w:sz w:val="18"/>
      <w:szCs w:val="18"/>
      <w:lang w:val="zh-TW" w:eastAsia="zh-TW" w:bidi="zh-TW"/>
    </w:rPr>
  </w:style>
  <w:style w:type="paragraph" w:customStyle="1" w:styleId="11">
    <w:name w:val="修订1"/>
    <w:hidden/>
    <w:uiPriority w:val="99"/>
    <w:unhideWhenUsed/>
    <w:qFormat/>
    <w:rsid w:val="00C17765"/>
    <w:rPr>
      <w:color w:val="000000"/>
      <w:sz w:val="24"/>
      <w:szCs w:val="24"/>
      <w:lang w:eastAsia="en-US" w:bidi="en-US"/>
    </w:rPr>
  </w:style>
  <w:style w:type="paragraph" w:customStyle="1" w:styleId="21">
    <w:name w:val="修订2"/>
    <w:hidden/>
    <w:uiPriority w:val="99"/>
    <w:semiHidden/>
    <w:unhideWhenUsed/>
    <w:qFormat/>
    <w:rsid w:val="00C17765"/>
    <w:rPr>
      <w:color w:val="000000"/>
      <w:sz w:val="24"/>
      <w:szCs w:val="24"/>
      <w:lang w:eastAsia="en-US" w:bidi="en-US"/>
    </w:rPr>
  </w:style>
  <w:style w:type="paragraph" w:customStyle="1" w:styleId="30">
    <w:name w:val="修订3"/>
    <w:hidden/>
    <w:uiPriority w:val="99"/>
    <w:unhideWhenUsed/>
    <w:qFormat/>
    <w:rsid w:val="00C17765"/>
    <w:rPr>
      <w:color w:val="000000"/>
      <w:sz w:val="24"/>
      <w:szCs w:val="24"/>
      <w:lang w:eastAsia="en-US" w:bidi="en-US"/>
    </w:rPr>
  </w:style>
  <w:style w:type="character" w:customStyle="1" w:styleId="taojianghu">
    <w:name w:val="taojianghu"/>
    <w:basedOn w:val="a1"/>
    <w:qFormat/>
    <w:rsid w:val="00C17765"/>
  </w:style>
  <w:style w:type="character" w:customStyle="1" w:styleId="tit">
    <w:name w:val="tit"/>
    <w:basedOn w:val="a1"/>
    <w:qFormat/>
    <w:rsid w:val="00C17765"/>
  </w:style>
  <w:style w:type="character" w:customStyle="1" w:styleId="xinlang">
    <w:name w:val="xinlang"/>
    <w:basedOn w:val="a1"/>
    <w:qFormat/>
    <w:rsid w:val="00C17765"/>
  </w:style>
  <w:style w:type="character" w:customStyle="1" w:styleId="baidusoucang">
    <w:name w:val="baidusoucang"/>
    <w:basedOn w:val="a1"/>
    <w:qFormat/>
    <w:rsid w:val="00C17765"/>
  </w:style>
  <w:style w:type="character" w:customStyle="1" w:styleId="sohu">
    <w:name w:val="sohu"/>
    <w:basedOn w:val="a1"/>
    <w:qFormat/>
    <w:rsid w:val="00C17765"/>
  </w:style>
  <w:style w:type="character" w:customStyle="1" w:styleId="qqzone">
    <w:name w:val="qqzone"/>
    <w:basedOn w:val="a1"/>
    <w:qFormat/>
    <w:rsid w:val="00C17765"/>
  </w:style>
  <w:style w:type="character" w:customStyle="1" w:styleId="qqpengyou">
    <w:name w:val="qqpengyou"/>
    <w:basedOn w:val="a1"/>
    <w:qFormat/>
    <w:rsid w:val="00C17765"/>
  </w:style>
  <w:style w:type="character" w:customStyle="1" w:styleId="copylink">
    <w:name w:val="copylink"/>
    <w:basedOn w:val="a1"/>
    <w:qFormat/>
    <w:rsid w:val="00C17765"/>
  </w:style>
  <w:style w:type="character" w:customStyle="1" w:styleId="wangyi">
    <w:name w:val="wangyi"/>
    <w:basedOn w:val="a1"/>
    <w:qFormat/>
    <w:rsid w:val="00C17765"/>
  </w:style>
  <w:style w:type="character" w:customStyle="1" w:styleId="douban">
    <w:name w:val="douban"/>
    <w:basedOn w:val="a1"/>
    <w:qFormat/>
    <w:rsid w:val="00C17765"/>
  </w:style>
  <w:style w:type="character" w:customStyle="1" w:styleId="tengxunweibo">
    <w:name w:val="tengxunweibo"/>
    <w:basedOn w:val="a1"/>
    <w:qFormat/>
    <w:rsid w:val="00C17765"/>
  </w:style>
  <w:style w:type="character" w:customStyle="1" w:styleId="renren">
    <w:name w:val="renren"/>
    <w:basedOn w:val="a1"/>
    <w:qFormat/>
    <w:rsid w:val="00C17765"/>
  </w:style>
  <w:style w:type="character" w:customStyle="1" w:styleId="kaixin">
    <w:name w:val="kaixin"/>
    <w:basedOn w:val="a1"/>
    <w:qFormat/>
    <w:rsid w:val="00C17765"/>
  </w:style>
  <w:style w:type="paragraph" w:customStyle="1" w:styleId="40">
    <w:name w:val="修订4"/>
    <w:hidden/>
    <w:uiPriority w:val="99"/>
    <w:semiHidden/>
    <w:qFormat/>
    <w:rsid w:val="00C17765"/>
    <w:rPr>
      <w:color w:val="000000"/>
      <w:sz w:val="24"/>
      <w:szCs w:val="24"/>
      <w:lang w:eastAsia="en-US" w:bidi="en-US"/>
    </w:rPr>
  </w:style>
  <w:style w:type="paragraph" w:styleId="af6">
    <w:name w:val="Document Map"/>
    <w:basedOn w:val="a"/>
    <w:link w:val="Char5"/>
    <w:semiHidden/>
    <w:unhideWhenUsed/>
    <w:rsid w:val="00223645"/>
    <w:rPr>
      <w:rFonts w:ascii="宋体"/>
      <w:sz w:val="18"/>
      <w:szCs w:val="18"/>
    </w:rPr>
  </w:style>
  <w:style w:type="character" w:customStyle="1" w:styleId="Char5">
    <w:name w:val="文档结构图 Char"/>
    <w:basedOn w:val="a1"/>
    <w:link w:val="af6"/>
    <w:semiHidden/>
    <w:rsid w:val="00223645"/>
    <w:rPr>
      <w:rFonts w:ascii="宋体"/>
      <w:color w:val="000000"/>
      <w:sz w:val="18"/>
      <w:szCs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9447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ytravel.cn/landscape/28/shuhuayuan.html" TargetMode="External"/><Relationship Id="rId18" Type="http://schemas.openxmlformats.org/officeDocument/2006/relationships/header" Target="header1.xml"/><Relationship Id="rId26" Type="http://schemas.openxmlformats.org/officeDocument/2006/relationships/image" Target="media/image8.pn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bytravel.cn/landscape/15/guanghanfanghugongyuan.html" TargetMode="External"/><Relationship Id="rId20" Type="http://schemas.openxmlformats.org/officeDocument/2006/relationships/footer" Target="footer1.xml"/><Relationship Id="rId29" Type="http://schemas.openxmlformats.org/officeDocument/2006/relationships/hyperlink" Target="https://baike.baidu.com/item/%E7%87%83%E6%96%99%E7%94%B5%E6%B1%A0%E6%B1%BD%E8%BD%A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bytravel.cn/landscape/28/binglingsi.html" TargetMode="External"/><Relationship Id="rId23" Type="http://schemas.openxmlformats.org/officeDocument/2006/relationships/footer" Target="footer3.xml"/><Relationship Id="rId28" Type="http://schemas.openxmlformats.org/officeDocument/2006/relationships/hyperlink" Target="https://baike.baidu.com/item/%E6%B7%B7%E5%90%88%E5%8A%A8%E5%8A%9B%E6%B1%BD%E8%BD%A6" TargetMode="External"/><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ytravel.cn/landscape/28/yinxinghuayuan.html" TargetMode="External"/><Relationship Id="rId22" Type="http://schemas.openxmlformats.org/officeDocument/2006/relationships/header" Target="header3.xml"/><Relationship Id="rId27" Type="http://schemas.openxmlformats.org/officeDocument/2006/relationships/hyperlink" Target="https://baike.baidu.com/item/%E7%BA%AF%E7%94%B5%E5%8A%A8%E6%B1%BD%E8%BD%A6" TargetMode="External"/><Relationship Id="rId30" Type="http://schemas.openxmlformats.org/officeDocument/2006/relationships/hyperlink" Target="https://baike.baidu.com/item/FCEV"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C8C99C-43CB-4798-BFF3-599A27542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87</Pages>
  <Words>7603</Words>
  <Characters>43343</Characters>
  <Application>Microsoft Office Word</Application>
  <DocSecurity>0</DocSecurity>
  <Lines>361</Lines>
  <Paragraphs>101</Paragraphs>
  <ScaleCrop>false</ScaleCrop>
  <Company>HP Inc.</Company>
  <LinksUpToDate>false</LinksUpToDate>
  <CharactersWithSpaces>50845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User</cp:lastModifiedBy>
  <cp:revision>36</cp:revision>
  <dcterms:created xsi:type="dcterms:W3CDTF">2023-04-03T19:10:00Z</dcterms:created>
  <dcterms:modified xsi:type="dcterms:W3CDTF">2023-05-29T02:48:00Z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BE13EB21A4B465AEE72F2C640B54D523</vt:lpwstr>
  </property>
</Properties>
</file>