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3A" w:rsidRDefault="002B653A">
      <w:pPr>
        <w:autoSpaceDE w:val="0"/>
        <w:autoSpaceDN w:val="0"/>
        <w:adjustRightInd w:val="0"/>
        <w:snapToGrid w:val="0"/>
        <w:spacing w:line="360" w:lineRule="auto"/>
        <w:jc w:val="center"/>
        <w:rPr>
          <w:rFonts w:ascii="黑体" w:eastAsia="黑体" w:hAnsi="黑体" w:cs="仿宋"/>
          <w:b/>
          <w:bCs/>
          <w:kern w:val="0"/>
          <w:sz w:val="48"/>
          <w:szCs w:val="48"/>
        </w:rPr>
      </w:pPr>
    </w:p>
    <w:p w:rsidR="002B653A" w:rsidRDefault="002B653A">
      <w:pPr>
        <w:autoSpaceDE w:val="0"/>
        <w:autoSpaceDN w:val="0"/>
        <w:adjustRightInd w:val="0"/>
        <w:snapToGrid w:val="0"/>
        <w:spacing w:line="360" w:lineRule="auto"/>
        <w:jc w:val="center"/>
        <w:rPr>
          <w:rFonts w:ascii="黑体" w:eastAsia="黑体" w:hAnsi="黑体" w:cs="仿宋"/>
          <w:b/>
          <w:bCs/>
          <w:kern w:val="0"/>
          <w:sz w:val="48"/>
          <w:szCs w:val="48"/>
        </w:rPr>
      </w:pPr>
    </w:p>
    <w:p w:rsidR="002B653A" w:rsidRDefault="002B653A">
      <w:pPr>
        <w:autoSpaceDE w:val="0"/>
        <w:autoSpaceDN w:val="0"/>
        <w:adjustRightInd w:val="0"/>
        <w:snapToGrid w:val="0"/>
        <w:spacing w:line="360" w:lineRule="auto"/>
        <w:jc w:val="center"/>
        <w:rPr>
          <w:rFonts w:ascii="黑体" w:eastAsia="黑体" w:hAnsi="黑体" w:cs="仿宋"/>
          <w:b/>
          <w:bCs/>
          <w:kern w:val="0"/>
          <w:sz w:val="48"/>
          <w:szCs w:val="48"/>
        </w:rPr>
      </w:pPr>
    </w:p>
    <w:p w:rsidR="002B653A" w:rsidRDefault="002B653A">
      <w:pPr>
        <w:autoSpaceDE w:val="0"/>
        <w:autoSpaceDN w:val="0"/>
        <w:adjustRightInd w:val="0"/>
        <w:snapToGrid w:val="0"/>
        <w:spacing w:line="360" w:lineRule="auto"/>
        <w:jc w:val="center"/>
        <w:rPr>
          <w:rFonts w:ascii="黑体" w:eastAsia="黑体" w:hAnsi="黑体" w:cs="仿宋"/>
          <w:b/>
          <w:bCs/>
          <w:kern w:val="0"/>
          <w:sz w:val="48"/>
          <w:szCs w:val="48"/>
        </w:rPr>
      </w:pPr>
    </w:p>
    <w:p w:rsidR="002B653A" w:rsidRDefault="002B653A">
      <w:pPr>
        <w:autoSpaceDE w:val="0"/>
        <w:autoSpaceDN w:val="0"/>
        <w:adjustRightInd w:val="0"/>
        <w:snapToGrid w:val="0"/>
        <w:spacing w:line="360" w:lineRule="auto"/>
        <w:jc w:val="center"/>
        <w:rPr>
          <w:rFonts w:ascii="黑体" w:eastAsia="黑体" w:hAnsi="黑体" w:cs="仿宋"/>
          <w:b/>
          <w:bCs/>
          <w:kern w:val="0"/>
          <w:sz w:val="48"/>
          <w:szCs w:val="48"/>
        </w:rPr>
      </w:pPr>
    </w:p>
    <w:p w:rsidR="002B653A" w:rsidRDefault="00DF1AA7">
      <w:pPr>
        <w:autoSpaceDE w:val="0"/>
        <w:autoSpaceDN w:val="0"/>
        <w:adjustRightInd w:val="0"/>
        <w:snapToGrid w:val="0"/>
        <w:spacing w:line="360" w:lineRule="auto"/>
        <w:jc w:val="center"/>
        <w:rPr>
          <w:rFonts w:ascii="黑体" w:eastAsia="黑体" w:hAnsi="黑体" w:cs="仿宋"/>
          <w:b/>
          <w:bCs/>
          <w:kern w:val="0"/>
          <w:sz w:val="48"/>
          <w:szCs w:val="48"/>
        </w:rPr>
      </w:pPr>
      <w:r>
        <w:rPr>
          <w:rFonts w:ascii="黑体" w:eastAsia="黑体" w:hAnsi="黑体" w:cs="仿宋" w:hint="eastAsia"/>
          <w:b/>
          <w:bCs/>
          <w:kern w:val="0"/>
          <w:sz w:val="48"/>
          <w:szCs w:val="48"/>
        </w:rPr>
        <w:t>广汉市城乡基层治理“十四五”规划</w:t>
      </w:r>
    </w:p>
    <w:p w:rsidR="002B653A" w:rsidRDefault="00DF1AA7">
      <w:pPr>
        <w:autoSpaceDE w:val="0"/>
        <w:autoSpaceDN w:val="0"/>
        <w:adjustRightInd w:val="0"/>
        <w:snapToGrid w:val="0"/>
        <w:spacing w:line="360" w:lineRule="auto"/>
        <w:jc w:val="center"/>
        <w:rPr>
          <w:rFonts w:ascii="黑体" w:eastAsia="黑体" w:hAnsi="黑体" w:cs="仿宋"/>
          <w:b/>
          <w:bCs/>
          <w:kern w:val="0"/>
          <w:sz w:val="36"/>
          <w:szCs w:val="36"/>
        </w:rPr>
      </w:pPr>
      <w:bookmarkStart w:id="0" w:name="_GoBack"/>
      <w:r>
        <w:rPr>
          <w:rFonts w:ascii="黑体" w:eastAsia="黑体" w:hAnsi="黑体" w:cs="仿宋" w:hint="eastAsia"/>
          <w:b/>
          <w:bCs/>
          <w:kern w:val="0"/>
          <w:sz w:val="36"/>
          <w:szCs w:val="36"/>
        </w:rPr>
        <w:t>（征求意见稿）</w:t>
      </w:r>
    </w:p>
    <w:bookmarkEnd w:id="0"/>
    <w:p w:rsidR="002B653A" w:rsidRDefault="002B653A">
      <w:pPr>
        <w:autoSpaceDE w:val="0"/>
        <w:autoSpaceDN w:val="0"/>
        <w:adjustRightInd w:val="0"/>
        <w:snapToGrid w:val="0"/>
        <w:spacing w:line="360" w:lineRule="auto"/>
        <w:jc w:val="center"/>
        <w:rPr>
          <w:rFonts w:ascii="黑体" w:eastAsia="黑体" w:hAnsi="黑体" w:cs="仿宋"/>
          <w:b/>
          <w:bCs/>
          <w:kern w:val="0"/>
          <w:sz w:val="36"/>
          <w:szCs w:val="36"/>
        </w:rPr>
      </w:pPr>
    </w:p>
    <w:p w:rsidR="002B653A" w:rsidRDefault="002B653A">
      <w:pPr>
        <w:autoSpaceDE w:val="0"/>
        <w:autoSpaceDN w:val="0"/>
        <w:adjustRightInd w:val="0"/>
        <w:snapToGrid w:val="0"/>
        <w:spacing w:line="360" w:lineRule="auto"/>
        <w:jc w:val="center"/>
        <w:rPr>
          <w:rFonts w:ascii="黑体" w:eastAsia="黑体" w:hAnsi="黑体" w:cs="仿宋"/>
          <w:b/>
          <w:bCs/>
          <w:kern w:val="0"/>
          <w:sz w:val="36"/>
          <w:szCs w:val="36"/>
        </w:rPr>
      </w:pPr>
    </w:p>
    <w:p w:rsidR="002B653A" w:rsidRDefault="002B653A">
      <w:pPr>
        <w:autoSpaceDE w:val="0"/>
        <w:autoSpaceDN w:val="0"/>
        <w:adjustRightInd w:val="0"/>
        <w:snapToGrid w:val="0"/>
        <w:spacing w:line="360" w:lineRule="auto"/>
        <w:jc w:val="center"/>
        <w:rPr>
          <w:rFonts w:ascii="黑体" w:eastAsia="黑体" w:hAnsi="黑体" w:cs="仿宋"/>
          <w:b/>
          <w:bCs/>
          <w:kern w:val="0"/>
          <w:sz w:val="36"/>
          <w:szCs w:val="36"/>
        </w:rPr>
      </w:pPr>
    </w:p>
    <w:p w:rsidR="002B653A" w:rsidRDefault="002B653A">
      <w:pPr>
        <w:autoSpaceDE w:val="0"/>
        <w:autoSpaceDN w:val="0"/>
        <w:adjustRightInd w:val="0"/>
        <w:snapToGrid w:val="0"/>
        <w:spacing w:line="360" w:lineRule="auto"/>
        <w:rPr>
          <w:rFonts w:ascii="黑体" w:eastAsia="黑体" w:hAnsi="黑体" w:cs="仿宋"/>
          <w:b/>
          <w:bCs/>
          <w:kern w:val="0"/>
          <w:sz w:val="36"/>
          <w:szCs w:val="36"/>
        </w:rPr>
      </w:pPr>
    </w:p>
    <w:p w:rsidR="002B653A" w:rsidRDefault="002B653A">
      <w:pPr>
        <w:autoSpaceDE w:val="0"/>
        <w:autoSpaceDN w:val="0"/>
        <w:adjustRightInd w:val="0"/>
        <w:snapToGrid w:val="0"/>
        <w:spacing w:line="360" w:lineRule="auto"/>
        <w:jc w:val="center"/>
        <w:rPr>
          <w:rFonts w:ascii="黑体" w:eastAsia="黑体" w:hAnsi="黑体" w:cs="仿宋"/>
          <w:b/>
          <w:bCs/>
          <w:kern w:val="0"/>
          <w:sz w:val="36"/>
          <w:szCs w:val="36"/>
        </w:rPr>
      </w:pPr>
    </w:p>
    <w:p w:rsidR="002B653A" w:rsidRDefault="002B653A">
      <w:pPr>
        <w:autoSpaceDE w:val="0"/>
        <w:autoSpaceDN w:val="0"/>
        <w:adjustRightInd w:val="0"/>
        <w:snapToGrid w:val="0"/>
        <w:spacing w:line="360" w:lineRule="auto"/>
        <w:jc w:val="center"/>
        <w:rPr>
          <w:rFonts w:ascii="黑体" w:eastAsia="黑体" w:hAnsi="黑体" w:cs="仿宋"/>
          <w:b/>
          <w:bCs/>
          <w:kern w:val="0"/>
          <w:sz w:val="36"/>
          <w:szCs w:val="36"/>
        </w:rPr>
      </w:pPr>
    </w:p>
    <w:p w:rsidR="002B653A" w:rsidRDefault="002B653A">
      <w:pPr>
        <w:autoSpaceDE w:val="0"/>
        <w:autoSpaceDN w:val="0"/>
        <w:adjustRightInd w:val="0"/>
        <w:snapToGrid w:val="0"/>
        <w:spacing w:line="360" w:lineRule="auto"/>
        <w:jc w:val="center"/>
        <w:rPr>
          <w:rFonts w:ascii="黑体" w:eastAsia="黑体" w:hAnsi="黑体" w:cs="仿宋"/>
          <w:b/>
          <w:bCs/>
          <w:kern w:val="0"/>
          <w:sz w:val="36"/>
          <w:szCs w:val="36"/>
        </w:rPr>
      </w:pPr>
    </w:p>
    <w:p w:rsidR="002B653A" w:rsidRDefault="00DF1AA7">
      <w:pPr>
        <w:autoSpaceDE w:val="0"/>
        <w:autoSpaceDN w:val="0"/>
        <w:adjustRightInd w:val="0"/>
        <w:snapToGrid w:val="0"/>
        <w:spacing w:line="360" w:lineRule="auto"/>
        <w:jc w:val="center"/>
        <w:rPr>
          <w:rFonts w:ascii="黑体" w:eastAsia="黑体" w:hAnsi="黑体" w:cs="仿宋"/>
          <w:b/>
          <w:bCs/>
          <w:kern w:val="0"/>
          <w:sz w:val="36"/>
          <w:szCs w:val="36"/>
        </w:rPr>
      </w:pPr>
      <w:r>
        <w:rPr>
          <w:rFonts w:ascii="黑体" w:eastAsia="黑体" w:hAnsi="黑体" w:cs="仿宋" w:hint="eastAsia"/>
          <w:b/>
          <w:bCs/>
          <w:kern w:val="0"/>
          <w:sz w:val="36"/>
          <w:szCs w:val="36"/>
        </w:rPr>
        <w:t>广汉市城乡基层治理委员会办公室</w:t>
      </w:r>
    </w:p>
    <w:p w:rsidR="002B653A" w:rsidRDefault="002B653A">
      <w:pPr>
        <w:autoSpaceDE w:val="0"/>
        <w:autoSpaceDN w:val="0"/>
        <w:adjustRightInd w:val="0"/>
        <w:snapToGrid w:val="0"/>
        <w:spacing w:line="360" w:lineRule="auto"/>
        <w:jc w:val="center"/>
        <w:rPr>
          <w:rFonts w:ascii="黑体" w:eastAsia="黑体" w:hAnsi="黑体" w:cs="仿宋"/>
          <w:b/>
          <w:bCs/>
          <w:kern w:val="0"/>
          <w:sz w:val="36"/>
          <w:szCs w:val="36"/>
        </w:rPr>
      </w:pPr>
    </w:p>
    <w:p w:rsidR="002B653A" w:rsidRDefault="00DF1AA7">
      <w:pPr>
        <w:autoSpaceDE w:val="0"/>
        <w:autoSpaceDN w:val="0"/>
        <w:adjustRightInd w:val="0"/>
        <w:snapToGrid w:val="0"/>
        <w:spacing w:line="360" w:lineRule="auto"/>
        <w:jc w:val="center"/>
        <w:rPr>
          <w:rFonts w:ascii="黑体" w:eastAsia="黑体" w:hAnsi="黑体" w:cs="仿宋"/>
          <w:b/>
          <w:bCs/>
          <w:kern w:val="0"/>
          <w:sz w:val="36"/>
          <w:szCs w:val="36"/>
        </w:rPr>
      </w:pPr>
      <w:r>
        <w:rPr>
          <w:rFonts w:ascii="黑体" w:eastAsia="黑体" w:hAnsi="黑体" w:cs="仿宋"/>
          <w:b/>
          <w:bCs/>
          <w:kern w:val="0"/>
          <w:sz w:val="36"/>
          <w:szCs w:val="36"/>
        </w:rPr>
        <w:t>2021年12月</w:t>
      </w:r>
    </w:p>
    <w:p w:rsidR="002B653A" w:rsidRDefault="002B653A">
      <w:pPr>
        <w:adjustRightInd w:val="0"/>
        <w:snapToGrid w:val="0"/>
        <w:spacing w:line="360" w:lineRule="auto"/>
        <w:jc w:val="left"/>
        <w:rPr>
          <w:rFonts w:ascii="黑体" w:eastAsia="黑体" w:hAnsi="黑体"/>
          <w:sz w:val="36"/>
          <w:szCs w:val="36"/>
        </w:rPr>
        <w:sectPr w:rsidR="002B653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titlePg/>
          <w:docGrid w:type="lines" w:linePitch="312"/>
        </w:sectPr>
      </w:pPr>
    </w:p>
    <w:p w:rsidR="002B653A" w:rsidRDefault="002B653A">
      <w:pPr>
        <w:adjustRightInd w:val="0"/>
        <w:snapToGrid w:val="0"/>
        <w:spacing w:line="360" w:lineRule="auto"/>
        <w:jc w:val="left"/>
        <w:rPr>
          <w:rFonts w:ascii="黑体" w:eastAsia="黑体" w:hAnsi="黑体"/>
          <w:sz w:val="36"/>
          <w:szCs w:val="36"/>
        </w:rPr>
        <w:sectPr w:rsidR="002B653A">
          <w:footerReference w:type="first" r:id="rId14"/>
          <w:pgSz w:w="11906" w:h="16838"/>
          <w:pgMar w:top="1440" w:right="1800" w:bottom="1440" w:left="1800" w:header="851" w:footer="992" w:gutter="0"/>
          <w:pgNumType w:start="1"/>
          <w:cols w:space="720"/>
          <w:titlePg/>
          <w:docGrid w:type="lines" w:linePitch="312"/>
        </w:sectPr>
      </w:pPr>
    </w:p>
    <w:p w:rsidR="002B653A" w:rsidRDefault="00DF1AA7" w:rsidP="0091109A">
      <w:pPr>
        <w:pStyle w:val="TOC10"/>
        <w:spacing w:afterLines="150"/>
        <w:jc w:val="center"/>
        <w:rPr>
          <w:rFonts w:ascii="黑体" w:eastAsia="黑体" w:hAnsi="黑体"/>
          <w:b/>
          <w:bCs/>
          <w:color w:val="auto"/>
          <w:kern w:val="44"/>
          <w:sz w:val="36"/>
          <w:szCs w:val="36"/>
        </w:rPr>
      </w:pPr>
      <w:r>
        <w:rPr>
          <w:rFonts w:ascii="黑体" w:eastAsia="黑体" w:hAnsi="黑体"/>
          <w:b/>
          <w:bCs/>
          <w:color w:val="auto"/>
          <w:kern w:val="44"/>
          <w:sz w:val="36"/>
          <w:szCs w:val="36"/>
        </w:rPr>
        <w:lastRenderedPageBreak/>
        <w:t>目录</w:t>
      </w:r>
    </w:p>
    <w:p w:rsidR="002B653A" w:rsidRDefault="00182780">
      <w:pPr>
        <w:pStyle w:val="10"/>
        <w:tabs>
          <w:tab w:val="right" w:leader="dot" w:pos="8296"/>
        </w:tabs>
        <w:adjustRightInd w:val="0"/>
        <w:snapToGrid w:val="0"/>
        <w:spacing w:after="0" w:line="336" w:lineRule="auto"/>
        <w:rPr>
          <w:rFonts w:ascii="Times New Roman" w:eastAsiaTheme="minorEastAsia" w:hAnsi="Times New Roman"/>
          <w:b/>
          <w:bCs/>
          <w:kern w:val="2"/>
          <w:sz w:val="30"/>
          <w:szCs w:val="30"/>
        </w:rPr>
      </w:pPr>
      <w:r w:rsidRPr="00182780">
        <w:rPr>
          <w:rFonts w:ascii="Times New Roman" w:hAnsi="Times New Roman"/>
          <w:sz w:val="30"/>
          <w:szCs w:val="30"/>
        </w:rPr>
        <w:fldChar w:fldCharType="begin"/>
      </w:r>
      <w:r w:rsidR="00DF1AA7">
        <w:rPr>
          <w:rFonts w:ascii="Times New Roman" w:hAnsi="Times New Roman"/>
          <w:sz w:val="30"/>
          <w:szCs w:val="30"/>
        </w:rPr>
        <w:instrText xml:space="preserve"> TOC \o "1-3" \h \z \u </w:instrText>
      </w:r>
      <w:r w:rsidRPr="00182780">
        <w:rPr>
          <w:rFonts w:ascii="Times New Roman" w:hAnsi="Times New Roman"/>
          <w:sz w:val="30"/>
          <w:szCs w:val="30"/>
        </w:rPr>
        <w:fldChar w:fldCharType="separate"/>
      </w:r>
      <w:hyperlink w:anchor="_Toc90415709" w:history="1">
        <w:r w:rsidR="00DF1AA7">
          <w:rPr>
            <w:rStyle w:val="ab"/>
            <w:rFonts w:ascii="Times New Roman" w:eastAsia="黑体" w:hAnsi="Times New Roman"/>
            <w:b/>
            <w:bCs/>
            <w:sz w:val="30"/>
            <w:szCs w:val="30"/>
          </w:rPr>
          <w:t>前</w:t>
        </w:r>
        <w:r w:rsidR="00DF1AA7">
          <w:rPr>
            <w:rStyle w:val="ab"/>
            <w:rFonts w:ascii="Times New Roman" w:eastAsia="黑体" w:hAnsi="Times New Roman"/>
            <w:b/>
            <w:bCs/>
            <w:sz w:val="30"/>
            <w:szCs w:val="30"/>
          </w:rPr>
          <w:t xml:space="preserve">  </w:t>
        </w:r>
        <w:r w:rsidR="00DF1AA7">
          <w:rPr>
            <w:rStyle w:val="ab"/>
            <w:rFonts w:ascii="Times New Roman" w:eastAsia="黑体" w:hAnsi="Times New Roman"/>
            <w:b/>
            <w:bCs/>
            <w:sz w:val="30"/>
            <w:szCs w:val="30"/>
          </w:rPr>
          <w:t>言</w:t>
        </w:r>
        <w:r w:rsidR="00DF1AA7">
          <w:rPr>
            <w:rFonts w:ascii="Times New Roman" w:hAnsi="Times New Roman"/>
            <w:b/>
            <w:bCs/>
            <w:sz w:val="30"/>
            <w:szCs w:val="30"/>
          </w:rPr>
          <w:tab/>
        </w:r>
        <w:r>
          <w:rPr>
            <w:rFonts w:ascii="Times New Roman" w:hAnsi="Times New Roman"/>
            <w:b/>
            <w:bCs/>
            <w:sz w:val="30"/>
            <w:szCs w:val="30"/>
          </w:rPr>
          <w:fldChar w:fldCharType="begin"/>
        </w:r>
        <w:r w:rsidR="00DF1AA7">
          <w:rPr>
            <w:rFonts w:ascii="Times New Roman" w:hAnsi="Times New Roman"/>
            <w:b/>
            <w:bCs/>
            <w:sz w:val="30"/>
            <w:szCs w:val="30"/>
          </w:rPr>
          <w:instrText xml:space="preserve"> PAGEREF _Toc90415709 \h </w:instrText>
        </w:r>
        <w:r>
          <w:rPr>
            <w:rFonts w:ascii="Times New Roman" w:hAnsi="Times New Roman"/>
            <w:b/>
            <w:bCs/>
            <w:sz w:val="30"/>
            <w:szCs w:val="30"/>
          </w:rPr>
        </w:r>
        <w:r>
          <w:rPr>
            <w:rFonts w:ascii="Times New Roman" w:hAnsi="Times New Roman"/>
            <w:b/>
            <w:bCs/>
            <w:sz w:val="30"/>
            <w:szCs w:val="30"/>
          </w:rPr>
          <w:fldChar w:fldCharType="separate"/>
        </w:r>
        <w:r w:rsidR="00DF1AA7">
          <w:rPr>
            <w:rFonts w:ascii="Times New Roman" w:hAnsi="Times New Roman"/>
            <w:b/>
            <w:bCs/>
            <w:sz w:val="30"/>
            <w:szCs w:val="30"/>
          </w:rPr>
          <w:t>1</w:t>
        </w:r>
        <w:r>
          <w:rPr>
            <w:rFonts w:ascii="Times New Roman" w:hAnsi="Times New Roman"/>
            <w:b/>
            <w:bCs/>
            <w:sz w:val="30"/>
            <w:szCs w:val="30"/>
          </w:rPr>
          <w:fldChar w:fldCharType="end"/>
        </w:r>
      </w:hyperlink>
    </w:p>
    <w:p w:rsidR="002B653A" w:rsidRDefault="00182780">
      <w:pPr>
        <w:pStyle w:val="10"/>
        <w:tabs>
          <w:tab w:val="right" w:leader="dot" w:pos="8296"/>
        </w:tabs>
        <w:adjustRightInd w:val="0"/>
        <w:snapToGrid w:val="0"/>
        <w:spacing w:after="0" w:line="336" w:lineRule="auto"/>
        <w:rPr>
          <w:rFonts w:ascii="Times New Roman" w:eastAsiaTheme="minorEastAsia" w:hAnsi="Times New Roman"/>
          <w:b/>
          <w:bCs/>
          <w:kern w:val="2"/>
          <w:sz w:val="30"/>
          <w:szCs w:val="30"/>
        </w:rPr>
      </w:pPr>
      <w:hyperlink w:anchor="_Toc90415710" w:history="1">
        <w:r w:rsidR="00DF1AA7">
          <w:rPr>
            <w:rStyle w:val="ab"/>
            <w:rFonts w:ascii="Times New Roman" w:eastAsia="黑体" w:hAnsi="Times New Roman"/>
            <w:b/>
            <w:bCs/>
            <w:sz w:val="30"/>
            <w:szCs w:val="30"/>
          </w:rPr>
          <w:t>第一章</w:t>
        </w:r>
        <w:r w:rsidR="00DF1AA7">
          <w:rPr>
            <w:rStyle w:val="ab"/>
            <w:rFonts w:ascii="Times New Roman" w:eastAsia="黑体" w:hAnsi="Times New Roman"/>
            <w:b/>
            <w:bCs/>
            <w:sz w:val="30"/>
            <w:szCs w:val="30"/>
          </w:rPr>
          <w:t xml:space="preserve">  </w:t>
        </w:r>
        <w:r w:rsidR="00DF1AA7">
          <w:rPr>
            <w:rStyle w:val="ab"/>
            <w:rFonts w:ascii="Times New Roman" w:eastAsia="黑体" w:hAnsi="Times New Roman"/>
            <w:b/>
            <w:bCs/>
            <w:sz w:val="30"/>
            <w:szCs w:val="30"/>
          </w:rPr>
          <w:t>规划背景</w:t>
        </w:r>
        <w:r w:rsidR="00DF1AA7">
          <w:rPr>
            <w:rFonts w:ascii="Times New Roman" w:hAnsi="Times New Roman"/>
            <w:b/>
            <w:bCs/>
            <w:sz w:val="30"/>
            <w:szCs w:val="30"/>
          </w:rPr>
          <w:tab/>
        </w:r>
        <w:r>
          <w:rPr>
            <w:rFonts w:ascii="Times New Roman" w:hAnsi="Times New Roman"/>
            <w:b/>
            <w:bCs/>
            <w:sz w:val="30"/>
            <w:szCs w:val="30"/>
          </w:rPr>
          <w:fldChar w:fldCharType="begin"/>
        </w:r>
        <w:r w:rsidR="00DF1AA7">
          <w:rPr>
            <w:rFonts w:ascii="Times New Roman" w:hAnsi="Times New Roman"/>
            <w:b/>
            <w:bCs/>
            <w:sz w:val="30"/>
            <w:szCs w:val="30"/>
          </w:rPr>
          <w:instrText xml:space="preserve"> PAGEREF _Toc90415710 \h </w:instrText>
        </w:r>
        <w:r>
          <w:rPr>
            <w:rFonts w:ascii="Times New Roman" w:hAnsi="Times New Roman"/>
            <w:b/>
            <w:bCs/>
            <w:sz w:val="30"/>
            <w:szCs w:val="30"/>
          </w:rPr>
        </w:r>
        <w:r>
          <w:rPr>
            <w:rFonts w:ascii="Times New Roman" w:hAnsi="Times New Roman"/>
            <w:b/>
            <w:bCs/>
            <w:sz w:val="30"/>
            <w:szCs w:val="30"/>
          </w:rPr>
          <w:fldChar w:fldCharType="separate"/>
        </w:r>
        <w:r w:rsidR="00DF1AA7">
          <w:rPr>
            <w:rFonts w:ascii="Times New Roman" w:hAnsi="Times New Roman"/>
            <w:b/>
            <w:bCs/>
            <w:sz w:val="30"/>
            <w:szCs w:val="30"/>
          </w:rPr>
          <w:t>3</w:t>
        </w:r>
        <w:r>
          <w:rPr>
            <w:rFonts w:ascii="Times New Roman" w:hAnsi="Times New Roman"/>
            <w:b/>
            <w:bCs/>
            <w:sz w:val="30"/>
            <w:szCs w:val="30"/>
          </w:rPr>
          <w:fldChar w:fldCharType="end"/>
        </w:r>
      </w:hyperlink>
    </w:p>
    <w:p w:rsidR="002B653A" w:rsidRDefault="00182780">
      <w:pPr>
        <w:pStyle w:val="20"/>
        <w:spacing w:line="336" w:lineRule="auto"/>
        <w:ind w:firstLineChars="100" w:firstLine="301"/>
        <w:rPr>
          <w:rFonts w:ascii="Times New Roman" w:eastAsiaTheme="minorEastAsia" w:hAnsi="Times New Roman"/>
          <w:b w:val="0"/>
          <w:bCs w:val="0"/>
          <w:kern w:val="2"/>
        </w:rPr>
      </w:pPr>
      <w:hyperlink w:anchor="_Toc90415711" w:history="1">
        <w:r w:rsidR="00DF1AA7">
          <w:rPr>
            <w:rStyle w:val="ab"/>
            <w:rFonts w:ascii="Times New Roman" w:eastAsia="黑体" w:hAnsi="Times New Roman"/>
            <w:b w:val="0"/>
            <w:bCs w:val="0"/>
          </w:rPr>
          <w:t>第一节</w:t>
        </w:r>
        <w:r w:rsidR="00DF1AA7">
          <w:rPr>
            <w:rStyle w:val="ab"/>
            <w:rFonts w:ascii="Times New Roman" w:eastAsia="黑体" w:hAnsi="Times New Roman"/>
            <w:b w:val="0"/>
            <w:bCs w:val="0"/>
          </w:rPr>
          <w:t xml:space="preserve">  </w:t>
        </w:r>
        <w:r w:rsidR="00DF1AA7">
          <w:rPr>
            <w:rStyle w:val="ab"/>
            <w:rFonts w:ascii="Times New Roman" w:eastAsia="黑体" w:hAnsi="Times New Roman"/>
            <w:b w:val="0"/>
            <w:bCs w:val="0"/>
          </w:rPr>
          <w:t>重大意义</w:t>
        </w:r>
        <w:r w:rsidR="00DF1AA7">
          <w:rPr>
            <w:rFonts w:ascii="Times New Roman" w:hAnsi="Times New Roman"/>
            <w:b w:val="0"/>
            <w:bCs w:val="0"/>
          </w:rPr>
          <w:tab/>
        </w:r>
        <w:r>
          <w:rPr>
            <w:rFonts w:ascii="Times New Roman" w:hAnsi="Times New Roman"/>
            <w:b w:val="0"/>
            <w:bCs w:val="0"/>
          </w:rPr>
          <w:fldChar w:fldCharType="begin"/>
        </w:r>
        <w:r w:rsidR="00DF1AA7">
          <w:rPr>
            <w:rFonts w:ascii="Times New Roman" w:hAnsi="Times New Roman"/>
            <w:b w:val="0"/>
            <w:bCs w:val="0"/>
          </w:rPr>
          <w:instrText xml:space="preserve"> PAGEREF _Toc90415711 \h </w:instrText>
        </w:r>
        <w:r>
          <w:rPr>
            <w:rFonts w:ascii="Times New Roman" w:hAnsi="Times New Roman"/>
            <w:b w:val="0"/>
            <w:bCs w:val="0"/>
          </w:rPr>
        </w:r>
        <w:r>
          <w:rPr>
            <w:rFonts w:ascii="Times New Roman" w:hAnsi="Times New Roman"/>
            <w:b w:val="0"/>
            <w:bCs w:val="0"/>
          </w:rPr>
          <w:fldChar w:fldCharType="separate"/>
        </w:r>
        <w:r w:rsidR="00DF1AA7">
          <w:rPr>
            <w:rFonts w:ascii="Times New Roman" w:hAnsi="Times New Roman"/>
            <w:b w:val="0"/>
            <w:bCs w:val="0"/>
          </w:rPr>
          <w:t>3</w:t>
        </w:r>
        <w:r>
          <w:rPr>
            <w:rFonts w:ascii="Times New Roman" w:hAnsi="Times New Roman"/>
            <w:b w:val="0"/>
            <w:bCs w:val="0"/>
          </w:rPr>
          <w:fldChar w:fldCharType="end"/>
        </w:r>
      </w:hyperlink>
    </w:p>
    <w:p w:rsidR="002B653A" w:rsidRDefault="00182780">
      <w:pPr>
        <w:pStyle w:val="30"/>
        <w:tabs>
          <w:tab w:val="right" w:leader="dot" w:pos="8296"/>
        </w:tabs>
        <w:adjustRightInd w:val="0"/>
        <w:snapToGrid w:val="0"/>
        <w:spacing w:after="0" w:line="336" w:lineRule="auto"/>
        <w:ind w:firstLineChars="200" w:firstLine="440"/>
        <w:rPr>
          <w:rFonts w:ascii="Times New Roman" w:eastAsiaTheme="minorEastAsia" w:hAnsi="Times New Roman"/>
          <w:kern w:val="2"/>
          <w:sz w:val="30"/>
          <w:szCs w:val="30"/>
        </w:rPr>
      </w:pPr>
      <w:hyperlink w:anchor="_Toc90415712" w:history="1">
        <w:r w:rsidR="00DF1AA7">
          <w:rPr>
            <w:rStyle w:val="ab"/>
            <w:rFonts w:ascii="Times New Roman" w:eastAsia="仿宋" w:hAnsi="Times New Roman"/>
            <w:sz w:val="30"/>
            <w:szCs w:val="30"/>
          </w:rPr>
          <w:t>一、基层治理是政治稳定发展的重要保障</w:t>
        </w:r>
        <w:r w:rsidR="00DF1AA7">
          <w:rPr>
            <w:rFonts w:ascii="Times New Roman" w:hAnsi="Times New Roman"/>
            <w:sz w:val="30"/>
            <w:szCs w:val="30"/>
          </w:rPr>
          <w:tab/>
        </w:r>
        <w:r>
          <w:rPr>
            <w:rFonts w:ascii="Times New Roman" w:hAnsi="Times New Roman"/>
            <w:sz w:val="30"/>
            <w:szCs w:val="30"/>
          </w:rPr>
          <w:fldChar w:fldCharType="begin"/>
        </w:r>
        <w:r w:rsidR="00DF1AA7">
          <w:rPr>
            <w:rFonts w:ascii="Times New Roman" w:hAnsi="Times New Roman"/>
            <w:sz w:val="30"/>
            <w:szCs w:val="30"/>
          </w:rPr>
          <w:instrText xml:space="preserve"> PAGEREF _Toc90415712 \h </w:instrText>
        </w:r>
        <w:r>
          <w:rPr>
            <w:rFonts w:ascii="Times New Roman" w:hAnsi="Times New Roman"/>
            <w:sz w:val="30"/>
            <w:szCs w:val="30"/>
          </w:rPr>
        </w:r>
        <w:r>
          <w:rPr>
            <w:rFonts w:ascii="Times New Roman" w:hAnsi="Times New Roman"/>
            <w:sz w:val="30"/>
            <w:szCs w:val="30"/>
          </w:rPr>
          <w:fldChar w:fldCharType="separate"/>
        </w:r>
        <w:r w:rsidR="00DF1AA7">
          <w:rPr>
            <w:rFonts w:ascii="Times New Roman" w:hAnsi="Times New Roman"/>
            <w:sz w:val="30"/>
            <w:szCs w:val="30"/>
          </w:rPr>
          <w:t>3</w:t>
        </w:r>
        <w:r>
          <w:rPr>
            <w:rFonts w:ascii="Times New Roman" w:hAnsi="Times New Roman"/>
            <w:sz w:val="30"/>
            <w:szCs w:val="30"/>
          </w:rPr>
          <w:fldChar w:fldCharType="end"/>
        </w:r>
      </w:hyperlink>
    </w:p>
    <w:p w:rsidR="002B653A" w:rsidRDefault="00182780">
      <w:pPr>
        <w:pStyle w:val="30"/>
        <w:tabs>
          <w:tab w:val="right" w:leader="dot" w:pos="8296"/>
        </w:tabs>
        <w:adjustRightInd w:val="0"/>
        <w:snapToGrid w:val="0"/>
        <w:spacing w:after="0" w:line="336" w:lineRule="auto"/>
        <w:ind w:firstLineChars="200" w:firstLine="440"/>
        <w:rPr>
          <w:rFonts w:ascii="Times New Roman" w:eastAsiaTheme="minorEastAsia" w:hAnsi="Times New Roman"/>
          <w:kern w:val="2"/>
          <w:sz w:val="30"/>
          <w:szCs w:val="30"/>
        </w:rPr>
      </w:pPr>
      <w:hyperlink w:anchor="_Toc90415713" w:history="1">
        <w:r w:rsidR="00DF1AA7">
          <w:rPr>
            <w:rStyle w:val="ab"/>
            <w:rFonts w:ascii="Times New Roman" w:eastAsia="仿宋" w:hAnsi="Times New Roman"/>
            <w:sz w:val="30"/>
            <w:szCs w:val="30"/>
          </w:rPr>
          <w:t>二、基层治理是乡村产业振兴的有力支撑</w:t>
        </w:r>
        <w:r w:rsidR="00DF1AA7">
          <w:rPr>
            <w:rFonts w:ascii="Times New Roman" w:hAnsi="Times New Roman"/>
            <w:sz w:val="30"/>
            <w:szCs w:val="30"/>
          </w:rPr>
          <w:tab/>
        </w:r>
        <w:r>
          <w:rPr>
            <w:rFonts w:ascii="Times New Roman" w:hAnsi="Times New Roman"/>
            <w:sz w:val="30"/>
            <w:szCs w:val="30"/>
          </w:rPr>
          <w:fldChar w:fldCharType="begin"/>
        </w:r>
        <w:r w:rsidR="00DF1AA7">
          <w:rPr>
            <w:rFonts w:ascii="Times New Roman" w:hAnsi="Times New Roman"/>
            <w:sz w:val="30"/>
            <w:szCs w:val="30"/>
          </w:rPr>
          <w:instrText xml:space="preserve"> PAGEREF _Toc90415713 \h </w:instrText>
        </w:r>
        <w:r>
          <w:rPr>
            <w:rFonts w:ascii="Times New Roman" w:hAnsi="Times New Roman"/>
            <w:sz w:val="30"/>
            <w:szCs w:val="30"/>
          </w:rPr>
        </w:r>
        <w:r>
          <w:rPr>
            <w:rFonts w:ascii="Times New Roman" w:hAnsi="Times New Roman"/>
            <w:sz w:val="30"/>
            <w:szCs w:val="30"/>
          </w:rPr>
          <w:fldChar w:fldCharType="separate"/>
        </w:r>
        <w:r w:rsidR="00DF1AA7">
          <w:rPr>
            <w:rFonts w:ascii="Times New Roman" w:hAnsi="Times New Roman"/>
            <w:sz w:val="30"/>
            <w:szCs w:val="30"/>
          </w:rPr>
          <w:t>3</w:t>
        </w:r>
        <w:r>
          <w:rPr>
            <w:rFonts w:ascii="Times New Roman" w:hAnsi="Times New Roman"/>
            <w:sz w:val="30"/>
            <w:szCs w:val="30"/>
          </w:rPr>
          <w:fldChar w:fldCharType="end"/>
        </w:r>
      </w:hyperlink>
    </w:p>
    <w:p w:rsidR="002B653A" w:rsidRDefault="00182780">
      <w:pPr>
        <w:pStyle w:val="30"/>
        <w:tabs>
          <w:tab w:val="right" w:leader="dot" w:pos="8296"/>
        </w:tabs>
        <w:adjustRightInd w:val="0"/>
        <w:snapToGrid w:val="0"/>
        <w:spacing w:after="0" w:line="336" w:lineRule="auto"/>
        <w:ind w:firstLineChars="200" w:firstLine="440"/>
        <w:rPr>
          <w:rFonts w:ascii="Times New Roman" w:eastAsiaTheme="minorEastAsia" w:hAnsi="Times New Roman"/>
          <w:kern w:val="2"/>
          <w:sz w:val="30"/>
          <w:szCs w:val="30"/>
        </w:rPr>
      </w:pPr>
      <w:hyperlink w:anchor="_Toc90415714" w:history="1">
        <w:r w:rsidR="00DF1AA7">
          <w:rPr>
            <w:rStyle w:val="ab"/>
            <w:rFonts w:ascii="Times New Roman" w:eastAsia="仿宋" w:hAnsi="Times New Roman"/>
            <w:sz w:val="30"/>
            <w:szCs w:val="30"/>
          </w:rPr>
          <w:t>三、基层治理是社会和谐稳定的必然要求</w:t>
        </w:r>
        <w:r w:rsidR="00DF1AA7">
          <w:rPr>
            <w:rFonts w:ascii="Times New Roman" w:hAnsi="Times New Roman"/>
            <w:sz w:val="30"/>
            <w:szCs w:val="30"/>
          </w:rPr>
          <w:tab/>
        </w:r>
        <w:r>
          <w:rPr>
            <w:rFonts w:ascii="Times New Roman" w:hAnsi="Times New Roman"/>
            <w:sz w:val="30"/>
            <w:szCs w:val="30"/>
          </w:rPr>
          <w:fldChar w:fldCharType="begin"/>
        </w:r>
        <w:r w:rsidR="00DF1AA7">
          <w:rPr>
            <w:rFonts w:ascii="Times New Roman" w:hAnsi="Times New Roman"/>
            <w:sz w:val="30"/>
            <w:szCs w:val="30"/>
          </w:rPr>
          <w:instrText xml:space="preserve"> PAGEREF _Toc90415714 \h </w:instrText>
        </w:r>
        <w:r>
          <w:rPr>
            <w:rFonts w:ascii="Times New Roman" w:hAnsi="Times New Roman"/>
            <w:sz w:val="30"/>
            <w:szCs w:val="30"/>
          </w:rPr>
        </w:r>
        <w:r>
          <w:rPr>
            <w:rFonts w:ascii="Times New Roman" w:hAnsi="Times New Roman"/>
            <w:sz w:val="30"/>
            <w:szCs w:val="30"/>
          </w:rPr>
          <w:fldChar w:fldCharType="separate"/>
        </w:r>
        <w:r w:rsidR="00DF1AA7">
          <w:rPr>
            <w:rFonts w:ascii="Times New Roman" w:hAnsi="Times New Roman"/>
            <w:sz w:val="30"/>
            <w:szCs w:val="30"/>
          </w:rPr>
          <w:t>4</w:t>
        </w:r>
        <w:r>
          <w:rPr>
            <w:rFonts w:ascii="Times New Roman" w:hAnsi="Times New Roman"/>
            <w:sz w:val="30"/>
            <w:szCs w:val="30"/>
          </w:rPr>
          <w:fldChar w:fldCharType="end"/>
        </w:r>
      </w:hyperlink>
    </w:p>
    <w:p w:rsidR="002B653A" w:rsidRDefault="00182780">
      <w:pPr>
        <w:pStyle w:val="30"/>
        <w:tabs>
          <w:tab w:val="right" w:leader="dot" w:pos="8296"/>
        </w:tabs>
        <w:adjustRightInd w:val="0"/>
        <w:snapToGrid w:val="0"/>
        <w:spacing w:after="0" w:line="336" w:lineRule="auto"/>
        <w:ind w:firstLineChars="200" w:firstLine="440"/>
        <w:rPr>
          <w:rFonts w:ascii="Times New Roman" w:eastAsiaTheme="minorEastAsia" w:hAnsi="Times New Roman"/>
          <w:kern w:val="2"/>
          <w:sz w:val="30"/>
          <w:szCs w:val="30"/>
        </w:rPr>
      </w:pPr>
      <w:hyperlink w:anchor="_Toc90415715" w:history="1">
        <w:r w:rsidR="00DF1AA7">
          <w:rPr>
            <w:rStyle w:val="ab"/>
            <w:rFonts w:ascii="Times New Roman" w:eastAsia="仿宋" w:hAnsi="Times New Roman"/>
            <w:sz w:val="30"/>
            <w:szCs w:val="30"/>
          </w:rPr>
          <w:t>四、基层治理是社区文化繁荣的驱动因子</w:t>
        </w:r>
        <w:r w:rsidR="00DF1AA7">
          <w:rPr>
            <w:rFonts w:ascii="Times New Roman" w:hAnsi="Times New Roman"/>
            <w:sz w:val="30"/>
            <w:szCs w:val="30"/>
          </w:rPr>
          <w:tab/>
        </w:r>
        <w:r>
          <w:rPr>
            <w:rFonts w:ascii="Times New Roman" w:hAnsi="Times New Roman"/>
            <w:sz w:val="30"/>
            <w:szCs w:val="30"/>
          </w:rPr>
          <w:fldChar w:fldCharType="begin"/>
        </w:r>
        <w:r w:rsidR="00DF1AA7">
          <w:rPr>
            <w:rFonts w:ascii="Times New Roman" w:hAnsi="Times New Roman"/>
            <w:sz w:val="30"/>
            <w:szCs w:val="30"/>
          </w:rPr>
          <w:instrText xml:space="preserve"> PAGEREF _Toc90415715 \h </w:instrText>
        </w:r>
        <w:r>
          <w:rPr>
            <w:rFonts w:ascii="Times New Roman" w:hAnsi="Times New Roman"/>
            <w:sz w:val="30"/>
            <w:szCs w:val="30"/>
          </w:rPr>
        </w:r>
        <w:r>
          <w:rPr>
            <w:rFonts w:ascii="Times New Roman" w:hAnsi="Times New Roman"/>
            <w:sz w:val="30"/>
            <w:szCs w:val="30"/>
          </w:rPr>
          <w:fldChar w:fldCharType="separate"/>
        </w:r>
        <w:r w:rsidR="00DF1AA7">
          <w:rPr>
            <w:rFonts w:ascii="Times New Roman" w:hAnsi="Times New Roman"/>
            <w:sz w:val="30"/>
            <w:szCs w:val="30"/>
          </w:rPr>
          <w:t>5</w:t>
        </w:r>
        <w:r>
          <w:rPr>
            <w:rFonts w:ascii="Times New Roman" w:hAnsi="Times New Roman"/>
            <w:sz w:val="30"/>
            <w:szCs w:val="30"/>
          </w:rPr>
          <w:fldChar w:fldCharType="end"/>
        </w:r>
      </w:hyperlink>
    </w:p>
    <w:p w:rsidR="002B653A" w:rsidRDefault="00182780">
      <w:pPr>
        <w:pStyle w:val="30"/>
        <w:tabs>
          <w:tab w:val="right" w:leader="dot" w:pos="8296"/>
        </w:tabs>
        <w:adjustRightInd w:val="0"/>
        <w:snapToGrid w:val="0"/>
        <w:spacing w:after="0" w:line="336" w:lineRule="auto"/>
        <w:ind w:firstLineChars="200" w:firstLine="440"/>
        <w:rPr>
          <w:rFonts w:ascii="Times New Roman" w:eastAsiaTheme="minorEastAsia" w:hAnsi="Times New Roman"/>
          <w:kern w:val="2"/>
          <w:sz w:val="30"/>
          <w:szCs w:val="30"/>
        </w:rPr>
      </w:pPr>
      <w:hyperlink w:anchor="_Toc90415716" w:history="1">
        <w:r w:rsidR="00DF1AA7">
          <w:rPr>
            <w:rStyle w:val="ab"/>
            <w:rFonts w:ascii="Times New Roman" w:eastAsia="仿宋" w:hAnsi="Times New Roman"/>
            <w:sz w:val="30"/>
            <w:szCs w:val="30"/>
          </w:rPr>
          <w:t>五、基层治理是生态文明建设的有效推力</w:t>
        </w:r>
        <w:r w:rsidR="00DF1AA7">
          <w:rPr>
            <w:rFonts w:ascii="Times New Roman" w:hAnsi="Times New Roman"/>
            <w:sz w:val="30"/>
            <w:szCs w:val="30"/>
          </w:rPr>
          <w:tab/>
        </w:r>
        <w:r>
          <w:rPr>
            <w:rFonts w:ascii="Times New Roman" w:hAnsi="Times New Roman"/>
            <w:sz w:val="30"/>
            <w:szCs w:val="30"/>
          </w:rPr>
          <w:fldChar w:fldCharType="begin"/>
        </w:r>
        <w:r w:rsidR="00DF1AA7">
          <w:rPr>
            <w:rFonts w:ascii="Times New Roman" w:hAnsi="Times New Roman"/>
            <w:sz w:val="30"/>
            <w:szCs w:val="30"/>
          </w:rPr>
          <w:instrText xml:space="preserve"> PAGEREF _Toc90415716 \h </w:instrText>
        </w:r>
        <w:r>
          <w:rPr>
            <w:rFonts w:ascii="Times New Roman" w:hAnsi="Times New Roman"/>
            <w:sz w:val="30"/>
            <w:szCs w:val="30"/>
          </w:rPr>
        </w:r>
        <w:r>
          <w:rPr>
            <w:rFonts w:ascii="Times New Roman" w:hAnsi="Times New Roman"/>
            <w:sz w:val="30"/>
            <w:szCs w:val="30"/>
          </w:rPr>
          <w:fldChar w:fldCharType="separate"/>
        </w:r>
        <w:r w:rsidR="00DF1AA7">
          <w:rPr>
            <w:rFonts w:ascii="Times New Roman" w:hAnsi="Times New Roman"/>
            <w:sz w:val="30"/>
            <w:szCs w:val="30"/>
          </w:rPr>
          <w:t>5</w:t>
        </w:r>
        <w:r>
          <w:rPr>
            <w:rFonts w:ascii="Times New Roman" w:hAnsi="Times New Roman"/>
            <w:sz w:val="30"/>
            <w:szCs w:val="30"/>
          </w:rPr>
          <w:fldChar w:fldCharType="end"/>
        </w:r>
      </w:hyperlink>
    </w:p>
    <w:p w:rsidR="002B653A" w:rsidRDefault="00182780">
      <w:pPr>
        <w:pStyle w:val="20"/>
        <w:spacing w:line="336" w:lineRule="auto"/>
        <w:ind w:firstLineChars="100" w:firstLine="301"/>
        <w:rPr>
          <w:rFonts w:ascii="Times New Roman" w:eastAsiaTheme="minorEastAsia" w:hAnsi="Times New Roman"/>
          <w:b w:val="0"/>
          <w:bCs w:val="0"/>
          <w:kern w:val="2"/>
        </w:rPr>
      </w:pPr>
      <w:hyperlink w:anchor="_Toc90415717" w:history="1">
        <w:r w:rsidR="00DF1AA7">
          <w:rPr>
            <w:rStyle w:val="ab"/>
            <w:rFonts w:ascii="Times New Roman" w:eastAsia="黑体" w:hAnsi="Times New Roman"/>
            <w:b w:val="0"/>
            <w:bCs w:val="0"/>
          </w:rPr>
          <w:t>第二节</w:t>
        </w:r>
        <w:r w:rsidR="00DF1AA7">
          <w:rPr>
            <w:rStyle w:val="ab"/>
            <w:rFonts w:ascii="Times New Roman" w:eastAsia="黑体" w:hAnsi="Times New Roman"/>
            <w:b w:val="0"/>
            <w:bCs w:val="0"/>
          </w:rPr>
          <w:t xml:space="preserve">  </w:t>
        </w:r>
        <w:r w:rsidR="00DF1AA7">
          <w:rPr>
            <w:rStyle w:val="ab"/>
            <w:rFonts w:ascii="Times New Roman" w:eastAsia="黑体" w:hAnsi="Times New Roman"/>
            <w:b w:val="0"/>
            <w:bCs w:val="0"/>
          </w:rPr>
          <w:t>现有基础</w:t>
        </w:r>
        <w:r w:rsidR="00DF1AA7">
          <w:rPr>
            <w:rFonts w:ascii="Times New Roman" w:hAnsi="Times New Roman"/>
            <w:b w:val="0"/>
            <w:bCs w:val="0"/>
          </w:rPr>
          <w:tab/>
        </w:r>
        <w:r>
          <w:rPr>
            <w:rFonts w:ascii="Times New Roman" w:hAnsi="Times New Roman"/>
            <w:b w:val="0"/>
            <w:bCs w:val="0"/>
          </w:rPr>
          <w:fldChar w:fldCharType="begin"/>
        </w:r>
        <w:r w:rsidR="00DF1AA7">
          <w:rPr>
            <w:rFonts w:ascii="Times New Roman" w:hAnsi="Times New Roman"/>
            <w:b w:val="0"/>
            <w:bCs w:val="0"/>
          </w:rPr>
          <w:instrText xml:space="preserve"> PAGEREF _Toc90415717 \h </w:instrText>
        </w:r>
        <w:r>
          <w:rPr>
            <w:rFonts w:ascii="Times New Roman" w:hAnsi="Times New Roman"/>
            <w:b w:val="0"/>
            <w:bCs w:val="0"/>
          </w:rPr>
        </w:r>
        <w:r>
          <w:rPr>
            <w:rFonts w:ascii="Times New Roman" w:hAnsi="Times New Roman"/>
            <w:b w:val="0"/>
            <w:bCs w:val="0"/>
          </w:rPr>
          <w:fldChar w:fldCharType="separate"/>
        </w:r>
        <w:r w:rsidR="00DF1AA7">
          <w:rPr>
            <w:rFonts w:ascii="Times New Roman" w:hAnsi="Times New Roman"/>
            <w:b w:val="0"/>
            <w:bCs w:val="0"/>
          </w:rPr>
          <w:t>6</w:t>
        </w:r>
        <w:r>
          <w:rPr>
            <w:rFonts w:ascii="Times New Roman" w:hAnsi="Times New Roman"/>
            <w:b w:val="0"/>
            <w:bCs w:val="0"/>
          </w:rPr>
          <w:fldChar w:fldCharType="end"/>
        </w:r>
      </w:hyperlink>
    </w:p>
    <w:p w:rsidR="002B653A" w:rsidRDefault="00182780">
      <w:pPr>
        <w:pStyle w:val="30"/>
        <w:tabs>
          <w:tab w:val="right" w:leader="dot" w:pos="8296"/>
        </w:tabs>
        <w:adjustRightInd w:val="0"/>
        <w:snapToGrid w:val="0"/>
        <w:spacing w:after="0" w:line="336" w:lineRule="auto"/>
        <w:ind w:firstLineChars="200" w:firstLine="440"/>
        <w:rPr>
          <w:rFonts w:ascii="Times New Roman" w:eastAsiaTheme="minorEastAsia" w:hAnsi="Times New Roman"/>
          <w:kern w:val="2"/>
          <w:sz w:val="30"/>
          <w:szCs w:val="30"/>
        </w:rPr>
      </w:pPr>
      <w:hyperlink w:anchor="_Toc90415718" w:history="1">
        <w:r w:rsidR="00DF1AA7">
          <w:rPr>
            <w:rStyle w:val="ab"/>
            <w:rFonts w:ascii="Times New Roman" w:eastAsia="仿宋" w:hAnsi="Times New Roman"/>
            <w:sz w:val="30"/>
            <w:szCs w:val="30"/>
          </w:rPr>
          <w:t>一、制度框架体系基本建成</w:t>
        </w:r>
        <w:r w:rsidR="00DF1AA7">
          <w:rPr>
            <w:rFonts w:ascii="Times New Roman" w:hAnsi="Times New Roman"/>
            <w:sz w:val="30"/>
            <w:szCs w:val="30"/>
          </w:rPr>
          <w:tab/>
        </w:r>
        <w:r>
          <w:rPr>
            <w:rFonts w:ascii="Times New Roman" w:hAnsi="Times New Roman"/>
            <w:sz w:val="30"/>
            <w:szCs w:val="30"/>
          </w:rPr>
          <w:fldChar w:fldCharType="begin"/>
        </w:r>
        <w:r w:rsidR="00DF1AA7">
          <w:rPr>
            <w:rFonts w:ascii="Times New Roman" w:hAnsi="Times New Roman"/>
            <w:sz w:val="30"/>
            <w:szCs w:val="30"/>
          </w:rPr>
          <w:instrText xml:space="preserve"> PAGEREF _Toc90415718 \h </w:instrText>
        </w:r>
        <w:r>
          <w:rPr>
            <w:rFonts w:ascii="Times New Roman" w:hAnsi="Times New Roman"/>
            <w:sz w:val="30"/>
            <w:szCs w:val="30"/>
          </w:rPr>
        </w:r>
        <w:r>
          <w:rPr>
            <w:rFonts w:ascii="Times New Roman" w:hAnsi="Times New Roman"/>
            <w:sz w:val="30"/>
            <w:szCs w:val="30"/>
          </w:rPr>
          <w:fldChar w:fldCharType="separate"/>
        </w:r>
        <w:r w:rsidR="00DF1AA7">
          <w:rPr>
            <w:rFonts w:ascii="Times New Roman" w:hAnsi="Times New Roman"/>
            <w:sz w:val="30"/>
            <w:szCs w:val="30"/>
          </w:rPr>
          <w:t>6</w:t>
        </w:r>
        <w:r>
          <w:rPr>
            <w:rFonts w:ascii="Times New Roman" w:hAnsi="Times New Roman"/>
            <w:sz w:val="30"/>
            <w:szCs w:val="30"/>
          </w:rPr>
          <w:fldChar w:fldCharType="end"/>
        </w:r>
      </w:hyperlink>
    </w:p>
    <w:p w:rsidR="002B653A" w:rsidRDefault="00182780">
      <w:pPr>
        <w:pStyle w:val="30"/>
        <w:tabs>
          <w:tab w:val="right" w:leader="dot" w:pos="8296"/>
        </w:tabs>
        <w:adjustRightInd w:val="0"/>
        <w:snapToGrid w:val="0"/>
        <w:spacing w:after="0" w:line="336" w:lineRule="auto"/>
        <w:ind w:firstLineChars="200" w:firstLine="440"/>
        <w:rPr>
          <w:rFonts w:ascii="Times New Roman" w:eastAsiaTheme="minorEastAsia" w:hAnsi="Times New Roman"/>
          <w:kern w:val="2"/>
          <w:sz w:val="30"/>
          <w:szCs w:val="30"/>
        </w:rPr>
      </w:pPr>
      <w:hyperlink w:anchor="_Toc90415719" w:history="1">
        <w:r w:rsidR="00DF1AA7">
          <w:rPr>
            <w:rStyle w:val="ab"/>
            <w:rFonts w:ascii="Times New Roman" w:eastAsia="仿宋" w:hAnsi="Times New Roman"/>
            <w:sz w:val="30"/>
            <w:szCs w:val="30"/>
          </w:rPr>
          <w:t>二、多措并举全面治理深入推进</w:t>
        </w:r>
        <w:r w:rsidR="00DF1AA7">
          <w:rPr>
            <w:rFonts w:ascii="Times New Roman" w:hAnsi="Times New Roman"/>
            <w:sz w:val="30"/>
            <w:szCs w:val="30"/>
          </w:rPr>
          <w:tab/>
        </w:r>
        <w:r>
          <w:rPr>
            <w:rFonts w:ascii="Times New Roman" w:hAnsi="Times New Roman"/>
            <w:sz w:val="30"/>
            <w:szCs w:val="30"/>
          </w:rPr>
          <w:fldChar w:fldCharType="begin"/>
        </w:r>
        <w:r w:rsidR="00DF1AA7">
          <w:rPr>
            <w:rFonts w:ascii="Times New Roman" w:hAnsi="Times New Roman"/>
            <w:sz w:val="30"/>
            <w:szCs w:val="30"/>
          </w:rPr>
          <w:instrText xml:space="preserve"> PAGEREF _Toc90415719 \h </w:instrText>
        </w:r>
        <w:r>
          <w:rPr>
            <w:rFonts w:ascii="Times New Roman" w:hAnsi="Times New Roman"/>
            <w:sz w:val="30"/>
            <w:szCs w:val="30"/>
          </w:rPr>
        </w:r>
        <w:r>
          <w:rPr>
            <w:rFonts w:ascii="Times New Roman" w:hAnsi="Times New Roman"/>
            <w:sz w:val="30"/>
            <w:szCs w:val="30"/>
          </w:rPr>
          <w:fldChar w:fldCharType="separate"/>
        </w:r>
        <w:r w:rsidR="00DF1AA7">
          <w:rPr>
            <w:rFonts w:ascii="Times New Roman" w:hAnsi="Times New Roman"/>
            <w:sz w:val="30"/>
            <w:szCs w:val="30"/>
          </w:rPr>
          <w:t>7</w:t>
        </w:r>
        <w:r>
          <w:rPr>
            <w:rFonts w:ascii="Times New Roman" w:hAnsi="Times New Roman"/>
            <w:sz w:val="30"/>
            <w:szCs w:val="30"/>
          </w:rPr>
          <w:fldChar w:fldCharType="end"/>
        </w:r>
      </w:hyperlink>
    </w:p>
    <w:p w:rsidR="002B653A" w:rsidRDefault="00182780">
      <w:pPr>
        <w:pStyle w:val="30"/>
        <w:tabs>
          <w:tab w:val="right" w:leader="dot" w:pos="8296"/>
        </w:tabs>
        <w:adjustRightInd w:val="0"/>
        <w:snapToGrid w:val="0"/>
        <w:spacing w:after="0" w:line="336" w:lineRule="auto"/>
        <w:ind w:firstLineChars="200" w:firstLine="440"/>
        <w:rPr>
          <w:rFonts w:ascii="Times New Roman" w:eastAsiaTheme="minorEastAsia" w:hAnsi="Times New Roman"/>
          <w:kern w:val="2"/>
          <w:sz w:val="30"/>
          <w:szCs w:val="30"/>
        </w:rPr>
      </w:pPr>
      <w:hyperlink w:anchor="_Toc90415720" w:history="1">
        <w:r w:rsidR="00DF1AA7">
          <w:rPr>
            <w:rStyle w:val="ab"/>
            <w:rFonts w:ascii="Times New Roman" w:eastAsia="仿宋" w:hAnsi="Times New Roman"/>
            <w:sz w:val="30"/>
            <w:szCs w:val="30"/>
          </w:rPr>
          <w:t>三、经济社会发展改革成效显著</w:t>
        </w:r>
        <w:r w:rsidR="00DF1AA7">
          <w:rPr>
            <w:rFonts w:ascii="Times New Roman" w:hAnsi="Times New Roman"/>
            <w:sz w:val="30"/>
            <w:szCs w:val="30"/>
          </w:rPr>
          <w:tab/>
        </w:r>
        <w:r>
          <w:rPr>
            <w:rFonts w:ascii="Times New Roman" w:hAnsi="Times New Roman"/>
            <w:sz w:val="30"/>
            <w:szCs w:val="30"/>
          </w:rPr>
          <w:fldChar w:fldCharType="begin"/>
        </w:r>
        <w:r w:rsidR="00DF1AA7">
          <w:rPr>
            <w:rFonts w:ascii="Times New Roman" w:hAnsi="Times New Roman"/>
            <w:sz w:val="30"/>
            <w:szCs w:val="30"/>
          </w:rPr>
          <w:instrText xml:space="preserve"> PAGEREF _Toc90415720 \h </w:instrText>
        </w:r>
        <w:r>
          <w:rPr>
            <w:rFonts w:ascii="Times New Roman" w:hAnsi="Times New Roman"/>
            <w:sz w:val="30"/>
            <w:szCs w:val="30"/>
          </w:rPr>
        </w:r>
        <w:r>
          <w:rPr>
            <w:rFonts w:ascii="Times New Roman" w:hAnsi="Times New Roman"/>
            <w:sz w:val="30"/>
            <w:szCs w:val="30"/>
          </w:rPr>
          <w:fldChar w:fldCharType="separate"/>
        </w:r>
        <w:r w:rsidR="00DF1AA7">
          <w:rPr>
            <w:rFonts w:ascii="Times New Roman" w:hAnsi="Times New Roman"/>
            <w:sz w:val="30"/>
            <w:szCs w:val="30"/>
          </w:rPr>
          <w:t>7</w:t>
        </w:r>
        <w:r>
          <w:rPr>
            <w:rFonts w:ascii="Times New Roman" w:hAnsi="Times New Roman"/>
            <w:sz w:val="30"/>
            <w:szCs w:val="30"/>
          </w:rPr>
          <w:fldChar w:fldCharType="end"/>
        </w:r>
      </w:hyperlink>
    </w:p>
    <w:p w:rsidR="002B653A" w:rsidRDefault="00182780">
      <w:pPr>
        <w:pStyle w:val="30"/>
        <w:tabs>
          <w:tab w:val="right" w:leader="dot" w:pos="8296"/>
        </w:tabs>
        <w:adjustRightInd w:val="0"/>
        <w:snapToGrid w:val="0"/>
        <w:spacing w:after="0" w:line="336" w:lineRule="auto"/>
        <w:ind w:firstLineChars="200" w:firstLine="440"/>
        <w:rPr>
          <w:rFonts w:ascii="Times New Roman" w:eastAsiaTheme="minorEastAsia" w:hAnsi="Times New Roman"/>
          <w:kern w:val="2"/>
          <w:sz w:val="30"/>
          <w:szCs w:val="30"/>
        </w:rPr>
      </w:pPr>
      <w:hyperlink w:anchor="_Toc90415721" w:history="1">
        <w:r w:rsidR="00DF1AA7">
          <w:rPr>
            <w:rStyle w:val="ab"/>
            <w:rFonts w:ascii="Times New Roman" w:eastAsia="仿宋" w:hAnsi="Times New Roman"/>
            <w:sz w:val="30"/>
            <w:szCs w:val="30"/>
          </w:rPr>
          <w:t>四、因地制宜探索形成模式</w:t>
        </w:r>
        <w:r w:rsidR="00DF1AA7">
          <w:rPr>
            <w:rFonts w:ascii="Times New Roman" w:hAnsi="Times New Roman"/>
            <w:sz w:val="30"/>
            <w:szCs w:val="30"/>
          </w:rPr>
          <w:tab/>
        </w:r>
        <w:r>
          <w:rPr>
            <w:rFonts w:ascii="Times New Roman" w:hAnsi="Times New Roman"/>
            <w:sz w:val="30"/>
            <w:szCs w:val="30"/>
          </w:rPr>
          <w:fldChar w:fldCharType="begin"/>
        </w:r>
        <w:r w:rsidR="00DF1AA7">
          <w:rPr>
            <w:rFonts w:ascii="Times New Roman" w:hAnsi="Times New Roman"/>
            <w:sz w:val="30"/>
            <w:szCs w:val="30"/>
          </w:rPr>
          <w:instrText xml:space="preserve"> PAGEREF _Toc90415721 \h </w:instrText>
        </w:r>
        <w:r>
          <w:rPr>
            <w:rFonts w:ascii="Times New Roman" w:hAnsi="Times New Roman"/>
            <w:sz w:val="30"/>
            <w:szCs w:val="30"/>
          </w:rPr>
        </w:r>
        <w:r>
          <w:rPr>
            <w:rFonts w:ascii="Times New Roman" w:hAnsi="Times New Roman"/>
            <w:sz w:val="30"/>
            <w:szCs w:val="30"/>
          </w:rPr>
          <w:fldChar w:fldCharType="separate"/>
        </w:r>
        <w:r w:rsidR="00DF1AA7">
          <w:rPr>
            <w:rFonts w:ascii="Times New Roman" w:hAnsi="Times New Roman"/>
            <w:sz w:val="30"/>
            <w:szCs w:val="30"/>
          </w:rPr>
          <w:t>8</w:t>
        </w:r>
        <w:r>
          <w:rPr>
            <w:rFonts w:ascii="Times New Roman" w:hAnsi="Times New Roman"/>
            <w:sz w:val="30"/>
            <w:szCs w:val="30"/>
          </w:rPr>
          <w:fldChar w:fldCharType="end"/>
        </w:r>
      </w:hyperlink>
    </w:p>
    <w:p w:rsidR="002B653A" w:rsidRDefault="00182780">
      <w:pPr>
        <w:pStyle w:val="30"/>
        <w:tabs>
          <w:tab w:val="right" w:leader="dot" w:pos="8296"/>
        </w:tabs>
        <w:adjustRightInd w:val="0"/>
        <w:snapToGrid w:val="0"/>
        <w:spacing w:after="0" w:line="336" w:lineRule="auto"/>
        <w:ind w:firstLineChars="200" w:firstLine="440"/>
        <w:rPr>
          <w:rFonts w:ascii="Times New Roman" w:eastAsiaTheme="minorEastAsia" w:hAnsi="Times New Roman"/>
          <w:kern w:val="2"/>
          <w:sz w:val="30"/>
          <w:szCs w:val="30"/>
        </w:rPr>
      </w:pPr>
      <w:hyperlink w:anchor="_Toc90415722" w:history="1">
        <w:r w:rsidR="00DF1AA7">
          <w:rPr>
            <w:rStyle w:val="ab"/>
            <w:rFonts w:ascii="Times New Roman" w:eastAsia="仿宋" w:hAnsi="Times New Roman"/>
            <w:sz w:val="30"/>
            <w:szCs w:val="30"/>
          </w:rPr>
          <w:t>五、毗邻区域全面协同推进</w:t>
        </w:r>
        <w:r w:rsidR="00DF1AA7">
          <w:rPr>
            <w:rFonts w:ascii="Times New Roman" w:hAnsi="Times New Roman"/>
            <w:sz w:val="30"/>
            <w:szCs w:val="30"/>
          </w:rPr>
          <w:tab/>
        </w:r>
        <w:r>
          <w:rPr>
            <w:rFonts w:ascii="Times New Roman" w:hAnsi="Times New Roman"/>
            <w:sz w:val="30"/>
            <w:szCs w:val="30"/>
          </w:rPr>
          <w:fldChar w:fldCharType="begin"/>
        </w:r>
        <w:r w:rsidR="00DF1AA7">
          <w:rPr>
            <w:rFonts w:ascii="Times New Roman" w:hAnsi="Times New Roman"/>
            <w:sz w:val="30"/>
            <w:szCs w:val="30"/>
          </w:rPr>
          <w:instrText xml:space="preserve"> PAGEREF _Toc90415722 \h </w:instrText>
        </w:r>
        <w:r>
          <w:rPr>
            <w:rFonts w:ascii="Times New Roman" w:hAnsi="Times New Roman"/>
            <w:sz w:val="30"/>
            <w:szCs w:val="30"/>
          </w:rPr>
        </w:r>
        <w:r>
          <w:rPr>
            <w:rFonts w:ascii="Times New Roman" w:hAnsi="Times New Roman"/>
            <w:sz w:val="30"/>
            <w:szCs w:val="30"/>
          </w:rPr>
          <w:fldChar w:fldCharType="separate"/>
        </w:r>
        <w:r w:rsidR="00DF1AA7">
          <w:rPr>
            <w:rFonts w:ascii="Times New Roman" w:hAnsi="Times New Roman"/>
            <w:sz w:val="30"/>
            <w:szCs w:val="30"/>
          </w:rPr>
          <w:t>9</w:t>
        </w:r>
        <w:r>
          <w:rPr>
            <w:rFonts w:ascii="Times New Roman" w:hAnsi="Times New Roman"/>
            <w:sz w:val="30"/>
            <w:szCs w:val="30"/>
          </w:rPr>
          <w:fldChar w:fldCharType="end"/>
        </w:r>
      </w:hyperlink>
    </w:p>
    <w:p w:rsidR="002B653A" w:rsidRDefault="00182780">
      <w:pPr>
        <w:pStyle w:val="20"/>
        <w:spacing w:line="336" w:lineRule="auto"/>
        <w:ind w:firstLineChars="100" w:firstLine="301"/>
        <w:rPr>
          <w:rFonts w:ascii="Times New Roman" w:eastAsiaTheme="minorEastAsia" w:hAnsi="Times New Roman"/>
          <w:b w:val="0"/>
          <w:bCs w:val="0"/>
          <w:kern w:val="2"/>
        </w:rPr>
      </w:pPr>
      <w:hyperlink w:anchor="_Toc90415723" w:history="1">
        <w:r w:rsidR="00DF1AA7">
          <w:rPr>
            <w:rStyle w:val="ab"/>
            <w:rFonts w:ascii="Times New Roman" w:eastAsia="黑体" w:hAnsi="Times New Roman"/>
            <w:b w:val="0"/>
            <w:bCs w:val="0"/>
          </w:rPr>
          <w:t>第三节</w:t>
        </w:r>
        <w:r w:rsidR="00DF1AA7">
          <w:rPr>
            <w:rStyle w:val="ab"/>
            <w:rFonts w:ascii="Times New Roman" w:eastAsia="黑体" w:hAnsi="Times New Roman"/>
            <w:b w:val="0"/>
            <w:bCs w:val="0"/>
          </w:rPr>
          <w:t xml:space="preserve">  </w:t>
        </w:r>
        <w:r w:rsidR="00DF1AA7">
          <w:rPr>
            <w:rStyle w:val="ab"/>
            <w:rFonts w:ascii="Times New Roman" w:eastAsia="黑体" w:hAnsi="Times New Roman"/>
            <w:b w:val="0"/>
            <w:bCs w:val="0"/>
          </w:rPr>
          <w:t>治理趋势</w:t>
        </w:r>
        <w:r w:rsidR="00DF1AA7">
          <w:rPr>
            <w:rFonts w:ascii="Times New Roman" w:hAnsi="Times New Roman"/>
            <w:b w:val="0"/>
            <w:bCs w:val="0"/>
          </w:rPr>
          <w:tab/>
        </w:r>
        <w:r>
          <w:rPr>
            <w:rFonts w:ascii="Times New Roman" w:hAnsi="Times New Roman"/>
            <w:b w:val="0"/>
            <w:bCs w:val="0"/>
          </w:rPr>
          <w:fldChar w:fldCharType="begin"/>
        </w:r>
        <w:r w:rsidR="00DF1AA7">
          <w:rPr>
            <w:rFonts w:ascii="Times New Roman" w:hAnsi="Times New Roman"/>
            <w:b w:val="0"/>
            <w:bCs w:val="0"/>
          </w:rPr>
          <w:instrText xml:space="preserve"> PAGEREF _Toc90415723 \h </w:instrText>
        </w:r>
        <w:r>
          <w:rPr>
            <w:rFonts w:ascii="Times New Roman" w:hAnsi="Times New Roman"/>
            <w:b w:val="0"/>
            <w:bCs w:val="0"/>
          </w:rPr>
        </w:r>
        <w:r>
          <w:rPr>
            <w:rFonts w:ascii="Times New Roman" w:hAnsi="Times New Roman"/>
            <w:b w:val="0"/>
            <w:bCs w:val="0"/>
          </w:rPr>
          <w:fldChar w:fldCharType="separate"/>
        </w:r>
        <w:r w:rsidR="00DF1AA7">
          <w:rPr>
            <w:rFonts w:ascii="Times New Roman" w:hAnsi="Times New Roman"/>
            <w:b w:val="0"/>
            <w:bCs w:val="0"/>
          </w:rPr>
          <w:t>10</w:t>
        </w:r>
        <w:r>
          <w:rPr>
            <w:rFonts w:ascii="Times New Roman" w:hAnsi="Times New Roman"/>
            <w:b w:val="0"/>
            <w:bCs w:val="0"/>
          </w:rPr>
          <w:fldChar w:fldCharType="end"/>
        </w:r>
      </w:hyperlink>
    </w:p>
    <w:p w:rsidR="002B653A" w:rsidRDefault="00182780">
      <w:pPr>
        <w:pStyle w:val="30"/>
        <w:tabs>
          <w:tab w:val="right" w:leader="dot" w:pos="8296"/>
        </w:tabs>
        <w:adjustRightInd w:val="0"/>
        <w:snapToGrid w:val="0"/>
        <w:spacing w:after="0" w:line="336" w:lineRule="auto"/>
        <w:ind w:firstLineChars="200" w:firstLine="440"/>
        <w:rPr>
          <w:rFonts w:ascii="Times New Roman" w:eastAsiaTheme="minorEastAsia" w:hAnsi="Times New Roman"/>
          <w:kern w:val="2"/>
          <w:sz w:val="30"/>
          <w:szCs w:val="30"/>
        </w:rPr>
      </w:pPr>
      <w:hyperlink w:anchor="_Toc90415724" w:history="1">
        <w:r w:rsidR="00DF1AA7">
          <w:rPr>
            <w:rStyle w:val="ab"/>
            <w:rFonts w:ascii="Times New Roman" w:eastAsia="仿宋" w:hAnsi="Times New Roman"/>
            <w:sz w:val="30"/>
            <w:szCs w:val="30"/>
          </w:rPr>
          <w:t>一、中国特色是鲜明特征</w:t>
        </w:r>
        <w:r w:rsidR="00DF1AA7">
          <w:rPr>
            <w:rFonts w:ascii="Times New Roman" w:hAnsi="Times New Roman"/>
            <w:sz w:val="30"/>
            <w:szCs w:val="30"/>
          </w:rPr>
          <w:tab/>
        </w:r>
        <w:r>
          <w:rPr>
            <w:rFonts w:ascii="Times New Roman" w:hAnsi="Times New Roman"/>
            <w:sz w:val="30"/>
            <w:szCs w:val="30"/>
          </w:rPr>
          <w:fldChar w:fldCharType="begin"/>
        </w:r>
        <w:r w:rsidR="00DF1AA7">
          <w:rPr>
            <w:rFonts w:ascii="Times New Roman" w:hAnsi="Times New Roman"/>
            <w:sz w:val="30"/>
            <w:szCs w:val="30"/>
          </w:rPr>
          <w:instrText xml:space="preserve"> PAGEREF _Toc90415724 \h </w:instrText>
        </w:r>
        <w:r>
          <w:rPr>
            <w:rFonts w:ascii="Times New Roman" w:hAnsi="Times New Roman"/>
            <w:sz w:val="30"/>
            <w:szCs w:val="30"/>
          </w:rPr>
        </w:r>
        <w:r>
          <w:rPr>
            <w:rFonts w:ascii="Times New Roman" w:hAnsi="Times New Roman"/>
            <w:sz w:val="30"/>
            <w:szCs w:val="30"/>
          </w:rPr>
          <w:fldChar w:fldCharType="separate"/>
        </w:r>
        <w:r w:rsidR="00DF1AA7">
          <w:rPr>
            <w:rFonts w:ascii="Times New Roman" w:hAnsi="Times New Roman"/>
            <w:sz w:val="30"/>
            <w:szCs w:val="30"/>
          </w:rPr>
          <w:t>10</w:t>
        </w:r>
        <w:r>
          <w:rPr>
            <w:rFonts w:ascii="Times New Roman" w:hAnsi="Times New Roman"/>
            <w:sz w:val="30"/>
            <w:szCs w:val="30"/>
          </w:rPr>
          <w:fldChar w:fldCharType="end"/>
        </w:r>
      </w:hyperlink>
    </w:p>
    <w:p w:rsidR="002B653A" w:rsidRDefault="00182780">
      <w:pPr>
        <w:pStyle w:val="30"/>
        <w:tabs>
          <w:tab w:val="right" w:leader="dot" w:pos="8296"/>
        </w:tabs>
        <w:adjustRightInd w:val="0"/>
        <w:snapToGrid w:val="0"/>
        <w:spacing w:after="0" w:line="336" w:lineRule="auto"/>
        <w:ind w:firstLineChars="200" w:firstLine="440"/>
        <w:rPr>
          <w:rFonts w:ascii="Times New Roman" w:eastAsiaTheme="minorEastAsia" w:hAnsi="Times New Roman"/>
          <w:kern w:val="2"/>
          <w:sz w:val="30"/>
          <w:szCs w:val="30"/>
        </w:rPr>
      </w:pPr>
      <w:hyperlink w:anchor="_Toc90415725" w:history="1">
        <w:r w:rsidR="00DF1AA7">
          <w:rPr>
            <w:rStyle w:val="ab"/>
            <w:rFonts w:ascii="Times New Roman" w:eastAsia="仿宋" w:hAnsi="Times New Roman"/>
            <w:sz w:val="30"/>
            <w:szCs w:val="30"/>
          </w:rPr>
          <w:t>二、技术驱动是强大动力</w:t>
        </w:r>
        <w:r w:rsidR="00DF1AA7">
          <w:rPr>
            <w:rFonts w:ascii="Times New Roman" w:hAnsi="Times New Roman"/>
            <w:sz w:val="30"/>
            <w:szCs w:val="30"/>
          </w:rPr>
          <w:tab/>
        </w:r>
        <w:r>
          <w:rPr>
            <w:rFonts w:ascii="Times New Roman" w:hAnsi="Times New Roman"/>
            <w:sz w:val="30"/>
            <w:szCs w:val="30"/>
          </w:rPr>
          <w:fldChar w:fldCharType="begin"/>
        </w:r>
        <w:r w:rsidR="00DF1AA7">
          <w:rPr>
            <w:rFonts w:ascii="Times New Roman" w:hAnsi="Times New Roman"/>
            <w:sz w:val="30"/>
            <w:szCs w:val="30"/>
          </w:rPr>
          <w:instrText xml:space="preserve"> PAGEREF _Toc90415725 \h </w:instrText>
        </w:r>
        <w:r>
          <w:rPr>
            <w:rFonts w:ascii="Times New Roman" w:hAnsi="Times New Roman"/>
            <w:sz w:val="30"/>
            <w:szCs w:val="30"/>
          </w:rPr>
        </w:r>
        <w:r>
          <w:rPr>
            <w:rFonts w:ascii="Times New Roman" w:hAnsi="Times New Roman"/>
            <w:sz w:val="30"/>
            <w:szCs w:val="30"/>
          </w:rPr>
          <w:fldChar w:fldCharType="separate"/>
        </w:r>
        <w:r w:rsidR="00DF1AA7">
          <w:rPr>
            <w:rFonts w:ascii="Times New Roman" w:hAnsi="Times New Roman"/>
            <w:sz w:val="30"/>
            <w:szCs w:val="30"/>
          </w:rPr>
          <w:t>10</w:t>
        </w:r>
        <w:r>
          <w:rPr>
            <w:rFonts w:ascii="Times New Roman" w:hAnsi="Times New Roman"/>
            <w:sz w:val="30"/>
            <w:szCs w:val="30"/>
          </w:rPr>
          <w:fldChar w:fldCharType="end"/>
        </w:r>
      </w:hyperlink>
    </w:p>
    <w:p w:rsidR="002B653A" w:rsidRDefault="00182780">
      <w:pPr>
        <w:pStyle w:val="30"/>
        <w:tabs>
          <w:tab w:val="right" w:leader="dot" w:pos="8296"/>
        </w:tabs>
        <w:adjustRightInd w:val="0"/>
        <w:snapToGrid w:val="0"/>
        <w:spacing w:after="0" w:line="336" w:lineRule="auto"/>
        <w:ind w:firstLineChars="200" w:firstLine="440"/>
        <w:rPr>
          <w:rFonts w:ascii="Times New Roman" w:eastAsiaTheme="minorEastAsia" w:hAnsi="Times New Roman"/>
          <w:kern w:val="2"/>
          <w:sz w:val="30"/>
          <w:szCs w:val="30"/>
        </w:rPr>
      </w:pPr>
      <w:hyperlink w:anchor="_Toc90415726" w:history="1">
        <w:r w:rsidR="00DF1AA7">
          <w:rPr>
            <w:rStyle w:val="ab"/>
            <w:rFonts w:ascii="Times New Roman" w:eastAsia="仿宋" w:hAnsi="Times New Roman"/>
            <w:sz w:val="30"/>
            <w:szCs w:val="30"/>
          </w:rPr>
          <w:t>三、多元共治是发展趋势</w:t>
        </w:r>
        <w:r w:rsidR="00DF1AA7">
          <w:rPr>
            <w:rFonts w:ascii="Times New Roman" w:hAnsi="Times New Roman"/>
            <w:sz w:val="30"/>
            <w:szCs w:val="30"/>
          </w:rPr>
          <w:tab/>
        </w:r>
        <w:r>
          <w:rPr>
            <w:rFonts w:ascii="Times New Roman" w:hAnsi="Times New Roman"/>
            <w:sz w:val="30"/>
            <w:szCs w:val="30"/>
          </w:rPr>
          <w:fldChar w:fldCharType="begin"/>
        </w:r>
        <w:r w:rsidR="00DF1AA7">
          <w:rPr>
            <w:rFonts w:ascii="Times New Roman" w:hAnsi="Times New Roman"/>
            <w:sz w:val="30"/>
            <w:szCs w:val="30"/>
          </w:rPr>
          <w:instrText xml:space="preserve"> PAGEREF _Toc90415726 \h </w:instrText>
        </w:r>
        <w:r>
          <w:rPr>
            <w:rFonts w:ascii="Times New Roman" w:hAnsi="Times New Roman"/>
            <w:sz w:val="30"/>
            <w:szCs w:val="30"/>
          </w:rPr>
        </w:r>
        <w:r>
          <w:rPr>
            <w:rFonts w:ascii="Times New Roman" w:hAnsi="Times New Roman"/>
            <w:sz w:val="30"/>
            <w:szCs w:val="30"/>
          </w:rPr>
          <w:fldChar w:fldCharType="separate"/>
        </w:r>
        <w:r w:rsidR="00DF1AA7">
          <w:rPr>
            <w:rFonts w:ascii="Times New Roman" w:hAnsi="Times New Roman"/>
            <w:sz w:val="30"/>
            <w:szCs w:val="30"/>
          </w:rPr>
          <w:t>11</w:t>
        </w:r>
        <w:r>
          <w:rPr>
            <w:rFonts w:ascii="Times New Roman" w:hAnsi="Times New Roman"/>
            <w:sz w:val="30"/>
            <w:szCs w:val="30"/>
          </w:rPr>
          <w:fldChar w:fldCharType="end"/>
        </w:r>
      </w:hyperlink>
    </w:p>
    <w:p w:rsidR="002B653A" w:rsidRDefault="00182780">
      <w:pPr>
        <w:pStyle w:val="30"/>
        <w:tabs>
          <w:tab w:val="right" w:leader="dot" w:pos="8296"/>
        </w:tabs>
        <w:adjustRightInd w:val="0"/>
        <w:snapToGrid w:val="0"/>
        <w:spacing w:after="0" w:line="336" w:lineRule="auto"/>
        <w:ind w:firstLineChars="200" w:firstLine="440"/>
        <w:rPr>
          <w:rFonts w:ascii="Times New Roman" w:eastAsiaTheme="minorEastAsia" w:hAnsi="Times New Roman"/>
          <w:kern w:val="2"/>
          <w:sz w:val="30"/>
          <w:szCs w:val="30"/>
        </w:rPr>
      </w:pPr>
      <w:hyperlink w:anchor="_Toc90415727" w:history="1">
        <w:r w:rsidR="00DF1AA7">
          <w:rPr>
            <w:rStyle w:val="ab"/>
            <w:rFonts w:ascii="Times New Roman" w:eastAsia="仿宋" w:hAnsi="Times New Roman"/>
            <w:sz w:val="30"/>
            <w:szCs w:val="30"/>
          </w:rPr>
          <w:t>四、民主法治是内在要求</w:t>
        </w:r>
        <w:r w:rsidR="00DF1AA7">
          <w:rPr>
            <w:rFonts w:ascii="Times New Roman" w:hAnsi="Times New Roman"/>
            <w:sz w:val="30"/>
            <w:szCs w:val="30"/>
          </w:rPr>
          <w:tab/>
        </w:r>
        <w:r>
          <w:rPr>
            <w:rFonts w:ascii="Times New Roman" w:hAnsi="Times New Roman"/>
            <w:sz w:val="30"/>
            <w:szCs w:val="30"/>
          </w:rPr>
          <w:fldChar w:fldCharType="begin"/>
        </w:r>
        <w:r w:rsidR="00DF1AA7">
          <w:rPr>
            <w:rFonts w:ascii="Times New Roman" w:hAnsi="Times New Roman"/>
            <w:sz w:val="30"/>
            <w:szCs w:val="30"/>
          </w:rPr>
          <w:instrText xml:space="preserve"> PAGEREF _Toc90415727 \h </w:instrText>
        </w:r>
        <w:r>
          <w:rPr>
            <w:rFonts w:ascii="Times New Roman" w:hAnsi="Times New Roman"/>
            <w:sz w:val="30"/>
            <w:szCs w:val="30"/>
          </w:rPr>
        </w:r>
        <w:r>
          <w:rPr>
            <w:rFonts w:ascii="Times New Roman" w:hAnsi="Times New Roman"/>
            <w:sz w:val="30"/>
            <w:szCs w:val="30"/>
          </w:rPr>
          <w:fldChar w:fldCharType="separate"/>
        </w:r>
        <w:r w:rsidR="00DF1AA7">
          <w:rPr>
            <w:rFonts w:ascii="Times New Roman" w:hAnsi="Times New Roman"/>
            <w:sz w:val="30"/>
            <w:szCs w:val="30"/>
          </w:rPr>
          <w:t>11</w:t>
        </w:r>
        <w:r>
          <w:rPr>
            <w:rFonts w:ascii="Times New Roman" w:hAnsi="Times New Roman"/>
            <w:sz w:val="30"/>
            <w:szCs w:val="30"/>
          </w:rPr>
          <w:fldChar w:fldCharType="end"/>
        </w:r>
      </w:hyperlink>
    </w:p>
    <w:p w:rsidR="002B653A" w:rsidRDefault="00182780">
      <w:pPr>
        <w:pStyle w:val="30"/>
        <w:tabs>
          <w:tab w:val="right" w:leader="dot" w:pos="8296"/>
        </w:tabs>
        <w:adjustRightInd w:val="0"/>
        <w:snapToGrid w:val="0"/>
        <w:spacing w:after="0" w:line="336" w:lineRule="auto"/>
        <w:ind w:firstLineChars="200" w:firstLine="440"/>
        <w:rPr>
          <w:rFonts w:ascii="Times New Roman" w:eastAsiaTheme="minorEastAsia" w:hAnsi="Times New Roman"/>
          <w:kern w:val="2"/>
          <w:sz w:val="30"/>
          <w:szCs w:val="30"/>
        </w:rPr>
      </w:pPr>
      <w:hyperlink w:anchor="_Toc90415728" w:history="1">
        <w:r w:rsidR="00DF1AA7">
          <w:rPr>
            <w:rStyle w:val="ab"/>
            <w:rFonts w:ascii="Times New Roman" w:eastAsia="仿宋" w:hAnsi="Times New Roman"/>
            <w:sz w:val="30"/>
            <w:szCs w:val="30"/>
          </w:rPr>
          <w:t>五、传统文化是有力支撑</w:t>
        </w:r>
        <w:r w:rsidR="00DF1AA7">
          <w:rPr>
            <w:rFonts w:ascii="Times New Roman" w:hAnsi="Times New Roman"/>
            <w:sz w:val="30"/>
            <w:szCs w:val="30"/>
          </w:rPr>
          <w:tab/>
        </w:r>
        <w:r>
          <w:rPr>
            <w:rFonts w:ascii="Times New Roman" w:hAnsi="Times New Roman"/>
            <w:sz w:val="30"/>
            <w:szCs w:val="30"/>
          </w:rPr>
          <w:fldChar w:fldCharType="begin"/>
        </w:r>
        <w:r w:rsidR="00DF1AA7">
          <w:rPr>
            <w:rFonts w:ascii="Times New Roman" w:hAnsi="Times New Roman"/>
            <w:sz w:val="30"/>
            <w:szCs w:val="30"/>
          </w:rPr>
          <w:instrText xml:space="preserve"> PAGEREF _Toc90415728 \h </w:instrText>
        </w:r>
        <w:r>
          <w:rPr>
            <w:rFonts w:ascii="Times New Roman" w:hAnsi="Times New Roman"/>
            <w:sz w:val="30"/>
            <w:szCs w:val="30"/>
          </w:rPr>
        </w:r>
        <w:r>
          <w:rPr>
            <w:rFonts w:ascii="Times New Roman" w:hAnsi="Times New Roman"/>
            <w:sz w:val="30"/>
            <w:szCs w:val="30"/>
          </w:rPr>
          <w:fldChar w:fldCharType="separate"/>
        </w:r>
        <w:r w:rsidR="00DF1AA7">
          <w:rPr>
            <w:rFonts w:ascii="Times New Roman" w:hAnsi="Times New Roman"/>
            <w:sz w:val="30"/>
            <w:szCs w:val="30"/>
          </w:rPr>
          <w:t>12</w:t>
        </w:r>
        <w:r>
          <w:rPr>
            <w:rFonts w:ascii="Times New Roman" w:hAnsi="Times New Roman"/>
            <w:sz w:val="30"/>
            <w:szCs w:val="30"/>
          </w:rPr>
          <w:fldChar w:fldCharType="end"/>
        </w:r>
      </w:hyperlink>
    </w:p>
    <w:p w:rsidR="002B653A" w:rsidRDefault="00182780">
      <w:pPr>
        <w:pStyle w:val="10"/>
        <w:tabs>
          <w:tab w:val="right" w:leader="dot" w:pos="8296"/>
        </w:tabs>
        <w:adjustRightInd w:val="0"/>
        <w:snapToGrid w:val="0"/>
        <w:spacing w:after="0" w:line="336" w:lineRule="auto"/>
        <w:rPr>
          <w:rFonts w:ascii="Times New Roman" w:eastAsiaTheme="minorEastAsia" w:hAnsi="Times New Roman"/>
          <w:b/>
          <w:bCs/>
          <w:kern w:val="2"/>
          <w:sz w:val="30"/>
          <w:szCs w:val="30"/>
        </w:rPr>
      </w:pPr>
      <w:hyperlink w:anchor="_Toc90415729" w:history="1">
        <w:r w:rsidR="00DF1AA7">
          <w:rPr>
            <w:rStyle w:val="ab"/>
            <w:rFonts w:ascii="Times New Roman" w:eastAsia="黑体" w:hAnsi="Times New Roman"/>
            <w:b/>
            <w:bCs/>
            <w:sz w:val="30"/>
            <w:szCs w:val="30"/>
          </w:rPr>
          <w:t>第二章</w:t>
        </w:r>
        <w:r w:rsidR="00DF1AA7">
          <w:rPr>
            <w:rStyle w:val="ab"/>
            <w:rFonts w:ascii="Times New Roman" w:eastAsia="黑体" w:hAnsi="Times New Roman"/>
            <w:b/>
            <w:bCs/>
            <w:sz w:val="30"/>
            <w:szCs w:val="30"/>
          </w:rPr>
          <w:t xml:space="preserve">  </w:t>
        </w:r>
        <w:r w:rsidR="00DF1AA7">
          <w:rPr>
            <w:rStyle w:val="ab"/>
            <w:rFonts w:ascii="Times New Roman" w:eastAsia="黑体" w:hAnsi="Times New Roman"/>
            <w:b/>
            <w:bCs/>
            <w:sz w:val="30"/>
            <w:szCs w:val="30"/>
          </w:rPr>
          <w:t>总体思路</w:t>
        </w:r>
        <w:r w:rsidR="00DF1AA7">
          <w:rPr>
            <w:rFonts w:ascii="Times New Roman" w:hAnsi="Times New Roman"/>
            <w:b/>
            <w:bCs/>
            <w:sz w:val="30"/>
            <w:szCs w:val="30"/>
          </w:rPr>
          <w:tab/>
        </w:r>
        <w:r>
          <w:rPr>
            <w:rFonts w:ascii="Times New Roman" w:hAnsi="Times New Roman"/>
            <w:b/>
            <w:bCs/>
            <w:sz w:val="30"/>
            <w:szCs w:val="30"/>
          </w:rPr>
          <w:fldChar w:fldCharType="begin"/>
        </w:r>
        <w:r w:rsidR="00DF1AA7">
          <w:rPr>
            <w:rFonts w:ascii="Times New Roman" w:hAnsi="Times New Roman"/>
            <w:b/>
            <w:bCs/>
            <w:sz w:val="30"/>
            <w:szCs w:val="30"/>
          </w:rPr>
          <w:instrText xml:space="preserve"> PAGEREF _Toc90415729 \h </w:instrText>
        </w:r>
        <w:r>
          <w:rPr>
            <w:rFonts w:ascii="Times New Roman" w:hAnsi="Times New Roman"/>
            <w:b/>
            <w:bCs/>
            <w:sz w:val="30"/>
            <w:szCs w:val="30"/>
          </w:rPr>
        </w:r>
        <w:r>
          <w:rPr>
            <w:rFonts w:ascii="Times New Roman" w:hAnsi="Times New Roman"/>
            <w:b/>
            <w:bCs/>
            <w:sz w:val="30"/>
            <w:szCs w:val="30"/>
          </w:rPr>
          <w:fldChar w:fldCharType="separate"/>
        </w:r>
        <w:r w:rsidR="00DF1AA7">
          <w:rPr>
            <w:rFonts w:ascii="Times New Roman" w:hAnsi="Times New Roman"/>
            <w:b/>
            <w:bCs/>
            <w:sz w:val="30"/>
            <w:szCs w:val="30"/>
          </w:rPr>
          <w:t>13</w:t>
        </w:r>
        <w:r>
          <w:rPr>
            <w:rFonts w:ascii="Times New Roman" w:hAnsi="Times New Roman"/>
            <w:b/>
            <w:bCs/>
            <w:sz w:val="30"/>
            <w:szCs w:val="30"/>
          </w:rPr>
          <w:fldChar w:fldCharType="end"/>
        </w:r>
      </w:hyperlink>
    </w:p>
    <w:p w:rsidR="002B653A" w:rsidRDefault="00182780">
      <w:pPr>
        <w:pStyle w:val="20"/>
        <w:spacing w:line="336" w:lineRule="auto"/>
        <w:ind w:firstLineChars="100" w:firstLine="301"/>
        <w:rPr>
          <w:rFonts w:ascii="Times New Roman" w:eastAsiaTheme="minorEastAsia" w:hAnsi="Times New Roman"/>
          <w:b w:val="0"/>
          <w:bCs w:val="0"/>
          <w:kern w:val="2"/>
        </w:rPr>
      </w:pPr>
      <w:hyperlink w:anchor="_Toc90415730" w:history="1">
        <w:r w:rsidR="00DF1AA7">
          <w:rPr>
            <w:rStyle w:val="ab"/>
            <w:rFonts w:ascii="Times New Roman" w:eastAsia="黑体" w:hAnsi="Times New Roman"/>
            <w:b w:val="0"/>
            <w:bCs w:val="0"/>
          </w:rPr>
          <w:t>第一节</w:t>
        </w:r>
        <w:r w:rsidR="00DF1AA7">
          <w:rPr>
            <w:rStyle w:val="ab"/>
            <w:rFonts w:ascii="Times New Roman" w:eastAsia="黑体" w:hAnsi="Times New Roman"/>
            <w:b w:val="0"/>
            <w:bCs w:val="0"/>
          </w:rPr>
          <w:t xml:space="preserve">  </w:t>
        </w:r>
        <w:r w:rsidR="00DF1AA7">
          <w:rPr>
            <w:rStyle w:val="ab"/>
            <w:rFonts w:ascii="Times New Roman" w:eastAsia="黑体" w:hAnsi="Times New Roman"/>
            <w:b w:val="0"/>
            <w:bCs w:val="0"/>
          </w:rPr>
          <w:t>指导思想</w:t>
        </w:r>
        <w:r w:rsidR="00DF1AA7">
          <w:rPr>
            <w:rFonts w:ascii="Times New Roman" w:hAnsi="Times New Roman"/>
            <w:b w:val="0"/>
            <w:bCs w:val="0"/>
          </w:rPr>
          <w:tab/>
        </w:r>
        <w:r>
          <w:rPr>
            <w:rFonts w:ascii="Times New Roman" w:hAnsi="Times New Roman"/>
            <w:b w:val="0"/>
            <w:bCs w:val="0"/>
          </w:rPr>
          <w:fldChar w:fldCharType="begin"/>
        </w:r>
        <w:r w:rsidR="00DF1AA7">
          <w:rPr>
            <w:rFonts w:ascii="Times New Roman" w:hAnsi="Times New Roman"/>
            <w:b w:val="0"/>
            <w:bCs w:val="0"/>
          </w:rPr>
          <w:instrText xml:space="preserve"> PAGEREF _Toc90415730 \h </w:instrText>
        </w:r>
        <w:r>
          <w:rPr>
            <w:rFonts w:ascii="Times New Roman" w:hAnsi="Times New Roman"/>
            <w:b w:val="0"/>
            <w:bCs w:val="0"/>
          </w:rPr>
        </w:r>
        <w:r>
          <w:rPr>
            <w:rFonts w:ascii="Times New Roman" w:hAnsi="Times New Roman"/>
            <w:b w:val="0"/>
            <w:bCs w:val="0"/>
          </w:rPr>
          <w:fldChar w:fldCharType="separate"/>
        </w:r>
        <w:r w:rsidR="00DF1AA7">
          <w:rPr>
            <w:rFonts w:ascii="Times New Roman" w:hAnsi="Times New Roman"/>
            <w:b w:val="0"/>
            <w:bCs w:val="0"/>
          </w:rPr>
          <w:t>13</w:t>
        </w:r>
        <w:r>
          <w:rPr>
            <w:rFonts w:ascii="Times New Roman" w:hAnsi="Times New Roman"/>
            <w:b w:val="0"/>
            <w:bCs w:val="0"/>
          </w:rPr>
          <w:fldChar w:fldCharType="end"/>
        </w:r>
      </w:hyperlink>
    </w:p>
    <w:p w:rsidR="002B653A" w:rsidRDefault="00182780">
      <w:pPr>
        <w:pStyle w:val="20"/>
        <w:spacing w:line="336" w:lineRule="auto"/>
        <w:ind w:firstLineChars="100" w:firstLine="301"/>
        <w:rPr>
          <w:rFonts w:ascii="Times New Roman" w:eastAsiaTheme="minorEastAsia" w:hAnsi="Times New Roman"/>
          <w:b w:val="0"/>
          <w:bCs w:val="0"/>
          <w:kern w:val="2"/>
        </w:rPr>
      </w:pPr>
      <w:hyperlink w:anchor="_Toc90415731" w:history="1">
        <w:r w:rsidR="00DF1AA7">
          <w:rPr>
            <w:rStyle w:val="ab"/>
            <w:rFonts w:ascii="Times New Roman" w:eastAsia="黑体" w:hAnsi="Times New Roman"/>
            <w:b w:val="0"/>
            <w:bCs w:val="0"/>
          </w:rPr>
          <w:t>第二节</w:t>
        </w:r>
        <w:r w:rsidR="00DF1AA7">
          <w:rPr>
            <w:rStyle w:val="ab"/>
            <w:rFonts w:ascii="Times New Roman" w:eastAsia="黑体" w:hAnsi="Times New Roman"/>
            <w:b w:val="0"/>
            <w:bCs w:val="0"/>
          </w:rPr>
          <w:t xml:space="preserve">  </w:t>
        </w:r>
        <w:r w:rsidR="00DF1AA7">
          <w:rPr>
            <w:rStyle w:val="ab"/>
            <w:rFonts w:ascii="Times New Roman" w:eastAsia="黑体" w:hAnsi="Times New Roman"/>
            <w:b w:val="0"/>
            <w:bCs w:val="0"/>
          </w:rPr>
          <w:t>基本原则</w:t>
        </w:r>
        <w:r w:rsidR="00DF1AA7">
          <w:rPr>
            <w:rFonts w:ascii="Times New Roman" w:hAnsi="Times New Roman"/>
            <w:b w:val="0"/>
            <w:bCs w:val="0"/>
          </w:rPr>
          <w:tab/>
        </w:r>
        <w:r>
          <w:rPr>
            <w:rFonts w:ascii="Times New Roman" w:hAnsi="Times New Roman"/>
            <w:b w:val="0"/>
            <w:bCs w:val="0"/>
          </w:rPr>
          <w:fldChar w:fldCharType="begin"/>
        </w:r>
        <w:r w:rsidR="00DF1AA7">
          <w:rPr>
            <w:rFonts w:ascii="Times New Roman" w:hAnsi="Times New Roman"/>
            <w:b w:val="0"/>
            <w:bCs w:val="0"/>
          </w:rPr>
          <w:instrText xml:space="preserve"> PAGEREF _Toc90415731 \h </w:instrText>
        </w:r>
        <w:r>
          <w:rPr>
            <w:rFonts w:ascii="Times New Roman" w:hAnsi="Times New Roman"/>
            <w:b w:val="0"/>
            <w:bCs w:val="0"/>
          </w:rPr>
        </w:r>
        <w:r>
          <w:rPr>
            <w:rFonts w:ascii="Times New Roman" w:hAnsi="Times New Roman"/>
            <w:b w:val="0"/>
            <w:bCs w:val="0"/>
          </w:rPr>
          <w:fldChar w:fldCharType="separate"/>
        </w:r>
        <w:r w:rsidR="00DF1AA7">
          <w:rPr>
            <w:rFonts w:ascii="Times New Roman" w:hAnsi="Times New Roman"/>
            <w:b w:val="0"/>
            <w:bCs w:val="0"/>
          </w:rPr>
          <w:t>14</w:t>
        </w:r>
        <w:r>
          <w:rPr>
            <w:rFonts w:ascii="Times New Roman" w:hAnsi="Times New Roman"/>
            <w:b w:val="0"/>
            <w:bCs w:val="0"/>
          </w:rPr>
          <w:fldChar w:fldCharType="end"/>
        </w:r>
      </w:hyperlink>
    </w:p>
    <w:p w:rsidR="002B653A" w:rsidRDefault="00182780">
      <w:pPr>
        <w:pStyle w:val="20"/>
        <w:spacing w:line="336" w:lineRule="auto"/>
        <w:ind w:firstLineChars="100" w:firstLine="301"/>
        <w:rPr>
          <w:rFonts w:ascii="Times New Roman" w:eastAsiaTheme="minorEastAsia" w:hAnsi="Times New Roman"/>
          <w:b w:val="0"/>
          <w:bCs w:val="0"/>
          <w:kern w:val="2"/>
        </w:rPr>
      </w:pPr>
      <w:hyperlink w:anchor="_Toc90415732" w:history="1">
        <w:r w:rsidR="00DF1AA7">
          <w:rPr>
            <w:rStyle w:val="ab"/>
            <w:rFonts w:ascii="Times New Roman" w:eastAsia="黑体" w:hAnsi="Times New Roman"/>
            <w:b w:val="0"/>
            <w:bCs w:val="0"/>
          </w:rPr>
          <w:t>第三节</w:t>
        </w:r>
        <w:r w:rsidR="00DF1AA7">
          <w:rPr>
            <w:rStyle w:val="ab"/>
            <w:rFonts w:ascii="Times New Roman" w:eastAsia="黑体" w:hAnsi="Times New Roman"/>
            <w:b w:val="0"/>
            <w:bCs w:val="0"/>
          </w:rPr>
          <w:t xml:space="preserve">  </w:t>
        </w:r>
        <w:r w:rsidR="00DF1AA7">
          <w:rPr>
            <w:rStyle w:val="ab"/>
            <w:rFonts w:ascii="Times New Roman" w:eastAsia="黑体" w:hAnsi="Times New Roman"/>
            <w:b w:val="0"/>
            <w:bCs w:val="0"/>
          </w:rPr>
          <w:t>目标任务</w:t>
        </w:r>
        <w:r w:rsidR="00DF1AA7">
          <w:rPr>
            <w:rFonts w:ascii="Times New Roman" w:hAnsi="Times New Roman"/>
            <w:b w:val="0"/>
            <w:bCs w:val="0"/>
          </w:rPr>
          <w:tab/>
        </w:r>
        <w:r>
          <w:rPr>
            <w:rFonts w:ascii="Times New Roman" w:hAnsi="Times New Roman"/>
            <w:b w:val="0"/>
            <w:bCs w:val="0"/>
          </w:rPr>
          <w:fldChar w:fldCharType="begin"/>
        </w:r>
        <w:r w:rsidR="00DF1AA7">
          <w:rPr>
            <w:rFonts w:ascii="Times New Roman" w:hAnsi="Times New Roman"/>
            <w:b w:val="0"/>
            <w:bCs w:val="0"/>
          </w:rPr>
          <w:instrText xml:space="preserve"> PAGEREF _Toc90415732 \h </w:instrText>
        </w:r>
        <w:r>
          <w:rPr>
            <w:rFonts w:ascii="Times New Roman" w:hAnsi="Times New Roman"/>
            <w:b w:val="0"/>
            <w:bCs w:val="0"/>
          </w:rPr>
        </w:r>
        <w:r>
          <w:rPr>
            <w:rFonts w:ascii="Times New Roman" w:hAnsi="Times New Roman"/>
            <w:b w:val="0"/>
            <w:bCs w:val="0"/>
          </w:rPr>
          <w:fldChar w:fldCharType="separate"/>
        </w:r>
        <w:r w:rsidR="00DF1AA7">
          <w:rPr>
            <w:rFonts w:ascii="Times New Roman" w:hAnsi="Times New Roman"/>
            <w:b w:val="0"/>
            <w:bCs w:val="0"/>
          </w:rPr>
          <w:t>14</w:t>
        </w:r>
        <w:r>
          <w:rPr>
            <w:rFonts w:ascii="Times New Roman" w:hAnsi="Times New Roman"/>
            <w:b w:val="0"/>
            <w:bCs w:val="0"/>
          </w:rPr>
          <w:fldChar w:fldCharType="end"/>
        </w:r>
      </w:hyperlink>
    </w:p>
    <w:p w:rsidR="002B653A" w:rsidRDefault="00182780">
      <w:pPr>
        <w:pStyle w:val="10"/>
        <w:tabs>
          <w:tab w:val="right" w:leader="dot" w:pos="8296"/>
        </w:tabs>
        <w:adjustRightInd w:val="0"/>
        <w:snapToGrid w:val="0"/>
        <w:spacing w:after="0" w:line="336" w:lineRule="auto"/>
        <w:rPr>
          <w:rFonts w:ascii="Times New Roman" w:eastAsiaTheme="minorEastAsia" w:hAnsi="Times New Roman"/>
          <w:b/>
          <w:bCs/>
          <w:kern w:val="2"/>
          <w:sz w:val="30"/>
          <w:szCs w:val="30"/>
        </w:rPr>
      </w:pPr>
      <w:hyperlink w:anchor="_Toc90415733" w:history="1">
        <w:r w:rsidR="00DF1AA7">
          <w:rPr>
            <w:rStyle w:val="ab"/>
            <w:rFonts w:ascii="Times New Roman" w:eastAsia="黑体" w:hAnsi="Times New Roman"/>
            <w:b/>
            <w:bCs/>
            <w:sz w:val="30"/>
            <w:szCs w:val="30"/>
          </w:rPr>
          <w:t>第三章</w:t>
        </w:r>
        <w:r w:rsidR="00DF1AA7">
          <w:rPr>
            <w:rStyle w:val="ab"/>
            <w:rFonts w:ascii="Times New Roman" w:eastAsia="黑体" w:hAnsi="Times New Roman"/>
            <w:b/>
            <w:bCs/>
            <w:sz w:val="30"/>
            <w:szCs w:val="30"/>
          </w:rPr>
          <w:t xml:space="preserve">  </w:t>
        </w:r>
        <w:r w:rsidR="00DF1AA7">
          <w:rPr>
            <w:rStyle w:val="ab"/>
            <w:rFonts w:ascii="Times New Roman" w:eastAsia="黑体" w:hAnsi="Times New Roman"/>
            <w:b/>
            <w:bCs/>
            <w:sz w:val="30"/>
            <w:szCs w:val="30"/>
          </w:rPr>
          <w:t>实施路径</w:t>
        </w:r>
        <w:r w:rsidR="00DF1AA7">
          <w:rPr>
            <w:rFonts w:ascii="Times New Roman" w:hAnsi="Times New Roman"/>
            <w:b/>
            <w:bCs/>
            <w:sz w:val="30"/>
            <w:szCs w:val="30"/>
          </w:rPr>
          <w:tab/>
        </w:r>
        <w:r>
          <w:rPr>
            <w:rFonts w:ascii="Times New Roman" w:hAnsi="Times New Roman"/>
            <w:b/>
            <w:bCs/>
            <w:sz w:val="30"/>
            <w:szCs w:val="30"/>
          </w:rPr>
          <w:fldChar w:fldCharType="begin"/>
        </w:r>
        <w:r w:rsidR="00DF1AA7">
          <w:rPr>
            <w:rFonts w:ascii="Times New Roman" w:hAnsi="Times New Roman"/>
            <w:b/>
            <w:bCs/>
            <w:sz w:val="30"/>
            <w:szCs w:val="30"/>
          </w:rPr>
          <w:instrText xml:space="preserve"> PAGEREF _Toc90415733 \h </w:instrText>
        </w:r>
        <w:r>
          <w:rPr>
            <w:rFonts w:ascii="Times New Roman" w:hAnsi="Times New Roman"/>
            <w:b/>
            <w:bCs/>
            <w:sz w:val="30"/>
            <w:szCs w:val="30"/>
          </w:rPr>
        </w:r>
        <w:r>
          <w:rPr>
            <w:rFonts w:ascii="Times New Roman" w:hAnsi="Times New Roman"/>
            <w:b/>
            <w:bCs/>
            <w:sz w:val="30"/>
            <w:szCs w:val="30"/>
          </w:rPr>
          <w:fldChar w:fldCharType="separate"/>
        </w:r>
        <w:r w:rsidR="00DF1AA7">
          <w:rPr>
            <w:rFonts w:ascii="Times New Roman" w:hAnsi="Times New Roman"/>
            <w:b/>
            <w:bCs/>
            <w:sz w:val="30"/>
            <w:szCs w:val="30"/>
          </w:rPr>
          <w:t>16</w:t>
        </w:r>
        <w:r>
          <w:rPr>
            <w:rFonts w:ascii="Times New Roman" w:hAnsi="Times New Roman"/>
            <w:b/>
            <w:bCs/>
            <w:sz w:val="30"/>
            <w:szCs w:val="30"/>
          </w:rPr>
          <w:fldChar w:fldCharType="end"/>
        </w:r>
      </w:hyperlink>
    </w:p>
    <w:p w:rsidR="002B653A" w:rsidRDefault="00182780">
      <w:pPr>
        <w:pStyle w:val="20"/>
        <w:spacing w:line="336" w:lineRule="auto"/>
        <w:ind w:firstLineChars="100" w:firstLine="301"/>
        <w:rPr>
          <w:rFonts w:ascii="Times New Roman" w:eastAsiaTheme="minorEastAsia" w:hAnsi="Times New Roman"/>
          <w:b w:val="0"/>
          <w:bCs w:val="0"/>
          <w:kern w:val="2"/>
        </w:rPr>
      </w:pPr>
      <w:hyperlink w:anchor="_Toc90415734" w:history="1">
        <w:r w:rsidR="00DF1AA7">
          <w:rPr>
            <w:rStyle w:val="ab"/>
            <w:rFonts w:ascii="Times New Roman" w:eastAsia="黑体" w:hAnsi="Times New Roman"/>
            <w:b w:val="0"/>
            <w:bCs w:val="0"/>
          </w:rPr>
          <w:t>第一节</w:t>
        </w:r>
        <w:r w:rsidR="00DF1AA7">
          <w:rPr>
            <w:rStyle w:val="ab"/>
            <w:rFonts w:ascii="Times New Roman" w:eastAsia="黑体" w:hAnsi="Times New Roman"/>
            <w:b w:val="0"/>
            <w:bCs w:val="0"/>
          </w:rPr>
          <w:t xml:space="preserve">  </w:t>
        </w:r>
        <w:r w:rsidR="00DF1AA7">
          <w:rPr>
            <w:rStyle w:val="ab"/>
            <w:rFonts w:ascii="Times New Roman" w:eastAsia="黑体" w:hAnsi="Times New Roman"/>
            <w:b w:val="0"/>
            <w:bCs w:val="0"/>
          </w:rPr>
          <w:t>城镇基层治理实施路径</w:t>
        </w:r>
        <w:r w:rsidR="00DF1AA7">
          <w:rPr>
            <w:rFonts w:ascii="Times New Roman" w:hAnsi="Times New Roman"/>
            <w:b w:val="0"/>
            <w:bCs w:val="0"/>
          </w:rPr>
          <w:tab/>
        </w:r>
        <w:r>
          <w:rPr>
            <w:rFonts w:ascii="Times New Roman" w:hAnsi="Times New Roman"/>
            <w:b w:val="0"/>
            <w:bCs w:val="0"/>
          </w:rPr>
          <w:fldChar w:fldCharType="begin"/>
        </w:r>
        <w:r w:rsidR="00DF1AA7">
          <w:rPr>
            <w:rFonts w:ascii="Times New Roman" w:hAnsi="Times New Roman"/>
            <w:b w:val="0"/>
            <w:bCs w:val="0"/>
          </w:rPr>
          <w:instrText xml:space="preserve"> PAGEREF _Toc90415734 \h </w:instrText>
        </w:r>
        <w:r>
          <w:rPr>
            <w:rFonts w:ascii="Times New Roman" w:hAnsi="Times New Roman"/>
            <w:b w:val="0"/>
            <w:bCs w:val="0"/>
          </w:rPr>
        </w:r>
        <w:r>
          <w:rPr>
            <w:rFonts w:ascii="Times New Roman" w:hAnsi="Times New Roman"/>
            <w:b w:val="0"/>
            <w:bCs w:val="0"/>
          </w:rPr>
          <w:fldChar w:fldCharType="separate"/>
        </w:r>
        <w:r w:rsidR="00DF1AA7">
          <w:rPr>
            <w:rFonts w:ascii="Times New Roman" w:hAnsi="Times New Roman"/>
            <w:b w:val="0"/>
            <w:bCs w:val="0"/>
          </w:rPr>
          <w:t>16</w:t>
        </w:r>
        <w:r>
          <w:rPr>
            <w:rFonts w:ascii="Times New Roman" w:hAnsi="Times New Roman"/>
            <w:b w:val="0"/>
            <w:bCs w:val="0"/>
          </w:rPr>
          <w:fldChar w:fldCharType="end"/>
        </w:r>
      </w:hyperlink>
    </w:p>
    <w:p w:rsidR="002B653A" w:rsidRDefault="00182780">
      <w:pPr>
        <w:pStyle w:val="30"/>
        <w:tabs>
          <w:tab w:val="right" w:leader="dot" w:pos="8296"/>
        </w:tabs>
        <w:adjustRightInd w:val="0"/>
        <w:snapToGrid w:val="0"/>
        <w:spacing w:after="0" w:line="336" w:lineRule="auto"/>
        <w:ind w:firstLineChars="200" w:firstLine="440"/>
        <w:rPr>
          <w:rFonts w:ascii="Times New Roman" w:eastAsiaTheme="minorEastAsia" w:hAnsi="Times New Roman"/>
          <w:kern w:val="2"/>
          <w:sz w:val="30"/>
          <w:szCs w:val="30"/>
        </w:rPr>
      </w:pPr>
      <w:hyperlink w:anchor="_Toc90415735" w:history="1">
        <w:r w:rsidR="00DF1AA7">
          <w:rPr>
            <w:rStyle w:val="ab"/>
            <w:rFonts w:ascii="Times New Roman" w:eastAsia="仿宋" w:hAnsi="Times New Roman"/>
            <w:sz w:val="30"/>
            <w:szCs w:val="30"/>
          </w:rPr>
          <w:t>一、服务设施集成化，健全综合型社区服务体系</w:t>
        </w:r>
        <w:r w:rsidR="00DF1AA7">
          <w:rPr>
            <w:rFonts w:ascii="Times New Roman" w:hAnsi="Times New Roman"/>
            <w:sz w:val="30"/>
            <w:szCs w:val="30"/>
          </w:rPr>
          <w:tab/>
        </w:r>
        <w:r>
          <w:rPr>
            <w:rFonts w:ascii="Times New Roman" w:hAnsi="Times New Roman"/>
            <w:sz w:val="30"/>
            <w:szCs w:val="30"/>
          </w:rPr>
          <w:fldChar w:fldCharType="begin"/>
        </w:r>
        <w:r w:rsidR="00DF1AA7">
          <w:rPr>
            <w:rFonts w:ascii="Times New Roman" w:hAnsi="Times New Roman"/>
            <w:sz w:val="30"/>
            <w:szCs w:val="30"/>
          </w:rPr>
          <w:instrText xml:space="preserve"> PAGEREF _Toc90415735 \h </w:instrText>
        </w:r>
        <w:r>
          <w:rPr>
            <w:rFonts w:ascii="Times New Roman" w:hAnsi="Times New Roman"/>
            <w:sz w:val="30"/>
            <w:szCs w:val="30"/>
          </w:rPr>
        </w:r>
        <w:r>
          <w:rPr>
            <w:rFonts w:ascii="Times New Roman" w:hAnsi="Times New Roman"/>
            <w:sz w:val="30"/>
            <w:szCs w:val="30"/>
          </w:rPr>
          <w:fldChar w:fldCharType="separate"/>
        </w:r>
        <w:r w:rsidR="00DF1AA7">
          <w:rPr>
            <w:rFonts w:ascii="Times New Roman" w:hAnsi="Times New Roman"/>
            <w:sz w:val="30"/>
            <w:szCs w:val="30"/>
          </w:rPr>
          <w:t>17</w:t>
        </w:r>
        <w:r>
          <w:rPr>
            <w:rFonts w:ascii="Times New Roman" w:hAnsi="Times New Roman"/>
            <w:sz w:val="30"/>
            <w:szCs w:val="30"/>
          </w:rPr>
          <w:fldChar w:fldCharType="end"/>
        </w:r>
      </w:hyperlink>
    </w:p>
    <w:p w:rsidR="002B653A" w:rsidRDefault="00182780">
      <w:pPr>
        <w:pStyle w:val="30"/>
        <w:tabs>
          <w:tab w:val="right" w:leader="dot" w:pos="8296"/>
        </w:tabs>
        <w:adjustRightInd w:val="0"/>
        <w:snapToGrid w:val="0"/>
        <w:spacing w:after="0" w:line="336" w:lineRule="auto"/>
        <w:ind w:firstLineChars="200" w:firstLine="440"/>
        <w:rPr>
          <w:rFonts w:ascii="Times New Roman" w:eastAsiaTheme="minorEastAsia" w:hAnsi="Times New Roman"/>
          <w:kern w:val="2"/>
          <w:sz w:val="30"/>
          <w:szCs w:val="30"/>
        </w:rPr>
      </w:pPr>
      <w:hyperlink w:anchor="_Toc90415736" w:history="1">
        <w:r w:rsidR="00DF1AA7">
          <w:rPr>
            <w:rStyle w:val="ab"/>
            <w:rFonts w:ascii="Times New Roman" w:eastAsia="仿宋" w:hAnsi="Times New Roman"/>
            <w:sz w:val="30"/>
            <w:szCs w:val="30"/>
          </w:rPr>
          <w:t>二、社区空间景观化，建设绿色文明特色型社区</w:t>
        </w:r>
        <w:r w:rsidR="00DF1AA7">
          <w:rPr>
            <w:rFonts w:ascii="Times New Roman" w:hAnsi="Times New Roman"/>
            <w:sz w:val="30"/>
            <w:szCs w:val="30"/>
          </w:rPr>
          <w:tab/>
        </w:r>
        <w:r>
          <w:rPr>
            <w:rFonts w:ascii="Times New Roman" w:hAnsi="Times New Roman"/>
            <w:sz w:val="30"/>
            <w:szCs w:val="30"/>
          </w:rPr>
          <w:fldChar w:fldCharType="begin"/>
        </w:r>
        <w:r w:rsidR="00DF1AA7">
          <w:rPr>
            <w:rFonts w:ascii="Times New Roman" w:hAnsi="Times New Roman"/>
            <w:sz w:val="30"/>
            <w:szCs w:val="30"/>
          </w:rPr>
          <w:instrText xml:space="preserve"> PAGEREF _Toc90415736 \h </w:instrText>
        </w:r>
        <w:r>
          <w:rPr>
            <w:rFonts w:ascii="Times New Roman" w:hAnsi="Times New Roman"/>
            <w:sz w:val="30"/>
            <w:szCs w:val="30"/>
          </w:rPr>
        </w:r>
        <w:r>
          <w:rPr>
            <w:rFonts w:ascii="Times New Roman" w:hAnsi="Times New Roman"/>
            <w:sz w:val="30"/>
            <w:szCs w:val="30"/>
          </w:rPr>
          <w:fldChar w:fldCharType="separate"/>
        </w:r>
        <w:r w:rsidR="00DF1AA7">
          <w:rPr>
            <w:rFonts w:ascii="Times New Roman" w:hAnsi="Times New Roman"/>
            <w:sz w:val="30"/>
            <w:szCs w:val="30"/>
          </w:rPr>
          <w:t>18</w:t>
        </w:r>
        <w:r>
          <w:rPr>
            <w:rFonts w:ascii="Times New Roman" w:hAnsi="Times New Roman"/>
            <w:sz w:val="30"/>
            <w:szCs w:val="30"/>
          </w:rPr>
          <w:fldChar w:fldCharType="end"/>
        </w:r>
      </w:hyperlink>
    </w:p>
    <w:p w:rsidR="002B653A" w:rsidRDefault="00182780">
      <w:pPr>
        <w:pStyle w:val="30"/>
        <w:tabs>
          <w:tab w:val="right" w:leader="dot" w:pos="8296"/>
        </w:tabs>
        <w:adjustRightInd w:val="0"/>
        <w:snapToGrid w:val="0"/>
        <w:spacing w:after="0" w:line="336" w:lineRule="auto"/>
        <w:ind w:firstLineChars="200" w:firstLine="440"/>
        <w:rPr>
          <w:rFonts w:ascii="Times New Roman" w:eastAsiaTheme="minorEastAsia" w:hAnsi="Times New Roman"/>
          <w:kern w:val="2"/>
          <w:sz w:val="30"/>
          <w:szCs w:val="30"/>
        </w:rPr>
      </w:pPr>
      <w:hyperlink w:anchor="_Toc90415737" w:history="1">
        <w:r w:rsidR="00DF1AA7">
          <w:rPr>
            <w:rStyle w:val="ab"/>
            <w:rFonts w:ascii="Times New Roman" w:eastAsia="仿宋" w:hAnsi="Times New Roman"/>
            <w:sz w:val="30"/>
            <w:szCs w:val="30"/>
          </w:rPr>
          <w:t>三、治理场景数字化，打造一体化社区智慧平台</w:t>
        </w:r>
        <w:r w:rsidR="00DF1AA7">
          <w:rPr>
            <w:rFonts w:ascii="Times New Roman" w:hAnsi="Times New Roman"/>
            <w:sz w:val="30"/>
            <w:szCs w:val="30"/>
          </w:rPr>
          <w:tab/>
        </w:r>
        <w:r>
          <w:rPr>
            <w:rFonts w:ascii="Times New Roman" w:hAnsi="Times New Roman"/>
            <w:sz w:val="30"/>
            <w:szCs w:val="30"/>
          </w:rPr>
          <w:fldChar w:fldCharType="begin"/>
        </w:r>
        <w:r w:rsidR="00DF1AA7">
          <w:rPr>
            <w:rFonts w:ascii="Times New Roman" w:hAnsi="Times New Roman"/>
            <w:sz w:val="30"/>
            <w:szCs w:val="30"/>
          </w:rPr>
          <w:instrText xml:space="preserve"> PAGEREF _Toc90415737 \h </w:instrText>
        </w:r>
        <w:r>
          <w:rPr>
            <w:rFonts w:ascii="Times New Roman" w:hAnsi="Times New Roman"/>
            <w:sz w:val="30"/>
            <w:szCs w:val="30"/>
          </w:rPr>
        </w:r>
        <w:r>
          <w:rPr>
            <w:rFonts w:ascii="Times New Roman" w:hAnsi="Times New Roman"/>
            <w:sz w:val="30"/>
            <w:szCs w:val="30"/>
          </w:rPr>
          <w:fldChar w:fldCharType="separate"/>
        </w:r>
        <w:r w:rsidR="00DF1AA7">
          <w:rPr>
            <w:rFonts w:ascii="Times New Roman" w:hAnsi="Times New Roman"/>
            <w:sz w:val="30"/>
            <w:szCs w:val="30"/>
          </w:rPr>
          <w:t>20</w:t>
        </w:r>
        <w:r>
          <w:rPr>
            <w:rFonts w:ascii="Times New Roman" w:hAnsi="Times New Roman"/>
            <w:sz w:val="30"/>
            <w:szCs w:val="30"/>
          </w:rPr>
          <w:fldChar w:fldCharType="end"/>
        </w:r>
      </w:hyperlink>
    </w:p>
    <w:p w:rsidR="002B653A" w:rsidRDefault="00182780">
      <w:pPr>
        <w:pStyle w:val="30"/>
        <w:tabs>
          <w:tab w:val="right" w:leader="dot" w:pos="8296"/>
        </w:tabs>
        <w:adjustRightInd w:val="0"/>
        <w:snapToGrid w:val="0"/>
        <w:spacing w:after="0" w:line="336" w:lineRule="auto"/>
        <w:ind w:firstLineChars="200" w:firstLine="440"/>
        <w:rPr>
          <w:rFonts w:ascii="Times New Roman" w:eastAsiaTheme="minorEastAsia" w:hAnsi="Times New Roman"/>
          <w:kern w:val="2"/>
          <w:sz w:val="30"/>
          <w:szCs w:val="30"/>
        </w:rPr>
      </w:pPr>
      <w:hyperlink w:anchor="_Toc90415738" w:history="1">
        <w:r w:rsidR="00DF1AA7">
          <w:rPr>
            <w:rStyle w:val="ab"/>
            <w:rFonts w:ascii="Times New Roman" w:eastAsia="仿宋" w:hAnsi="Times New Roman"/>
            <w:sz w:val="30"/>
            <w:szCs w:val="30"/>
          </w:rPr>
          <w:t>四、社区服务项目化，培育参与式多元治理主体</w:t>
        </w:r>
        <w:r w:rsidR="00DF1AA7">
          <w:rPr>
            <w:rFonts w:ascii="Times New Roman" w:hAnsi="Times New Roman"/>
            <w:sz w:val="30"/>
            <w:szCs w:val="30"/>
          </w:rPr>
          <w:tab/>
        </w:r>
        <w:r>
          <w:rPr>
            <w:rFonts w:ascii="Times New Roman" w:hAnsi="Times New Roman"/>
            <w:sz w:val="30"/>
            <w:szCs w:val="30"/>
          </w:rPr>
          <w:fldChar w:fldCharType="begin"/>
        </w:r>
        <w:r w:rsidR="00DF1AA7">
          <w:rPr>
            <w:rFonts w:ascii="Times New Roman" w:hAnsi="Times New Roman"/>
            <w:sz w:val="30"/>
            <w:szCs w:val="30"/>
          </w:rPr>
          <w:instrText xml:space="preserve"> PAGEREF _Toc90415738 \h </w:instrText>
        </w:r>
        <w:r>
          <w:rPr>
            <w:rFonts w:ascii="Times New Roman" w:hAnsi="Times New Roman"/>
            <w:sz w:val="30"/>
            <w:szCs w:val="30"/>
          </w:rPr>
        </w:r>
        <w:r>
          <w:rPr>
            <w:rFonts w:ascii="Times New Roman" w:hAnsi="Times New Roman"/>
            <w:sz w:val="30"/>
            <w:szCs w:val="30"/>
          </w:rPr>
          <w:fldChar w:fldCharType="separate"/>
        </w:r>
        <w:r w:rsidR="00DF1AA7">
          <w:rPr>
            <w:rFonts w:ascii="Times New Roman" w:hAnsi="Times New Roman"/>
            <w:sz w:val="30"/>
            <w:szCs w:val="30"/>
          </w:rPr>
          <w:t>22</w:t>
        </w:r>
        <w:r>
          <w:rPr>
            <w:rFonts w:ascii="Times New Roman" w:hAnsi="Times New Roman"/>
            <w:sz w:val="30"/>
            <w:szCs w:val="30"/>
          </w:rPr>
          <w:fldChar w:fldCharType="end"/>
        </w:r>
      </w:hyperlink>
    </w:p>
    <w:p w:rsidR="002B653A" w:rsidRDefault="00182780">
      <w:pPr>
        <w:pStyle w:val="30"/>
        <w:tabs>
          <w:tab w:val="right" w:leader="dot" w:pos="8296"/>
        </w:tabs>
        <w:adjustRightInd w:val="0"/>
        <w:snapToGrid w:val="0"/>
        <w:spacing w:after="0" w:line="336" w:lineRule="auto"/>
        <w:ind w:firstLineChars="200" w:firstLine="440"/>
        <w:rPr>
          <w:rFonts w:ascii="Times New Roman" w:eastAsiaTheme="minorEastAsia" w:hAnsi="Times New Roman"/>
          <w:kern w:val="2"/>
          <w:sz w:val="30"/>
          <w:szCs w:val="30"/>
        </w:rPr>
      </w:pPr>
      <w:hyperlink w:anchor="_Toc90415739" w:history="1">
        <w:r w:rsidR="00DF1AA7">
          <w:rPr>
            <w:rStyle w:val="ab"/>
            <w:rFonts w:ascii="Times New Roman" w:eastAsia="仿宋" w:hAnsi="Times New Roman"/>
            <w:sz w:val="30"/>
            <w:szCs w:val="30"/>
          </w:rPr>
          <w:t>五、责任治理机制平台化，塑造全员式基层治理品牌</w:t>
        </w:r>
        <w:r w:rsidR="00DF1AA7">
          <w:rPr>
            <w:rFonts w:ascii="Times New Roman" w:hAnsi="Times New Roman"/>
            <w:sz w:val="30"/>
            <w:szCs w:val="30"/>
          </w:rPr>
          <w:tab/>
        </w:r>
        <w:r>
          <w:rPr>
            <w:rFonts w:ascii="Times New Roman" w:hAnsi="Times New Roman"/>
            <w:sz w:val="30"/>
            <w:szCs w:val="30"/>
          </w:rPr>
          <w:fldChar w:fldCharType="begin"/>
        </w:r>
        <w:r w:rsidR="00DF1AA7">
          <w:rPr>
            <w:rFonts w:ascii="Times New Roman" w:hAnsi="Times New Roman"/>
            <w:sz w:val="30"/>
            <w:szCs w:val="30"/>
          </w:rPr>
          <w:instrText xml:space="preserve"> PAGEREF _Toc90415739 \h </w:instrText>
        </w:r>
        <w:r>
          <w:rPr>
            <w:rFonts w:ascii="Times New Roman" w:hAnsi="Times New Roman"/>
            <w:sz w:val="30"/>
            <w:szCs w:val="30"/>
          </w:rPr>
        </w:r>
        <w:r>
          <w:rPr>
            <w:rFonts w:ascii="Times New Roman" w:hAnsi="Times New Roman"/>
            <w:sz w:val="30"/>
            <w:szCs w:val="30"/>
          </w:rPr>
          <w:fldChar w:fldCharType="separate"/>
        </w:r>
        <w:r w:rsidR="00DF1AA7">
          <w:rPr>
            <w:rFonts w:ascii="Times New Roman" w:hAnsi="Times New Roman"/>
            <w:sz w:val="30"/>
            <w:szCs w:val="30"/>
          </w:rPr>
          <w:t>23</w:t>
        </w:r>
        <w:r>
          <w:rPr>
            <w:rFonts w:ascii="Times New Roman" w:hAnsi="Times New Roman"/>
            <w:sz w:val="30"/>
            <w:szCs w:val="30"/>
          </w:rPr>
          <w:fldChar w:fldCharType="end"/>
        </w:r>
      </w:hyperlink>
    </w:p>
    <w:p w:rsidR="002B653A" w:rsidRDefault="00182780">
      <w:pPr>
        <w:pStyle w:val="20"/>
        <w:spacing w:line="336" w:lineRule="auto"/>
        <w:ind w:firstLineChars="100" w:firstLine="301"/>
        <w:rPr>
          <w:rFonts w:ascii="Times New Roman" w:eastAsiaTheme="minorEastAsia" w:hAnsi="Times New Roman"/>
          <w:b w:val="0"/>
          <w:bCs w:val="0"/>
          <w:kern w:val="2"/>
        </w:rPr>
      </w:pPr>
      <w:hyperlink w:anchor="_Toc90415740" w:history="1">
        <w:r w:rsidR="00DF1AA7">
          <w:rPr>
            <w:rStyle w:val="ab"/>
            <w:rFonts w:ascii="Times New Roman" w:eastAsia="黑体" w:hAnsi="Times New Roman"/>
            <w:b w:val="0"/>
            <w:bCs w:val="0"/>
          </w:rPr>
          <w:t>第二节</w:t>
        </w:r>
        <w:r w:rsidR="00DF1AA7">
          <w:rPr>
            <w:rStyle w:val="ab"/>
            <w:rFonts w:ascii="Times New Roman" w:eastAsia="黑体" w:hAnsi="Times New Roman"/>
            <w:b w:val="0"/>
            <w:bCs w:val="0"/>
          </w:rPr>
          <w:t xml:space="preserve">  </w:t>
        </w:r>
        <w:r w:rsidR="00DF1AA7">
          <w:rPr>
            <w:rStyle w:val="ab"/>
            <w:rFonts w:ascii="Times New Roman" w:eastAsia="黑体" w:hAnsi="Times New Roman"/>
            <w:b w:val="0"/>
            <w:bCs w:val="0"/>
          </w:rPr>
          <w:t>乡村基层治理实施路径</w:t>
        </w:r>
        <w:r w:rsidR="00DF1AA7">
          <w:rPr>
            <w:rFonts w:ascii="Times New Roman" w:hAnsi="Times New Roman"/>
            <w:b w:val="0"/>
            <w:bCs w:val="0"/>
          </w:rPr>
          <w:tab/>
        </w:r>
        <w:r>
          <w:rPr>
            <w:rFonts w:ascii="Times New Roman" w:hAnsi="Times New Roman"/>
            <w:b w:val="0"/>
            <w:bCs w:val="0"/>
          </w:rPr>
          <w:fldChar w:fldCharType="begin"/>
        </w:r>
        <w:r w:rsidR="00DF1AA7">
          <w:rPr>
            <w:rFonts w:ascii="Times New Roman" w:hAnsi="Times New Roman"/>
            <w:b w:val="0"/>
            <w:bCs w:val="0"/>
          </w:rPr>
          <w:instrText xml:space="preserve"> PAGEREF _Toc90415740 \h </w:instrText>
        </w:r>
        <w:r>
          <w:rPr>
            <w:rFonts w:ascii="Times New Roman" w:hAnsi="Times New Roman"/>
            <w:b w:val="0"/>
            <w:bCs w:val="0"/>
          </w:rPr>
        </w:r>
        <w:r>
          <w:rPr>
            <w:rFonts w:ascii="Times New Roman" w:hAnsi="Times New Roman"/>
            <w:b w:val="0"/>
            <w:bCs w:val="0"/>
          </w:rPr>
          <w:fldChar w:fldCharType="separate"/>
        </w:r>
        <w:r w:rsidR="00DF1AA7">
          <w:rPr>
            <w:rFonts w:ascii="Times New Roman" w:hAnsi="Times New Roman"/>
            <w:b w:val="0"/>
            <w:bCs w:val="0"/>
          </w:rPr>
          <w:t>24</w:t>
        </w:r>
        <w:r>
          <w:rPr>
            <w:rFonts w:ascii="Times New Roman" w:hAnsi="Times New Roman"/>
            <w:b w:val="0"/>
            <w:bCs w:val="0"/>
          </w:rPr>
          <w:fldChar w:fldCharType="end"/>
        </w:r>
      </w:hyperlink>
    </w:p>
    <w:p w:rsidR="002B653A" w:rsidRDefault="00182780">
      <w:pPr>
        <w:pStyle w:val="30"/>
        <w:tabs>
          <w:tab w:val="right" w:leader="dot" w:pos="8296"/>
        </w:tabs>
        <w:adjustRightInd w:val="0"/>
        <w:snapToGrid w:val="0"/>
        <w:spacing w:after="0" w:line="336" w:lineRule="auto"/>
        <w:ind w:firstLineChars="200" w:firstLine="440"/>
        <w:rPr>
          <w:rFonts w:ascii="Times New Roman" w:eastAsiaTheme="minorEastAsia" w:hAnsi="Times New Roman"/>
          <w:kern w:val="2"/>
          <w:sz w:val="30"/>
          <w:szCs w:val="30"/>
        </w:rPr>
      </w:pPr>
      <w:hyperlink w:anchor="_Toc90415741" w:history="1">
        <w:r w:rsidR="00DF1AA7">
          <w:rPr>
            <w:rStyle w:val="ab"/>
            <w:rFonts w:ascii="Times New Roman" w:eastAsia="仿宋" w:hAnsi="Times New Roman"/>
            <w:sz w:val="30"/>
            <w:szCs w:val="30"/>
          </w:rPr>
          <w:t>一</w:t>
        </w:r>
        <w:r w:rsidR="00DF1AA7">
          <w:rPr>
            <w:rStyle w:val="ab"/>
            <w:rFonts w:ascii="仿宋" w:eastAsia="仿宋" w:hAnsi="仿宋"/>
            <w:sz w:val="30"/>
            <w:szCs w:val="30"/>
          </w:rPr>
          <w:t>、“集散结合”</w:t>
        </w:r>
        <w:r w:rsidR="00DF1AA7">
          <w:rPr>
            <w:rStyle w:val="ab"/>
            <w:rFonts w:ascii="Times New Roman" w:eastAsia="仿宋" w:hAnsi="Times New Roman"/>
            <w:sz w:val="30"/>
            <w:szCs w:val="30"/>
          </w:rPr>
          <w:t>，健全精准化村级服务体系</w:t>
        </w:r>
        <w:r w:rsidR="00DF1AA7">
          <w:rPr>
            <w:rFonts w:ascii="Times New Roman" w:hAnsi="Times New Roman"/>
            <w:sz w:val="30"/>
            <w:szCs w:val="30"/>
          </w:rPr>
          <w:tab/>
        </w:r>
        <w:r>
          <w:rPr>
            <w:rFonts w:ascii="Times New Roman" w:hAnsi="Times New Roman"/>
            <w:sz w:val="30"/>
            <w:szCs w:val="30"/>
          </w:rPr>
          <w:fldChar w:fldCharType="begin"/>
        </w:r>
        <w:r w:rsidR="00DF1AA7">
          <w:rPr>
            <w:rFonts w:ascii="Times New Roman" w:hAnsi="Times New Roman"/>
            <w:sz w:val="30"/>
            <w:szCs w:val="30"/>
          </w:rPr>
          <w:instrText xml:space="preserve"> PAGEREF _Toc90415741 \h </w:instrText>
        </w:r>
        <w:r>
          <w:rPr>
            <w:rFonts w:ascii="Times New Roman" w:hAnsi="Times New Roman"/>
            <w:sz w:val="30"/>
            <w:szCs w:val="30"/>
          </w:rPr>
        </w:r>
        <w:r>
          <w:rPr>
            <w:rFonts w:ascii="Times New Roman" w:hAnsi="Times New Roman"/>
            <w:sz w:val="30"/>
            <w:szCs w:val="30"/>
          </w:rPr>
          <w:fldChar w:fldCharType="separate"/>
        </w:r>
        <w:r w:rsidR="00DF1AA7">
          <w:rPr>
            <w:rFonts w:ascii="Times New Roman" w:hAnsi="Times New Roman"/>
            <w:sz w:val="30"/>
            <w:szCs w:val="30"/>
          </w:rPr>
          <w:t>25</w:t>
        </w:r>
        <w:r>
          <w:rPr>
            <w:rFonts w:ascii="Times New Roman" w:hAnsi="Times New Roman"/>
            <w:sz w:val="30"/>
            <w:szCs w:val="30"/>
          </w:rPr>
          <w:fldChar w:fldCharType="end"/>
        </w:r>
      </w:hyperlink>
    </w:p>
    <w:p w:rsidR="002B653A" w:rsidRDefault="00182780">
      <w:pPr>
        <w:pStyle w:val="30"/>
        <w:tabs>
          <w:tab w:val="right" w:leader="dot" w:pos="8296"/>
        </w:tabs>
        <w:adjustRightInd w:val="0"/>
        <w:snapToGrid w:val="0"/>
        <w:spacing w:after="0" w:line="336" w:lineRule="auto"/>
        <w:ind w:firstLineChars="200" w:firstLine="440"/>
        <w:rPr>
          <w:rFonts w:ascii="Times New Roman" w:eastAsiaTheme="minorEastAsia" w:hAnsi="Times New Roman"/>
          <w:kern w:val="2"/>
          <w:sz w:val="30"/>
          <w:szCs w:val="30"/>
        </w:rPr>
      </w:pPr>
      <w:hyperlink w:anchor="_Toc90415742" w:history="1">
        <w:r w:rsidR="00DF1AA7">
          <w:rPr>
            <w:rStyle w:val="ab"/>
            <w:rFonts w:ascii="Times New Roman" w:eastAsia="仿宋" w:hAnsi="Times New Roman"/>
            <w:sz w:val="30"/>
            <w:szCs w:val="30"/>
          </w:rPr>
          <w:t>二</w:t>
        </w:r>
        <w:r w:rsidR="00DF1AA7">
          <w:rPr>
            <w:rStyle w:val="ab"/>
            <w:rFonts w:ascii="仿宋" w:eastAsia="仿宋" w:hAnsi="仿宋"/>
            <w:sz w:val="30"/>
            <w:szCs w:val="30"/>
          </w:rPr>
          <w:t>、“共建共享”</w:t>
        </w:r>
        <w:r w:rsidR="00DF1AA7">
          <w:rPr>
            <w:rStyle w:val="ab"/>
            <w:rFonts w:ascii="Times New Roman" w:eastAsia="仿宋" w:hAnsi="Times New Roman"/>
            <w:sz w:val="30"/>
            <w:szCs w:val="30"/>
          </w:rPr>
          <w:t>，培育参与式多元治理主体</w:t>
        </w:r>
        <w:r w:rsidR="00DF1AA7">
          <w:rPr>
            <w:rFonts w:ascii="Times New Roman" w:hAnsi="Times New Roman"/>
            <w:sz w:val="30"/>
            <w:szCs w:val="30"/>
          </w:rPr>
          <w:tab/>
        </w:r>
        <w:r>
          <w:rPr>
            <w:rFonts w:ascii="Times New Roman" w:hAnsi="Times New Roman"/>
            <w:sz w:val="30"/>
            <w:szCs w:val="30"/>
          </w:rPr>
          <w:fldChar w:fldCharType="begin"/>
        </w:r>
        <w:r w:rsidR="00DF1AA7">
          <w:rPr>
            <w:rFonts w:ascii="Times New Roman" w:hAnsi="Times New Roman"/>
            <w:sz w:val="30"/>
            <w:szCs w:val="30"/>
          </w:rPr>
          <w:instrText xml:space="preserve"> PAGEREF _Toc90415742 \h </w:instrText>
        </w:r>
        <w:r>
          <w:rPr>
            <w:rFonts w:ascii="Times New Roman" w:hAnsi="Times New Roman"/>
            <w:sz w:val="30"/>
            <w:szCs w:val="30"/>
          </w:rPr>
        </w:r>
        <w:r>
          <w:rPr>
            <w:rFonts w:ascii="Times New Roman" w:hAnsi="Times New Roman"/>
            <w:sz w:val="30"/>
            <w:szCs w:val="30"/>
          </w:rPr>
          <w:fldChar w:fldCharType="separate"/>
        </w:r>
        <w:r w:rsidR="00DF1AA7">
          <w:rPr>
            <w:rFonts w:ascii="Times New Roman" w:hAnsi="Times New Roman"/>
            <w:sz w:val="30"/>
            <w:szCs w:val="30"/>
          </w:rPr>
          <w:t>27</w:t>
        </w:r>
        <w:r>
          <w:rPr>
            <w:rFonts w:ascii="Times New Roman" w:hAnsi="Times New Roman"/>
            <w:sz w:val="30"/>
            <w:szCs w:val="30"/>
          </w:rPr>
          <w:fldChar w:fldCharType="end"/>
        </w:r>
      </w:hyperlink>
    </w:p>
    <w:p w:rsidR="002B653A" w:rsidRDefault="00182780">
      <w:pPr>
        <w:pStyle w:val="30"/>
        <w:tabs>
          <w:tab w:val="right" w:leader="dot" w:pos="8296"/>
        </w:tabs>
        <w:adjustRightInd w:val="0"/>
        <w:snapToGrid w:val="0"/>
        <w:spacing w:after="0" w:line="336" w:lineRule="auto"/>
        <w:ind w:firstLineChars="200" w:firstLine="440"/>
        <w:rPr>
          <w:rFonts w:ascii="Times New Roman" w:eastAsiaTheme="minorEastAsia" w:hAnsi="Times New Roman"/>
          <w:kern w:val="2"/>
          <w:sz w:val="30"/>
          <w:szCs w:val="30"/>
        </w:rPr>
      </w:pPr>
      <w:hyperlink w:anchor="_Toc90415743" w:history="1">
        <w:r w:rsidR="00DF1AA7">
          <w:rPr>
            <w:rStyle w:val="ab"/>
            <w:rFonts w:ascii="Times New Roman" w:eastAsia="仿宋" w:hAnsi="Times New Roman"/>
            <w:sz w:val="30"/>
            <w:szCs w:val="30"/>
          </w:rPr>
          <w:t>三、</w:t>
        </w:r>
        <w:r w:rsidR="00DF1AA7">
          <w:rPr>
            <w:rStyle w:val="ab"/>
            <w:rFonts w:ascii="仿宋" w:eastAsia="仿宋" w:hAnsi="仿宋"/>
            <w:sz w:val="30"/>
            <w:szCs w:val="30"/>
          </w:rPr>
          <w:t>“三产融合”，</w:t>
        </w:r>
        <w:r w:rsidR="00DF1AA7">
          <w:rPr>
            <w:rStyle w:val="ab"/>
            <w:rFonts w:ascii="Times New Roman" w:eastAsia="仿宋" w:hAnsi="Times New Roman"/>
            <w:sz w:val="30"/>
            <w:szCs w:val="30"/>
          </w:rPr>
          <w:t>发展可持续新型集体经济</w:t>
        </w:r>
        <w:r w:rsidR="00DF1AA7">
          <w:rPr>
            <w:rFonts w:ascii="Times New Roman" w:hAnsi="Times New Roman"/>
            <w:sz w:val="30"/>
            <w:szCs w:val="30"/>
          </w:rPr>
          <w:tab/>
        </w:r>
        <w:r>
          <w:rPr>
            <w:rFonts w:ascii="Times New Roman" w:hAnsi="Times New Roman"/>
            <w:sz w:val="30"/>
            <w:szCs w:val="30"/>
          </w:rPr>
          <w:fldChar w:fldCharType="begin"/>
        </w:r>
        <w:r w:rsidR="00DF1AA7">
          <w:rPr>
            <w:rFonts w:ascii="Times New Roman" w:hAnsi="Times New Roman"/>
            <w:sz w:val="30"/>
            <w:szCs w:val="30"/>
          </w:rPr>
          <w:instrText xml:space="preserve"> PAGEREF _Toc90415743 \h </w:instrText>
        </w:r>
        <w:r>
          <w:rPr>
            <w:rFonts w:ascii="Times New Roman" w:hAnsi="Times New Roman"/>
            <w:sz w:val="30"/>
            <w:szCs w:val="30"/>
          </w:rPr>
        </w:r>
        <w:r>
          <w:rPr>
            <w:rFonts w:ascii="Times New Roman" w:hAnsi="Times New Roman"/>
            <w:sz w:val="30"/>
            <w:szCs w:val="30"/>
          </w:rPr>
          <w:fldChar w:fldCharType="separate"/>
        </w:r>
        <w:r w:rsidR="00DF1AA7">
          <w:rPr>
            <w:rFonts w:ascii="Times New Roman" w:hAnsi="Times New Roman"/>
            <w:sz w:val="30"/>
            <w:szCs w:val="30"/>
          </w:rPr>
          <w:t>28</w:t>
        </w:r>
        <w:r>
          <w:rPr>
            <w:rFonts w:ascii="Times New Roman" w:hAnsi="Times New Roman"/>
            <w:sz w:val="30"/>
            <w:szCs w:val="30"/>
          </w:rPr>
          <w:fldChar w:fldCharType="end"/>
        </w:r>
      </w:hyperlink>
    </w:p>
    <w:p w:rsidR="002B653A" w:rsidRDefault="00182780">
      <w:pPr>
        <w:pStyle w:val="30"/>
        <w:tabs>
          <w:tab w:val="right" w:leader="dot" w:pos="8296"/>
        </w:tabs>
        <w:adjustRightInd w:val="0"/>
        <w:snapToGrid w:val="0"/>
        <w:spacing w:after="0" w:line="336" w:lineRule="auto"/>
        <w:ind w:firstLineChars="200" w:firstLine="440"/>
        <w:rPr>
          <w:rFonts w:ascii="Times New Roman" w:eastAsiaTheme="minorEastAsia" w:hAnsi="Times New Roman"/>
          <w:kern w:val="2"/>
          <w:sz w:val="30"/>
          <w:szCs w:val="30"/>
        </w:rPr>
      </w:pPr>
      <w:hyperlink w:anchor="_Toc90415744" w:history="1">
        <w:r w:rsidR="00DF1AA7">
          <w:rPr>
            <w:rStyle w:val="ab"/>
            <w:rFonts w:ascii="Times New Roman" w:eastAsia="仿宋" w:hAnsi="Times New Roman"/>
            <w:sz w:val="30"/>
            <w:szCs w:val="30"/>
          </w:rPr>
          <w:t>四、</w:t>
        </w:r>
        <w:r w:rsidR="00DF1AA7">
          <w:rPr>
            <w:rStyle w:val="ab"/>
            <w:rFonts w:ascii="仿宋" w:eastAsia="仿宋" w:hAnsi="仿宋"/>
            <w:sz w:val="30"/>
            <w:szCs w:val="30"/>
          </w:rPr>
          <w:t>“小组微生”</w:t>
        </w:r>
        <w:r w:rsidR="00DF1AA7">
          <w:rPr>
            <w:rStyle w:val="ab"/>
            <w:rFonts w:ascii="Times New Roman" w:eastAsia="仿宋" w:hAnsi="Times New Roman"/>
            <w:sz w:val="30"/>
            <w:szCs w:val="30"/>
          </w:rPr>
          <w:t>，建设美丽田园理想型社区</w:t>
        </w:r>
        <w:r w:rsidR="00DF1AA7">
          <w:rPr>
            <w:rFonts w:ascii="Times New Roman" w:hAnsi="Times New Roman"/>
            <w:sz w:val="30"/>
            <w:szCs w:val="30"/>
          </w:rPr>
          <w:tab/>
        </w:r>
        <w:r>
          <w:rPr>
            <w:rFonts w:ascii="Times New Roman" w:hAnsi="Times New Roman"/>
            <w:sz w:val="30"/>
            <w:szCs w:val="30"/>
          </w:rPr>
          <w:fldChar w:fldCharType="begin"/>
        </w:r>
        <w:r w:rsidR="00DF1AA7">
          <w:rPr>
            <w:rFonts w:ascii="Times New Roman" w:hAnsi="Times New Roman"/>
            <w:sz w:val="30"/>
            <w:szCs w:val="30"/>
          </w:rPr>
          <w:instrText xml:space="preserve"> PAGEREF _Toc90415744 \h </w:instrText>
        </w:r>
        <w:r>
          <w:rPr>
            <w:rFonts w:ascii="Times New Roman" w:hAnsi="Times New Roman"/>
            <w:sz w:val="30"/>
            <w:szCs w:val="30"/>
          </w:rPr>
        </w:r>
        <w:r>
          <w:rPr>
            <w:rFonts w:ascii="Times New Roman" w:hAnsi="Times New Roman"/>
            <w:sz w:val="30"/>
            <w:szCs w:val="30"/>
          </w:rPr>
          <w:fldChar w:fldCharType="separate"/>
        </w:r>
        <w:r w:rsidR="00DF1AA7">
          <w:rPr>
            <w:rFonts w:ascii="Times New Roman" w:hAnsi="Times New Roman"/>
            <w:sz w:val="30"/>
            <w:szCs w:val="30"/>
          </w:rPr>
          <w:t>29</w:t>
        </w:r>
        <w:r>
          <w:rPr>
            <w:rFonts w:ascii="Times New Roman" w:hAnsi="Times New Roman"/>
            <w:sz w:val="30"/>
            <w:szCs w:val="30"/>
          </w:rPr>
          <w:fldChar w:fldCharType="end"/>
        </w:r>
      </w:hyperlink>
    </w:p>
    <w:p w:rsidR="002B653A" w:rsidRDefault="00182780">
      <w:pPr>
        <w:pStyle w:val="30"/>
        <w:tabs>
          <w:tab w:val="right" w:leader="dot" w:pos="8296"/>
        </w:tabs>
        <w:adjustRightInd w:val="0"/>
        <w:snapToGrid w:val="0"/>
        <w:spacing w:after="0" w:line="336" w:lineRule="auto"/>
        <w:ind w:firstLineChars="200" w:firstLine="440"/>
        <w:rPr>
          <w:rFonts w:ascii="Times New Roman" w:eastAsiaTheme="minorEastAsia" w:hAnsi="Times New Roman"/>
          <w:kern w:val="2"/>
          <w:sz w:val="30"/>
          <w:szCs w:val="30"/>
        </w:rPr>
      </w:pPr>
      <w:hyperlink w:anchor="_Toc90415745" w:history="1">
        <w:r w:rsidR="00DF1AA7">
          <w:rPr>
            <w:rStyle w:val="ab"/>
            <w:rFonts w:ascii="Times New Roman" w:eastAsia="仿宋" w:hAnsi="Times New Roman"/>
            <w:sz w:val="30"/>
            <w:szCs w:val="30"/>
          </w:rPr>
          <w:t>五</w:t>
        </w:r>
        <w:r w:rsidR="00DF1AA7">
          <w:rPr>
            <w:rStyle w:val="ab"/>
            <w:rFonts w:ascii="仿宋" w:eastAsia="仿宋" w:hAnsi="仿宋"/>
            <w:sz w:val="30"/>
            <w:szCs w:val="30"/>
          </w:rPr>
          <w:t>、“积分制”</w:t>
        </w:r>
        <w:r w:rsidR="00DF1AA7">
          <w:rPr>
            <w:rStyle w:val="ab"/>
            <w:rFonts w:ascii="Times New Roman" w:eastAsia="仿宋" w:hAnsi="Times New Roman"/>
            <w:sz w:val="30"/>
            <w:szCs w:val="30"/>
          </w:rPr>
          <w:t>管理，塑造共建共治共享新格局</w:t>
        </w:r>
        <w:r w:rsidR="00DF1AA7">
          <w:rPr>
            <w:rFonts w:ascii="Times New Roman" w:hAnsi="Times New Roman"/>
            <w:sz w:val="30"/>
            <w:szCs w:val="30"/>
          </w:rPr>
          <w:tab/>
        </w:r>
        <w:r>
          <w:rPr>
            <w:rFonts w:ascii="Times New Roman" w:hAnsi="Times New Roman"/>
            <w:sz w:val="30"/>
            <w:szCs w:val="30"/>
          </w:rPr>
          <w:fldChar w:fldCharType="begin"/>
        </w:r>
        <w:r w:rsidR="00DF1AA7">
          <w:rPr>
            <w:rFonts w:ascii="Times New Roman" w:hAnsi="Times New Roman"/>
            <w:sz w:val="30"/>
            <w:szCs w:val="30"/>
          </w:rPr>
          <w:instrText xml:space="preserve"> PAGEREF _Toc90415745 \h </w:instrText>
        </w:r>
        <w:r>
          <w:rPr>
            <w:rFonts w:ascii="Times New Roman" w:hAnsi="Times New Roman"/>
            <w:sz w:val="30"/>
            <w:szCs w:val="30"/>
          </w:rPr>
        </w:r>
        <w:r>
          <w:rPr>
            <w:rFonts w:ascii="Times New Roman" w:hAnsi="Times New Roman"/>
            <w:sz w:val="30"/>
            <w:szCs w:val="30"/>
          </w:rPr>
          <w:fldChar w:fldCharType="separate"/>
        </w:r>
        <w:r w:rsidR="00DF1AA7">
          <w:rPr>
            <w:rFonts w:ascii="Times New Roman" w:hAnsi="Times New Roman"/>
            <w:sz w:val="30"/>
            <w:szCs w:val="30"/>
          </w:rPr>
          <w:t>31</w:t>
        </w:r>
        <w:r>
          <w:rPr>
            <w:rFonts w:ascii="Times New Roman" w:hAnsi="Times New Roman"/>
            <w:sz w:val="30"/>
            <w:szCs w:val="30"/>
          </w:rPr>
          <w:fldChar w:fldCharType="end"/>
        </w:r>
      </w:hyperlink>
    </w:p>
    <w:p w:rsidR="002B653A" w:rsidRDefault="00182780">
      <w:pPr>
        <w:pStyle w:val="10"/>
        <w:tabs>
          <w:tab w:val="right" w:leader="dot" w:pos="8296"/>
        </w:tabs>
        <w:adjustRightInd w:val="0"/>
        <w:snapToGrid w:val="0"/>
        <w:spacing w:after="0" w:line="336" w:lineRule="auto"/>
        <w:rPr>
          <w:rFonts w:ascii="Times New Roman" w:eastAsiaTheme="minorEastAsia" w:hAnsi="Times New Roman"/>
          <w:b/>
          <w:bCs/>
          <w:kern w:val="2"/>
          <w:sz w:val="30"/>
          <w:szCs w:val="30"/>
        </w:rPr>
      </w:pPr>
      <w:hyperlink w:anchor="_Toc90415746" w:history="1">
        <w:r w:rsidR="00DF1AA7">
          <w:rPr>
            <w:rStyle w:val="ab"/>
            <w:rFonts w:ascii="Times New Roman" w:eastAsia="黑体" w:hAnsi="Times New Roman"/>
            <w:b/>
            <w:bCs/>
            <w:sz w:val="30"/>
            <w:szCs w:val="30"/>
          </w:rPr>
          <w:t>第四章</w:t>
        </w:r>
        <w:r w:rsidR="00DF1AA7">
          <w:rPr>
            <w:rStyle w:val="ab"/>
            <w:rFonts w:ascii="Times New Roman" w:eastAsia="黑体" w:hAnsi="Times New Roman"/>
            <w:b/>
            <w:bCs/>
            <w:sz w:val="30"/>
            <w:szCs w:val="30"/>
          </w:rPr>
          <w:t xml:space="preserve">  </w:t>
        </w:r>
        <w:r w:rsidR="00DF1AA7">
          <w:rPr>
            <w:rStyle w:val="ab"/>
            <w:rFonts w:ascii="Times New Roman" w:eastAsia="黑体" w:hAnsi="Times New Roman"/>
            <w:b/>
            <w:bCs/>
            <w:sz w:val="30"/>
            <w:szCs w:val="30"/>
          </w:rPr>
          <w:t>保障措施</w:t>
        </w:r>
        <w:r w:rsidR="00DF1AA7">
          <w:rPr>
            <w:rFonts w:ascii="Times New Roman" w:hAnsi="Times New Roman"/>
            <w:b/>
            <w:bCs/>
            <w:sz w:val="30"/>
            <w:szCs w:val="30"/>
          </w:rPr>
          <w:tab/>
        </w:r>
        <w:r>
          <w:rPr>
            <w:rFonts w:ascii="Times New Roman" w:hAnsi="Times New Roman"/>
            <w:b/>
            <w:bCs/>
            <w:sz w:val="30"/>
            <w:szCs w:val="30"/>
          </w:rPr>
          <w:fldChar w:fldCharType="begin"/>
        </w:r>
        <w:r w:rsidR="00DF1AA7">
          <w:rPr>
            <w:rFonts w:ascii="Times New Roman" w:hAnsi="Times New Roman"/>
            <w:b/>
            <w:bCs/>
            <w:sz w:val="30"/>
            <w:szCs w:val="30"/>
          </w:rPr>
          <w:instrText xml:space="preserve"> PAGEREF _Toc90415746 \h </w:instrText>
        </w:r>
        <w:r>
          <w:rPr>
            <w:rFonts w:ascii="Times New Roman" w:hAnsi="Times New Roman"/>
            <w:b/>
            <w:bCs/>
            <w:sz w:val="30"/>
            <w:szCs w:val="30"/>
          </w:rPr>
        </w:r>
        <w:r>
          <w:rPr>
            <w:rFonts w:ascii="Times New Roman" w:hAnsi="Times New Roman"/>
            <w:b/>
            <w:bCs/>
            <w:sz w:val="30"/>
            <w:szCs w:val="30"/>
          </w:rPr>
          <w:fldChar w:fldCharType="separate"/>
        </w:r>
        <w:r w:rsidR="00DF1AA7">
          <w:rPr>
            <w:rFonts w:ascii="Times New Roman" w:hAnsi="Times New Roman"/>
            <w:b/>
            <w:bCs/>
            <w:sz w:val="30"/>
            <w:szCs w:val="30"/>
          </w:rPr>
          <w:t>33</w:t>
        </w:r>
        <w:r>
          <w:rPr>
            <w:rFonts w:ascii="Times New Roman" w:hAnsi="Times New Roman"/>
            <w:b/>
            <w:bCs/>
            <w:sz w:val="30"/>
            <w:szCs w:val="30"/>
          </w:rPr>
          <w:fldChar w:fldCharType="end"/>
        </w:r>
      </w:hyperlink>
    </w:p>
    <w:p w:rsidR="002B653A" w:rsidRDefault="00182780">
      <w:pPr>
        <w:pStyle w:val="20"/>
        <w:spacing w:line="336" w:lineRule="auto"/>
        <w:ind w:firstLineChars="100" w:firstLine="301"/>
        <w:rPr>
          <w:rFonts w:ascii="Times New Roman" w:eastAsiaTheme="minorEastAsia" w:hAnsi="Times New Roman"/>
          <w:b w:val="0"/>
          <w:bCs w:val="0"/>
          <w:kern w:val="2"/>
        </w:rPr>
      </w:pPr>
      <w:hyperlink w:anchor="_Toc90415747" w:history="1">
        <w:r w:rsidR="00DF1AA7">
          <w:rPr>
            <w:rStyle w:val="ab"/>
            <w:rFonts w:ascii="Times New Roman" w:eastAsia="黑体" w:hAnsi="Times New Roman"/>
            <w:b w:val="0"/>
            <w:bCs w:val="0"/>
          </w:rPr>
          <w:t>第一节</w:t>
        </w:r>
        <w:r w:rsidR="00DF1AA7">
          <w:rPr>
            <w:rStyle w:val="ab"/>
            <w:rFonts w:ascii="Times New Roman" w:eastAsia="黑体" w:hAnsi="Times New Roman"/>
            <w:b w:val="0"/>
            <w:bCs w:val="0"/>
          </w:rPr>
          <w:t xml:space="preserve">  </w:t>
        </w:r>
        <w:r w:rsidR="00DF1AA7">
          <w:rPr>
            <w:rStyle w:val="ab"/>
            <w:rFonts w:ascii="Times New Roman" w:eastAsia="黑体" w:hAnsi="Times New Roman"/>
            <w:b w:val="0"/>
            <w:bCs w:val="0"/>
          </w:rPr>
          <w:t>加强党建引领，提供政治保障</w:t>
        </w:r>
        <w:r w:rsidR="00DF1AA7">
          <w:rPr>
            <w:rFonts w:ascii="Times New Roman" w:hAnsi="Times New Roman"/>
            <w:b w:val="0"/>
            <w:bCs w:val="0"/>
          </w:rPr>
          <w:tab/>
        </w:r>
        <w:r>
          <w:rPr>
            <w:rFonts w:ascii="Times New Roman" w:hAnsi="Times New Roman"/>
            <w:b w:val="0"/>
            <w:bCs w:val="0"/>
          </w:rPr>
          <w:fldChar w:fldCharType="begin"/>
        </w:r>
        <w:r w:rsidR="00DF1AA7">
          <w:rPr>
            <w:rFonts w:ascii="Times New Roman" w:hAnsi="Times New Roman"/>
            <w:b w:val="0"/>
            <w:bCs w:val="0"/>
          </w:rPr>
          <w:instrText xml:space="preserve"> PAGEREF _Toc90415747 \h </w:instrText>
        </w:r>
        <w:r>
          <w:rPr>
            <w:rFonts w:ascii="Times New Roman" w:hAnsi="Times New Roman"/>
            <w:b w:val="0"/>
            <w:bCs w:val="0"/>
          </w:rPr>
        </w:r>
        <w:r>
          <w:rPr>
            <w:rFonts w:ascii="Times New Roman" w:hAnsi="Times New Roman"/>
            <w:b w:val="0"/>
            <w:bCs w:val="0"/>
          </w:rPr>
          <w:fldChar w:fldCharType="separate"/>
        </w:r>
        <w:r w:rsidR="00DF1AA7">
          <w:rPr>
            <w:rFonts w:ascii="Times New Roman" w:hAnsi="Times New Roman"/>
            <w:b w:val="0"/>
            <w:bCs w:val="0"/>
          </w:rPr>
          <w:t>33</w:t>
        </w:r>
        <w:r>
          <w:rPr>
            <w:rFonts w:ascii="Times New Roman" w:hAnsi="Times New Roman"/>
            <w:b w:val="0"/>
            <w:bCs w:val="0"/>
          </w:rPr>
          <w:fldChar w:fldCharType="end"/>
        </w:r>
      </w:hyperlink>
    </w:p>
    <w:p w:rsidR="002B653A" w:rsidRDefault="00182780">
      <w:pPr>
        <w:pStyle w:val="20"/>
        <w:spacing w:line="336" w:lineRule="auto"/>
        <w:ind w:firstLineChars="100" w:firstLine="301"/>
        <w:rPr>
          <w:rFonts w:ascii="Times New Roman" w:eastAsiaTheme="minorEastAsia" w:hAnsi="Times New Roman"/>
          <w:b w:val="0"/>
          <w:bCs w:val="0"/>
          <w:kern w:val="2"/>
        </w:rPr>
      </w:pPr>
      <w:hyperlink w:anchor="_Toc90415748" w:history="1">
        <w:r w:rsidR="00DF1AA7">
          <w:rPr>
            <w:rStyle w:val="ab"/>
            <w:rFonts w:ascii="Times New Roman" w:eastAsia="黑体" w:hAnsi="Times New Roman"/>
            <w:b w:val="0"/>
            <w:bCs w:val="0"/>
          </w:rPr>
          <w:t>第二节</w:t>
        </w:r>
        <w:r w:rsidR="00DF1AA7">
          <w:rPr>
            <w:rStyle w:val="ab"/>
            <w:rFonts w:ascii="Times New Roman" w:eastAsia="黑体" w:hAnsi="Times New Roman"/>
            <w:b w:val="0"/>
            <w:bCs w:val="0"/>
          </w:rPr>
          <w:t xml:space="preserve">  </w:t>
        </w:r>
        <w:r w:rsidR="00DF1AA7">
          <w:rPr>
            <w:rStyle w:val="ab"/>
            <w:rFonts w:ascii="Times New Roman" w:eastAsia="黑体" w:hAnsi="Times New Roman"/>
            <w:b w:val="0"/>
            <w:bCs w:val="0"/>
          </w:rPr>
          <w:t>加强统筹协调，提供组织保障</w:t>
        </w:r>
        <w:r w:rsidR="00DF1AA7">
          <w:rPr>
            <w:rFonts w:ascii="Times New Roman" w:hAnsi="Times New Roman"/>
            <w:b w:val="0"/>
            <w:bCs w:val="0"/>
          </w:rPr>
          <w:tab/>
        </w:r>
        <w:r>
          <w:rPr>
            <w:rFonts w:ascii="Times New Roman" w:hAnsi="Times New Roman"/>
            <w:b w:val="0"/>
            <w:bCs w:val="0"/>
          </w:rPr>
          <w:fldChar w:fldCharType="begin"/>
        </w:r>
        <w:r w:rsidR="00DF1AA7">
          <w:rPr>
            <w:rFonts w:ascii="Times New Roman" w:hAnsi="Times New Roman"/>
            <w:b w:val="0"/>
            <w:bCs w:val="0"/>
          </w:rPr>
          <w:instrText xml:space="preserve"> PAGEREF _Toc90415748 \h </w:instrText>
        </w:r>
        <w:r>
          <w:rPr>
            <w:rFonts w:ascii="Times New Roman" w:hAnsi="Times New Roman"/>
            <w:b w:val="0"/>
            <w:bCs w:val="0"/>
          </w:rPr>
        </w:r>
        <w:r>
          <w:rPr>
            <w:rFonts w:ascii="Times New Roman" w:hAnsi="Times New Roman"/>
            <w:b w:val="0"/>
            <w:bCs w:val="0"/>
          </w:rPr>
          <w:fldChar w:fldCharType="separate"/>
        </w:r>
        <w:r w:rsidR="00DF1AA7">
          <w:rPr>
            <w:rFonts w:ascii="Times New Roman" w:hAnsi="Times New Roman"/>
            <w:b w:val="0"/>
            <w:bCs w:val="0"/>
          </w:rPr>
          <w:t>34</w:t>
        </w:r>
        <w:r>
          <w:rPr>
            <w:rFonts w:ascii="Times New Roman" w:hAnsi="Times New Roman"/>
            <w:b w:val="0"/>
            <w:bCs w:val="0"/>
          </w:rPr>
          <w:fldChar w:fldCharType="end"/>
        </w:r>
      </w:hyperlink>
    </w:p>
    <w:p w:rsidR="002B653A" w:rsidRDefault="00182780">
      <w:pPr>
        <w:pStyle w:val="20"/>
        <w:spacing w:line="336" w:lineRule="auto"/>
        <w:ind w:firstLineChars="100" w:firstLine="301"/>
        <w:rPr>
          <w:rFonts w:ascii="Times New Roman" w:eastAsiaTheme="minorEastAsia" w:hAnsi="Times New Roman"/>
          <w:b w:val="0"/>
          <w:bCs w:val="0"/>
          <w:kern w:val="2"/>
        </w:rPr>
      </w:pPr>
      <w:hyperlink w:anchor="_Toc90415749" w:history="1">
        <w:r w:rsidR="00DF1AA7">
          <w:rPr>
            <w:rStyle w:val="ab"/>
            <w:rFonts w:ascii="Times New Roman" w:eastAsia="黑体" w:hAnsi="Times New Roman"/>
            <w:b w:val="0"/>
            <w:bCs w:val="0"/>
          </w:rPr>
          <w:t>第三节</w:t>
        </w:r>
        <w:r w:rsidR="00DF1AA7">
          <w:rPr>
            <w:rStyle w:val="ab"/>
            <w:rFonts w:ascii="Times New Roman" w:eastAsia="黑体" w:hAnsi="Times New Roman"/>
            <w:b w:val="0"/>
            <w:bCs w:val="0"/>
          </w:rPr>
          <w:t xml:space="preserve">  </w:t>
        </w:r>
        <w:r w:rsidR="00DF1AA7">
          <w:rPr>
            <w:rStyle w:val="ab"/>
            <w:rFonts w:ascii="Times New Roman" w:eastAsia="黑体" w:hAnsi="Times New Roman"/>
            <w:b w:val="0"/>
            <w:bCs w:val="0"/>
          </w:rPr>
          <w:t>加强引育协同，提供人才保障</w:t>
        </w:r>
        <w:r w:rsidR="00DF1AA7">
          <w:rPr>
            <w:rFonts w:ascii="Times New Roman" w:hAnsi="Times New Roman"/>
            <w:b w:val="0"/>
            <w:bCs w:val="0"/>
          </w:rPr>
          <w:tab/>
        </w:r>
        <w:r>
          <w:rPr>
            <w:rFonts w:ascii="Times New Roman" w:hAnsi="Times New Roman"/>
            <w:b w:val="0"/>
            <w:bCs w:val="0"/>
          </w:rPr>
          <w:fldChar w:fldCharType="begin"/>
        </w:r>
        <w:r w:rsidR="00DF1AA7">
          <w:rPr>
            <w:rFonts w:ascii="Times New Roman" w:hAnsi="Times New Roman"/>
            <w:b w:val="0"/>
            <w:bCs w:val="0"/>
          </w:rPr>
          <w:instrText xml:space="preserve"> PAGEREF _Toc90415749 \h </w:instrText>
        </w:r>
        <w:r>
          <w:rPr>
            <w:rFonts w:ascii="Times New Roman" w:hAnsi="Times New Roman"/>
            <w:b w:val="0"/>
            <w:bCs w:val="0"/>
          </w:rPr>
        </w:r>
        <w:r>
          <w:rPr>
            <w:rFonts w:ascii="Times New Roman" w:hAnsi="Times New Roman"/>
            <w:b w:val="0"/>
            <w:bCs w:val="0"/>
          </w:rPr>
          <w:fldChar w:fldCharType="separate"/>
        </w:r>
        <w:r w:rsidR="00DF1AA7">
          <w:rPr>
            <w:rFonts w:ascii="Times New Roman" w:hAnsi="Times New Roman"/>
            <w:b w:val="0"/>
            <w:bCs w:val="0"/>
          </w:rPr>
          <w:t>35</w:t>
        </w:r>
        <w:r>
          <w:rPr>
            <w:rFonts w:ascii="Times New Roman" w:hAnsi="Times New Roman"/>
            <w:b w:val="0"/>
            <w:bCs w:val="0"/>
          </w:rPr>
          <w:fldChar w:fldCharType="end"/>
        </w:r>
      </w:hyperlink>
    </w:p>
    <w:p w:rsidR="002B653A" w:rsidRDefault="00182780">
      <w:pPr>
        <w:pStyle w:val="20"/>
        <w:spacing w:line="336" w:lineRule="auto"/>
        <w:ind w:firstLineChars="100" w:firstLine="301"/>
        <w:rPr>
          <w:rFonts w:ascii="Times New Roman" w:eastAsiaTheme="minorEastAsia" w:hAnsi="Times New Roman"/>
          <w:b w:val="0"/>
          <w:bCs w:val="0"/>
          <w:kern w:val="2"/>
        </w:rPr>
      </w:pPr>
      <w:hyperlink w:anchor="_Toc90415750" w:history="1">
        <w:r w:rsidR="00DF1AA7">
          <w:rPr>
            <w:rStyle w:val="ab"/>
            <w:rFonts w:ascii="Times New Roman" w:eastAsia="黑体" w:hAnsi="Times New Roman"/>
            <w:b w:val="0"/>
            <w:bCs w:val="0"/>
          </w:rPr>
          <w:t>第四节</w:t>
        </w:r>
        <w:r w:rsidR="00DF1AA7">
          <w:rPr>
            <w:rStyle w:val="ab"/>
            <w:rFonts w:ascii="Times New Roman" w:eastAsia="黑体" w:hAnsi="Times New Roman"/>
            <w:b w:val="0"/>
            <w:bCs w:val="0"/>
          </w:rPr>
          <w:t xml:space="preserve">  </w:t>
        </w:r>
        <w:r w:rsidR="00DF1AA7">
          <w:rPr>
            <w:rStyle w:val="ab"/>
            <w:rFonts w:ascii="Times New Roman" w:eastAsia="黑体" w:hAnsi="Times New Roman"/>
            <w:b w:val="0"/>
            <w:bCs w:val="0"/>
          </w:rPr>
          <w:t>加强防处衔接，提供秩序保障</w:t>
        </w:r>
        <w:r w:rsidR="00DF1AA7">
          <w:rPr>
            <w:rFonts w:ascii="Times New Roman" w:hAnsi="Times New Roman"/>
            <w:b w:val="0"/>
            <w:bCs w:val="0"/>
          </w:rPr>
          <w:tab/>
        </w:r>
        <w:r>
          <w:rPr>
            <w:rFonts w:ascii="Times New Roman" w:hAnsi="Times New Roman"/>
            <w:b w:val="0"/>
            <w:bCs w:val="0"/>
          </w:rPr>
          <w:fldChar w:fldCharType="begin"/>
        </w:r>
        <w:r w:rsidR="00DF1AA7">
          <w:rPr>
            <w:rFonts w:ascii="Times New Roman" w:hAnsi="Times New Roman"/>
            <w:b w:val="0"/>
            <w:bCs w:val="0"/>
          </w:rPr>
          <w:instrText xml:space="preserve"> PAGEREF _Toc90415750 \h </w:instrText>
        </w:r>
        <w:r>
          <w:rPr>
            <w:rFonts w:ascii="Times New Roman" w:hAnsi="Times New Roman"/>
            <w:b w:val="0"/>
            <w:bCs w:val="0"/>
          </w:rPr>
        </w:r>
        <w:r>
          <w:rPr>
            <w:rFonts w:ascii="Times New Roman" w:hAnsi="Times New Roman"/>
            <w:b w:val="0"/>
            <w:bCs w:val="0"/>
          </w:rPr>
          <w:fldChar w:fldCharType="separate"/>
        </w:r>
        <w:r w:rsidR="00DF1AA7">
          <w:rPr>
            <w:rFonts w:ascii="Times New Roman" w:hAnsi="Times New Roman"/>
            <w:b w:val="0"/>
            <w:bCs w:val="0"/>
          </w:rPr>
          <w:t>36</w:t>
        </w:r>
        <w:r>
          <w:rPr>
            <w:rFonts w:ascii="Times New Roman" w:hAnsi="Times New Roman"/>
            <w:b w:val="0"/>
            <w:bCs w:val="0"/>
          </w:rPr>
          <w:fldChar w:fldCharType="end"/>
        </w:r>
      </w:hyperlink>
    </w:p>
    <w:p w:rsidR="002B653A" w:rsidRDefault="00182780">
      <w:pPr>
        <w:pStyle w:val="20"/>
        <w:spacing w:line="336" w:lineRule="auto"/>
        <w:ind w:firstLineChars="100" w:firstLine="301"/>
        <w:rPr>
          <w:rFonts w:ascii="Times New Roman" w:eastAsiaTheme="minorEastAsia" w:hAnsi="Times New Roman"/>
          <w:b w:val="0"/>
          <w:bCs w:val="0"/>
          <w:kern w:val="2"/>
        </w:rPr>
      </w:pPr>
      <w:hyperlink w:anchor="_Toc90415751" w:history="1">
        <w:r w:rsidR="00DF1AA7">
          <w:rPr>
            <w:rStyle w:val="ab"/>
            <w:rFonts w:ascii="Times New Roman" w:eastAsia="黑体" w:hAnsi="Times New Roman"/>
            <w:b w:val="0"/>
            <w:bCs w:val="0"/>
          </w:rPr>
          <w:t>第五节</w:t>
        </w:r>
        <w:r w:rsidR="00DF1AA7">
          <w:rPr>
            <w:rStyle w:val="ab"/>
            <w:rFonts w:ascii="Times New Roman" w:eastAsia="黑体" w:hAnsi="Times New Roman"/>
            <w:b w:val="0"/>
            <w:bCs w:val="0"/>
          </w:rPr>
          <w:t xml:space="preserve">  </w:t>
        </w:r>
        <w:r w:rsidR="00DF1AA7">
          <w:rPr>
            <w:rStyle w:val="ab"/>
            <w:rFonts w:ascii="Times New Roman" w:eastAsia="黑体" w:hAnsi="Times New Roman"/>
            <w:b w:val="0"/>
            <w:bCs w:val="0"/>
          </w:rPr>
          <w:t>加强多元激励，提供资金保障</w:t>
        </w:r>
        <w:r w:rsidR="00DF1AA7">
          <w:rPr>
            <w:rFonts w:ascii="Times New Roman" w:hAnsi="Times New Roman"/>
            <w:b w:val="0"/>
            <w:bCs w:val="0"/>
          </w:rPr>
          <w:tab/>
        </w:r>
        <w:r>
          <w:rPr>
            <w:rFonts w:ascii="Times New Roman" w:hAnsi="Times New Roman"/>
            <w:b w:val="0"/>
            <w:bCs w:val="0"/>
          </w:rPr>
          <w:fldChar w:fldCharType="begin"/>
        </w:r>
        <w:r w:rsidR="00DF1AA7">
          <w:rPr>
            <w:rFonts w:ascii="Times New Roman" w:hAnsi="Times New Roman"/>
            <w:b w:val="0"/>
            <w:bCs w:val="0"/>
          </w:rPr>
          <w:instrText xml:space="preserve"> PAGEREF _Toc90415751 \h </w:instrText>
        </w:r>
        <w:r>
          <w:rPr>
            <w:rFonts w:ascii="Times New Roman" w:hAnsi="Times New Roman"/>
            <w:b w:val="0"/>
            <w:bCs w:val="0"/>
          </w:rPr>
        </w:r>
        <w:r>
          <w:rPr>
            <w:rFonts w:ascii="Times New Roman" w:hAnsi="Times New Roman"/>
            <w:b w:val="0"/>
            <w:bCs w:val="0"/>
          </w:rPr>
          <w:fldChar w:fldCharType="separate"/>
        </w:r>
        <w:r w:rsidR="00DF1AA7">
          <w:rPr>
            <w:rFonts w:ascii="Times New Roman" w:hAnsi="Times New Roman"/>
            <w:b w:val="0"/>
            <w:bCs w:val="0"/>
          </w:rPr>
          <w:t>37</w:t>
        </w:r>
        <w:r>
          <w:rPr>
            <w:rFonts w:ascii="Times New Roman" w:hAnsi="Times New Roman"/>
            <w:b w:val="0"/>
            <w:bCs w:val="0"/>
          </w:rPr>
          <w:fldChar w:fldCharType="end"/>
        </w:r>
      </w:hyperlink>
    </w:p>
    <w:p w:rsidR="002B653A" w:rsidRDefault="00182780">
      <w:pPr>
        <w:pStyle w:val="10"/>
        <w:tabs>
          <w:tab w:val="right" w:leader="dot" w:pos="8296"/>
        </w:tabs>
        <w:adjustRightInd w:val="0"/>
        <w:snapToGrid w:val="0"/>
        <w:spacing w:after="0" w:line="336" w:lineRule="auto"/>
        <w:rPr>
          <w:rFonts w:ascii="Times New Roman" w:eastAsiaTheme="minorEastAsia" w:hAnsi="Times New Roman"/>
          <w:b/>
          <w:bCs/>
          <w:kern w:val="2"/>
          <w:sz w:val="30"/>
          <w:szCs w:val="30"/>
        </w:rPr>
      </w:pPr>
      <w:hyperlink w:anchor="_Toc90415752" w:history="1">
        <w:r w:rsidR="00DF1AA7">
          <w:rPr>
            <w:rStyle w:val="ab"/>
            <w:rFonts w:ascii="Times New Roman" w:eastAsia="黑体" w:hAnsi="Times New Roman"/>
            <w:b/>
            <w:bCs/>
            <w:sz w:val="30"/>
            <w:szCs w:val="30"/>
          </w:rPr>
          <w:t>第五章</w:t>
        </w:r>
        <w:r w:rsidR="00DF1AA7">
          <w:rPr>
            <w:rStyle w:val="ab"/>
            <w:rFonts w:ascii="Times New Roman" w:eastAsia="黑体" w:hAnsi="Times New Roman"/>
            <w:b/>
            <w:bCs/>
            <w:sz w:val="30"/>
            <w:szCs w:val="30"/>
          </w:rPr>
          <w:t xml:space="preserve">  </w:t>
        </w:r>
        <w:r w:rsidR="00DF1AA7">
          <w:rPr>
            <w:rStyle w:val="ab"/>
            <w:rFonts w:ascii="Times New Roman" w:eastAsia="黑体" w:hAnsi="Times New Roman"/>
            <w:b/>
            <w:bCs/>
            <w:sz w:val="30"/>
            <w:szCs w:val="30"/>
          </w:rPr>
          <w:t>评价指标体系</w:t>
        </w:r>
        <w:r w:rsidR="00DF1AA7">
          <w:rPr>
            <w:rFonts w:ascii="Times New Roman" w:hAnsi="Times New Roman"/>
            <w:b/>
            <w:bCs/>
            <w:sz w:val="30"/>
            <w:szCs w:val="30"/>
          </w:rPr>
          <w:tab/>
        </w:r>
        <w:r>
          <w:rPr>
            <w:rFonts w:ascii="Times New Roman" w:hAnsi="Times New Roman"/>
            <w:b/>
            <w:bCs/>
            <w:sz w:val="30"/>
            <w:szCs w:val="30"/>
          </w:rPr>
          <w:fldChar w:fldCharType="begin"/>
        </w:r>
        <w:r w:rsidR="00DF1AA7">
          <w:rPr>
            <w:rFonts w:ascii="Times New Roman" w:hAnsi="Times New Roman"/>
            <w:b/>
            <w:bCs/>
            <w:sz w:val="30"/>
            <w:szCs w:val="30"/>
          </w:rPr>
          <w:instrText xml:space="preserve"> PAGEREF _Toc90415752 \h </w:instrText>
        </w:r>
        <w:r>
          <w:rPr>
            <w:rFonts w:ascii="Times New Roman" w:hAnsi="Times New Roman"/>
            <w:b/>
            <w:bCs/>
            <w:sz w:val="30"/>
            <w:szCs w:val="30"/>
          </w:rPr>
        </w:r>
        <w:r>
          <w:rPr>
            <w:rFonts w:ascii="Times New Roman" w:hAnsi="Times New Roman"/>
            <w:b/>
            <w:bCs/>
            <w:sz w:val="30"/>
            <w:szCs w:val="30"/>
          </w:rPr>
          <w:fldChar w:fldCharType="separate"/>
        </w:r>
        <w:r w:rsidR="00DF1AA7">
          <w:rPr>
            <w:rFonts w:ascii="Times New Roman" w:hAnsi="Times New Roman"/>
            <w:b/>
            <w:bCs/>
            <w:sz w:val="30"/>
            <w:szCs w:val="30"/>
          </w:rPr>
          <w:t>38</w:t>
        </w:r>
        <w:r>
          <w:rPr>
            <w:rFonts w:ascii="Times New Roman" w:hAnsi="Times New Roman"/>
            <w:b/>
            <w:bCs/>
            <w:sz w:val="30"/>
            <w:szCs w:val="30"/>
          </w:rPr>
          <w:fldChar w:fldCharType="end"/>
        </w:r>
      </w:hyperlink>
    </w:p>
    <w:p w:rsidR="002B653A" w:rsidRDefault="00182780">
      <w:pPr>
        <w:pStyle w:val="20"/>
        <w:spacing w:line="336" w:lineRule="auto"/>
        <w:ind w:firstLineChars="100" w:firstLine="301"/>
        <w:rPr>
          <w:rFonts w:ascii="Times New Roman" w:eastAsiaTheme="minorEastAsia" w:hAnsi="Times New Roman"/>
          <w:b w:val="0"/>
          <w:bCs w:val="0"/>
          <w:kern w:val="2"/>
        </w:rPr>
      </w:pPr>
      <w:hyperlink w:anchor="_Toc90415753" w:history="1">
        <w:r w:rsidR="00DF1AA7">
          <w:rPr>
            <w:rStyle w:val="ab"/>
            <w:rFonts w:ascii="Times New Roman" w:eastAsia="黑体" w:hAnsi="Times New Roman"/>
            <w:b w:val="0"/>
            <w:bCs w:val="0"/>
          </w:rPr>
          <w:t>第一节</w:t>
        </w:r>
        <w:r w:rsidR="00DF1AA7">
          <w:rPr>
            <w:rStyle w:val="ab"/>
            <w:rFonts w:ascii="Times New Roman" w:eastAsia="黑体" w:hAnsi="Times New Roman"/>
            <w:b w:val="0"/>
            <w:bCs w:val="0"/>
          </w:rPr>
          <w:t xml:space="preserve">  </w:t>
        </w:r>
        <w:r w:rsidR="00DF1AA7">
          <w:rPr>
            <w:rStyle w:val="ab"/>
            <w:rFonts w:ascii="Times New Roman" w:eastAsia="黑体" w:hAnsi="Times New Roman"/>
            <w:b w:val="0"/>
            <w:bCs w:val="0"/>
          </w:rPr>
          <w:t>基层治理指标体系</w:t>
        </w:r>
        <w:r w:rsidR="00DF1AA7">
          <w:rPr>
            <w:rFonts w:ascii="Times New Roman" w:hAnsi="Times New Roman"/>
            <w:b w:val="0"/>
            <w:bCs w:val="0"/>
          </w:rPr>
          <w:tab/>
        </w:r>
        <w:r>
          <w:rPr>
            <w:rFonts w:ascii="Times New Roman" w:hAnsi="Times New Roman"/>
            <w:b w:val="0"/>
            <w:bCs w:val="0"/>
          </w:rPr>
          <w:fldChar w:fldCharType="begin"/>
        </w:r>
        <w:r w:rsidR="00DF1AA7">
          <w:rPr>
            <w:rFonts w:ascii="Times New Roman" w:hAnsi="Times New Roman"/>
            <w:b w:val="0"/>
            <w:bCs w:val="0"/>
          </w:rPr>
          <w:instrText xml:space="preserve"> PAGEREF _Toc90415753 \h </w:instrText>
        </w:r>
        <w:r>
          <w:rPr>
            <w:rFonts w:ascii="Times New Roman" w:hAnsi="Times New Roman"/>
            <w:b w:val="0"/>
            <w:bCs w:val="0"/>
          </w:rPr>
        </w:r>
        <w:r>
          <w:rPr>
            <w:rFonts w:ascii="Times New Roman" w:hAnsi="Times New Roman"/>
            <w:b w:val="0"/>
            <w:bCs w:val="0"/>
          </w:rPr>
          <w:fldChar w:fldCharType="separate"/>
        </w:r>
        <w:r w:rsidR="00DF1AA7">
          <w:rPr>
            <w:rFonts w:ascii="Times New Roman" w:hAnsi="Times New Roman"/>
            <w:b w:val="0"/>
            <w:bCs w:val="0"/>
          </w:rPr>
          <w:t>38</w:t>
        </w:r>
        <w:r>
          <w:rPr>
            <w:rFonts w:ascii="Times New Roman" w:hAnsi="Times New Roman"/>
            <w:b w:val="0"/>
            <w:bCs w:val="0"/>
          </w:rPr>
          <w:fldChar w:fldCharType="end"/>
        </w:r>
      </w:hyperlink>
    </w:p>
    <w:p w:rsidR="002B653A" w:rsidRDefault="00182780">
      <w:pPr>
        <w:pStyle w:val="20"/>
        <w:spacing w:line="336" w:lineRule="auto"/>
        <w:ind w:firstLineChars="100" w:firstLine="301"/>
        <w:rPr>
          <w:rFonts w:ascii="Times New Roman" w:eastAsiaTheme="minorEastAsia" w:hAnsi="Times New Roman"/>
          <w:b w:val="0"/>
          <w:bCs w:val="0"/>
          <w:kern w:val="2"/>
        </w:rPr>
      </w:pPr>
      <w:hyperlink w:anchor="_Toc90415754" w:history="1">
        <w:r w:rsidR="00DF1AA7">
          <w:rPr>
            <w:rStyle w:val="ab"/>
            <w:rFonts w:ascii="Times New Roman" w:eastAsia="黑体" w:hAnsi="Times New Roman"/>
            <w:b w:val="0"/>
            <w:bCs w:val="0"/>
          </w:rPr>
          <w:t>第二节</w:t>
        </w:r>
        <w:r w:rsidR="00DF1AA7">
          <w:rPr>
            <w:rStyle w:val="ab"/>
            <w:rFonts w:ascii="Times New Roman" w:eastAsia="黑体" w:hAnsi="Times New Roman"/>
            <w:b w:val="0"/>
            <w:bCs w:val="0"/>
          </w:rPr>
          <w:t xml:space="preserve">  </w:t>
        </w:r>
        <w:r w:rsidR="00DF1AA7">
          <w:rPr>
            <w:rStyle w:val="ab"/>
            <w:rFonts w:ascii="Times New Roman" w:eastAsia="黑体" w:hAnsi="Times New Roman"/>
            <w:b w:val="0"/>
            <w:bCs w:val="0"/>
          </w:rPr>
          <w:t>基层治理保障指标体系</w:t>
        </w:r>
        <w:r w:rsidR="00DF1AA7">
          <w:rPr>
            <w:rFonts w:ascii="Times New Roman" w:hAnsi="Times New Roman"/>
            <w:b w:val="0"/>
            <w:bCs w:val="0"/>
          </w:rPr>
          <w:tab/>
        </w:r>
        <w:r>
          <w:rPr>
            <w:rFonts w:ascii="Times New Roman" w:hAnsi="Times New Roman"/>
            <w:b w:val="0"/>
            <w:bCs w:val="0"/>
          </w:rPr>
          <w:fldChar w:fldCharType="begin"/>
        </w:r>
        <w:r w:rsidR="00DF1AA7">
          <w:rPr>
            <w:rFonts w:ascii="Times New Roman" w:hAnsi="Times New Roman"/>
            <w:b w:val="0"/>
            <w:bCs w:val="0"/>
          </w:rPr>
          <w:instrText xml:space="preserve"> PAGEREF _Toc90415754 \h </w:instrText>
        </w:r>
        <w:r>
          <w:rPr>
            <w:rFonts w:ascii="Times New Roman" w:hAnsi="Times New Roman"/>
            <w:b w:val="0"/>
            <w:bCs w:val="0"/>
          </w:rPr>
        </w:r>
        <w:r>
          <w:rPr>
            <w:rFonts w:ascii="Times New Roman" w:hAnsi="Times New Roman"/>
            <w:b w:val="0"/>
            <w:bCs w:val="0"/>
          </w:rPr>
          <w:fldChar w:fldCharType="separate"/>
        </w:r>
        <w:r w:rsidR="00DF1AA7">
          <w:rPr>
            <w:rFonts w:ascii="Times New Roman" w:hAnsi="Times New Roman"/>
            <w:b w:val="0"/>
            <w:bCs w:val="0"/>
          </w:rPr>
          <w:t>40</w:t>
        </w:r>
        <w:r>
          <w:rPr>
            <w:rFonts w:ascii="Times New Roman" w:hAnsi="Times New Roman"/>
            <w:b w:val="0"/>
            <w:bCs w:val="0"/>
          </w:rPr>
          <w:fldChar w:fldCharType="end"/>
        </w:r>
      </w:hyperlink>
    </w:p>
    <w:p w:rsidR="002B653A" w:rsidRDefault="00182780">
      <w:pPr>
        <w:adjustRightInd w:val="0"/>
        <w:snapToGrid w:val="0"/>
        <w:spacing w:line="336" w:lineRule="auto"/>
        <w:rPr>
          <w:sz w:val="30"/>
          <w:szCs w:val="30"/>
        </w:rPr>
      </w:pPr>
      <w:r>
        <w:rPr>
          <w:rFonts w:ascii="Times New Roman" w:hAnsi="Times New Roman"/>
          <w:sz w:val="30"/>
          <w:szCs w:val="30"/>
          <w:lang w:val="zh-CN"/>
        </w:rPr>
        <w:fldChar w:fldCharType="end"/>
      </w:r>
    </w:p>
    <w:p w:rsidR="002B653A" w:rsidRDefault="002B653A">
      <w:pPr>
        <w:pStyle w:val="1"/>
        <w:keepNext w:val="0"/>
        <w:keepLines w:val="0"/>
        <w:widowControl w:val="0"/>
        <w:spacing w:before="0" w:after="0" w:line="360" w:lineRule="auto"/>
        <w:jc w:val="center"/>
        <w:rPr>
          <w:rFonts w:ascii="仿宋" w:eastAsia="仿宋" w:hAnsi="仿宋"/>
          <w:color w:val="000000"/>
          <w:sz w:val="30"/>
          <w:szCs w:val="30"/>
          <w:shd w:val="clear" w:color="auto" w:fill="FFFFFF"/>
        </w:rPr>
        <w:sectPr w:rsidR="002B653A">
          <w:pgSz w:w="11906" w:h="16838"/>
          <w:pgMar w:top="1440" w:right="1800" w:bottom="1440" w:left="1800" w:header="851" w:footer="992" w:gutter="0"/>
          <w:pgNumType w:fmt="upperRoman" w:start="1"/>
          <w:cols w:space="720"/>
          <w:docGrid w:type="lines" w:linePitch="312"/>
        </w:sectPr>
      </w:pPr>
    </w:p>
    <w:p w:rsidR="002B653A" w:rsidRDefault="00DF1AA7" w:rsidP="0091109A">
      <w:pPr>
        <w:pStyle w:val="1"/>
        <w:keepNext w:val="0"/>
        <w:keepLines w:val="0"/>
        <w:widowControl w:val="0"/>
        <w:spacing w:beforeLines="100" w:afterLines="100" w:line="240" w:lineRule="auto"/>
        <w:jc w:val="center"/>
        <w:rPr>
          <w:rFonts w:ascii="黑体" w:eastAsia="黑体" w:hAnsi="黑体"/>
          <w:sz w:val="36"/>
          <w:szCs w:val="36"/>
        </w:rPr>
      </w:pPr>
      <w:bookmarkStart w:id="1" w:name="_Toc90415709"/>
      <w:r>
        <w:rPr>
          <w:rFonts w:ascii="黑体" w:eastAsia="黑体" w:hAnsi="黑体" w:hint="eastAsia"/>
          <w:sz w:val="36"/>
          <w:szCs w:val="36"/>
        </w:rPr>
        <w:lastRenderedPageBreak/>
        <w:t>前 言</w:t>
      </w:r>
      <w:bookmarkEnd w:id="1"/>
    </w:p>
    <w:p w:rsidR="002B653A" w:rsidRDefault="00DF1AA7">
      <w:pPr>
        <w:adjustRightInd w:val="0"/>
        <w:snapToGrid w:val="0"/>
        <w:spacing w:line="360" w:lineRule="auto"/>
        <w:ind w:firstLineChars="200" w:firstLine="600"/>
        <w:rPr>
          <w:rFonts w:ascii="Times New Roman" w:eastAsia="仿宋" w:hAnsi="Times New Roman"/>
          <w:sz w:val="30"/>
          <w:szCs w:val="30"/>
        </w:rPr>
      </w:pPr>
      <w:r>
        <w:rPr>
          <w:rFonts w:ascii="仿宋" w:eastAsia="仿宋" w:hAnsi="仿宋" w:hint="eastAsia"/>
          <w:sz w:val="30"/>
          <w:szCs w:val="30"/>
        </w:rPr>
        <w:t>“十四五”时期是我国全面建成小康社会、实现第一个百年奋斗目标之后，乘胜而上开启全面建设社会主义现代化国家新征程、向第二个百年奋斗目标进军的第一个五年，也是广汉市全面建成小康社会向基本实现社会主义现代化迈进承上启下的关键时期。党的十九届五中全会审议通过的《中华人民共和国国民经济和社会发展第十四个五年规划和2035年远景目标纲要》提出</w:t>
      </w:r>
      <w:r>
        <w:rPr>
          <w:rFonts w:ascii="Times New Roman" w:eastAsia="仿宋" w:hAnsi="Times New Roman"/>
          <w:sz w:val="30"/>
          <w:szCs w:val="30"/>
        </w:rPr>
        <w:t>二</w:t>
      </w:r>
      <w:r>
        <w:rPr>
          <w:rFonts w:ascii="Times New Roman" w:eastAsia="仿宋" w:hAnsi="Times New Roman"/>
          <w:sz w:val="30"/>
          <w:szCs w:val="30"/>
        </w:rPr>
        <w:sym w:font="Wingdings" w:char="F0A1"/>
      </w:r>
      <w:r>
        <w:rPr>
          <w:rFonts w:ascii="Times New Roman" w:eastAsia="仿宋" w:hAnsi="Times New Roman" w:hint="eastAsia"/>
          <w:sz w:val="30"/>
          <w:szCs w:val="30"/>
        </w:rPr>
        <w:t>三五年“基本实现国家治理体系和治理能力现代化”“平安中国建设达到更高水平”，指出“十四五”时期经济社会发展的主要目标之一是“社会治理特别是基层治理水平明显提高”。</w:t>
      </w:r>
      <w:r>
        <w:rPr>
          <w:rFonts w:ascii="仿宋" w:eastAsia="仿宋" w:hAnsi="仿宋"/>
          <w:sz w:val="30"/>
          <w:szCs w:val="30"/>
        </w:rPr>
        <w:t>《</w:t>
      </w:r>
      <w:r>
        <w:rPr>
          <w:rFonts w:ascii="仿宋" w:eastAsia="仿宋" w:hAnsi="仿宋" w:hint="eastAsia"/>
          <w:sz w:val="30"/>
          <w:szCs w:val="30"/>
        </w:rPr>
        <w:t>中共中央国务院关于加强基层治理体系和治理能力现代化建设的意见》进一步指出“基层治理是国家治理的基石，统筹推进乡镇（街道）和城乡社区治理，是实现国家治理体系和治理能力现代化的基础工程”。</w:t>
      </w:r>
    </w:p>
    <w:p w:rsidR="002B653A" w:rsidRDefault="00DF1AA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为全面提升广汉城乡社会基层治理能效，推进基层治理体系和治理能力现代化，按照党中央、国务院、省委省政府、德阳市委市政府关于推进国家治理体系和治理能力现代化系列重大战略部署，根据《中共四川省委关于深入贯彻党的十九届四中全会精神推进城乡基层治理制度创新和能力建设的决定》《四川省“十四五”城乡社区发展治理规划》《中共德阳市委关于深入贯彻党的十九届四中全会和省委十一届六中全会精神推进城乡基层治理制度创新和能力建设干在实处走在前列的决定》《广汉市国民经济和社会发展第十四个五年规划和</w:t>
      </w:r>
      <w:r>
        <w:rPr>
          <w:rFonts w:ascii="Times New Roman" w:eastAsia="仿宋" w:hAnsi="Times New Roman"/>
          <w:sz w:val="30"/>
          <w:szCs w:val="30"/>
        </w:rPr>
        <w:t>二</w:t>
      </w:r>
      <w:r>
        <w:rPr>
          <w:rFonts w:ascii="Times New Roman" w:eastAsia="仿宋" w:hAnsi="Times New Roman"/>
          <w:sz w:val="30"/>
          <w:szCs w:val="30"/>
        </w:rPr>
        <w:sym w:font="Wingdings" w:char="F0A1"/>
      </w:r>
      <w:r>
        <w:rPr>
          <w:rFonts w:ascii="Times New Roman" w:eastAsia="仿宋" w:hAnsi="Times New Roman" w:hint="eastAsia"/>
          <w:sz w:val="30"/>
          <w:szCs w:val="30"/>
        </w:rPr>
        <w:t>三五年远景目标纲要</w:t>
      </w:r>
      <w:r>
        <w:rPr>
          <w:rFonts w:ascii="仿宋" w:eastAsia="仿宋" w:hAnsi="仿宋" w:hint="eastAsia"/>
          <w:sz w:val="30"/>
          <w:szCs w:val="30"/>
        </w:rPr>
        <w:t>》</w:t>
      </w:r>
      <w:r>
        <w:rPr>
          <w:rFonts w:ascii="仿宋" w:eastAsia="仿宋" w:hAnsi="仿宋" w:hint="eastAsia"/>
          <w:sz w:val="30"/>
          <w:szCs w:val="30"/>
        </w:rPr>
        <w:lastRenderedPageBreak/>
        <w:t>《中共广汉市委关于深入贯彻党的十九届四中全会精神推进城乡基层治理制度创新和能力建设的决定》《广汉市坚持党建引领深化基层治理实施积分管理制的工作方案》等文件精神制定本规划。</w:t>
      </w:r>
    </w:p>
    <w:p w:rsidR="002B653A" w:rsidRDefault="00DF1AA7">
      <w:pPr>
        <w:adjustRightInd w:val="0"/>
        <w:snapToGrid w:val="0"/>
        <w:spacing w:line="360" w:lineRule="auto"/>
        <w:ind w:firstLineChars="200" w:firstLine="600"/>
        <w:rPr>
          <w:rFonts w:ascii="仿宋" w:eastAsia="仿宋" w:hAnsi="仿宋"/>
          <w:color w:val="000000"/>
          <w:sz w:val="30"/>
          <w:szCs w:val="30"/>
          <w:shd w:val="clear" w:color="auto" w:fill="FFFFFF"/>
        </w:rPr>
      </w:pPr>
      <w:r>
        <w:rPr>
          <w:rFonts w:ascii="Times New Roman" w:eastAsia="仿宋" w:hAnsi="Times New Roman" w:hint="eastAsia"/>
          <w:sz w:val="30"/>
          <w:szCs w:val="30"/>
        </w:rPr>
        <w:t>科学编制和实施好《广汉市城乡基层治理“十四五”规划》，对推动广汉市高质量跨越式发展具有重要意义。</w:t>
      </w:r>
      <w:r>
        <w:rPr>
          <w:rFonts w:ascii="仿宋" w:eastAsia="仿宋" w:hAnsi="仿宋" w:hint="eastAsia"/>
          <w:sz w:val="30"/>
          <w:szCs w:val="30"/>
        </w:rPr>
        <w:t>本《规划》以习近平总书记关于城乡基层治理的重要论述为思想指导，以习近平新时代中国特色社会主义思想为根本遵循，以“坚持和完善共建共治共享的社会治理制度”为总要求，以增进人民福祉为出发点和落脚点，明确广汉市“十四五”时期城乡基层治理的指导思想、基本原则、目标任务、治理路径、保障措施。坚持立足新发展阶段、贯彻新发展理念、融入新发展格局，不断巩固拓展广汉城乡基层治理成果，探索广汉市城乡基层治理新理念、新机制、新模式、新场景，构建新时代城乡基层治理新格局的行动纲领，以指导</w:t>
      </w:r>
      <w:r>
        <w:rPr>
          <w:rFonts w:ascii="仿宋" w:eastAsia="仿宋" w:hAnsi="仿宋"/>
          <w:color w:val="000000"/>
          <w:sz w:val="30"/>
          <w:szCs w:val="30"/>
          <w:shd w:val="clear" w:color="auto" w:fill="FFFFFF"/>
        </w:rPr>
        <w:t>未来五年</w:t>
      </w:r>
      <w:r>
        <w:rPr>
          <w:rFonts w:ascii="仿宋" w:eastAsia="仿宋" w:hAnsi="仿宋" w:hint="eastAsia"/>
          <w:color w:val="000000"/>
          <w:sz w:val="30"/>
          <w:szCs w:val="30"/>
          <w:shd w:val="clear" w:color="auto" w:fill="FFFFFF"/>
        </w:rPr>
        <w:t>广汉市城乡基层治理和推进广汉市基层治理体系和治理能力现代化，助推广汉市高质量跨越式发展。</w:t>
      </w:r>
    </w:p>
    <w:p w:rsidR="002B653A" w:rsidRDefault="002B653A">
      <w:pPr>
        <w:adjustRightInd w:val="0"/>
        <w:snapToGrid w:val="0"/>
        <w:spacing w:line="360" w:lineRule="auto"/>
        <w:ind w:firstLineChars="200" w:firstLine="600"/>
        <w:rPr>
          <w:rFonts w:ascii="仿宋" w:eastAsia="仿宋" w:hAnsi="仿宋"/>
          <w:color w:val="000000"/>
          <w:sz w:val="30"/>
          <w:szCs w:val="30"/>
          <w:shd w:val="clear" w:color="auto" w:fill="FFFFFF"/>
        </w:rPr>
      </w:pPr>
    </w:p>
    <w:p w:rsidR="002B653A" w:rsidRDefault="002B653A">
      <w:pPr>
        <w:adjustRightInd w:val="0"/>
        <w:snapToGrid w:val="0"/>
        <w:spacing w:line="360" w:lineRule="auto"/>
        <w:ind w:firstLineChars="200" w:firstLine="600"/>
        <w:rPr>
          <w:rFonts w:ascii="仿宋" w:eastAsia="仿宋" w:hAnsi="仿宋"/>
          <w:color w:val="000000"/>
          <w:sz w:val="30"/>
          <w:szCs w:val="30"/>
          <w:shd w:val="clear" w:color="auto" w:fill="FFFFFF"/>
        </w:rPr>
        <w:sectPr w:rsidR="002B653A">
          <w:footerReference w:type="default" r:id="rId15"/>
          <w:pgSz w:w="11906" w:h="16838"/>
          <w:pgMar w:top="1440" w:right="1800" w:bottom="1440" w:left="1800" w:header="851" w:footer="992" w:gutter="0"/>
          <w:pgNumType w:start="1"/>
          <w:cols w:space="720"/>
          <w:docGrid w:type="lines" w:linePitch="312"/>
        </w:sectPr>
      </w:pPr>
    </w:p>
    <w:p w:rsidR="002B653A" w:rsidRDefault="00DF1AA7" w:rsidP="0091109A">
      <w:pPr>
        <w:pStyle w:val="1"/>
        <w:keepNext w:val="0"/>
        <w:keepLines w:val="0"/>
        <w:widowControl w:val="0"/>
        <w:spacing w:beforeLines="100" w:afterLines="100" w:line="240" w:lineRule="auto"/>
        <w:jc w:val="center"/>
        <w:rPr>
          <w:rFonts w:ascii="黑体" w:eastAsia="黑体" w:hAnsi="黑体"/>
          <w:sz w:val="36"/>
          <w:szCs w:val="36"/>
        </w:rPr>
      </w:pPr>
      <w:bookmarkStart w:id="2" w:name="_Toc90415710"/>
      <w:r>
        <w:rPr>
          <w:rFonts w:ascii="黑体" w:eastAsia="黑体" w:hAnsi="黑体" w:hint="eastAsia"/>
          <w:sz w:val="36"/>
          <w:szCs w:val="36"/>
        </w:rPr>
        <w:lastRenderedPageBreak/>
        <w:t>第一章 规划背景</w:t>
      </w:r>
      <w:bookmarkEnd w:id="2"/>
    </w:p>
    <w:p w:rsidR="002B653A" w:rsidRDefault="00DF1AA7" w:rsidP="0091109A">
      <w:pPr>
        <w:pStyle w:val="2"/>
        <w:keepNext w:val="0"/>
        <w:keepLines w:val="0"/>
        <w:widowControl w:val="0"/>
        <w:spacing w:beforeLines="100" w:afterLines="100" w:line="240" w:lineRule="auto"/>
        <w:jc w:val="center"/>
        <w:rPr>
          <w:rFonts w:ascii="黑体" w:eastAsia="黑体" w:hAnsi="黑体"/>
          <w:b w:val="0"/>
        </w:rPr>
      </w:pPr>
      <w:bookmarkStart w:id="3" w:name="_Toc90415711"/>
      <w:r>
        <w:rPr>
          <w:rFonts w:ascii="黑体" w:eastAsia="黑体" w:hAnsi="黑体" w:hint="eastAsia"/>
          <w:b w:val="0"/>
        </w:rPr>
        <w:t>第一节 重大意义</w:t>
      </w:r>
      <w:bookmarkEnd w:id="3"/>
    </w:p>
    <w:p w:rsidR="002B653A" w:rsidRDefault="00DF1AA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随着新时代城乡融合发展的深入推进，基层治理成了一个重要的时代课题，尤其在新冠肺炎疫情发生以来，提升基层治理水平既是现实的需要，也是新时代发展的需要。</w:t>
      </w:r>
    </w:p>
    <w:p w:rsidR="002B653A" w:rsidRDefault="00DF1AA7">
      <w:pPr>
        <w:pStyle w:val="3"/>
        <w:adjustRightInd w:val="0"/>
        <w:snapToGrid w:val="0"/>
        <w:spacing w:before="0" w:after="0" w:line="360" w:lineRule="auto"/>
        <w:ind w:firstLineChars="200" w:firstLine="602"/>
        <w:rPr>
          <w:rFonts w:ascii="仿宋" w:eastAsia="仿宋" w:hAnsi="仿宋"/>
          <w:sz w:val="30"/>
          <w:szCs w:val="30"/>
        </w:rPr>
      </w:pPr>
      <w:bookmarkStart w:id="4" w:name="_Toc90415712"/>
      <w:r>
        <w:rPr>
          <w:rFonts w:ascii="仿宋" w:eastAsia="仿宋" w:hAnsi="仿宋" w:hint="eastAsia"/>
          <w:sz w:val="30"/>
          <w:szCs w:val="30"/>
        </w:rPr>
        <w:t>一、基层治理是政治稳定发展的重要保障</w:t>
      </w:r>
      <w:bookmarkEnd w:id="4"/>
    </w:p>
    <w:p w:rsidR="002B653A" w:rsidRDefault="00DF1AA7">
      <w:pPr>
        <w:adjustRightInd w:val="0"/>
        <w:snapToGrid w:val="0"/>
        <w:spacing w:line="360" w:lineRule="auto"/>
        <w:ind w:firstLineChars="200" w:firstLine="600"/>
        <w:rPr>
          <w:rFonts w:ascii="仿宋" w:eastAsia="仿宋" w:hAnsi="仿宋"/>
          <w:sz w:val="30"/>
          <w:szCs w:val="30"/>
        </w:rPr>
      </w:pPr>
      <w:r>
        <w:rPr>
          <w:rFonts w:ascii="仿宋" w:eastAsia="仿宋" w:hAnsi="仿宋"/>
          <w:sz w:val="30"/>
          <w:szCs w:val="30"/>
        </w:rPr>
        <w:t>加强基层治理，对于推进国家治理体系和治理能力现代化具有重要意义。</w:t>
      </w:r>
      <w:r>
        <w:rPr>
          <w:rFonts w:ascii="仿宋" w:eastAsia="仿宋" w:hAnsi="仿宋" w:hint="eastAsia"/>
          <w:sz w:val="30"/>
          <w:szCs w:val="30"/>
        </w:rPr>
        <w:t>党的十九届四中全会从党和国家事业发展的全局和长远出发，就坚持和完善中国特色社会主义制度、推进国家治理体系和治理能力现代化问题进行专题研究并作出决定，聚焦根本制度、基本制度、重要制度，深刻回答了“坚持和巩固什么、完善和发展什么”这个重大政治问题，为推动各方面制度更加成熟更加定型明确了时间表、路线图。党的十九届六中全会进一步明确“国家治理体系和治理能力现代化水平不断提高”。基层是国家治理的最末端，也是服务群众的最前沿，厚植党的执政根基关键在基层，推进改革发展稳定的大量任务在基层，推动各项政策落地的具体工作在基层。推进国家治理体系和治理能力现代化，必须紧紧依靠基层、聚力建强基层。因此，加强和创新基层治理，关乎我党长期执政、国家长治久安和广大人民群众的切身利益，意义十分重大。</w:t>
      </w:r>
    </w:p>
    <w:p w:rsidR="002B653A" w:rsidRDefault="00DF1AA7">
      <w:pPr>
        <w:pStyle w:val="3"/>
        <w:adjustRightInd w:val="0"/>
        <w:snapToGrid w:val="0"/>
        <w:spacing w:before="0" w:after="0" w:line="360" w:lineRule="auto"/>
        <w:ind w:firstLineChars="200" w:firstLine="602"/>
        <w:rPr>
          <w:rFonts w:ascii="仿宋" w:eastAsia="仿宋" w:hAnsi="仿宋"/>
          <w:sz w:val="30"/>
          <w:szCs w:val="30"/>
        </w:rPr>
      </w:pPr>
      <w:bookmarkStart w:id="5" w:name="_Toc90415713"/>
      <w:r>
        <w:rPr>
          <w:rFonts w:ascii="仿宋" w:eastAsia="仿宋" w:hAnsi="仿宋" w:hint="eastAsia"/>
          <w:sz w:val="30"/>
          <w:szCs w:val="30"/>
        </w:rPr>
        <w:t>二、基层治理是乡村产业振兴的有力支撑</w:t>
      </w:r>
      <w:bookmarkEnd w:id="5"/>
    </w:p>
    <w:p w:rsidR="002B653A" w:rsidRDefault="00DF1AA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强化党对基层治理的领导，有利于扩大群众参与，切实维护村庄公共利益和村民合法权利。发挥党组织在乡村产业发展和村</w:t>
      </w:r>
      <w:r>
        <w:rPr>
          <w:rFonts w:ascii="仿宋" w:eastAsia="仿宋" w:hAnsi="仿宋" w:hint="eastAsia"/>
          <w:sz w:val="30"/>
          <w:szCs w:val="30"/>
        </w:rPr>
        <w:lastRenderedPageBreak/>
        <w:t>庄自治中的服务领导作用，把好产业发展方向关，确保产业发展服务村庄发展和农民增收，实现以服务凝聚群众。完善以村民议事和监事会为基础的村庄公共事务决策机制，提升群众在村庄产业决策中的影响力，夯实村庄产业发展基础。确保村民参与村庄产业发展全过程，解决乡村发展中广泛存在的精英俘获效应造成的资源过度集中和贫富分化问题，尊重农民的主体性，避免农民成为村庄发展的局外人，确保广大村民平等分享乡村振兴发展成果。鼓励村民合理利用集体经济外溢效应创新创业，支持运用农村集体资产或集体经济经营所得改善基础设施，推动乡村振兴发展。</w:t>
      </w:r>
    </w:p>
    <w:p w:rsidR="002B653A" w:rsidRDefault="00DF1AA7">
      <w:pPr>
        <w:pStyle w:val="3"/>
        <w:adjustRightInd w:val="0"/>
        <w:snapToGrid w:val="0"/>
        <w:spacing w:before="0" w:after="0" w:line="360" w:lineRule="auto"/>
        <w:ind w:firstLineChars="200" w:firstLine="602"/>
        <w:rPr>
          <w:rFonts w:ascii="仿宋" w:eastAsia="仿宋" w:hAnsi="仿宋"/>
          <w:sz w:val="30"/>
          <w:szCs w:val="30"/>
        </w:rPr>
      </w:pPr>
      <w:bookmarkStart w:id="6" w:name="_Toc90415714"/>
      <w:r>
        <w:rPr>
          <w:rFonts w:ascii="仿宋" w:eastAsia="仿宋" w:hAnsi="仿宋" w:hint="eastAsia"/>
          <w:sz w:val="30"/>
          <w:szCs w:val="30"/>
        </w:rPr>
        <w:t>三、基层治理是社会和谐稳定的必然要求</w:t>
      </w:r>
      <w:bookmarkEnd w:id="6"/>
    </w:p>
    <w:p w:rsidR="002B653A" w:rsidRDefault="00DF1AA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党的十九届六中全会指出，“社会治理社会化、法治化、智能化、专业化水平大幅度提升，发展了人民安居乐业、社会安定有序的良好局面，续写了社会长期稳定奇迹”。推进城乡基层社区治理，增强社区自治和服务功能，对于促进基层社会的和谐稳定和落实以人民为中心的发展思想具有重要意义。首先，不同利益主体的诉求必有区别，加强基层治理，推进基层多元共治，在商讨博弈过程中最终达成平衡各方利益的方案计划，消除隔阂矛盾，实现基层主体和谐发展。其次，在基层多元共治过程中，民众、社会组织与基层党员干部形成发展的革命友情，深化了鱼水关系，让群众信任党的领导，为干群关系和谐奠定现实基础。另外，“基础不牢，地动山摇”，基层治理是合木之毫末、九层之累土，其面对的是我国最广大的基层人民群众，要切实加强基层治理工作，就必须真正让人民群众成为基层治理的参与者、受益者，</w:t>
      </w:r>
      <w:r>
        <w:rPr>
          <w:rFonts w:ascii="仿宋" w:eastAsia="仿宋" w:hAnsi="仿宋" w:hint="eastAsia"/>
          <w:sz w:val="30"/>
          <w:szCs w:val="30"/>
        </w:rPr>
        <w:lastRenderedPageBreak/>
        <w:t>推动形成尊重人民主体地位、坚持以人民为中心基层治理时代潮流，正是践行以人民为中心的发展思想在基层的实践阐释。</w:t>
      </w:r>
    </w:p>
    <w:p w:rsidR="002B653A" w:rsidRDefault="00DF1AA7">
      <w:pPr>
        <w:pStyle w:val="3"/>
        <w:adjustRightInd w:val="0"/>
        <w:snapToGrid w:val="0"/>
        <w:spacing w:before="0" w:after="0" w:line="360" w:lineRule="auto"/>
        <w:ind w:firstLineChars="200" w:firstLine="602"/>
        <w:rPr>
          <w:rFonts w:ascii="仿宋" w:eastAsia="仿宋" w:hAnsi="仿宋"/>
          <w:sz w:val="30"/>
          <w:szCs w:val="30"/>
        </w:rPr>
      </w:pPr>
      <w:bookmarkStart w:id="7" w:name="_Toc90415715"/>
      <w:r>
        <w:rPr>
          <w:rFonts w:ascii="仿宋" w:eastAsia="仿宋" w:hAnsi="仿宋" w:hint="eastAsia"/>
          <w:sz w:val="30"/>
          <w:szCs w:val="30"/>
        </w:rPr>
        <w:t>四、基层治理是社区文化繁荣的驱动因子</w:t>
      </w:r>
      <w:bookmarkEnd w:id="7"/>
    </w:p>
    <w:p w:rsidR="002B653A" w:rsidRDefault="00DF1AA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进入新时代，我国社会主要矛盾已经发生了变化，包括物质生活和精神文化在内的人民日益增长的美好生活需要成为新时期广大人民群众需求的典型特征。在此基础上，社区文化作为社区居民美好生活需要的重要组成部分，正在加速丰富社区居民的精神世界。社区文化成为衡量城乡社区治理成效的重要标识，也成为城乡社区品牌和影响力提升以及对外宣传的重要载体。因此，推动城乡社区治理工作需要回应广大居民日益增长的精神文化需求，要充分挖掘社区文化资源，传承社区文化基因，创新社区文化形态，发展社区文化产业。区域内城乡社区治理的总体水平，是回应相关群体需求的重要载体，是打通城乡居民服务需求同地区良性发展的关键一环，对激活区域文化影响力，发展居民互动关系，稳定城乡社区基层治理结构，都起着导向性作用。</w:t>
      </w:r>
    </w:p>
    <w:p w:rsidR="002B653A" w:rsidRDefault="00DF1AA7">
      <w:pPr>
        <w:pStyle w:val="3"/>
        <w:adjustRightInd w:val="0"/>
        <w:snapToGrid w:val="0"/>
        <w:spacing w:before="0" w:after="0" w:line="360" w:lineRule="auto"/>
        <w:ind w:firstLineChars="200" w:firstLine="602"/>
        <w:rPr>
          <w:rFonts w:ascii="仿宋" w:eastAsia="仿宋" w:hAnsi="仿宋"/>
          <w:sz w:val="30"/>
          <w:szCs w:val="30"/>
        </w:rPr>
      </w:pPr>
      <w:bookmarkStart w:id="8" w:name="_Toc90415716"/>
      <w:r>
        <w:rPr>
          <w:rFonts w:ascii="仿宋" w:eastAsia="仿宋" w:hAnsi="仿宋" w:hint="eastAsia"/>
          <w:sz w:val="30"/>
          <w:szCs w:val="30"/>
        </w:rPr>
        <w:t>五、基层治理是生态文明建设的有效推力</w:t>
      </w:r>
      <w:bookmarkEnd w:id="8"/>
    </w:p>
    <w:p w:rsidR="002B653A" w:rsidRDefault="00DF1AA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加强基层治理，有利于加强基层生态文明建设、提高基层生态文明质量。良好的生态环境是最普惠的民生福祉，生态环境建设，事关民生福祉，事关民族发展未来。习近平总书记强调：“既要创造更多物质财富和精神财富以满足人民日益增长的美好生活需要，也要提供更多优质生态产品以满足人民日益增长的优美生态环境需要。”在城乡基层治理过程中，必须深入践行“绿水青山就是金山银山”发展理念，以污染防治为突破口，全面推进生态创建，实现全域生态、全程生态、全境生态、全民生态。城</w:t>
      </w:r>
      <w:r>
        <w:rPr>
          <w:rFonts w:ascii="仿宋" w:eastAsia="仿宋" w:hAnsi="仿宋" w:hint="eastAsia"/>
          <w:sz w:val="30"/>
          <w:szCs w:val="30"/>
        </w:rPr>
        <w:lastRenderedPageBreak/>
        <w:t>乡基层政府作为基层城乡社区发展治理的直接推动者，对当地生态文明质量具有更加全面深刻的认识和了解，在基层治理过程中，能够从源头上掌握生态环境破坏的根源，也就能够有效推动实现生态环境与经济协调、人与自然和谐相处。社区居民作为生态环境保护的直接参与者，良好的生态环境事关城乡社区居民生活质量，在基层治理过程中，基层群体有动力深度参与生态环境保护，改善居住地生态环境质量，推动基层生态文明建设。</w:t>
      </w:r>
    </w:p>
    <w:p w:rsidR="002B653A" w:rsidRDefault="00DF1AA7" w:rsidP="0091109A">
      <w:pPr>
        <w:pStyle w:val="2"/>
        <w:keepNext w:val="0"/>
        <w:keepLines w:val="0"/>
        <w:widowControl w:val="0"/>
        <w:spacing w:beforeLines="100" w:afterLines="100" w:line="240" w:lineRule="auto"/>
        <w:jc w:val="center"/>
        <w:rPr>
          <w:rFonts w:ascii="黑体" w:eastAsia="黑体" w:hAnsi="黑体"/>
          <w:b w:val="0"/>
        </w:rPr>
      </w:pPr>
      <w:bookmarkStart w:id="9" w:name="_Toc90415717"/>
      <w:r>
        <w:rPr>
          <w:rFonts w:ascii="黑体" w:eastAsia="黑体" w:hAnsi="黑体" w:hint="eastAsia"/>
          <w:b w:val="0"/>
        </w:rPr>
        <w:t>第二节 现有基础</w:t>
      </w:r>
      <w:bookmarkEnd w:id="9"/>
    </w:p>
    <w:p w:rsidR="002B653A" w:rsidRDefault="00DF1AA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广汉市认真贯彻落实中央、省委、德阳市委和广汉市委关于治理体系和治理能力现代化的部署要求，坚持党建引领，精心谋划安排、突出工作重点、凝聚多方合力、注重区域协同，探索治理模式，稳步推进城乡基层治理各项工作有力有序开展。</w:t>
      </w:r>
    </w:p>
    <w:p w:rsidR="002B653A" w:rsidRDefault="00DF1AA7">
      <w:pPr>
        <w:pStyle w:val="3"/>
        <w:adjustRightInd w:val="0"/>
        <w:snapToGrid w:val="0"/>
        <w:spacing w:before="0" w:after="0" w:line="360" w:lineRule="auto"/>
        <w:ind w:firstLineChars="200" w:firstLine="602"/>
        <w:rPr>
          <w:rFonts w:ascii="仿宋" w:eastAsia="仿宋" w:hAnsi="仿宋"/>
          <w:sz w:val="30"/>
          <w:szCs w:val="30"/>
        </w:rPr>
      </w:pPr>
      <w:bookmarkStart w:id="10" w:name="_Toc90415718"/>
      <w:r>
        <w:rPr>
          <w:rFonts w:ascii="仿宋" w:eastAsia="仿宋" w:hAnsi="仿宋" w:hint="eastAsia"/>
          <w:sz w:val="30"/>
          <w:szCs w:val="30"/>
        </w:rPr>
        <w:t>一、制度框架体系基本建成</w:t>
      </w:r>
      <w:bookmarkEnd w:id="10"/>
    </w:p>
    <w:p w:rsidR="002B653A" w:rsidRDefault="00DF1AA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成立由市委书记担任主任的市委城乡基层治理委员会，办公室设在市委组织部；成立市委城乡基层治理促进中心；各镇（街道）成立基层治理议事协调机构；城区建立“街道党工委+社区党组织+小区党组织+楼栋党小组+党员联络员”五级引领治理机制，农村建立“镇—村—组—院”四级治理体系，基本形成上下贯通、一体推进的治理体制结构框架。通过《中共广汉市委关于深入贯彻党的十九届四中全会精神 推进城乡基层治理制度创新和能力建设的决定》，成为全市推进城乡基层治理工作的纲领性文件；制定并印发《示范体系建设工作方案》《“一核五治”三年工作规划》《决定分工方案》《</w:t>
      </w:r>
      <w:r>
        <w:rPr>
          <w:rFonts w:ascii="Times New Roman" w:eastAsia="仿宋" w:hAnsi="Times New Roman"/>
          <w:sz w:val="30"/>
          <w:szCs w:val="30"/>
        </w:rPr>
        <w:t>2020</w:t>
      </w:r>
      <w:r>
        <w:rPr>
          <w:rFonts w:ascii="仿宋" w:eastAsia="仿宋" w:hAnsi="仿宋" w:hint="eastAsia"/>
          <w:sz w:val="30"/>
          <w:szCs w:val="30"/>
        </w:rPr>
        <w:t>年工作总体安排》等制度性</w:t>
      </w:r>
      <w:r>
        <w:rPr>
          <w:rFonts w:ascii="仿宋" w:eastAsia="仿宋" w:hAnsi="仿宋" w:hint="eastAsia"/>
          <w:sz w:val="30"/>
          <w:szCs w:val="30"/>
        </w:rPr>
        <w:lastRenderedPageBreak/>
        <w:t>文件。建立项目化推进、挂图作战、月研季判半年总结、现场会推进“四项机制”；《四川组工》刊发《广汉市向阳镇突出党群共建提升“农转非”安置小区治理水平》；广汉基层治理相关做法得到中央、省、市各级媒体的关于并予以刊播。</w:t>
      </w:r>
    </w:p>
    <w:p w:rsidR="002B653A" w:rsidRDefault="00DF1AA7">
      <w:pPr>
        <w:pStyle w:val="3"/>
        <w:adjustRightInd w:val="0"/>
        <w:snapToGrid w:val="0"/>
        <w:spacing w:before="0" w:after="0" w:line="360" w:lineRule="auto"/>
        <w:ind w:firstLineChars="200" w:firstLine="602"/>
        <w:rPr>
          <w:rFonts w:ascii="仿宋" w:eastAsia="仿宋" w:hAnsi="仿宋"/>
          <w:sz w:val="30"/>
          <w:szCs w:val="30"/>
        </w:rPr>
      </w:pPr>
      <w:bookmarkStart w:id="11" w:name="_Toc90415719"/>
      <w:r>
        <w:rPr>
          <w:rFonts w:ascii="仿宋" w:eastAsia="仿宋" w:hAnsi="仿宋" w:hint="eastAsia"/>
          <w:sz w:val="30"/>
          <w:szCs w:val="30"/>
        </w:rPr>
        <w:t>二、多措并举全面治理深入推进</w:t>
      </w:r>
      <w:bookmarkEnd w:id="11"/>
    </w:p>
    <w:p w:rsidR="002B653A" w:rsidRDefault="00DF1AA7">
      <w:pPr>
        <w:adjustRightInd w:val="0"/>
        <w:snapToGrid w:val="0"/>
        <w:spacing w:line="360" w:lineRule="auto"/>
        <w:ind w:firstLineChars="200" w:firstLine="600"/>
        <w:rPr>
          <w:rFonts w:ascii="仿宋" w:eastAsia="仿宋" w:hAnsi="仿宋"/>
          <w:sz w:val="30"/>
          <w:szCs w:val="30"/>
        </w:rPr>
      </w:pPr>
      <w:r>
        <w:rPr>
          <w:rFonts w:ascii="Times New Roman" w:eastAsia="仿宋" w:hAnsi="Times New Roman"/>
          <w:sz w:val="30"/>
          <w:szCs w:val="30"/>
        </w:rPr>
        <w:t>围</w:t>
      </w:r>
      <w:r>
        <w:rPr>
          <w:rFonts w:ascii="仿宋" w:eastAsia="仿宋" w:hAnsi="仿宋"/>
          <w:sz w:val="30"/>
          <w:szCs w:val="30"/>
        </w:rPr>
        <w:t>绕“推进城乡基层治理 建设幸福美丽家园”活动，开展“大讨论、大调研、大整治、大培训、大融合”</w:t>
      </w:r>
      <w:r>
        <w:rPr>
          <w:rFonts w:ascii="Times New Roman" w:eastAsia="仿宋" w:hAnsi="Times New Roman"/>
          <w:sz w:val="30"/>
          <w:szCs w:val="30"/>
        </w:rPr>
        <w:t>五大行动，</w:t>
      </w:r>
      <w:r>
        <w:rPr>
          <w:rFonts w:ascii="Times New Roman" w:eastAsia="仿宋" w:hAnsi="Times New Roman" w:hint="eastAsia"/>
          <w:sz w:val="30"/>
          <w:szCs w:val="30"/>
        </w:rPr>
        <w:t>系统梳理</w:t>
      </w:r>
      <w:r>
        <w:rPr>
          <w:rFonts w:ascii="Times New Roman" w:eastAsia="仿宋" w:hAnsi="Times New Roman"/>
          <w:sz w:val="30"/>
          <w:szCs w:val="30"/>
        </w:rPr>
        <w:t>基层治理</w:t>
      </w:r>
      <w:r>
        <w:rPr>
          <w:rFonts w:ascii="Times New Roman" w:eastAsia="仿宋" w:hAnsi="Times New Roman" w:hint="eastAsia"/>
          <w:sz w:val="30"/>
          <w:szCs w:val="30"/>
        </w:rPr>
        <w:t>存在的</w:t>
      </w:r>
      <w:r>
        <w:rPr>
          <w:rFonts w:ascii="Times New Roman" w:eastAsia="仿宋" w:hAnsi="Times New Roman"/>
          <w:sz w:val="30"/>
          <w:szCs w:val="30"/>
        </w:rPr>
        <w:t>问题，</w:t>
      </w:r>
      <w:r>
        <w:rPr>
          <w:rFonts w:ascii="Times New Roman" w:eastAsia="仿宋" w:hAnsi="Times New Roman" w:hint="eastAsia"/>
          <w:sz w:val="30"/>
          <w:szCs w:val="30"/>
        </w:rPr>
        <w:t>广泛征集社会各界对完善基层治理的</w:t>
      </w:r>
      <w:r>
        <w:rPr>
          <w:rFonts w:ascii="Times New Roman" w:eastAsia="仿宋" w:hAnsi="Times New Roman"/>
          <w:sz w:val="30"/>
          <w:szCs w:val="30"/>
        </w:rPr>
        <w:t>意见</w:t>
      </w:r>
      <w:r>
        <w:rPr>
          <w:rFonts w:ascii="Times New Roman" w:eastAsia="仿宋" w:hAnsi="Times New Roman" w:hint="eastAsia"/>
          <w:sz w:val="30"/>
          <w:szCs w:val="30"/>
        </w:rPr>
        <w:t>和</w:t>
      </w:r>
      <w:r>
        <w:rPr>
          <w:rFonts w:ascii="Times New Roman" w:eastAsia="仿宋" w:hAnsi="Times New Roman"/>
          <w:sz w:val="30"/>
          <w:szCs w:val="30"/>
        </w:rPr>
        <w:t>建议，</w:t>
      </w:r>
      <w:r>
        <w:rPr>
          <w:rFonts w:ascii="Times New Roman" w:eastAsia="仿宋" w:hAnsi="Times New Roman" w:hint="eastAsia"/>
          <w:sz w:val="30"/>
          <w:szCs w:val="30"/>
        </w:rPr>
        <w:t>定期开展各类调研活动</w:t>
      </w:r>
      <w:r>
        <w:rPr>
          <w:rFonts w:ascii="Times New Roman" w:eastAsia="仿宋" w:hAnsi="Times New Roman"/>
          <w:sz w:val="30"/>
          <w:szCs w:val="30"/>
        </w:rPr>
        <w:t>，</w:t>
      </w:r>
      <w:r>
        <w:rPr>
          <w:rFonts w:ascii="Times New Roman" w:eastAsia="仿宋" w:hAnsi="Times New Roman" w:hint="eastAsia"/>
          <w:sz w:val="30"/>
          <w:szCs w:val="30"/>
        </w:rPr>
        <w:t>针对性开展系列</w:t>
      </w:r>
      <w:r>
        <w:rPr>
          <w:rFonts w:ascii="Times New Roman" w:eastAsia="仿宋" w:hAnsi="Times New Roman"/>
          <w:sz w:val="30"/>
          <w:szCs w:val="30"/>
        </w:rPr>
        <w:t>整治项目，</w:t>
      </w:r>
      <w:r>
        <w:rPr>
          <w:rFonts w:ascii="Times New Roman" w:eastAsia="仿宋" w:hAnsi="Times New Roman" w:hint="eastAsia"/>
          <w:sz w:val="30"/>
          <w:szCs w:val="30"/>
        </w:rPr>
        <w:t>系统</w:t>
      </w:r>
      <w:r>
        <w:rPr>
          <w:rFonts w:ascii="Times New Roman" w:eastAsia="仿宋" w:hAnsi="Times New Roman"/>
          <w:sz w:val="30"/>
          <w:szCs w:val="30"/>
        </w:rPr>
        <w:t>培训</w:t>
      </w:r>
      <w:r>
        <w:rPr>
          <w:rFonts w:ascii="Times New Roman" w:eastAsia="仿宋" w:hAnsi="Times New Roman" w:hint="eastAsia"/>
          <w:sz w:val="30"/>
          <w:szCs w:val="30"/>
        </w:rPr>
        <w:t>大量基层治理相关人才</w:t>
      </w:r>
      <w:r>
        <w:rPr>
          <w:rFonts w:ascii="Times New Roman" w:eastAsia="仿宋" w:hAnsi="Times New Roman"/>
          <w:sz w:val="30"/>
          <w:szCs w:val="30"/>
        </w:rPr>
        <w:t>，</w:t>
      </w:r>
      <w:r>
        <w:rPr>
          <w:rFonts w:ascii="Times New Roman" w:eastAsia="仿宋" w:hAnsi="Times New Roman" w:hint="eastAsia"/>
          <w:sz w:val="30"/>
          <w:szCs w:val="30"/>
        </w:rPr>
        <w:t>成立</w:t>
      </w:r>
      <w:r>
        <w:rPr>
          <w:rFonts w:ascii="Times New Roman" w:eastAsia="仿宋" w:hAnsi="Times New Roman"/>
          <w:sz w:val="30"/>
          <w:szCs w:val="30"/>
        </w:rPr>
        <w:t>成德临港经济产业带党建联盟。开展居民小区治理领航员行动，统筹各类资源参与小区治理，实现小区治理</w:t>
      </w:r>
      <w:r>
        <w:rPr>
          <w:rFonts w:ascii="仿宋" w:eastAsia="仿宋" w:hAnsi="仿宋"/>
          <w:sz w:val="30"/>
          <w:szCs w:val="30"/>
        </w:rPr>
        <w:t>“一盘棋”</w:t>
      </w:r>
      <w:r>
        <w:rPr>
          <w:rFonts w:ascii="Times New Roman" w:eastAsia="仿宋" w:hAnsi="Times New Roman"/>
          <w:sz w:val="30"/>
          <w:szCs w:val="30"/>
        </w:rPr>
        <w:t>；强化社会企业、社会组织培育，推进社会组织参基层治理，</w:t>
      </w:r>
      <w:r>
        <w:rPr>
          <w:rFonts w:ascii="Times New Roman" w:eastAsia="仿宋" w:hAnsi="Times New Roman" w:hint="eastAsia"/>
          <w:sz w:val="30"/>
          <w:szCs w:val="30"/>
        </w:rPr>
        <w:t>初步形成社会企业、社会组织有效参与基层治理的良好格局</w:t>
      </w:r>
      <w:r>
        <w:rPr>
          <w:rFonts w:ascii="Times New Roman" w:eastAsia="仿宋" w:hAnsi="Times New Roman"/>
          <w:sz w:val="30"/>
          <w:szCs w:val="30"/>
        </w:rPr>
        <w:t>。组织机关、社团、</w:t>
      </w:r>
      <w:r>
        <w:rPr>
          <w:rFonts w:ascii="仿宋" w:eastAsia="仿宋" w:hAnsi="仿宋"/>
          <w:sz w:val="30"/>
          <w:szCs w:val="30"/>
        </w:rPr>
        <w:t>“两新”</w:t>
      </w:r>
      <w:r>
        <w:rPr>
          <w:rFonts w:ascii="Times New Roman" w:eastAsia="仿宋" w:hAnsi="Times New Roman"/>
          <w:sz w:val="30"/>
          <w:szCs w:val="30"/>
        </w:rPr>
        <w:t>等</w:t>
      </w:r>
      <w:r>
        <w:rPr>
          <w:rFonts w:ascii="Times New Roman" w:eastAsia="仿宋" w:hAnsi="Times New Roman" w:hint="eastAsia"/>
          <w:sz w:val="30"/>
          <w:szCs w:val="30"/>
        </w:rPr>
        <w:t>组织</w:t>
      </w:r>
      <w:r>
        <w:rPr>
          <w:rFonts w:ascii="Times New Roman" w:eastAsia="仿宋" w:hAnsi="Times New Roman"/>
          <w:sz w:val="30"/>
          <w:szCs w:val="30"/>
        </w:rPr>
        <w:t>党员群众参与疫情防控</w:t>
      </w:r>
      <w:r>
        <w:rPr>
          <w:rFonts w:ascii="仿宋" w:eastAsia="仿宋" w:hAnsi="仿宋"/>
          <w:sz w:val="30"/>
          <w:szCs w:val="30"/>
        </w:rPr>
        <w:t>“敲门行动”、“</w:t>
      </w:r>
      <w:r>
        <w:rPr>
          <w:rFonts w:ascii="Times New Roman" w:eastAsia="仿宋" w:hAnsi="Times New Roman"/>
          <w:sz w:val="30"/>
          <w:szCs w:val="30"/>
        </w:rPr>
        <w:t>8.11</w:t>
      </w:r>
      <w:r>
        <w:rPr>
          <w:rFonts w:ascii="仿宋" w:eastAsia="仿宋" w:hAnsi="仿宋"/>
          <w:sz w:val="30"/>
          <w:szCs w:val="30"/>
        </w:rPr>
        <w:t>”</w:t>
      </w:r>
      <w:r>
        <w:rPr>
          <w:rFonts w:ascii="Times New Roman" w:eastAsia="仿宋" w:hAnsi="Times New Roman"/>
          <w:sz w:val="30"/>
          <w:szCs w:val="30"/>
        </w:rPr>
        <w:t>洪灾抢险救援等。</w:t>
      </w:r>
      <w:r>
        <w:rPr>
          <w:rFonts w:ascii="仿宋" w:eastAsia="仿宋" w:hAnsi="仿宋" w:hint="eastAsia"/>
          <w:sz w:val="30"/>
          <w:szCs w:val="30"/>
        </w:rPr>
        <w:t>农村依托腾讯“为村”平台，构建贯通市、镇、村三级直接联系群众的基层治理信息化工作体系，城区加快建设智慧管理“云平台”，街道办设立综治指挥中心和社区综治分中心。</w:t>
      </w:r>
    </w:p>
    <w:p w:rsidR="002B653A" w:rsidRDefault="00DF1AA7">
      <w:pPr>
        <w:pStyle w:val="3"/>
        <w:adjustRightInd w:val="0"/>
        <w:snapToGrid w:val="0"/>
        <w:spacing w:before="0" w:after="0" w:line="360" w:lineRule="auto"/>
        <w:ind w:firstLineChars="200" w:firstLine="602"/>
        <w:rPr>
          <w:rFonts w:ascii="仿宋" w:eastAsia="仿宋" w:hAnsi="仿宋"/>
          <w:sz w:val="30"/>
          <w:szCs w:val="30"/>
        </w:rPr>
      </w:pPr>
      <w:bookmarkStart w:id="12" w:name="_Toc90415720"/>
      <w:r>
        <w:rPr>
          <w:rFonts w:ascii="仿宋" w:eastAsia="仿宋" w:hAnsi="仿宋" w:hint="eastAsia"/>
          <w:sz w:val="30"/>
          <w:szCs w:val="30"/>
        </w:rPr>
        <w:t>三、经济社会发展改革成效显著</w:t>
      </w:r>
      <w:bookmarkEnd w:id="12"/>
    </w:p>
    <w:p w:rsidR="002B653A" w:rsidRDefault="00DF1AA7">
      <w:pPr>
        <w:adjustRightInd w:val="0"/>
        <w:snapToGrid w:val="0"/>
        <w:spacing w:line="360" w:lineRule="auto"/>
        <w:ind w:firstLineChars="200" w:firstLine="600"/>
        <w:rPr>
          <w:rFonts w:ascii="仿宋" w:eastAsia="仿宋" w:hAnsi="仿宋"/>
          <w:sz w:val="30"/>
          <w:szCs w:val="30"/>
        </w:rPr>
      </w:pPr>
      <w:r>
        <w:rPr>
          <w:rFonts w:ascii="Times New Roman" w:eastAsia="仿宋" w:hAnsi="Times New Roman"/>
          <w:sz w:val="30"/>
          <w:szCs w:val="30"/>
        </w:rPr>
        <w:t>按照</w:t>
      </w:r>
      <w:r>
        <w:rPr>
          <w:rFonts w:ascii="仿宋" w:eastAsia="仿宋" w:hAnsi="仿宋"/>
          <w:sz w:val="30"/>
          <w:szCs w:val="30"/>
        </w:rPr>
        <w:t>“优化空间布局、整合发展资源、增强服务功能、降低运行成本”</w:t>
      </w:r>
      <w:r>
        <w:rPr>
          <w:rFonts w:ascii="仿宋" w:eastAsia="仿宋" w:hAnsi="仿宋" w:hint="eastAsia"/>
          <w:sz w:val="30"/>
          <w:szCs w:val="30"/>
        </w:rPr>
        <w:t>的</w:t>
      </w:r>
      <w:r>
        <w:rPr>
          <w:rFonts w:ascii="仿宋" w:eastAsia="仿宋" w:hAnsi="仿宋"/>
          <w:sz w:val="30"/>
          <w:szCs w:val="30"/>
        </w:rPr>
        <w:t>目</w:t>
      </w:r>
      <w:r>
        <w:rPr>
          <w:rFonts w:ascii="Times New Roman" w:eastAsia="仿宋" w:hAnsi="Times New Roman"/>
          <w:sz w:val="30"/>
          <w:szCs w:val="30"/>
        </w:rPr>
        <w:t>标，</w:t>
      </w:r>
      <w:r>
        <w:rPr>
          <w:rFonts w:ascii="Times New Roman" w:eastAsia="仿宋" w:hAnsi="Times New Roman" w:hint="eastAsia"/>
          <w:sz w:val="30"/>
          <w:szCs w:val="30"/>
        </w:rPr>
        <w:t>积极推进乡镇行政区划调整工作，大力精简调整乡镇行政区划设置、优化缩减村级建制，切实缩减行政管理层级，提升了行政管理效率。四川省委组织部王</w:t>
      </w:r>
      <w:r>
        <w:rPr>
          <w:rFonts w:ascii="Times New Roman" w:eastAsia="仿宋" w:hAnsi="Times New Roman"/>
          <w:sz w:val="30"/>
          <w:szCs w:val="30"/>
        </w:rPr>
        <w:t>正谱部长高</w:t>
      </w:r>
      <w:r>
        <w:rPr>
          <w:rFonts w:ascii="仿宋" w:eastAsia="仿宋" w:hAnsi="仿宋" w:hint="eastAsia"/>
          <w:sz w:val="30"/>
          <w:szCs w:val="30"/>
        </w:rPr>
        <w:t>度肯定广汉市村级建制调整及社区优化改革工作。完成集体产权股权</w:t>
      </w:r>
      <w:r>
        <w:rPr>
          <w:rFonts w:ascii="仿宋" w:eastAsia="仿宋" w:hAnsi="仿宋" w:hint="eastAsia"/>
          <w:sz w:val="30"/>
          <w:szCs w:val="30"/>
        </w:rPr>
        <w:lastRenderedPageBreak/>
        <w:t>量化改革，所有村完成村集体经济组织建立；</w:t>
      </w:r>
      <w:r>
        <w:rPr>
          <w:rFonts w:ascii="仿宋" w:eastAsia="仿宋" w:hAnsi="仿宋"/>
          <w:sz w:val="30"/>
          <w:szCs w:val="30"/>
        </w:rPr>
        <w:t>探索</w:t>
      </w:r>
      <w:r>
        <w:rPr>
          <w:rFonts w:ascii="仿宋" w:eastAsia="仿宋" w:hAnsi="仿宋" w:hint="eastAsia"/>
          <w:sz w:val="30"/>
          <w:szCs w:val="30"/>
        </w:rPr>
        <w:t>建立</w:t>
      </w:r>
      <w:r>
        <w:rPr>
          <w:rFonts w:ascii="仿宋" w:eastAsia="仿宋" w:hAnsi="仿宋"/>
          <w:sz w:val="30"/>
          <w:szCs w:val="30"/>
        </w:rPr>
        <w:t>村集体经济职业经理人制度</w:t>
      </w:r>
      <w:r>
        <w:rPr>
          <w:rFonts w:ascii="仿宋" w:eastAsia="仿宋" w:hAnsi="仿宋" w:hint="eastAsia"/>
          <w:sz w:val="30"/>
          <w:szCs w:val="30"/>
        </w:rPr>
        <w:t>和村（社区）干部“基本报酬+考核绩效+集体经济发展创收奖励”报酬制度，出台《广汉市村集体经济职业经理人制度试点实施方案》、《广汉市村（社区）干部“基本报酬+考核绩效+集体经济发展创收奖励”报酬制度实施方案》；积极推动实施中、省资金扶持村级集体项目</w:t>
      </w:r>
      <w:r>
        <w:rPr>
          <w:rFonts w:ascii="Times New Roman" w:eastAsia="仿宋" w:hAnsi="Times New Roman" w:hint="eastAsia"/>
          <w:sz w:val="30"/>
          <w:szCs w:val="30"/>
        </w:rPr>
        <w:t>顺利开展</w:t>
      </w:r>
      <w:r>
        <w:rPr>
          <w:rFonts w:ascii="Times New Roman" w:eastAsia="仿宋" w:hAnsi="Times New Roman"/>
          <w:sz w:val="30"/>
          <w:szCs w:val="30"/>
        </w:rPr>
        <w:t>。积极参与示范项目和创新案例评选，</w:t>
      </w:r>
      <w:r>
        <w:rPr>
          <w:rFonts w:ascii="Times New Roman" w:eastAsia="仿宋" w:hAnsi="Times New Roman" w:hint="eastAsia"/>
          <w:sz w:val="30"/>
          <w:szCs w:val="30"/>
        </w:rPr>
        <w:t>先后获得</w:t>
      </w:r>
      <w:r>
        <w:rPr>
          <w:rFonts w:ascii="Times New Roman" w:eastAsia="仿宋" w:hAnsi="Times New Roman"/>
          <w:sz w:val="30"/>
          <w:szCs w:val="30"/>
        </w:rPr>
        <w:t>省基层治理办批复试点单位、省民政厅、省财政厅批复试点单位、省级城市基层治理示范小区、德阳市级示范点位、自选示范点位</w:t>
      </w:r>
      <w:r>
        <w:rPr>
          <w:rFonts w:ascii="Times New Roman" w:eastAsia="仿宋" w:hAnsi="Times New Roman" w:hint="eastAsia"/>
          <w:sz w:val="30"/>
          <w:szCs w:val="30"/>
        </w:rPr>
        <w:t>立项</w:t>
      </w:r>
      <w:r>
        <w:rPr>
          <w:rFonts w:ascii="Times New Roman" w:eastAsia="仿宋" w:hAnsi="Times New Roman"/>
          <w:sz w:val="30"/>
          <w:szCs w:val="30"/>
        </w:rPr>
        <w:t>，</w:t>
      </w:r>
      <w:r>
        <w:rPr>
          <w:rFonts w:ascii="Times New Roman" w:eastAsia="仿宋" w:hAnsi="Times New Roman" w:hint="eastAsia"/>
          <w:sz w:val="30"/>
          <w:szCs w:val="30"/>
        </w:rPr>
        <w:t>在</w:t>
      </w:r>
      <w:r>
        <w:rPr>
          <w:rFonts w:ascii="Times New Roman" w:eastAsia="仿宋" w:hAnsi="Times New Roman"/>
          <w:sz w:val="30"/>
          <w:szCs w:val="30"/>
        </w:rPr>
        <w:t>争取省级试点资金</w:t>
      </w:r>
      <w:r>
        <w:rPr>
          <w:rFonts w:ascii="Times New Roman" w:eastAsia="仿宋" w:hAnsi="Times New Roman" w:hint="eastAsia"/>
          <w:sz w:val="30"/>
          <w:szCs w:val="30"/>
        </w:rPr>
        <w:t>支持方面取得重要突破</w:t>
      </w:r>
    </w:p>
    <w:p w:rsidR="002B653A" w:rsidRDefault="00DF1AA7">
      <w:pPr>
        <w:pStyle w:val="3"/>
        <w:adjustRightInd w:val="0"/>
        <w:snapToGrid w:val="0"/>
        <w:spacing w:before="0" w:after="0" w:line="360" w:lineRule="auto"/>
        <w:ind w:firstLineChars="200" w:firstLine="602"/>
        <w:rPr>
          <w:rFonts w:ascii="仿宋" w:eastAsia="仿宋" w:hAnsi="仿宋"/>
          <w:sz w:val="30"/>
          <w:szCs w:val="30"/>
        </w:rPr>
      </w:pPr>
      <w:bookmarkStart w:id="13" w:name="_Toc90415721"/>
      <w:r>
        <w:rPr>
          <w:rFonts w:ascii="仿宋" w:eastAsia="仿宋" w:hAnsi="仿宋" w:hint="eastAsia"/>
          <w:sz w:val="30"/>
          <w:szCs w:val="30"/>
        </w:rPr>
        <w:t>四、因地制宜探索形成模式</w:t>
      </w:r>
      <w:bookmarkEnd w:id="13"/>
    </w:p>
    <w:p w:rsidR="002B653A" w:rsidRDefault="00DF1AA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经历试点探索，已经形成若干比较成熟的乡村治理模式。以高坪镇为试点，聚焦院落、小区、街巷，建立村组“院落长”（自然院落负责人）、小区“单元长”（集中安置点区域单元负责人）、街巷“片区长”（场镇街区分片负责人）制度，探索建立“三长共治”治理模式，有效破解农村聚居点和安置小区治理难、居民素质不高、环境脏乱差等凸显问题。以汉州街道聚心嘉园小区为试点，针对多村集中安置小区治理，探索建立“大党委+物管委”治理模式，有力破解跨行政村的基层党建和治理难题。以金雁街道为试点，运用现代科技手段，依托大数据和物联网，探索建立“智慧社区”治理模式，精准掌握小区实时动态，充分发挥智慧社区在疫情防控、应急处突、志愿服务等方面的效能。目前全市已建成智慧小区25个。</w:t>
      </w:r>
    </w:p>
    <w:p w:rsidR="002B653A" w:rsidRDefault="00DF1AA7">
      <w:pPr>
        <w:pStyle w:val="3"/>
        <w:adjustRightInd w:val="0"/>
        <w:snapToGrid w:val="0"/>
        <w:spacing w:before="0" w:after="0" w:line="360" w:lineRule="auto"/>
        <w:ind w:firstLineChars="200" w:firstLine="602"/>
        <w:rPr>
          <w:rFonts w:ascii="仿宋" w:eastAsia="仿宋" w:hAnsi="仿宋"/>
          <w:sz w:val="30"/>
          <w:szCs w:val="30"/>
        </w:rPr>
      </w:pPr>
      <w:bookmarkStart w:id="14" w:name="_Toc90415722"/>
      <w:r>
        <w:rPr>
          <w:rFonts w:ascii="仿宋" w:eastAsia="仿宋" w:hAnsi="仿宋" w:hint="eastAsia"/>
          <w:sz w:val="30"/>
          <w:szCs w:val="30"/>
        </w:rPr>
        <w:lastRenderedPageBreak/>
        <w:t>五、毗邻区域全面协同推进</w:t>
      </w:r>
      <w:bookmarkEnd w:id="14"/>
    </w:p>
    <w:p w:rsidR="002B653A" w:rsidRDefault="00DF1AA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紧盯成渝双城和成德同城发展战略，打造成德先行融合区，按照打造成都都市圈“现代产业高地、北翼融合支点、健康宜居样板、文化旅游示范”四大目标，制定推动“交通网络共建、促进产业协作共兴、实施深化改革共推、开展生态环境共治、加强公共服务共享”五大任务，与青白江共同规划打造融合发展启动区、成长区、提升区。围绕党建引领城乡基层治理开展合作，实现区域间政策协调、项目一体、典型共树，夯实区域融合发展基础；广汉组织部与青白江区组织部签订“深化区域合作强化组织保障”协议，围绕干部队伍专业化能力建设等领域开展全方位合作。在全省率先推行审批服务事项“同标准跨区域通办”，实现了两地企业、群众“就近办”，努力打通成德同城跨区通办“一环线”。</w:t>
      </w:r>
    </w:p>
    <w:p w:rsidR="002B653A" w:rsidRDefault="00DF1AA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“十三五”时期，广汉市城乡基层治理取得了丰硕的成果，但仍然存在如下问题：</w:t>
      </w:r>
      <w:r>
        <w:rPr>
          <w:rFonts w:ascii="仿宋" w:eastAsia="仿宋" w:hAnsi="仿宋" w:hint="eastAsia"/>
          <w:b/>
          <w:bCs/>
          <w:sz w:val="30"/>
          <w:szCs w:val="30"/>
        </w:rPr>
        <w:t>一是基层治理人才缺失</w:t>
      </w:r>
      <w:r>
        <w:rPr>
          <w:rFonts w:ascii="仿宋" w:eastAsia="仿宋" w:hAnsi="仿宋" w:hint="eastAsia"/>
          <w:sz w:val="30"/>
          <w:szCs w:val="30"/>
        </w:rPr>
        <w:t>，农村精英人才大量流失，乡村治理能人难寻、治理能力严重不足，再加上政府缺乏政策鼓励和支持，对基层党员干部的教育培训缺乏针对性，造成基层治理先进人才缺乏。</w:t>
      </w:r>
      <w:r>
        <w:rPr>
          <w:rFonts w:ascii="仿宋" w:eastAsia="仿宋" w:hAnsi="仿宋" w:hint="eastAsia"/>
          <w:b/>
          <w:bCs/>
          <w:sz w:val="30"/>
          <w:szCs w:val="30"/>
        </w:rPr>
        <w:t>二是基层治理资金不足</w:t>
      </w:r>
      <w:r>
        <w:rPr>
          <w:rFonts w:ascii="仿宋" w:eastAsia="仿宋" w:hAnsi="仿宋" w:hint="eastAsia"/>
          <w:sz w:val="30"/>
          <w:szCs w:val="30"/>
        </w:rPr>
        <w:t>，农村基层社会治理经费主要来自政府财政投入，而地方政府财政主要用于经济发展和完善基础设施建设，投入基层治理经费相对有限，这些资金对于范围广、种类复杂的农村基层社会治理工作如九牛一毛，难以保障基层治理工作正常运转。</w:t>
      </w:r>
      <w:r>
        <w:rPr>
          <w:rFonts w:ascii="仿宋" w:eastAsia="仿宋" w:hAnsi="仿宋" w:hint="eastAsia"/>
          <w:b/>
          <w:bCs/>
          <w:sz w:val="30"/>
          <w:szCs w:val="30"/>
        </w:rPr>
        <w:t>三是部分群众对基层治理参与积极性不高，</w:t>
      </w:r>
      <w:r>
        <w:rPr>
          <w:rFonts w:ascii="仿宋" w:eastAsia="仿宋" w:hAnsi="仿宋" w:hint="eastAsia"/>
          <w:sz w:val="30"/>
          <w:szCs w:val="30"/>
        </w:rPr>
        <w:t>受传统生活方式的影响，大部分群众对农村环境保护认识不足，随意乱倒乱丢垃圾，对于公共设施不予爱护；另外，</w:t>
      </w:r>
      <w:r>
        <w:rPr>
          <w:rFonts w:ascii="仿宋" w:eastAsia="仿宋" w:hAnsi="仿宋" w:hint="eastAsia"/>
          <w:sz w:val="30"/>
          <w:szCs w:val="30"/>
        </w:rPr>
        <w:lastRenderedPageBreak/>
        <w:t>农村大部分年轻有文化的人都外出务工，在家的都是老人和孩子，对基层治理工作理解不深，表现出“事不关己，高高挂起”的消极思想，对农村基层治理参与的积极性不高。</w:t>
      </w:r>
      <w:r>
        <w:rPr>
          <w:rFonts w:ascii="仿宋" w:eastAsia="仿宋" w:hAnsi="仿宋" w:hint="eastAsia"/>
          <w:b/>
          <w:bCs/>
          <w:sz w:val="30"/>
          <w:szCs w:val="30"/>
        </w:rPr>
        <w:t>四是基层社会治理法治化观念薄弱</w:t>
      </w:r>
      <w:r>
        <w:rPr>
          <w:rFonts w:ascii="仿宋" w:eastAsia="仿宋" w:hAnsi="仿宋" w:hint="eastAsia"/>
          <w:sz w:val="30"/>
          <w:szCs w:val="30"/>
        </w:rPr>
        <w:t>，在不求有功，但求无过的社会治理观念下，以保稳定为第一要务，缺乏提前预防、化解社会矛盾的制度化观念，往往是出了问题采取应急措施解决问题。</w:t>
      </w:r>
    </w:p>
    <w:p w:rsidR="002B653A" w:rsidRDefault="00DF1AA7" w:rsidP="0091109A">
      <w:pPr>
        <w:pStyle w:val="2"/>
        <w:keepNext w:val="0"/>
        <w:keepLines w:val="0"/>
        <w:widowControl w:val="0"/>
        <w:spacing w:beforeLines="100" w:afterLines="100" w:line="240" w:lineRule="auto"/>
        <w:jc w:val="center"/>
        <w:rPr>
          <w:rFonts w:ascii="黑体" w:eastAsia="黑体" w:hAnsi="黑体"/>
          <w:b w:val="0"/>
        </w:rPr>
      </w:pPr>
      <w:bookmarkStart w:id="15" w:name="_Toc90415723"/>
      <w:r>
        <w:rPr>
          <w:rFonts w:ascii="黑体" w:eastAsia="黑体" w:hAnsi="黑体" w:hint="eastAsia"/>
          <w:b w:val="0"/>
        </w:rPr>
        <w:t>第三节 治理趋势</w:t>
      </w:r>
      <w:bookmarkEnd w:id="15"/>
    </w:p>
    <w:p w:rsidR="002B653A" w:rsidRDefault="00DF1AA7">
      <w:pPr>
        <w:pStyle w:val="3"/>
        <w:adjustRightInd w:val="0"/>
        <w:snapToGrid w:val="0"/>
        <w:spacing w:before="0" w:after="0" w:line="360" w:lineRule="auto"/>
        <w:ind w:firstLineChars="200" w:firstLine="602"/>
        <w:rPr>
          <w:rFonts w:ascii="仿宋" w:eastAsia="仿宋" w:hAnsi="仿宋"/>
          <w:sz w:val="30"/>
          <w:szCs w:val="30"/>
        </w:rPr>
      </w:pPr>
      <w:bookmarkStart w:id="16" w:name="_Toc90415724"/>
      <w:r>
        <w:rPr>
          <w:rFonts w:ascii="仿宋" w:eastAsia="仿宋" w:hAnsi="仿宋" w:hint="eastAsia"/>
          <w:sz w:val="30"/>
          <w:szCs w:val="30"/>
        </w:rPr>
        <w:t>一、</w:t>
      </w:r>
      <w:r>
        <w:rPr>
          <w:rFonts w:ascii="仿宋" w:eastAsia="仿宋" w:hAnsi="仿宋"/>
          <w:sz w:val="30"/>
          <w:szCs w:val="30"/>
        </w:rPr>
        <w:t>中国特色是鲜明特征</w:t>
      </w:r>
      <w:bookmarkEnd w:id="16"/>
    </w:p>
    <w:p w:rsidR="002B653A" w:rsidRDefault="00DF1AA7">
      <w:pPr>
        <w:adjustRightInd w:val="0"/>
        <w:snapToGrid w:val="0"/>
        <w:spacing w:line="360" w:lineRule="auto"/>
        <w:ind w:firstLineChars="200" w:firstLine="600"/>
        <w:rPr>
          <w:rFonts w:ascii="仿宋" w:eastAsia="仿宋" w:hAnsi="仿宋"/>
          <w:sz w:val="30"/>
          <w:szCs w:val="30"/>
        </w:rPr>
      </w:pPr>
      <w:r>
        <w:rPr>
          <w:rFonts w:ascii="仿宋" w:eastAsia="仿宋" w:hAnsi="仿宋"/>
          <w:sz w:val="30"/>
          <w:szCs w:val="30"/>
        </w:rPr>
        <w:t>习近平总书记指出，“要坚定不移走中国特色社会主义社会治理之路，善于把党的领导和我国社会主义制度优势转化为社会治理优势，不断完善中国特色社会主义社会治理体系，确保人民安居乐业、社会安定有序、国家长治久安。”总书记的论断为新时代加强和创新</w:t>
      </w:r>
      <w:r>
        <w:rPr>
          <w:rFonts w:ascii="仿宋" w:eastAsia="仿宋" w:hAnsi="仿宋" w:hint="eastAsia"/>
          <w:sz w:val="30"/>
          <w:szCs w:val="30"/>
        </w:rPr>
        <w:t>城乡基层</w:t>
      </w:r>
      <w:r>
        <w:rPr>
          <w:rFonts w:ascii="仿宋" w:eastAsia="仿宋" w:hAnsi="仿宋"/>
          <w:sz w:val="30"/>
          <w:szCs w:val="30"/>
        </w:rPr>
        <w:t>治理指明了方向，突出</w:t>
      </w:r>
      <w:r>
        <w:rPr>
          <w:rFonts w:ascii="仿宋" w:eastAsia="仿宋" w:hAnsi="仿宋" w:hint="eastAsia"/>
          <w:sz w:val="30"/>
          <w:szCs w:val="30"/>
        </w:rPr>
        <w:t>城乡基层</w:t>
      </w:r>
      <w:r>
        <w:rPr>
          <w:rFonts w:ascii="仿宋" w:eastAsia="仿宋" w:hAnsi="仿宋"/>
          <w:sz w:val="30"/>
          <w:szCs w:val="30"/>
        </w:rPr>
        <w:t>治理的中国特色应当重点处理好以下几方面关系</w:t>
      </w:r>
      <w:r>
        <w:rPr>
          <w:rFonts w:ascii="仿宋" w:eastAsia="仿宋" w:hAnsi="仿宋" w:hint="eastAsia"/>
          <w:sz w:val="30"/>
          <w:szCs w:val="30"/>
        </w:rPr>
        <w:t>。</w:t>
      </w:r>
      <w:r>
        <w:rPr>
          <w:rFonts w:ascii="仿宋" w:eastAsia="仿宋" w:hAnsi="仿宋"/>
          <w:sz w:val="30"/>
          <w:szCs w:val="30"/>
        </w:rPr>
        <w:t>一是顶层设计和基层实践的关系。</w:t>
      </w:r>
      <w:r>
        <w:rPr>
          <w:rFonts w:ascii="仿宋" w:eastAsia="仿宋" w:hAnsi="仿宋" w:hint="eastAsia"/>
          <w:sz w:val="30"/>
          <w:szCs w:val="30"/>
        </w:rPr>
        <w:t>城乡基层</w:t>
      </w:r>
      <w:r>
        <w:rPr>
          <w:rFonts w:ascii="仿宋" w:eastAsia="仿宋" w:hAnsi="仿宋"/>
          <w:sz w:val="30"/>
          <w:szCs w:val="30"/>
        </w:rPr>
        <w:t>治理要坚持“全国一盘棋”，要以一体化的顶层设计为基础，并在此基础上发挥基层治理的积极性和能动性。二是秩序与活力的关系。</w:t>
      </w:r>
      <w:r>
        <w:rPr>
          <w:rFonts w:ascii="仿宋" w:eastAsia="仿宋" w:hAnsi="仿宋" w:hint="eastAsia"/>
          <w:sz w:val="30"/>
          <w:szCs w:val="30"/>
        </w:rPr>
        <w:t>城乡基层</w:t>
      </w:r>
      <w:r>
        <w:rPr>
          <w:rFonts w:ascii="仿宋" w:eastAsia="仿宋" w:hAnsi="仿宋"/>
          <w:sz w:val="30"/>
          <w:szCs w:val="30"/>
        </w:rPr>
        <w:t>治理既要维护</w:t>
      </w:r>
      <w:r>
        <w:rPr>
          <w:rFonts w:ascii="仿宋" w:eastAsia="仿宋" w:hAnsi="仿宋" w:hint="eastAsia"/>
          <w:sz w:val="30"/>
          <w:szCs w:val="30"/>
        </w:rPr>
        <w:t>基层</w:t>
      </w:r>
      <w:r>
        <w:rPr>
          <w:rFonts w:ascii="仿宋" w:eastAsia="仿宋" w:hAnsi="仿宋"/>
          <w:sz w:val="30"/>
          <w:szCs w:val="30"/>
        </w:rPr>
        <w:t>安定有序，又要充分调动</w:t>
      </w:r>
      <w:r>
        <w:rPr>
          <w:rFonts w:ascii="仿宋" w:eastAsia="仿宋" w:hAnsi="仿宋" w:hint="eastAsia"/>
          <w:sz w:val="30"/>
          <w:szCs w:val="30"/>
        </w:rPr>
        <w:t>基层</w:t>
      </w:r>
      <w:r>
        <w:rPr>
          <w:rFonts w:ascii="仿宋" w:eastAsia="仿宋" w:hAnsi="仿宋"/>
          <w:sz w:val="30"/>
          <w:szCs w:val="30"/>
        </w:rPr>
        <w:t>主体的积极性。三是封闭与开放的关系。</w:t>
      </w:r>
      <w:r>
        <w:rPr>
          <w:rFonts w:ascii="仿宋" w:eastAsia="仿宋" w:hAnsi="仿宋" w:hint="eastAsia"/>
          <w:sz w:val="30"/>
          <w:szCs w:val="30"/>
        </w:rPr>
        <w:t>城乡基层</w:t>
      </w:r>
      <w:r>
        <w:rPr>
          <w:rFonts w:ascii="仿宋" w:eastAsia="仿宋" w:hAnsi="仿宋"/>
          <w:sz w:val="30"/>
          <w:szCs w:val="30"/>
        </w:rPr>
        <w:t>治理既要注重发挥</w:t>
      </w:r>
      <w:r>
        <w:rPr>
          <w:rFonts w:ascii="仿宋" w:eastAsia="仿宋" w:hAnsi="仿宋" w:hint="eastAsia"/>
          <w:sz w:val="30"/>
          <w:szCs w:val="30"/>
        </w:rPr>
        <w:t>区域内</w:t>
      </w:r>
      <w:r>
        <w:rPr>
          <w:rFonts w:ascii="仿宋" w:eastAsia="仿宋" w:hAnsi="仿宋"/>
          <w:sz w:val="30"/>
          <w:szCs w:val="30"/>
        </w:rPr>
        <w:t>治理主体的积极性，也要在</w:t>
      </w:r>
      <w:r>
        <w:rPr>
          <w:rFonts w:ascii="仿宋" w:eastAsia="仿宋" w:hAnsi="仿宋" w:hint="eastAsia"/>
          <w:sz w:val="30"/>
          <w:szCs w:val="30"/>
        </w:rPr>
        <w:t>区域间</w:t>
      </w:r>
      <w:r>
        <w:rPr>
          <w:rFonts w:ascii="仿宋" w:eastAsia="仿宋" w:hAnsi="仿宋"/>
          <w:sz w:val="30"/>
          <w:szCs w:val="30"/>
        </w:rPr>
        <w:t>协同联动推进</w:t>
      </w:r>
      <w:r>
        <w:rPr>
          <w:rFonts w:ascii="仿宋" w:eastAsia="仿宋" w:hAnsi="仿宋" w:hint="eastAsia"/>
          <w:sz w:val="30"/>
          <w:szCs w:val="30"/>
        </w:rPr>
        <w:t>基层</w:t>
      </w:r>
      <w:r>
        <w:rPr>
          <w:rFonts w:ascii="仿宋" w:eastAsia="仿宋" w:hAnsi="仿宋"/>
          <w:sz w:val="30"/>
          <w:szCs w:val="30"/>
        </w:rPr>
        <w:t>治理。</w:t>
      </w:r>
    </w:p>
    <w:p w:rsidR="002B653A" w:rsidRDefault="00DF1AA7">
      <w:pPr>
        <w:pStyle w:val="3"/>
        <w:adjustRightInd w:val="0"/>
        <w:snapToGrid w:val="0"/>
        <w:spacing w:before="0" w:after="0" w:line="360" w:lineRule="auto"/>
        <w:ind w:firstLineChars="200" w:firstLine="602"/>
        <w:rPr>
          <w:rFonts w:ascii="仿宋" w:eastAsia="仿宋" w:hAnsi="仿宋"/>
          <w:sz w:val="30"/>
          <w:szCs w:val="30"/>
        </w:rPr>
      </w:pPr>
      <w:bookmarkStart w:id="17" w:name="_Toc90415725"/>
      <w:r>
        <w:rPr>
          <w:rFonts w:ascii="仿宋" w:eastAsia="仿宋" w:hAnsi="仿宋" w:hint="eastAsia"/>
          <w:sz w:val="30"/>
          <w:szCs w:val="30"/>
        </w:rPr>
        <w:t>二、</w:t>
      </w:r>
      <w:r>
        <w:rPr>
          <w:rFonts w:ascii="仿宋" w:eastAsia="仿宋" w:hAnsi="仿宋"/>
          <w:sz w:val="30"/>
          <w:szCs w:val="30"/>
        </w:rPr>
        <w:t>技术驱动是强大动力</w:t>
      </w:r>
      <w:bookmarkEnd w:id="17"/>
    </w:p>
    <w:p w:rsidR="002B653A" w:rsidRDefault="00DF1AA7">
      <w:pPr>
        <w:adjustRightInd w:val="0"/>
        <w:snapToGrid w:val="0"/>
        <w:spacing w:line="360" w:lineRule="auto"/>
        <w:ind w:firstLineChars="200" w:firstLine="600"/>
        <w:rPr>
          <w:rFonts w:ascii="仿宋" w:eastAsia="仿宋" w:hAnsi="仿宋"/>
          <w:sz w:val="30"/>
          <w:szCs w:val="30"/>
        </w:rPr>
      </w:pPr>
      <w:r>
        <w:rPr>
          <w:rFonts w:ascii="仿宋" w:eastAsia="仿宋" w:hAnsi="仿宋"/>
          <w:sz w:val="30"/>
          <w:szCs w:val="30"/>
        </w:rPr>
        <w:t>从大数据、云计算到人工智能，日新月异的高科技正在迅速成为</w:t>
      </w:r>
      <w:r>
        <w:rPr>
          <w:rFonts w:ascii="仿宋" w:eastAsia="仿宋" w:hAnsi="仿宋" w:hint="eastAsia"/>
          <w:sz w:val="30"/>
          <w:szCs w:val="30"/>
        </w:rPr>
        <w:t>城乡基层</w:t>
      </w:r>
      <w:r>
        <w:rPr>
          <w:rFonts w:ascii="仿宋" w:eastAsia="仿宋" w:hAnsi="仿宋"/>
          <w:sz w:val="30"/>
          <w:szCs w:val="30"/>
        </w:rPr>
        <w:t>治理的强大推动力</w:t>
      </w:r>
      <w:r>
        <w:rPr>
          <w:rFonts w:ascii="仿宋" w:eastAsia="仿宋" w:hAnsi="仿宋" w:hint="eastAsia"/>
          <w:sz w:val="30"/>
          <w:szCs w:val="30"/>
        </w:rPr>
        <w:t>，治理技术加速现代化，高度重</w:t>
      </w:r>
      <w:r>
        <w:rPr>
          <w:rFonts w:ascii="仿宋" w:eastAsia="仿宋" w:hAnsi="仿宋" w:hint="eastAsia"/>
          <w:sz w:val="30"/>
          <w:szCs w:val="30"/>
        </w:rPr>
        <w:lastRenderedPageBreak/>
        <w:t>视现代技术诸如“互联网+”技术、电子政务、民主协商技术等现代技术在公共服务、社会治理和民主参与等方面的应用方式、流程标准及实践经验，依托现代技术提高基层治理效率。</w:t>
      </w:r>
      <w:r>
        <w:rPr>
          <w:rFonts w:ascii="仿宋" w:eastAsia="仿宋" w:hAnsi="仿宋"/>
          <w:sz w:val="30"/>
          <w:szCs w:val="30"/>
        </w:rPr>
        <w:t>“互联网+社会治理”的模式能切实提高</w:t>
      </w:r>
      <w:r>
        <w:rPr>
          <w:rFonts w:ascii="仿宋" w:eastAsia="仿宋" w:hAnsi="仿宋" w:hint="eastAsia"/>
          <w:sz w:val="30"/>
          <w:szCs w:val="30"/>
        </w:rPr>
        <w:t>基层</w:t>
      </w:r>
      <w:r>
        <w:rPr>
          <w:rFonts w:ascii="仿宋" w:eastAsia="仿宋" w:hAnsi="仿宋"/>
          <w:sz w:val="30"/>
          <w:szCs w:val="30"/>
        </w:rPr>
        <w:t>治理的公众参与度，实现政府与人民的有效沟通与互动</w:t>
      </w:r>
      <w:r>
        <w:rPr>
          <w:rFonts w:ascii="仿宋" w:eastAsia="仿宋" w:hAnsi="仿宋" w:hint="eastAsia"/>
          <w:sz w:val="30"/>
          <w:szCs w:val="30"/>
        </w:rPr>
        <w:t>，</w:t>
      </w:r>
      <w:r>
        <w:rPr>
          <w:rFonts w:ascii="仿宋" w:eastAsia="仿宋" w:hAnsi="仿宋"/>
          <w:sz w:val="30"/>
          <w:szCs w:val="30"/>
        </w:rPr>
        <w:t>推动</w:t>
      </w:r>
      <w:r>
        <w:rPr>
          <w:rFonts w:ascii="仿宋" w:eastAsia="仿宋" w:hAnsi="仿宋" w:hint="eastAsia"/>
          <w:sz w:val="30"/>
          <w:szCs w:val="30"/>
        </w:rPr>
        <w:t>城乡基层</w:t>
      </w:r>
      <w:r>
        <w:rPr>
          <w:rFonts w:ascii="仿宋" w:eastAsia="仿宋" w:hAnsi="仿宋"/>
          <w:sz w:val="30"/>
          <w:szCs w:val="30"/>
        </w:rPr>
        <w:t>治理民主化。大数据有效促进信息共通、共享，将有效提升</w:t>
      </w:r>
      <w:r>
        <w:rPr>
          <w:rFonts w:ascii="仿宋" w:eastAsia="仿宋" w:hAnsi="仿宋" w:hint="eastAsia"/>
          <w:sz w:val="30"/>
          <w:szCs w:val="30"/>
        </w:rPr>
        <w:t>城乡基层</w:t>
      </w:r>
      <w:r>
        <w:rPr>
          <w:rFonts w:ascii="仿宋" w:eastAsia="仿宋" w:hAnsi="仿宋"/>
          <w:sz w:val="30"/>
          <w:szCs w:val="30"/>
        </w:rPr>
        <w:t>治理能力。语音识别、机器翻译、刷脸门禁等智能应用已经渗透到</w:t>
      </w:r>
      <w:r>
        <w:rPr>
          <w:rFonts w:ascii="仿宋" w:eastAsia="仿宋" w:hAnsi="仿宋" w:hint="eastAsia"/>
          <w:sz w:val="30"/>
          <w:szCs w:val="30"/>
        </w:rPr>
        <w:t>社会</w:t>
      </w:r>
      <w:r>
        <w:rPr>
          <w:rFonts w:ascii="仿宋" w:eastAsia="仿宋" w:hAnsi="仿宋"/>
          <w:sz w:val="30"/>
          <w:szCs w:val="30"/>
        </w:rPr>
        <w:t>生产与生活</w:t>
      </w:r>
      <w:r>
        <w:rPr>
          <w:rFonts w:ascii="仿宋" w:eastAsia="仿宋" w:hAnsi="仿宋" w:hint="eastAsia"/>
          <w:sz w:val="30"/>
          <w:szCs w:val="30"/>
        </w:rPr>
        <w:t>的方方面面</w:t>
      </w:r>
      <w:r>
        <w:rPr>
          <w:rFonts w:ascii="仿宋" w:eastAsia="仿宋" w:hAnsi="仿宋"/>
          <w:sz w:val="30"/>
          <w:szCs w:val="30"/>
        </w:rPr>
        <w:t>，要抓住人工智能到来的机会，</w:t>
      </w:r>
      <w:r>
        <w:rPr>
          <w:rFonts w:ascii="仿宋" w:eastAsia="仿宋" w:hAnsi="仿宋" w:hint="eastAsia"/>
          <w:sz w:val="30"/>
          <w:szCs w:val="30"/>
        </w:rPr>
        <w:t>发展</w:t>
      </w:r>
      <w:r>
        <w:rPr>
          <w:rFonts w:ascii="仿宋" w:eastAsia="仿宋" w:hAnsi="仿宋"/>
          <w:sz w:val="30"/>
          <w:szCs w:val="30"/>
        </w:rPr>
        <w:t>人工智能技术与提高社会治理水平的有效融合点</w:t>
      </w:r>
      <w:r>
        <w:rPr>
          <w:rFonts w:ascii="仿宋" w:eastAsia="仿宋" w:hAnsi="仿宋" w:hint="eastAsia"/>
          <w:sz w:val="30"/>
          <w:szCs w:val="30"/>
        </w:rPr>
        <w:t>，实现</w:t>
      </w:r>
      <w:r>
        <w:rPr>
          <w:rFonts w:ascii="仿宋" w:eastAsia="仿宋" w:hAnsi="仿宋"/>
          <w:sz w:val="30"/>
          <w:szCs w:val="30"/>
        </w:rPr>
        <w:t>提升</w:t>
      </w:r>
      <w:r>
        <w:rPr>
          <w:rFonts w:ascii="仿宋" w:eastAsia="仿宋" w:hAnsi="仿宋" w:hint="eastAsia"/>
          <w:sz w:val="30"/>
          <w:szCs w:val="30"/>
        </w:rPr>
        <w:t>城乡基层</w:t>
      </w:r>
      <w:r>
        <w:rPr>
          <w:rFonts w:ascii="仿宋" w:eastAsia="仿宋" w:hAnsi="仿宋"/>
          <w:sz w:val="30"/>
          <w:szCs w:val="30"/>
        </w:rPr>
        <w:t>治理水平。</w:t>
      </w:r>
    </w:p>
    <w:p w:rsidR="002B653A" w:rsidRDefault="00DF1AA7">
      <w:pPr>
        <w:pStyle w:val="3"/>
        <w:adjustRightInd w:val="0"/>
        <w:snapToGrid w:val="0"/>
        <w:spacing w:before="0" w:after="0" w:line="360" w:lineRule="auto"/>
        <w:ind w:firstLineChars="200" w:firstLine="602"/>
        <w:rPr>
          <w:rFonts w:ascii="仿宋" w:eastAsia="仿宋" w:hAnsi="仿宋"/>
          <w:sz w:val="30"/>
          <w:szCs w:val="30"/>
        </w:rPr>
      </w:pPr>
      <w:bookmarkStart w:id="18" w:name="_Toc90415726"/>
      <w:r>
        <w:rPr>
          <w:rFonts w:ascii="仿宋" w:eastAsia="仿宋" w:hAnsi="仿宋" w:hint="eastAsia"/>
          <w:sz w:val="30"/>
          <w:szCs w:val="30"/>
        </w:rPr>
        <w:t>三、多元共治是发展趋势</w:t>
      </w:r>
      <w:bookmarkEnd w:id="18"/>
    </w:p>
    <w:p w:rsidR="002B653A" w:rsidRDefault="00DF1AA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在城乡基层政府之外，其他非政府组织、企业、村（居）委会、村民（居民）也成为公共事务的治理主体。基层政府、社会组织、村民（居民）等主体在特定领域中具有明确和清晰的地位、角色及其责任边界，能够依据各主体的价值观念、行为逻辑及主体需求，在复杂的权利与利益关系中促进政府与其他组织间的利益协调、目标协同和行动协作。基层政府、社会组织、村民（居民）等多元主体在参与基层共同治理过程中，与过去自上而下、层级节制、单向度为特征的行政管理不同，是通过构建网络化的治理结构，重塑基层社会共同体，从而实现基层政府与社会之间权利配置、协作机制、资源共享等方面的协调，促进基层治理能力和水平的提升。</w:t>
      </w:r>
    </w:p>
    <w:p w:rsidR="002B653A" w:rsidRDefault="00DF1AA7">
      <w:pPr>
        <w:pStyle w:val="3"/>
        <w:adjustRightInd w:val="0"/>
        <w:snapToGrid w:val="0"/>
        <w:spacing w:before="0" w:after="0" w:line="360" w:lineRule="auto"/>
        <w:ind w:firstLineChars="200" w:firstLine="602"/>
        <w:rPr>
          <w:rFonts w:ascii="仿宋" w:eastAsia="仿宋" w:hAnsi="仿宋"/>
          <w:sz w:val="30"/>
          <w:szCs w:val="30"/>
        </w:rPr>
      </w:pPr>
      <w:bookmarkStart w:id="19" w:name="_Toc90415727"/>
      <w:r>
        <w:rPr>
          <w:rFonts w:ascii="仿宋" w:eastAsia="仿宋" w:hAnsi="仿宋" w:hint="eastAsia"/>
          <w:sz w:val="30"/>
          <w:szCs w:val="30"/>
        </w:rPr>
        <w:t>四、民主法治是内在要求</w:t>
      </w:r>
      <w:bookmarkEnd w:id="19"/>
    </w:p>
    <w:p w:rsidR="002B653A" w:rsidRDefault="00DF1AA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基层治理法治化是依法治国、促进国家治理体系和治理能力</w:t>
      </w:r>
      <w:r>
        <w:rPr>
          <w:rFonts w:ascii="仿宋" w:eastAsia="仿宋" w:hAnsi="仿宋" w:hint="eastAsia"/>
          <w:sz w:val="30"/>
          <w:szCs w:val="30"/>
        </w:rPr>
        <w:lastRenderedPageBreak/>
        <w:t>现代化的价值目标需求,也是基层治理现实困境的形势倒逼。通过完善各项制度和政策，推动政府管理服务等方面具体实施过程中的程序化、理性化和规范化，提升城乡基层治理的持续性、稳定性与效能。现代治理强调公众依法有序的民主参与，以法治为原则和基础，通过理念、制度和技术创新，推动治理方式的民主化与法治化。因此，实现城乡基层治理现代化必将依照民主法治原则来推进。</w:t>
      </w:r>
    </w:p>
    <w:p w:rsidR="002B653A" w:rsidRDefault="00DF1AA7">
      <w:pPr>
        <w:pStyle w:val="3"/>
        <w:adjustRightInd w:val="0"/>
        <w:snapToGrid w:val="0"/>
        <w:spacing w:before="0" w:after="0" w:line="360" w:lineRule="auto"/>
        <w:ind w:firstLineChars="200" w:firstLine="602"/>
        <w:rPr>
          <w:rFonts w:ascii="仿宋" w:eastAsia="仿宋" w:hAnsi="仿宋"/>
          <w:sz w:val="30"/>
          <w:szCs w:val="30"/>
        </w:rPr>
      </w:pPr>
      <w:bookmarkStart w:id="20" w:name="_Toc90415728"/>
      <w:r>
        <w:rPr>
          <w:rFonts w:ascii="仿宋" w:eastAsia="仿宋" w:hAnsi="仿宋" w:hint="eastAsia"/>
          <w:sz w:val="30"/>
          <w:szCs w:val="30"/>
        </w:rPr>
        <w:t>五、</w:t>
      </w:r>
      <w:r>
        <w:rPr>
          <w:rFonts w:ascii="仿宋" w:eastAsia="仿宋" w:hAnsi="仿宋"/>
          <w:sz w:val="30"/>
          <w:szCs w:val="30"/>
        </w:rPr>
        <w:t>传统文化是有力支撑</w:t>
      </w:r>
      <w:bookmarkEnd w:id="20"/>
    </w:p>
    <w:p w:rsidR="002B653A" w:rsidRDefault="00DF1AA7">
      <w:pPr>
        <w:adjustRightInd w:val="0"/>
        <w:snapToGrid w:val="0"/>
        <w:spacing w:line="360" w:lineRule="auto"/>
        <w:ind w:firstLineChars="200" w:firstLine="600"/>
        <w:rPr>
          <w:rFonts w:ascii="仿宋" w:eastAsia="仿宋" w:hAnsi="仿宋"/>
          <w:sz w:val="30"/>
          <w:szCs w:val="30"/>
        </w:rPr>
      </w:pPr>
      <w:r>
        <w:rPr>
          <w:rFonts w:ascii="仿宋" w:eastAsia="仿宋" w:hAnsi="仿宋"/>
          <w:sz w:val="30"/>
          <w:szCs w:val="30"/>
        </w:rPr>
        <w:t>我国传统文化富含的优秀因素是推动</w:t>
      </w:r>
      <w:r>
        <w:rPr>
          <w:rFonts w:ascii="仿宋" w:eastAsia="仿宋" w:hAnsi="仿宋" w:hint="eastAsia"/>
          <w:sz w:val="30"/>
          <w:szCs w:val="30"/>
        </w:rPr>
        <w:t>区域</w:t>
      </w:r>
      <w:r>
        <w:rPr>
          <w:rFonts w:ascii="仿宋" w:eastAsia="仿宋" w:hAnsi="仿宋"/>
          <w:sz w:val="30"/>
          <w:szCs w:val="30"/>
        </w:rPr>
        <w:t>治理体系治理能力现代化的重要资源</w:t>
      </w:r>
      <w:r>
        <w:rPr>
          <w:rFonts w:ascii="仿宋" w:eastAsia="仿宋" w:hAnsi="仿宋" w:hint="eastAsia"/>
          <w:sz w:val="30"/>
          <w:szCs w:val="30"/>
        </w:rPr>
        <w:t>。一是</w:t>
      </w:r>
      <w:r>
        <w:rPr>
          <w:rFonts w:ascii="仿宋" w:eastAsia="仿宋" w:hAnsi="仿宋"/>
          <w:sz w:val="30"/>
          <w:szCs w:val="30"/>
        </w:rPr>
        <w:t>要深入挖掘优秀传统文化。充分发挥传统文化在社会治理中的重要作用，这是新时代赋予的重大现实任务。</w:t>
      </w:r>
      <w:r>
        <w:rPr>
          <w:rFonts w:ascii="仿宋" w:eastAsia="仿宋" w:hAnsi="仿宋" w:hint="eastAsia"/>
          <w:sz w:val="30"/>
          <w:szCs w:val="30"/>
        </w:rPr>
        <w:t>二是</w:t>
      </w:r>
      <w:r>
        <w:rPr>
          <w:rFonts w:ascii="仿宋" w:eastAsia="仿宋" w:hAnsi="仿宋"/>
          <w:sz w:val="30"/>
          <w:szCs w:val="30"/>
        </w:rPr>
        <w:t>要处理好继承与发展的关系。习近平总书记多次指出，要处理好继承和创造性发展的关系。</w:t>
      </w:r>
      <w:r>
        <w:rPr>
          <w:rFonts w:ascii="仿宋" w:eastAsia="仿宋" w:hAnsi="仿宋" w:hint="eastAsia"/>
          <w:sz w:val="30"/>
          <w:szCs w:val="30"/>
        </w:rPr>
        <w:t>三是要</w:t>
      </w:r>
      <w:r>
        <w:rPr>
          <w:rFonts w:ascii="仿宋" w:eastAsia="仿宋" w:hAnsi="仿宋"/>
          <w:sz w:val="30"/>
          <w:szCs w:val="30"/>
        </w:rPr>
        <w:t>将优秀传统文化融入社会主义核心价值观。社会主义核心价值观集中反映了中国特色社会主义的理想信念，也是在继承优秀传统文化的基础上形成的</w:t>
      </w:r>
      <w:r>
        <w:rPr>
          <w:rFonts w:ascii="仿宋" w:eastAsia="仿宋" w:hAnsi="仿宋" w:hint="eastAsia"/>
          <w:sz w:val="30"/>
          <w:szCs w:val="30"/>
        </w:rPr>
        <w:t>。</w:t>
      </w:r>
      <w:r>
        <w:rPr>
          <w:rFonts w:ascii="仿宋" w:eastAsia="仿宋" w:hAnsi="仿宋"/>
          <w:sz w:val="30"/>
          <w:szCs w:val="30"/>
        </w:rPr>
        <w:t>因此，在培育和践行社会主义核心价值观中传承优秀传统文化尤为重要。</w:t>
      </w:r>
    </w:p>
    <w:p w:rsidR="002B653A" w:rsidRDefault="00DF1AA7" w:rsidP="0091109A">
      <w:pPr>
        <w:pStyle w:val="1"/>
        <w:keepNext w:val="0"/>
        <w:keepLines w:val="0"/>
        <w:widowControl w:val="0"/>
        <w:spacing w:beforeLines="100" w:afterLines="100" w:line="240" w:lineRule="auto"/>
        <w:jc w:val="center"/>
        <w:rPr>
          <w:rFonts w:ascii="黑体" w:eastAsia="黑体" w:hAnsi="黑体"/>
          <w:sz w:val="36"/>
          <w:szCs w:val="36"/>
        </w:rPr>
      </w:pPr>
      <w:r>
        <w:rPr>
          <w:rFonts w:ascii="黑体" w:eastAsia="黑体" w:hAnsi="黑体"/>
          <w:sz w:val="36"/>
          <w:szCs w:val="36"/>
        </w:rPr>
        <w:br w:type="page"/>
      </w:r>
      <w:bookmarkStart w:id="21" w:name="_Toc90415729"/>
      <w:r>
        <w:rPr>
          <w:rFonts w:ascii="黑体" w:eastAsia="黑体" w:hAnsi="黑体" w:hint="eastAsia"/>
          <w:sz w:val="36"/>
          <w:szCs w:val="36"/>
        </w:rPr>
        <w:lastRenderedPageBreak/>
        <w:t>第二章 总体思路</w:t>
      </w:r>
      <w:bookmarkEnd w:id="21"/>
    </w:p>
    <w:p w:rsidR="002B653A" w:rsidRDefault="00DF1AA7" w:rsidP="0091109A">
      <w:pPr>
        <w:pStyle w:val="2"/>
        <w:keepNext w:val="0"/>
        <w:keepLines w:val="0"/>
        <w:widowControl w:val="0"/>
        <w:spacing w:beforeLines="100" w:afterLines="100" w:line="240" w:lineRule="auto"/>
        <w:jc w:val="center"/>
        <w:rPr>
          <w:rFonts w:ascii="黑体" w:eastAsia="黑体" w:hAnsi="黑体"/>
          <w:b w:val="0"/>
        </w:rPr>
      </w:pPr>
      <w:bookmarkStart w:id="22" w:name="_Toc90415730"/>
      <w:r>
        <w:rPr>
          <w:rFonts w:ascii="黑体" w:eastAsia="黑体" w:hAnsi="黑体" w:hint="eastAsia"/>
          <w:b w:val="0"/>
        </w:rPr>
        <w:t>第一节 指导思想</w:t>
      </w:r>
      <w:bookmarkEnd w:id="22"/>
    </w:p>
    <w:p w:rsidR="002B653A" w:rsidRDefault="00DF1AA7">
      <w:pPr>
        <w:adjustRightInd w:val="0"/>
        <w:snapToGrid w:val="0"/>
        <w:spacing w:line="360" w:lineRule="auto"/>
        <w:ind w:firstLineChars="200" w:firstLine="600"/>
        <w:rPr>
          <w:rFonts w:ascii="仿宋" w:eastAsia="仿宋" w:hAnsi="仿宋"/>
          <w:sz w:val="30"/>
          <w:szCs w:val="30"/>
        </w:rPr>
      </w:pPr>
      <w:r>
        <w:rPr>
          <w:rFonts w:ascii="仿宋" w:eastAsia="仿宋" w:hAnsi="仿宋"/>
          <w:sz w:val="30"/>
          <w:szCs w:val="30"/>
        </w:rPr>
        <w:t>坚持以习近平新时代中国特色社会主义思想为指导，</w:t>
      </w:r>
      <w:r>
        <w:rPr>
          <w:rFonts w:ascii="仿宋" w:eastAsia="仿宋" w:hAnsi="仿宋" w:hint="eastAsia"/>
          <w:sz w:val="30"/>
          <w:szCs w:val="30"/>
        </w:rPr>
        <w:t>深入</w:t>
      </w:r>
      <w:r>
        <w:rPr>
          <w:rFonts w:ascii="仿宋" w:eastAsia="仿宋" w:hAnsi="仿宋"/>
          <w:sz w:val="30"/>
          <w:szCs w:val="30"/>
        </w:rPr>
        <w:t>贯彻党的十九大和十九届四中</w:t>
      </w:r>
      <w:r>
        <w:rPr>
          <w:rFonts w:ascii="仿宋" w:eastAsia="仿宋" w:hAnsi="仿宋" w:hint="eastAsia"/>
          <w:sz w:val="30"/>
          <w:szCs w:val="30"/>
        </w:rPr>
        <w:t>、五中、六中</w:t>
      </w:r>
      <w:r>
        <w:rPr>
          <w:rFonts w:ascii="仿宋" w:eastAsia="仿宋" w:hAnsi="仿宋"/>
          <w:sz w:val="30"/>
          <w:szCs w:val="30"/>
        </w:rPr>
        <w:t>全会精神、《</w:t>
      </w:r>
      <w:r>
        <w:rPr>
          <w:rFonts w:ascii="仿宋" w:eastAsia="仿宋" w:hAnsi="仿宋" w:hint="eastAsia"/>
          <w:sz w:val="30"/>
          <w:szCs w:val="30"/>
        </w:rPr>
        <w:t>中共中央国务院关于加强基层治理体系和治理能力现代化建设的意见》精神及</w:t>
      </w:r>
      <w:r>
        <w:rPr>
          <w:rFonts w:ascii="仿宋" w:eastAsia="仿宋" w:hAnsi="仿宋"/>
          <w:sz w:val="30"/>
          <w:szCs w:val="30"/>
        </w:rPr>
        <w:t>习近平总书记对四川工作系列重要指示精神，全面落实省委</w:t>
      </w:r>
      <w:r>
        <w:rPr>
          <w:rFonts w:ascii="仿宋" w:eastAsia="仿宋" w:hAnsi="仿宋" w:hint="eastAsia"/>
          <w:sz w:val="30"/>
          <w:szCs w:val="30"/>
        </w:rPr>
        <w:t>和德阳市委工作部署</w:t>
      </w:r>
      <w:r>
        <w:rPr>
          <w:rFonts w:ascii="仿宋" w:eastAsia="仿宋" w:hAnsi="仿宋"/>
          <w:sz w:val="30"/>
          <w:szCs w:val="30"/>
        </w:rPr>
        <w:t>，坚持</w:t>
      </w:r>
      <w:r>
        <w:rPr>
          <w:rFonts w:ascii="仿宋" w:eastAsia="仿宋" w:hAnsi="仿宋" w:hint="eastAsia"/>
          <w:sz w:val="30"/>
          <w:szCs w:val="30"/>
        </w:rPr>
        <w:t>和加强党的全面领导，坚持以人民为中心，以增进人民福祉为出发点和落脚点，以加强基层党组织建设、增强基层党组织政治功能和组织力为关键，以加强基层政权建设和健全基层群众自治制度为重点，以改革创新和制度建设、能力建设为抓手，积极推动“一核两翼三共四化五社”，</w:t>
      </w:r>
      <w:r>
        <w:rPr>
          <w:rFonts w:ascii="仿宋" w:eastAsia="仿宋" w:hAnsi="仿宋"/>
          <w:sz w:val="30"/>
          <w:szCs w:val="30"/>
        </w:rPr>
        <w:t>着力补短板、强弱项、建机制、提能力，完善党委领导、政府负责、民主协商、社会协同、公众参与、法治保障、科技支撑的社会治理体系，</w:t>
      </w:r>
      <w:r>
        <w:rPr>
          <w:rFonts w:ascii="仿宋" w:eastAsia="仿宋" w:hAnsi="仿宋" w:hint="eastAsia"/>
          <w:sz w:val="30"/>
          <w:szCs w:val="30"/>
        </w:rPr>
        <w:t>提高基层治理社会化、法制化、智能化、专业化水平，</w:t>
      </w:r>
      <w:r>
        <w:rPr>
          <w:rFonts w:ascii="仿宋" w:eastAsia="仿宋" w:hAnsi="仿宋"/>
          <w:sz w:val="30"/>
          <w:szCs w:val="30"/>
        </w:rPr>
        <w:t>加快构建新时代城乡基层治理新格局，为推动</w:t>
      </w:r>
      <w:r>
        <w:rPr>
          <w:rFonts w:ascii="仿宋" w:eastAsia="仿宋" w:hAnsi="仿宋" w:hint="eastAsia"/>
          <w:sz w:val="30"/>
          <w:szCs w:val="30"/>
        </w:rPr>
        <w:t>广汉市经济社会</w:t>
      </w:r>
      <w:r>
        <w:rPr>
          <w:rFonts w:ascii="仿宋" w:eastAsia="仿宋" w:hAnsi="仿宋"/>
          <w:sz w:val="30"/>
          <w:szCs w:val="30"/>
        </w:rPr>
        <w:t>高质量发展奠定坚实基础。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2B653A">
        <w:tc>
          <w:tcPr>
            <w:tcW w:w="8522" w:type="dxa"/>
          </w:tcPr>
          <w:p w:rsidR="002B653A" w:rsidRDefault="00DF1AA7" w:rsidP="0091109A">
            <w:pPr>
              <w:spacing w:beforeLines="50" w:afterLines="50"/>
              <w:jc w:val="center"/>
              <w:rPr>
                <w:rFonts w:ascii="黑体" w:eastAsia="黑体" w:hAnsi="黑体" w:cs="仿宋"/>
                <w:b/>
                <w:bCs/>
                <w:sz w:val="28"/>
                <w:szCs w:val="28"/>
              </w:rPr>
            </w:pPr>
            <w:r>
              <w:rPr>
                <w:rFonts w:ascii="黑体" w:eastAsia="黑体" w:hAnsi="黑体" w:cs="仿宋" w:hint="eastAsia"/>
                <w:b/>
                <w:bCs/>
                <w:sz w:val="28"/>
                <w:szCs w:val="28"/>
              </w:rPr>
              <w:t>专栏</w:t>
            </w:r>
            <w:r>
              <w:rPr>
                <w:rFonts w:ascii="黑体" w:eastAsia="黑体" w:hAnsi="黑体" w:cs="仿宋"/>
                <w:b/>
                <w:bCs/>
                <w:sz w:val="28"/>
                <w:szCs w:val="28"/>
              </w:rPr>
              <w:t>2</w:t>
            </w:r>
            <w:r>
              <w:rPr>
                <w:rFonts w:ascii="黑体" w:eastAsia="黑体" w:hAnsi="黑体" w:cs="仿宋" w:hint="eastAsia"/>
                <w:b/>
                <w:bCs/>
                <w:sz w:val="28"/>
                <w:szCs w:val="28"/>
              </w:rPr>
              <w:t>-1“一核两翼三共四化五社”</w:t>
            </w:r>
          </w:p>
          <w:p w:rsidR="002B653A" w:rsidRDefault="00DF1AA7">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一核领航：党建引领</w:t>
            </w:r>
          </w:p>
          <w:p w:rsidR="002B653A" w:rsidRDefault="00DF1AA7">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两翼齐展：城乡分类治理</w:t>
            </w:r>
          </w:p>
          <w:p w:rsidR="002B653A" w:rsidRDefault="00DF1AA7">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三共协同：共建、共治、共享</w:t>
            </w:r>
          </w:p>
          <w:p w:rsidR="002B653A" w:rsidRDefault="00DF1AA7">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四化同步：社会化、法治化、智能化、专业化水平</w:t>
            </w:r>
          </w:p>
          <w:p w:rsidR="002B653A" w:rsidRDefault="00DF1AA7">
            <w:pPr>
              <w:adjustRightInd w:val="0"/>
              <w:snapToGrid w:val="0"/>
              <w:spacing w:line="312" w:lineRule="auto"/>
              <w:ind w:firstLineChars="200" w:firstLine="560"/>
              <w:rPr>
                <w:rFonts w:ascii="仿宋" w:eastAsia="仿宋" w:hAnsi="仿宋"/>
                <w:sz w:val="28"/>
                <w:szCs w:val="28"/>
              </w:rPr>
            </w:pPr>
            <w:r>
              <w:rPr>
                <w:rFonts w:ascii="仿宋" w:eastAsia="仿宋" w:hAnsi="仿宋" w:hint="eastAsia"/>
                <w:sz w:val="28"/>
                <w:szCs w:val="28"/>
              </w:rPr>
              <w:t>五社联动：社区、社区工作者、社会组织、社区志愿者、社区公益慈善资源</w:t>
            </w:r>
          </w:p>
        </w:tc>
      </w:tr>
    </w:tbl>
    <w:p w:rsidR="002B653A" w:rsidRDefault="00DF1AA7" w:rsidP="0091109A">
      <w:pPr>
        <w:pStyle w:val="2"/>
        <w:keepNext w:val="0"/>
        <w:keepLines w:val="0"/>
        <w:widowControl w:val="0"/>
        <w:spacing w:beforeLines="100" w:afterLines="100" w:line="240" w:lineRule="auto"/>
        <w:jc w:val="center"/>
        <w:rPr>
          <w:rFonts w:ascii="黑体" w:eastAsia="黑体" w:hAnsi="黑体"/>
          <w:b w:val="0"/>
        </w:rPr>
      </w:pPr>
      <w:bookmarkStart w:id="23" w:name="_Toc90415731"/>
      <w:r>
        <w:rPr>
          <w:rFonts w:ascii="黑体" w:eastAsia="黑体" w:hAnsi="黑体" w:hint="eastAsia"/>
          <w:b w:val="0"/>
        </w:rPr>
        <w:lastRenderedPageBreak/>
        <w:t>第二节 基本原则</w:t>
      </w:r>
      <w:bookmarkEnd w:id="23"/>
    </w:p>
    <w:p w:rsidR="002B653A" w:rsidRDefault="00DF1AA7">
      <w:pPr>
        <w:adjustRightInd w:val="0"/>
        <w:snapToGrid w:val="0"/>
        <w:spacing w:line="360" w:lineRule="auto"/>
        <w:ind w:firstLine="636"/>
        <w:jc w:val="left"/>
        <w:rPr>
          <w:rFonts w:ascii="仿宋" w:eastAsia="仿宋" w:hAnsi="仿宋"/>
          <w:sz w:val="30"/>
          <w:szCs w:val="30"/>
        </w:rPr>
      </w:pPr>
      <w:r>
        <w:rPr>
          <w:rFonts w:ascii="仿宋" w:eastAsia="仿宋" w:hAnsi="仿宋"/>
          <w:b/>
          <w:bCs/>
          <w:sz w:val="30"/>
          <w:szCs w:val="30"/>
        </w:rPr>
        <w:t>——坚持党的领导。</w:t>
      </w:r>
      <w:r>
        <w:rPr>
          <w:rFonts w:ascii="仿宋" w:eastAsia="仿宋" w:hAnsi="仿宋"/>
          <w:sz w:val="30"/>
          <w:szCs w:val="30"/>
        </w:rPr>
        <w:t>加强党对基层治理的全面领导，切实发挥基层党组织领导核心作用，增强基层党组织政治领导力、思想引领力、群众组织力、社会号召力，确保基层治理始终保持正确政治方向。</w:t>
      </w:r>
    </w:p>
    <w:p w:rsidR="002B653A" w:rsidRDefault="00DF1AA7">
      <w:pPr>
        <w:adjustRightInd w:val="0"/>
        <w:snapToGrid w:val="0"/>
        <w:spacing w:line="360" w:lineRule="auto"/>
        <w:ind w:firstLine="636"/>
        <w:jc w:val="left"/>
        <w:rPr>
          <w:rFonts w:ascii="仿宋" w:eastAsia="仿宋" w:hAnsi="仿宋"/>
          <w:sz w:val="30"/>
          <w:szCs w:val="30"/>
        </w:rPr>
      </w:pPr>
      <w:r>
        <w:rPr>
          <w:rFonts w:ascii="仿宋" w:eastAsia="仿宋" w:hAnsi="仿宋"/>
          <w:b/>
          <w:bCs/>
          <w:sz w:val="30"/>
          <w:szCs w:val="30"/>
        </w:rPr>
        <w:t>——坚持</w:t>
      </w:r>
      <w:r w:rsidR="00981E2F">
        <w:rPr>
          <w:rFonts w:ascii="仿宋" w:eastAsia="仿宋" w:hAnsi="仿宋"/>
          <w:b/>
          <w:bCs/>
          <w:sz w:val="30"/>
          <w:szCs w:val="30"/>
        </w:rPr>
        <w:t>以</w:t>
      </w:r>
      <w:r>
        <w:rPr>
          <w:rFonts w:ascii="仿宋" w:eastAsia="仿宋" w:hAnsi="仿宋"/>
          <w:b/>
          <w:bCs/>
          <w:sz w:val="30"/>
          <w:szCs w:val="30"/>
        </w:rPr>
        <w:t>人民</w:t>
      </w:r>
      <w:r w:rsidR="004A75A5">
        <w:rPr>
          <w:rFonts w:ascii="仿宋" w:eastAsia="仿宋" w:hAnsi="仿宋"/>
          <w:b/>
          <w:bCs/>
          <w:sz w:val="30"/>
          <w:szCs w:val="30"/>
        </w:rPr>
        <w:t>为</w:t>
      </w:r>
      <w:r>
        <w:rPr>
          <w:rFonts w:ascii="仿宋" w:eastAsia="仿宋" w:hAnsi="仿宋" w:hint="eastAsia"/>
          <w:b/>
          <w:bCs/>
          <w:sz w:val="30"/>
          <w:szCs w:val="30"/>
        </w:rPr>
        <w:t>中心</w:t>
      </w:r>
      <w:r>
        <w:rPr>
          <w:rFonts w:ascii="仿宋" w:eastAsia="仿宋" w:hAnsi="仿宋"/>
          <w:b/>
          <w:bCs/>
          <w:sz w:val="30"/>
          <w:szCs w:val="30"/>
        </w:rPr>
        <w:t>。</w:t>
      </w:r>
      <w:r>
        <w:rPr>
          <w:rFonts w:ascii="仿宋" w:eastAsia="仿宋" w:hAnsi="仿宋"/>
          <w:sz w:val="30"/>
          <w:szCs w:val="30"/>
        </w:rPr>
        <w:t>牢固树立以人民为中心的发展思想，更好满足人民群众日益增长的美好生活需要，聚焦群众急难愁盼问题，精准实施服务供给侧改革，健全基本公共服务体系，增强群众获得感、幸福感、安全感。</w:t>
      </w:r>
    </w:p>
    <w:p w:rsidR="002B653A" w:rsidRDefault="00DF1AA7">
      <w:pPr>
        <w:adjustRightInd w:val="0"/>
        <w:snapToGrid w:val="0"/>
        <w:spacing w:line="360" w:lineRule="auto"/>
        <w:ind w:firstLine="636"/>
        <w:jc w:val="left"/>
        <w:rPr>
          <w:rFonts w:ascii="仿宋" w:eastAsia="仿宋" w:hAnsi="仿宋"/>
          <w:sz w:val="30"/>
          <w:szCs w:val="30"/>
        </w:rPr>
      </w:pPr>
      <w:r>
        <w:rPr>
          <w:rFonts w:ascii="仿宋" w:eastAsia="仿宋" w:hAnsi="仿宋"/>
          <w:b/>
          <w:bCs/>
          <w:sz w:val="30"/>
          <w:szCs w:val="30"/>
        </w:rPr>
        <w:t>——坚持依法治理。</w:t>
      </w:r>
      <w:r>
        <w:rPr>
          <w:rFonts w:ascii="仿宋" w:eastAsia="仿宋" w:hAnsi="仿宋"/>
          <w:sz w:val="30"/>
          <w:szCs w:val="30"/>
        </w:rPr>
        <w:t>充分发挥法治固根本、稳预期、利长远的保障作用，把基层治理纳入法治化轨道，坚持运用法治思维和法治方式推进基层治理，进一步将制度优势转化为治理效能。</w:t>
      </w:r>
    </w:p>
    <w:p w:rsidR="002B653A" w:rsidRDefault="00DF1AA7">
      <w:pPr>
        <w:adjustRightInd w:val="0"/>
        <w:snapToGrid w:val="0"/>
        <w:spacing w:line="360" w:lineRule="auto"/>
        <w:ind w:firstLine="636"/>
        <w:jc w:val="left"/>
        <w:rPr>
          <w:rFonts w:ascii="仿宋" w:eastAsia="仿宋" w:hAnsi="仿宋"/>
          <w:sz w:val="30"/>
          <w:szCs w:val="30"/>
        </w:rPr>
      </w:pPr>
      <w:r>
        <w:rPr>
          <w:rFonts w:ascii="仿宋" w:eastAsia="仿宋" w:hAnsi="仿宋"/>
          <w:b/>
          <w:bCs/>
          <w:sz w:val="30"/>
          <w:szCs w:val="30"/>
        </w:rPr>
        <w:t>——坚持改革创新。</w:t>
      </w:r>
      <w:r>
        <w:rPr>
          <w:rFonts w:ascii="仿宋" w:eastAsia="仿宋" w:hAnsi="仿宋" w:hint="eastAsia"/>
          <w:sz w:val="30"/>
          <w:szCs w:val="30"/>
        </w:rPr>
        <w:t>坚持问题导向，加强财政投入、权责对等、共建共享、资源整合、内生动力、人才培养等创新举措，</w:t>
      </w:r>
      <w:r>
        <w:rPr>
          <w:rFonts w:ascii="仿宋" w:eastAsia="仿宋" w:hAnsi="仿宋"/>
          <w:sz w:val="30"/>
          <w:szCs w:val="30"/>
        </w:rPr>
        <w:t>解决城乡基层治理中存在的体制性障碍、机制性梗阻和政策性问题，推动高效能治理与高质量发展同频共振。</w:t>
      </w:r>
    </w:p>
    <w:p w:rsidR="002B653A" w:rsidRDefault="00DF1AA7">
      <w:pPr>
        <w:adjustRightInd w:val="0"/>
        <w:snapToGrid w:val="0"/>
        <w:spacing w:line="360" w:lineRule="auto"/>
        <w:ind w:firstLine="636"/>
        <w:jc w:val="left"/>
        <w:rPr>
          <w:rFonts w:ascii="仿宋" w:eastAsia="仿宋" w:hAnsi="仿宋"/>
          <w:sz w:val="30"/>
          <w:szCs w:val="30"/>
        </w:rPr>
      </w:pPr>
      <w:r>
        <w:rPr>
          <w:rFonts w:ascii="仿宋" w:eastAsia="仿宋" w:hAnsi="仿宋"/>
          <w:b/>
          <w:bCs/>
          <w:sz w:val="30"/>
          <w:szCs w:val="30"/>
        </w:rPr>
        <w:t>——坚持多元共治。</w:t>
      </w:r>
      <w:r>
        <w:rPr>
          <w:rFonts w:ascii="仿宋" w:eastAsia="仿宋" w:hAnsi="仿宋"/>
          <w:sz w:val="30"/>
          <w:szCs w:val="30"/>
        </w:rPr>
        <w:t>健全党组织领导的自治、法治、德治、智治、共治相结合的基层治理体系，</w:t>
      </w:r>
      <w:r>
        <w:rPr>
          <w:rFonts w:ascii="仿宋" w:eastAsia="仿宋" w:hAnsi="仿宋" w:hint="eastAsia"/>
          <w:sz w:val="30"/>
          <w:szCs w:val="30"/>
        </w:rPr>
        <w:t>实现政府治理、社会调节、居民自治良性互动，</w:t>
      </w:r>
      <w:r>
        <w:rPr>
          <w:rFonts w:ascii="仿宋" w:eastAsia="仿宋" w:hAnsi="仿宋"/>
          <w:sz w:val="30"/>
          <w:szCs w:val="30"/>
        </w:rPr>
        <w:t>建设人人有责、人人尽责、人人享有的社会治理共同体。</w:t>
      </w:r>
    </w:p>
    <w:p w:rsidR="002B653A" w:rsidRDefault="00DF1AA7" w:rsidP="0091109A">
      <w:pPr>
        <w:pStyle w:val="2"/>
        <w:keepNext w:val="0"/>
        <w:keepLines w:val="0"/>
        <w:widowControl w:val="0"/>
        <w:spacing w:beforeLines="100" w:afterLines="100" w:line="240" w:lineRule="auto"/>
        <w:jc w:val="center"/>
        <w:rPr>
          <w:rFonts w:ascii="黑体" w:eastAsia="黑体" w:hAnsi="黑体"/>
          <w:b w:val="0"/>
        </w:rPr>
      </w:pPr>
      <w:bookmarkStart w:id="24" w:name="_Toc90415732"/>
      <w:r>
        <w:rPr>
          <w:rFonts w:ascii="黑体" w:eastAsia="黑体" w:hAnsi="黑体" w:hint="eastAsia"/>
          <w:b w:val="0"/>
        </w:rPr>
        <w:t>第三节 目标任务</w:t>
      </w:r>
      <w:bookmarkEnd w:id="24"/>
    </w:p>
    <w:p w:rsidR="002B653A" w:rsidRDefault="00DF1AA7">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到2</w:t>
      </w:r>
      <w:r>
        <w:rPr>
          <w:rFonts w:ascii="仿宋" w:eastAsia="仿宋" w:hAnsi="仿宋"/>
          <w:sz w:val="30"/>
          <w:szCs w:val="30"/>
        </w:rPr>
        <w:t>025</w:t>
      </w:r>
      <w:r>
        <w:rPr>
          <w:rFonts w:ascii="仿宋" w:eastAsia="仿宋" w:hAnsi="仿宋" w:hint="eastAsia"/>
          <w:sz w:val="30"/>
          <w:szCs w:val="30"/>
        </w:rPr>
        <w:t>年，建立起党组织统一领导、政府依法履责、各类组织积极协同、群众广泛参与，自治、法治、德治相结合的基层</w:t>
      </w:r>
      <w:r>
        <w:rPr>
          <w:rFonts w:ascii="仿宋" w:eastAsia="仿宋" w:hAnsi="仿宋" w:hint="eastAsia"/>
          <w:sz w:val="30"/>
          <w:szCs w:val="30"/>
        </w:rPr>
        <w:lastRenderedPageBreak/>
        <w:t>治理体系，健全常态化管理和应急管理动态衔接的基层治理机制，构建网格化管理、精细化服务、信息化支撑、开放共享、区域协调的基层管理服务平台；党建引领基层治理机制全面完善，基层政权坚强有力，基层群众自治充满活力，基层公共服务精准高效，党的执政基础更加坚实，基层治理体系和治理能力现代化水平明显提高。到2035年，基本实现基层治理体系和治理能力现代化，具有广汉特色和示范推广的城乡基层治理制度优势充分展现。</w:t>
      </w:r>
    </w:p>
    <w:p w:rsidR="002B653A" w:rsidRDefault="00DF1AA7" w:rsidP="0091109A">
      <w:pPr>
        <w:pStyle w:val="1"/>
        <w:keepNext w:val="0"/>
        <w:keepLines w:val="0"/>
        <w:widowControl w:val="0"/>
        <w:spacing w:beforeLines="100" w:afterLines="100" w:line="240" w:lineRule="auto"/>
        <w:jc w:val="center"/>
        <w:rPr>
          <w:rFonts w:ascii="黑体" w:eastAsia="黑体" w:hAnsi="黑体"/>
          <w:sz w:val="36"/>
          <w:szCs w:val="36"/>
        </w:rPr>
      </w:pPr>
      <w:r>
        <w:rPr>
          <w:rFonts w:ascii="黑体" w:eastAsia="黑体" w:hAnsi="黑体"/>
          <w:sz w:val="36"/>
          <w:szCs w:val="36"/>
        </w:rPr>
        <w:br w:type="page"/>
      </w:r>
      <w:bookmarkStart w:id="25" w:name="_Toc90415733"/>
      <w:r>
        <w:rPr>
          <w:rFonts w:ascii="黑体" w:eastAsia="黑体" w:hAnsi="黑体" w:hint="eastAsia"/>
          <w:sz w:val="36"/>
          <w:szCs w:val="36"/>
        </w:rPr>
        <w:lastRenderedPageBreak/>
        <w:t>第三章 实施路径</w:t>
      </w:r>
      <w:bookmarkEnd w:id="25"/>
    </w:p>
    <w:p w:rsidR="002B653A" w:rsidRDefault="00DF1AA7">
      <w:pPr>
        <w:adjustRightInd w:val="0"/>
        <w:snapToGrid w:val="0"/>
        <w:spacing w:line="360" w:lineRule="auto"/>
        <w:ind w:firstLineChars="200" w:firstLine="600"/>
        <w:rPr>
          <w:rFonts w:ascii="Tahoma" w:eastAsia="仿宋" w:hAnsi="Tahoma"/>
          <w:kern w:val="0"/>
          <w:sz w:val="30"/>
          <w:szCs w:val="30"/>
        </w:rPr>
      </w:pPr>
      <w:r>
        <w:rPr>
          <w:rFonts w:ascii="Tahoma" w:eastAsia="仿宋" w:hAnsi="Tahoma" w:hint="eastAsia"/>
          <w:kern w:val="0"/>
          <w:sz w:val="30"/>
          <w:szCs w:val="30"/>
        </w:rPr>
        <w:t>基层治理是国家治理的基石，统筹推进乡村和城镇基层治理，是实现国家治理体系和治理能力现代化的基础工程。健全党组织领导的城乡基层治理体系，推动社会治理和服务重心向基层下移，更好提供精准化、精细化服务，是构建基层社会治理新格局的抓手。为更好精准化、精细化突破基层治理瓶颈，全方位提升基层治理成效，应分类构建、“量身定制”基层治理实施路径。立足于城乡基层治理的不同“痛点”“难点”“堵点”问题，分别提出城镇基层治理实施路径和乡村基层治理实施路径，是构建基层治理新格局的内在要求。</w:t>
      </w:r>
    </w:p>
    <w:p w:rsidR="002B653A" w:rsidRDefault="00DF1AA7" w:rsidP="0091109A">
      <w:pPr>
        <w:pStyle w:val="2"/>
        <w:keepNext w:val="0"/>
        <w:keepLines w:val="0"/>
        <w:widowControl w:val="0"/>
        <w:spacing w:beforeLines="100" w:afterLines="100" w:line="240" w:lineRule="auto"/>
        <w:jc w:val="center"/>
        <w:rPr>
          <w:rFonts w:ascii="黑体" w:eastAsia="黑体" w:hAnsi="黑体"/>
          <w:b w:val="0"/>
        </w:rPr>
      </w:pPr>
      <w:bookmarkStart w:id="26" w:name="_Toc90415734"/>
      <w:r>
        <w:rPr>
          <w:rFonts w:ascii="黑体" w:eastAsia="黑体" w:hAnsi="黑体" w:hint="eastAsia"/>
          <w:b w:val="0"/>
        </w:rPr>
        <w:t>第一节 城镇基层治理实施路径</w:t>
      </w:r>
      <w:bookmarkEnd w:id="26"/>
    </w:p>
    <w:p w:rsidR="002B653A" w:rsidRDefault="00DF1AA7">
      <w:pPr>
        <w:adjustRightInd w:val="0"/>
        <w:snapToGrid w:val="0"/>
        <w:spacing w:line="360" w:lineRule="auto"/>
        <w:ind w:firstLineChars="200" w:firstLine="600"/>
        <w:rPr>
          <w:rFonts w:ascii="Tahoma" w:eastAsia="仿宋" w:hAnsi="Tahoma"/>
          <w:kern w:val="0"/>
          <w:sz w:val="30"/>
          <w:szCs w:val="30"/>
        </w:rPr>
      </w:pPr>
      <w:r>
        <w:rPr>
          <w:rFonts w:ascii="Tahoma" w:eastAsia="仿宋" w:hAnsi="Tahoma" w:hint="eastAsia"/>
          <w:kern w:val="0"/>
          <w:sz w:val="30"/>
          <w:szCs w:val="30"/>
        </w:rPr>
        <w:t>广汉市城镇与国内其他城镇相似，即城镇社区居民生产生活的显著特点是高密度隔断式居住生活形态与分散化就业形态并存。高密度居住形态为社区提供集成化、规模化、低成本的基础设施和公共服务创造了前提基础，但也导致了社区公共空间狭小，社区公共空间改造成为完善社区生活环境和提升居民生活质量的主要途径；隔断式生活形态使得社区居民横向联系减弱，居民社区共同体意识缺乏，邻里关系在基层治理中的作用减弱，重塑社区邻里关系和构建居民社区共同体意识成为基层治理的重要内容；分散化就业形态下社区居民中专业型、复合型人才基数大，充分挖掘社区人才参与基层治理能够有效提升治理效能；城镇社区基层治理精准化要求充分运用先进信息技术搭建</w:t>
      </w:r>
      <w:r>
        <w:rPr>
          <w:rFonts w:ascii="仿宋" w:eastAsia="仿宋" w:hAnsi="仿宋" w:hint="eastAsia"/>
          <w:sz w:val="30"/>
          <w:szCs w:val="30"/>
        </w:rPr>
        <w:t>一体化社区</w:t>
      </w:r>
      <w:r>
        <w:rPr>
          <w:rFonts w:ascii="仿宋" w:eastAsia="仿宋" w:hAnsi="仿宋" w:hint="eastAsia"/>
          <w:sz w:val="30"/>
          <w:szCs w:val="30"/>
        </w:rPr>
        <w:lastRenderedPageBreak/>
        <w:t>智慧平台实现治理场景的数字化</w:t>
      </w:r>
      <w:r>
        <w:rPr>
          <w:rFonts w:ascii="Tahoma" w:eastAsia="仿宋" w:hAnsi="Tahoma" w:hint="eastAsia"/>
          <w:kern w:val="0"/>
          <w:sz w:val="30"/>
          <w:szCs w:val="30"/>
        </w:rPr>
        <w:t>。此外，社区工作者、社会组织、社区志愿者与社区之间的空间临近关系决定了“五社联动”在城镇基层治理中可以“大展宏图”。基于此，广汉市城镇基层治理要充分利用基层治理资源，引导各类主体共同参与，有序满足城镇社区居民多样化需求，推动实施服务设施集成化、社区空间景观化、治理场景数字化、社区服务项目化、责任银行平台化，推动全市城镇基层治理高质量发展，实现提升全市城镇社区居民幸福感。</w:t>
      </w:r>
    </w:p>
    <w:p w:rsidR="002B653A" w:rsidRDefault="00DF1AA7">
      <w:pPr>
        <w:pStyle w:val="3"/>
        <w:adjustRightInd w:val="0"/>
        <w:snapToGrid w:val="0"/>
        <w:spacing w:before="0" w:after="0" w:line="360" w:lineRule="auto"/>
        <w:ind w:firstLineChars="200" w:firstLine="602"/>
        <w:rPr>
          <w:rFonts w:ascii="仿宋" w:eastAsia="仿宋" w:hAnsi="仿宋"/>
          <w:sz w:val="30"/>
          <w:szCs w:val="30"/>
        </w:rPr>
      </w:pPr>
      <w:bookmarkStart w:id="27" w:name="_Toc90415735"/>
      <w:r>
        <w:rPr>
          <w:rFonts w:ascii="仿宋" w:eastAsia="仿宋" w:hAnsi="仿宋" w:hint="eastAsia"/>
          <w:sz w:val="30"/>
          <w:szCs w:val="30"/>
        </w:rPr>
        <w:t>一、服务设施集成化，健全综合型社区服务体系</w:t>
      </w:r>
      <w:bookmarkEnd w:id="27"/>
    </w:p>
    <w:p w:rsidR="002B653A" w:rsidRDefault="00DF1AA7">
      <w:pPr>
        <w:adjustRightInd w:val="0"/>
        <w:snapToGrid w:val="0"/>
        <w:spacing w:line="360" w:lineRule="auto"/>
        <w:ind w:firstLineChars="200" w:firstLine="602"/>
        <w:rPr>
          <w:rFonts w:ascii="Tahoma" w:eastAsia="仿宋" w:hAnsi="Tahoma"/>
          <w:kern w:val="0"/>
          <w:sz w:val="30"/>
          <w:szCs w:val="30"/>
        </w:rPr>
      </w:pPr>
      <w:r>
        <w:rPr>
          <w:rFonts w:ascii="Tahoma" w:eastAsia="仿宋" w:hAnsi="Tahoma" w:hint="eastAsia"/>
          <w:b/>
          <w:kern w:val="0"/>
          <w:sz w:val="30"/>
          <w:szCs w:val="30"/>
        </w:rPr>
        <w:t>加快建设功能集成化党群服务中心。</w:t>
      </w:r>
      <w:r>
        <w:rPr>
          <w:rFonts w:ascii="Tahoma" w:eastAsia="仿宋" w:hAnsi="Tahoma" w:hint="eastAsia"/>
          <w:kern w:val="0"/>
          <w:sz w:val="30"/>
          <w:szCs w:val="30"/>
        </w:rPr>
        <w:t>加强社区标准化规范化亲民化建设，推进集便民服务、养老服务、儿童关爱、文体娱乐等功能于一体的综合服务设施全覆盖。鼓励社会组织、社会企业参与并提供专业化、社会化、便利化社区服务。</w:t>
      </w:r>
      <w:r>
        <w:rPr>
          <w:rFonts w:ascii="Tahoma" w:eastAsia="仿宋" w:hAnsi="Tahoma" w:hint="eastAsia"/>
          <w:b/>
          <w:kern w:val="0"/>
          <w:sz w:val="30"/>
          <w:szCs w:val="30"/>
        </w:rPr>
        <w:t>推动政务服务下沉党群服务中心。</w:t>
      </w:r>
      <w:r>
        <w:rPr>
          <w:rFonts w:ascii="Tahoma" w:eastAsia="仿宋" w:hAnsi="Tahoma" w:hint="eastAsia"/>
          <w:kern w:val="0"/>
          <w:sz w:val="30"/>
          <w:szCs w:val="30"/>
        </w:rPr>
        <w:t>进一步优化“天府通办”各类政务服务功能。在党群服务中心构建实体受理窗口、自助终端，实现“小事不出社区、大事不出街道”。进一步优化政务代办服务流程。</w:t>
      </w:r>
      <w:r>
        <w:rPr>
          <w:rFonts w:ascii="Tahoma" w:eastAsia="仿宋" w:hAnsi="Tahoma" w:hint="eastAsia"/>
          <w:b/>
          <w:kern w:val="0"/>
          <w:sz w:val="30"/>
          <w:szCs w:val="30"/>
        </w:rPr>
        <w:t>推动公共服务下沉党群服务中心。</w:t>
      </w:r>
      <w:r>
        <w:rPr>
          <w:rFonts w:ascii="Tahoma" w:eastAsia="仿宋" w:hAnsi="Tahoma" w:hint="eastAsia"/>
          <w:kern w:val="0"/>
          <w:sz w:val="30"/>
          <w:szCs w:val="30"/>
        </w:rPr>
        <w:t>依托党群服务中心逐步发展日间照料、膳食供应、保健康复等服务，推进建设居家和社区养老服务枢纽型设施和平台。开辟专有空间开展幼儿托育公益活动，成立“童之家”儿童服务中心。</w:t>
      </w:r>
      <w:r>
        <w:rPr>
          <w:rFonts w:ascii="Tahoma" w:eastAsia="仿宋" w:hAnsi="Tahoma" w:hint="eastAsia"/>
          <w:b/>
          <w:kern w:val="0"/>
          <w:sz w:val="30"/>
          <w:szCs w:val="30"/>
        </w:rPr>
        <w:t>推动生活类商业网点下沉社区。</w:t>
      </w:r>
      <w:r>
        <w:rPr>
          <w:rFonts w:ascii="Tahoma" w:eastAsia="仿宋" w:hAnsi="Tahoma" w:hint="eastAsia"/>
          <w:kern w:val="0"/>
          <w:sz w:val="30"/>
          <w:szCs w:val="30"/>
        </w:rPr>
        <w:t>推动邮政、金融、电信、燃气、电力等公共事业服务集成于党群服务中心自助终端。逐步完善便民超市、药店、诊所、邮件和快件寄递等便民服务设施建设。合理布局公共事业实体服务网点和便民服务设施。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6"/>
      </w:tblGrid>
      <w:tr w:rsidR="002B653A">
        <w:trPr>
          <w:jc w:val="center"/>
        </w:trPr>
        <w:tc>
          <w:tcPr>
            <w:tcW w:w="8296" w:type="dxa"/>
          </w:tcPr>
          <w:p w:rsidR="002B653A" w:rsidRDefault="00DF1AA7" w:rsidP="0091109A">
            <w:pPr>
              <w:spacing w:beforeLines="50" w:afterLines="50"/>
              <w:jc w:val="center"/>
              <w:rPr>
                <w:rFonts w:ascii="黑体" w:eastAsia="黑体" w:hAnsi="黑体" w:cs="仿宋"/>
                <w:b/>
                <w:bCs/>
                <w:sz w:val="28"/>
                <w:szCs w:val="28"/>
              </w:rPr>
            </w:pPr>
            <w:r>
              <w:rPr>
                <w:rFonts w:ascii="黑体" w:eastAsia="黑体" w:hAnsi="黑体" w:cs="仿宋" w:hint="eastAsia"/>
                <w:b/>
                <w:bCs/>
                <w:sz w:val="28"/>
                <w:szCs w:val="28"/>
              </w:rPr>
              <w:lastRenderedPageBreak/>
              <w:t>专栏3-</w:t>
            </w:r>
            <w:r>
              <w:rPr>
                <w:rFonts w:ascii="黑体" w:eastAsia="黑体" w:hAnsi="黑体" w:cs="仿宋"/>
                <w:b/>
                <w:bCs/>
                <w:sz w:val="28"/>
                <w:szCs w:val="28"/>
              </w:rPr>
              <w:t xml:space="preserve">1  </w:t>
            </w:r>
            <w:r>
              <w:rPr>
                <w:rFonts w:ascii="黑体" w:eastAsia="黑体" w:hAnsi="黑体" w:cs="仿宋" w:hint="eastAsia"/>
                <w:b/>
                <w:bCs/>
                <w:sz w:val="28"/>
                <w:szCs w:val="28"/>
              </w:rPr>
              <w:t>聚心嘉园小区“大党委+物管委”治理模式</w:t>
            </w:r>
          </w:p>
          <w:p w:rsidR="002B653A" w:rsidRDefault="00DF1AA7">
            <w:pPr>
              <w:autoSpaceDE w:val="0"/>
              <w:autoSpaceDN w:val="0"/>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广汉市街汉州道聚心嘉园小区涉及6个村1万余人，入住之初，无物管、无主管部门、无人防物防，各类问题矛盾突出，为破解跨行政村的党建和基层治理难题，探索推行“大党委+物管委”党建治理新模式，通过成立“大党委”，解决党建工作“如何引领”的问题，党委定期召开小区楼栋长工作会议，传达有关政策，安排讨论小区各项管理服务工作；成立“物管委”，解决小区事务“谁来管理”的问题，全面推行“楼栋长”治理模式，楼栋长成为小区居民的“大管家”；充分发挥群众自治的主体作用，组织召开小区楼栋架空层公共空间打造坝坝会，收集居民意见讨论打造方向，建设楼栋自治“微阵地”；推行“1+N”服务模式，即1个党群服务中心，配套政务、文化、司法、养老、公益、就业、医疗卫生等多项公共服务，打造社区居民“15分钟生活服务圈”；开展平安智慧社区建设，建立社区综治中心，实现矛盾纠纷联调、社会治安联防、重点人员联管、服务管理联抓。</w:t>
            </w:r>
          </w:p>
        </w:tc>
      </w:tr>
    </w:tbl>
    <w:p w:rsidR="002B653A" w:rsidRDefault="002B653A">
      <w:pPr>
        <w:adjustRightInd w:val="0"/>
        <w:snapToGrid w:val="0"/>
        <w:spacing w:line="360" w:lineRule="auto"/>
        <w:ind w:firstLineChars="200" w:firstLine="602"/>
        <w:rPr>
          <w:rFonts w:ascii="仿宋" w:eastAsia="仿宋" w:hAnsi="仿宋"/>
          <w:b/>
          <w:bCs/>
          <w:sz w:val="30"/>
          <w:szCs w:val="30"/>
        </w:rPr>
      </w:pPr>
    </w:p>
    <w:p w:rsidR="002B653A" w:rsidRDefault="00DF1AA7">
      <w:pPr>
        <w:pStyle w:val="3"/>
        <w:adjustRightInd w:val="0"/>
        <w:snapToGrid w:val="0"/>
        <w:spacing w:before="0" w:after="0" w:line="360" w:lineRule="auto"/>
        <w:ind w:firstLineChars="200" w:firstLine="602"/>
        <w:rPr>
          <w:rFonts w:ascii="仿宋" w:eastAsia="仿宋" w:hAnsi="仿宋"/>
          <w:sz w:val="30"/>
          <w:szCs w:val="30"/>
        </w:rPr>
      </w:pPr>
      <w:bookmarkStart w:id="28" w:name="_Toc90415736"/>
      <w:r>
        <w:rPr>
          <w:rFonts w:ascii="仿宋" w:eastAsia="仿宋" w:hAnsi="仿宋" w:hint="eastAsia"/>
          <w:sz w:val="30"/>
          <w:szCs w:val="30"/>
        </w:rPr>
        <w:t>二、社区空间景观化，建设绿色文明特色型社区</w:t>
      </w:r>
      <w:bookmarkEnd w:id="28"/>
    </w:p>
    <w:p w:rsidR="002B653A" w:rsidRDefault="00DF1AA7">
      <w:pPr>
        <w:adjustRightInd w:val="0"/>
        <w:snapToGrid w:val="0"/>
        <w:spacing w:line="360" w:lineRule="auto"/>
        <w:ind w:firstLineChars="200" w:firstLine="602"/>
        <w:rPr>
          <w:rFonts w:ascii="Tahoma" w:eastAsia="仿宋" w:hAnsi="Tahoma" w:cstheme="minorBidi"/>
          <w:kern w:val="0"/>
          <w:sz w:val="30"/>
          <w:szCs w:val="30"/>
        </w:rPr>
      </w:pPr>
      <w:r>
        <w:rPr>
          <w:rFonts w:ascii="Tahoma" w:eastAsia="仿宋" w:hAnsi="Tahoma" w:cstheme="minorBidi" w:hint="eastAsia"/>
          <w:b/>
          <w:kern w:val="0"/>
          <w:sz w:val="30"/>
          <w:szCs w:val="30"/>
        </w:rPr>
        <w:t>实施“三星堆”文化传承行动，打造“德邻中心”社区综合体广汉样板。</w:t>
      </w:r>
      <w:r>
        <w:rPr>
          <w:rFonts w:ascii="Tahoma" w:eastAsia="仿宋" w:hAnsi="Tahoma" w:cstheme="minorBidi" w:hint="eastAsia"/>
          <w:kern w:val="0"/>
          <w:sz w:val="30"/>
          <w:szCs w:val="30"/>
        </w:rPr>
        <w:t>以“德邻中心”为品牌，以“三星堆”文化为本底，打造集社区教育、文化、休闲、体验、商贸、文创、科创等多场景于一体的社区综合体，以可持续发展为前提，分类引进业态，采取“政府主导</w:t>
      </w:r>
      <w:r>
        <w:rPr>
          <w:rFonts w:ascii="Tahoma" w:eastAsia="仿宋" w:hAnsi="Tahoma" w:cstheme="minorBidi" w:hint="eastAsia"/>
          <w:kern w:val="0"/>
          <w:sz w:val="30"/>
          <w:szCs w:val="30"/>
        </w:rPr>
        <w:t>+</w:t>
      </w:r>
      <w:r>
        <w:rPr>
          <w:rFonts w:ascii="Tahoma" w:eastAsia="仿宋" w:hAnsi="Tahoma" w:cstheme="minorBidi" w:hint="eastAsia"/>
          <w:kern w:val="0"/>
          <w:sz w:val="30"/>
          <w:szCs w:val="30"/>
        </w:rPr>
        <w:t>市场主体</w:t>
      </w:r>
      <w:r>
        <w:rPr>
          <w:rFonts w:ascii="Tahoma" w:eastAsia="仿宋" w:hAnsi="Tahoma" w:cstheme="minorBidi" w:hint="eastAsia"/>
          <w:kern w:val="0"/>
          <w:sz w:val="30"/>
          <w:szCs w:val="30"/>
        </w:rPr>
        <w:t>+</w:t>
      </w:r>
      <w:r>
        <w:rPr>
          <w:rFonts w:ascii="Tahoma" w:eastAsia="仿宋" w:hAnsi="Tahoma" w:cstheme="minorBidi" w:hint="eastAsia"/>
          <w:kern w:val="0"/>
          <w:sz w:val="30"/>
          <w:szCs w:val="30"/>
        </w:rPr>
        <w:t>商业逻辑”等模式运营。</w:t>
      </w:r>
      <w:r>
        <w:rPr>
          <w:rFonts w:ascii="Tahoma" w:eastAsia="仿宋" w:hAnsi="Tahoma" w:cstheme="minorBidi" w:hint="eastAsia"/>
          <w:b/>
          <w:kern w:val="0"/>
          <w:sz w:val="30"/>
          <w:szCs w:val="30"/>
        </w:rPr>
        <w:t>探索建立“社区</w:t>
      </w:r>
      <w:r>
        <w:rPr>
          <w:rFonts w:ascii="Tahoma" w:eastAsia="仿宋" w:hAnsi="Tahoma" w:cstheme="minorBidi" w:hint="eastAsia"/>
          <w:b/>
          <w:kern w:val="0"/>
          <w:sz w:val="30"/>
          <w:szCs w:val="30"/>
        </w:rPr>
        <w:t>-</w:t>
      </w:r>
      <w:r>
        <w:rPr>
          <w:rFonts w:ascii="Tahoma" w:eastAsia="仿宋" w:hAnsi="Tahoma" w:cstheme="minorBidi" w:hint="eastAsia"/>
          <w:b/>
          <w:kern w:val="0"/>
          <w:sz w:val="30"/>
          <w:szCs w:val="30"/>
        </w:rPr>
        <w:t>街区</w:t>
      </w:r>
      <w:r>
        <w:rPr>
          <w:rFonts w:ascii="Tahoma" w:eastAsia="仿宋" w:hAnsi="Tahoma" w:cstheme="minorBidi" w:hint="eastAsia"/>
          <w:b/>
          <w:kern w:val="0"/>
          <w:sz w:val="30"/>
          <w:szCs w:val="30"/>
        </w:rPr>
        <w:t>-</w:t>
      </w:r>
      <w:r>
        <w:rPr>
          <w:rFonts w:ascii="Tahoma" w:eastAsia="仿宋" w:hAnsi="Tahoma" w:cstheme="minorBidi" w:hint="eastAsia"/>
          <w:b/>
          <w:kern w:val="0"/>
          <w:sz w:val="30"/>
          <w:szCs w:val="30"/>
        </w:rPr>
        <w:t>小区”社区规划师制度，打造业态特色街区。</w:t>
      </w:r>
      <w:r>
        <w:rPr>
          <w:rFonts w:ascii="Tahoma" w:eastAsia="仿宋" w:hAnsi="Tahoma" w:cstheme="minorBidi" w:hint="eastAsia"/>
          <w:kern w:val="0"/>
          <w:sz w:val="30"/>
          <w:szCs w:val="30"/>
        </w:rPr>
        <w:t>建立社区规划师选聘制度，发挥社区规划师专业作用，吸纳广大社区居民参与社区规划，打造商业文化特色街区、新型城镇化成果展示街区、城市生态风貌示范街区、城乡融合特色街区、产业转型提升创新街区、高新商贸业集聚地等业态特色街区。</w:t>
      </w:r>
      <w:r>
        <w:rPr>
          <w:rFonts w:ascii="Tahoma" w:eastAsia="仿宋" w:hAnsi="Tahoma" w:cstheme="minorBidi" w:hint="eastAsia"/>
          <w:b/>
          <w:kern w:val="0"/>
          <w:sz w:val="30"/>
          <w:szCs w:val="30"/>
        </w:rPr>
        <w:t>开展城市小</w:t>
      </w:r>
      <w:r>
        <w:rPr>
          <w:rFonts w:ascii="Tahoma" w:eastAsia="仿宋" w:hAnsi="Tahoma" w:cstheme="minorBidi" w:hint="eastAsia"/>
          <w:b/>
          <w:kern w:val="0"/>
          <w:sz w:val="30"/>
          <w:szCs w:val="30"/>
        </w:rPr>
        <w:lastRenderedPageBreak/>
        <w:t>区“微改造、微更新”项目，打造绿色文明小区。</w:t>
      </w:r>
      <w:r>
        <w:rPr>
          <w:rFonts w:ascii="Tahoma" w:eastAsia="仿宋" w:hAnsi="Tahoma" w:cstheme="minorBidi" w:hint="eastAsia"/>
          <w:kern w:val="0"/>
          <w:sz w:val="30"/>
          <w:szCs w:val="30"/>
        </w:rPr>
        <w:t>梳理小区闲置空间、低效用地和“金角银边”空间资源，设置居民公共活动场所、“文化展览馆”等。实施“留白增绿”工程，因地制宜建设社区微景观。实施“阳光生活”工程，实现小区健身器材、健身步道、休息座椅、儿童娱乐等户外休闲运动设施全覆盖，引导小区居民走出家门，享受户外休闲运动生活。</w:t>
      </w:r>
      <w:r>
        <w:rPr>
          <w:rFonts w:ascii="Tahoma" w:eastAsia="仿宋" w:hAnsi="Tahoma" w:cstheme="minorBidi" w:hint="eastAsia"/>
          <w:b/>
          <w:kern w:val="0"/>
          <w:sz w:val="30"/>
          <w:szCs w:val="30"/>
        </w:rPr>
        <w:t>专项推进老旧小区改造，打造广汉传统文化特色小区。</w:t>
      </w:r>
      <w:r>
        <w:rPr>
          <w:rFonts w:ascii="Tahoma" w:eastAsia="仿宋" w:hAnsi="Tahoma" w:cstheme="minorBidi" w:hint="eastAsia"/>
          <w:kern w:val="0"/>
          <w:sz w:val="30"/>
          <w:szCs w:val="30"/>
        </w:rPr>
        <w:t>按照保护传统、“一栋一策”原则，加大具有广汉传统文化特色小区改造力度；以改善居住环境为目标，推动棚户区和“城中村”改造；加强对社区建筑立面和建筑风格的有效管控，全面实施背街小巷综合整治，构建生活化现代小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6"/>
      </w:tblGrid>
      <w:tr w:rsidR="002B653A">
        <w:trPr>
          <w:jc w:val="center"/>
        </w:trPr>
        <w:tc>
          <w:tcPr>
            <w:tcW w:w="8296" w:type="dxa"/>
          </w:tcPr>
          <w:p w:rsidR="002B653A" w:rsidRDefault="00DF1AA7" w:rsidP="0091109A">
            <w:pPr>
              <w:spacing w:beforeLines="50" w:afterLines="50" w:line="360" w:lineRule="auto"/>
              <w:jc w:val="center"/>
              <w:rPr>
                <w:rFonts w:ascii="黑体" w:eastAsia="黑体" w:hAnsi="黑体" w:cs="仿宋"/>
                <w:b/>
                <w:bCs/>
                <w:sz w:val="28"/>
                <w:szCs w:val="28"/>
              </w:rPr>
            </w:pPr>
            <w:r>
              <w:rPr>
                <w:rFonts w:ascii="黑体" w:eastAsia="黑体" w:hAnsi="黑体" w:cs="仿宋" w:hint="eastAsia"/>
                <w:b/>
                <w:bCs/>
                <w:sz w:val="28"/>
                <w:szCs w:val="28"/>
              </w:rPr>
              <w:t>专栏3-</w:t>
            </w:r>
            <w:r>
              <w:rPr>
                <w:rFonts w:ascii="黑体" w:eastAsia="黑体" w:hAnsi="黑体" w:cs="仿宋"/>
                <w:b/>
                <w:bCs/>
                <w:sz w:val="28"/>
                <w:szCs w:val="28"/>
              </w:rPr>
              <w:t>2</w:t>
            </w:r>
            <w:r>
              <w:rPr>
                <w:rFonts w:ascii="黑体" w:eastAsia="黑体" w:hAnsi="黑体" w:cs="仿宋" w:hint="eastAsia"/>
                <w:b/>
                <w:bCs/>
                <w:sz w:val="28"/>
                <w:szCs w:val="28"/>
              </w:rPr>
              <w:t>案例借鉴：成都枣子巷中医药文化特色街区</w:t>
            </w:r>
          </w:p>
          <w:p w:rsidR="002B653A" w:rsidRDefault="00DF1AA7">
            <w:pPr>
              <w:autoSpaceDE w:val="0"/>
              <w:autoSpaceDN w:val="0"/>
              <w:spacing w:line="360" w:lineRule="auto"/>
              <w:ind w:firstLineChars="200" w:firstLine="480"/>
              <w:rPr>
                <w:rFonts w:ascii="仿宋" w:eastAsia="仿宋" w:hAnsi="仿宋" w:cs="仿宋"/>
                <w:bCs/>
                <w:sz w:val="24"/>
                <w:szCs w:val="24"/>
              </w:rPr>
            </w:pPr>
            <w:r>
              <w:rPr>
                <w:rFonts w:ascii="仿宋" w:eastAsia="仿宋" w:hAnsi="仿宋" w:cs="仿宋"/>
                <w:bCs/>
                <w:sz w:val="24"/>
                <w:szCs w:val="24"/>
              </w:rPr>
              <w:t>枣子巷位于</w:t>
            </w:r>
            <w:r>
              <w:rPr>
                <w:rFonts w:ascii="仿宋" w:eastAsia="仿宋" w:hAnsi="仿宋" w:cs="仿宋" w:hint="eastAsia"/>
                <w:bCs/>
                <w:sz w:val="24"/>
                <w:szCs w:val="24"/>
              </w:rPr>
              <w:t>成都市</w:t>
            </w:r>
            <w:r>
              <w:rPr>
                <w:rFonts w:ascii="仿宋" w:eastAsia="仿宋" w:hAnsi="仿宋" w:cs="仿宋"/>
                <w:bCs/>
                <w:sz w:val="24"/>
                <w:szCs w:val="24"/>
              </w:rPr>
              <w:t>西安中路到西一环之间，属于金牛区西安路街道，整个街道长约</w:t>
            </w:r>
            <w:r>
              <w:rPr>
                <w:rFonts w:ascii="Times New Roman" w:eastAsia="仿宋" w:hAnsi="Times New Roman"/>
                <w:bCs/>
                <w:sz w:val="24"/>
                <w:szCs w:val="24"/>
              </w:rPr>
              <w:t>880</w:t>
            </w:r>
            <w:r>
              <w:rPr>
                <w:rFonts w:ascii="Times New Roman" w:eastAsia="仿宋" w:hAnsi="Times New Roman"/>
                <w:bCs/>
                <w:sz w:val="24"/>
                <w:szCs w:val="24"/>
              </w:rPr>
              <w:t>米，涉及改造面积达</w:t>
            </w:r>
            <w:r>
              <w:rPr>
                <w:rFonts w:ascii="Times New Roman" w:eastAsia="仿宋" w:hAnsi="Times New Roman"/>
                <w:bCs/>
                <w:sz w:val="24"/>
                <w:szCs w:val="24"/>
              </w:rPr>
              <w:t>35000</w:t>
            </w:r>
            <w:r>
              <w:rPr>
                <w:rFonts w:ascii="仿宋" w:eastAsia="仿宋" w:hAnsi="仿宋" w:cs="仿宋"/>
                <w:bCs/>
                <w:sz w:val="24"/>
                <w:szCs w:val="24"/>
              </w:rPr>
              <w:t>平方米。枣子巷原本只是一条普通的背街小巷，却由于紧靠成都中医药大学、成都中医大附属医院、治未病中心、国医馆，体现了该区域对产业、文化、人才资源的聚集优势。故而街区以中医药健康文化产业为核心，运用</w:t>
            </w:r>
            <w:r>
              <w:rPr>
                <w:rFonts w:ascii="仿宋" w:eastAsia="仿宋" w:hAnsi="仿宋" w:cs="仿宋" w:hint="eastAsia"/>
                <w:bCs/>
                <w:sz w:val="24"/>
                <w:szCs w:val="24"/>
              </w:rPr>
              <w:t>“</w:t>
            </w:r>
            <w:r>
              <w:rPr>
                <w:rFonts w:ascii="仿宋" w:eastAsia="仿宋" w:hAnsi="仿宋" w:cs="仿宋"/>
                <w:bCs/>
                <w:sz w:val="24"/>
                <w:szCs w:val="24"/>
              </w:rPr>
              <w:t>一轴</w:t>
            </w:r>
            <w:r>
              <w:rPr>
                <w:rFonts w:ascii="仿宋" w:eastAsia="仿宋" w:hAnsi="仿宋" w:cs="仿宋" w:hint="eastAsia"/>
                <w:bCs/>
                <w:sz w:val="24"/>
                <w:szCs w:val="24"/>
              </w:rPr>
              <w:t>”</w:t>
            </w:r>
            <w:r>
              <w:rPr>
                <w:rFonts w:ascii="仿宋" w:eastAsia="仿宋" w:hAnsi="仿宋" w:cs="仿宋"/>
                <w:bCs/>
                <w:sz w:val="24"/>
                <w:szCs w:val="24"/>
              </w:rPr>
              <w:t>和</w:t>
            </w:r>
            <w:r>
              <w:rPr>
                <w:rFonts w:ascii="仿宋" w:eastAsia="仿宋" w:hAnsi="仿宋" w:cs="仿宋" w:hint="eastAsia"/>
                <w:bCs/>
                <w:sz w:val="24"/>
                <w:szCs w:val="24"/>
              </w:rPr>
              <w:t>“</w:t>
            </w:r>
            <w:r>
              <w:rPr>
                <w:rFonts w:ascii="仿宋" w:eastAsia="仿宋" w:hAnsi="仿宋" w:cs="仿宋"/>
                <w:bCs/>
                <w:sz w:val="24"/>
                <w:szCs w:val="24"/>
              </w:rPr>
              <w:t>三心</w:t>
            </w:r>
            <w:r>
              <w:rPr>
                <w:rFonts w:ascii="仿宋" w:eastAsia="仿宋" w:hAnsi="仿宋" w:cs="仿宋" w:hint="eastAsia"/>
                <w:bCs/>
                <w:sz w:val="24"/>
                <w:szCs w:val="24"/>
              </w:rPr>
              <w:t>”</w:t>
            </w:r>
            <w:r>
              <w:rPr>
                <w:rFonts w:ascii="仿宋" w:eastAsia="仿宋" w:hAnsi="仿宋" w:cs="仿宋"/>
                <w:bCs/>
                <w:sz w:val="24"/>
                <w:szCs w:val="24"/>
              </w:rPr>
              <w:t>空间设计，将核心资源融入多样化的空间载体中，利用公园漫步的通行空间代替以往单一的游线空间，并沿南北发展，将博物馆、图书馆、名医馆等节点载体串而联之，同时上连宽窄巷子，下接寻香道，充分展示了成都老街焕然一新的生机与活力。</w:t>
            </w:r>
            <w:r>
              <w:rPr>
                <w:rFonts w:ascii="仿宋" w:eastAsia="仿宋" w:hAnsi="仿宋" w:cs="仿宋" w:hint="eastAsia"/>
                <w:bCs/>
                <w:sz w:val="24"/>
                <w:szCs w:val="24"/>
              </w:rPr>
              <w:t>具体措施如下：</w:t>
            </w:r>
          </w:p>
          <w:p w:rsidR="002B653A" w:rsidRDefault="00DF1AA7">
            <w:pPr>
              <w:autoSpaceDE w:val="0"/>
              <w:autoSpaceDN w:val="0"/>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一是对原有社区院落进行改造。拆除危房16间、违法建筑110处，拆除围墙220米，升级改造雨污管网和水电气等基础设施，排除安全隐患，增强生活便利性和舒适度。二是以“民国风貌”作为基调展现街区川西古韵风味。</w:t>
            </w:r>
            <w:r>
              <w:rPr>
                <w:rFonts w:ascii="仿宋" w:eastAsia="仿宋" w:hAnsi="仿宋" w:cs="仿宋"/>
                <w:bCs/>
                <w:sz w:val="24"/>
                <w:szCs w:val="24"/>
              </w:rPr>
              <w:t>以灰色和砖红色为主色调、白色和淡黄色为辅色调来表现民国时代的特征，以大面积灰色、砖红色为主基调，灰白色、米黄色为辅助色调，形式简约，造型典雅，同时散发浓厚的川西古韵风味，与青瓦灰墙的宽窄巷子街区相辅相成。</w:t>
            </w:r>
            <w:r>
              <w:rPr>
                <w:rFonts w:ascii="仿宋" w:eastAsia="仿宋" w:hAnsi="仿宋" w:cs="仿宋" w:hint="eastAsia"/>
                <w:bCs/>
                <w:sz w:val="24"/>
                <w:szCs w:val="24"/>
              </w:rPr>
              <w:t>三是重</w:t>
            </w:r>
            <w:r>
              <w:rPr>
                <w:rFonts w:ascii="仿宋" w:eastAsia="仿宋" w:hAnsi="仿宋" w:cs="仿宋" w:hint="eastAsia"/>
                <w:bCs/>
                <w:sz w:val="24"/>
                <w:szCs w:val="24"/>
              </w:rPr>
              <w:lastRenderedPageBreak/>
              <w:t>塑街道空间。</w:t>
            </w:r>
            <w:r>
              <w:rPr>
                <w:rFonts w:ascii="仿宋" w:eastAsia="仿宋" w:hAnsi="仿宋" w:cs="仿宋"/>
                <w:bCs/>
                <w:sz w:val="24"/>
                <w:szCs w:val="24"/>
              </w:rPr>
              <w:t>将机动车道宽度从13米缩减至6.5米降低车流量，两侧分别设置1.5米宽机非隔离带，增设绿道和人行步道，</w:t>
            </w:r>
            <w:r>
              <w:rPr>
                <w:rFonts w:ascii="仿宋" w:eastAsia="仿宋" w:hAnsi="仿宋" w:cs="仿宋" w:hint="eastAsia"/>
                <w:bCs/>
                <w:sz w:val="24"/>
                <w:szCs w:val="24"/>
              </w:rPr>
              <w:t>并将</w:t>
            </w:r>
            <w:r>
              <w:rPr>
                <w:rFonts w:ascii="仿宋" w:eastAsia="仿宋" w:hAnsi="仿宋" w:cs="仿宋"/>
                <w:bCs/>
                <w:sz w:val="24"/>
                <w:szCs w:val="24"/>
              </w:rPr>
              <w:t>分散布置</w:t>
            </w:r>
            <w:r>
              <w:rPr>
                <w:rFonts w:ascii="仿宋" w:eastAsia="仿宋" w:hAnsi="仿宋" w:cs="仿宋" w:hint="eastAsia"/>
                <w:bCs/>
                <w:sz w:val="24"/>
                <w:szCs w:val="24"/>
              </w:rPr>
              <w:t>的</w:t>
            </w:r>
            <w:r>
              <w:rPr>
                <w:rFonts w:ascii="仿宋" w:eastAsia="仿宋" w:hAnsi="仿宋" w:cs="仿宋"/>
                <w:bCs/>
                <w:sz w:val="24"/>
                <w:szCs w:val="24"/>
              </w:rPr>
              <w:t>监控、路灯、信号灯等</w:t>
            </w:r>
            <w:r>
              <w:rPr>
                <w:rFonts w:ascii="仿宋" w:eastAsia="仿宋" w:hAnsi="仿宋" w:cs="仿宋" w:hint="eastAsia"/>
                <w:bCs/>
                <w:sz w:val="24"/>
                <w:szCs w:val="24"/>
              </w:rPr>
              <w:t>设施一体化，</w:t>
            </w:r>
            <w:r>
              <w:rPr>
                <w:rFonts w:ascii="仿宋" w:eastAsia="仿宋" w:hAnsi="仿宋" w:cs="仿宋"/>
                <w:bCs/>
                <w:sz w:val="24"/>
                <w:szCs w:val="24"/>
              </w:rPr>
              <w:t>保证行人安全，</w:t>
            </w:r>
            <w:r>
              <w:rPr>
                <w:rFonts w:ascii="仿宋" w:eastAsia="仿宋" w:hAnsi="仿宋" w:cs="仿宋" w:hint="eastAsia"/>
                <w:bCs/>
                <w:sz w:val="24"/>
                <w:szCs w:val="24"/>
              </w:rPr>
              <w:t>也美化了空间，</w:t>
            </w:r>
            <w:r>
              <w:rPr>
                <w:rFonts w:ascii="仿宋" w:eastAsia="仿宋" w:hAnsi="仿宋" w:cs="仿宋"/>
                <w:bCs/>
                <w:sz w:val="24"/>
                <w:szCs w:val="24"/>
              </w:rPr>
              <w:t>原来单一的通行空间</w:t>
            </w:r>
            <w:r>
              <w:rPr>
                <w:rFonts w:ascii="仿宋" w:eastAsia="仿宋" w:hAnsi="仿宋" w:cs="仿宋" w:hint="eastAsia"/>
                <w:bCs/>
                <w:sz w:val="24"/>
                <w:szCs w:val="24"/>
              </w:rPr>
              <w:t>形成了</w:t>
            </w:r>
            <w:r>
              <w:rPr>
                <w:rFonts w:ascii="仿宋" w:eastAsia="仿宋" w:hAnsi="仿宋" w:cs="仿宋"/>
                <w:bCs/>
                <w:sz w:val="24"/>
                <w:szCs w:val="24"/>
              </w:rPr>
              <w:t>公园漫游空间。</w:t>
            </w:r>
            <w:r>
              <w:rPr>
                <w:rFonts w:ascii="仿宋" w:eastAsia="仿宋" w:hAnsi="仿宋" w:cs="仿宋" w:hint="eastAsia"/>
                <w:bCs/>
                <w:sz w:val="24"/>
                <w:szCs w:val="24"/>
              </w:rPr>
              <w:t>四是注重文化演绎与记忆延续。充分</w:t>
            </w:r>
            <w:r>
              <w:rPr>
                <w:rFonts w:ascii="仿宋" w:eastAsia="仿宋" w:hAnsi="仿宋" w:cs="仿宋"/>
                <w:bCs/>
                <w:sz w:val="24"/>
                <w:szCs w:val="24"/>
              </w:rPr>
              <w:t>挖掘空间载体，镌刻中医药文化知识的街边院墙等微场景</w:t>
            </w:r>
            <w:r>
              <w:rPr>
                <w:rFonts w:ascii="仿宋" w:eastAsia="仿宋" w:hAnsi="仿宋" w:cs="仿宋" w:hint="eastAsia"/>
                <w:bCs/>
                <w:sz w:val="24"/>
                <w:szCs w:val="24"/>
              </w:rPr>
              <w:t>，</w:t>
            </w:r>
            <w:r>
              <w:rPr>
                <w:rFonts w:ascii="仿宋" w:eastAsia="仿宋" w:hAnsi="仿宋" w:cs="仿宋"/>
                <w:bCs/>
                <w:sz w:val="24"/>
                <w:szCs w:val="24"/>
              </w:rPr>
              <w:t>有机再利用产业资源医药、购物、养生、展览、会馆体验等</w:t>
            </w:r>
            <w:r>
              <w:rPr>
                <w:rFonts w:ascii="仿宋" w:eastAsia="仿宋" w:hAnsi="仿宋" w:cs="仿宋" w:hint="eastAsia"/>
                <w:bCs/>
                <w:sz w:val="24"/>
                <w:szCs w:val="24"/>
              </w:rPr>
              <w:t>丰富业态，</w:t>
            </w:r>
            <w:r>
              <w:rPr>
                <w:rFonts w:ascii="仿宋" w:eastAsia="仿宋" w:hAnsi="仿宋" w:cs="仿宋"/>
                <w:bCs/>
                <w:sz w:val="24"/>
                <w:szCs w:val="24"/>
              </w:rPr>
              <w:t>挖掘凝聚生活记忆的代表性场景（</w:t>
            </w:r>
            <w:r>
              <w:rPr>
                <w:rFonts w:ascii="仿宋" w:eastAsia="仿宋" w:hAnsi="仿宋" w:cs="仿宋" w:hint="eastAsia"/>
                <w:bCs/>
                <w:sz w:val="24"/>
                <w:szCs w:val="24"/>
              </w:rPr>
              <w:t>“</w:t>
            </w:r>
            <w:r>
              <w:rPr>
                <w:rFonts w:ascii="仿宋" w:eastAsia="仿宋" w:hAnsi="仿宋" w:cs="仿宋"/>
                <w:bCs/>
                <w:sz w:val="24"/>
                <w:szCs w:val="24"/>
              </w:rPr>
              <w:t>枣庄</w:t>
            </w:r>
            <w:r>
              <w:rPr>
                <w:rFonts w:ascii="仿宋" w:eastAsia="仿宋" w:hAnsi="仿宋" w:cs="仿宋" w:hint="eastAsia"/>
                <w:bCs/>
                <w:sz w:val="24"/>
                <w:szCs w:val="24"/>
              </w:rPr>
              <w:t>”</w:t>
            </w:r>
            <w:r>
              <w:rPr>
                <w:rFonts w:ascii="仿宋" w:eastAsia="仿宋" w:hAnsi="仿宋" w:cs="仿宋"/>
                <w:bCs/>
                <w:sz w:val="24"/>
                <w:szCs w:val="24"/>
              </w:rPr>
              <w:t>茶铺、徐氏牛奶场</w:t>
            </w:r>
            <w:r>
              <w:rPr>
                <w:rFonts w:ascii="仿宋" w:eastAsia="仿宋" w:hAnsi="仿宋" w:cs="仿宋" w:hint="eastAsia"/>
                <w:bCs/>
                <w:sz w:val="24"/>
                <w:szCs w:val="24"/>
              </w:rPr>
              <w:t>等</w:t>
            </w:r>
            <w:r>
              <w:rPr>
                <w:rFonts w:ascii="仿宋" w:eastAsia="仿宋" w:hAnsi="仿宋" w:cs="仿宋"/>
                <w:bCs/>
                <w:sz w:val="24"/>
                <w:szCs w:val="24"/>
              </w:rPr>
              <w:t>）融入口袋广场、绿地布置的城市家具和街景小品中，既传承了珍贵的记忆，又赋予了空间新的内涵。</w:t>
            </w:r>
            <w:r>
              <w:rPr>
                <w:rFonts w:ascii="仿宋" w:eastAsia="仿宋" w:hAnsi="仿宋" w:cs="仿宋" w:hint="eastAsia"/>
                <w:bCs/>
                <w:sz w:val="24"/>
                <w:szCs w:val="24"/>
              </w:rPr>
              <w:t>经过上述改造后，</w:t>
            </w:r>
            <w:r>
              <w:rPr>
                <w:rFonts w:ascii="仿宋" w:eastAsia="仿宋" w:hAnsi="仿宋" w:cs="仿宋"/>
                <w:bCs/>
                <w:sz w:val="24"/>
                <w:szCs w:val="24"/>
              </w:rPr>
              <w:t>枣子巷</w:t>
            </w:r>
            <w:r>
              <w:rPr>
                <w:rFonts w:ascii="仿宋" w:eastAsia="仿宋" w:hAnsi="仿宋" w:cs="仿宋" w:hint="eastAsia"/>
                <w:bCs/>
                <w:sz w:val="24"/>
                <w:szCs w:val="24"/>
              </w:rPr>
              <w:t>成为</w:t>
            </w:r>
            <w:r>
              <w:rPr>
                <w:rFonts w:ascii="仿宋" w:eastAsia="仿宋" w:hAnsi="仿宋" w:cs="仿宋"/>
                <w:bCs/>
                <w:sz w:val="24"/>
                <w:szCs w:val="24"/>
              </w:rPr>
              <w:t>中心城区首条公园城市街道一体化示范街区，又是成都中医药特色文化旅游新名片。</w:t>
            </w:r>
          </w:p>
        </w:tc>
      </w:tr>
    </w:tbl>
    <w:p w:rsidR="002B653A" w:rsidRDefault="002B653A">
      <w:pPr>
        <w:adjustRightInd w:val="0"/>
        <w:snapToGrid w:val="0"/>
        <w:spacing w:line="360" w:lineRule="auto"/>
        <w:ind w:firstLineChars="200" w:firstLine="600"/>
        <w:rPr>
          <w:rFonts w:ascii="仿宋" w:eastAsia="仿宋" w:hAnsi="仿宋"/>
          <w:sz w:val="30"/>
          <w:szCs w:val="30"/>
        </w:rPr>
      </w:pPr>
    </w:p>
    <w:p w:rsidR="002B653A" w:rsidRDefault="00DF1AA7">
      <w:pPr>
        <w:pStyle w:val="3"/>
        <w:adjustRightInd w:val="0"/>
        <w:snapToGrid w:val="0"/>
        <w:spacing w:before="0" w:after="0" w:line="360" w:lineRule="auto"/>
        <w:ind w:firstLineChars="200" w:firstLine="602"/>
        <w:rPr>
          <w:rFonts w:ascii="仿宋" w:eastAsia="仿宋" w:hAnsi="仿宋"/>
          <w:sz w:val="30"/>
          <w:szCs w:val="30"/>
        </w:rPr>
      </w:pPr>
      <w:bookmarkStart w:id="29" w:name="_Toc90415737"/>
      <w:r>
        <w:rPr>
          <w:rFonts w:ascii="仿宋" w:eastAsia="仿宋" w:hAnsi="仿宋" w:hint="eastAsia"/>
          <w:sz w:val="30"/>
          <w:szCs w:val="30"/>
        </w:rPr>
        <w:t>三、治理场景数字化，打造一体化社区智慧平台</w:t>
      </w:r>
      <w:bookmarkEnd w:id="29"/>
    </w:p>
    <w:p w:rsidR="002B653A" w:rsidRDefault="00DF1AA7">
      <w:pPr>
        <w:adjustRightInd w:val="0"/>
        <w:snapToGrid w:val="0"/>
        <w:spacing w:line="360" w:lineRule="auto"/>
        <w:ind w:firstLineChars="200" w:firstLine="602"/>
        <w:rPr>
          <w:rFonts w:ascii="Tahoma" w:eastAsia="仿宋" w:hAnsi="Tahoma"/>
          <w:kern w:val="0"/>
          <w:sz w:val="30"/>
          <w:szCs w:val="30"/>
        </w:rPr>
      </w:pPr>
      <w:r>
        <w:rPr>
          <w:rFonts w:ascii="Tahoma" w:eastAsia="仿宋" w:hAnsi="Tahoma" w:hint="eastAsia"/>
          <w:b/>
          <w:kern w:val="0"/>
          <w:sz w:val="30"/>
          <w:szCs w:val="30"/>
        </w:rPr>
        <w:t>推进信息化基础设施建设。</w:t>
      </w:r>
      <w:r>
        <w:rPr>
          <w:rFonts w:ascii="Tahoma" w:eastAsia="仿宋" w:hAnsi="Tahoma" w:hint="eastAsia"/>
          <w:kern w:val="0"/>
          <w:sz w:val="30"/>
          <w:szCs w:val="30"/>
        </w:rPr>
        <w:t>加快推进“雪亮工程”“天网”“慧眼工程”建设和联网共享，推动综治中心与同级公安指挥中心、城管中心深度融合。做好电子政务外网</w:t>
      </w:r>
      <w:r>
        <w:rPr>
          <w:rFonts w:ascii="Times New Roman" w:eastAsia="仿宋" w:hAnsi="Times New Roman"/>
          <w:kern w:val="0"/>
          <w:sz w:val="30"/>
          <w:szCs w:val="30"/>
        </w:rPr>
        <w:t>IPv6</w:t>
      </w:r>
      <w:r>
        <w:rPr>
          <w:rFonts w:ascii="仿宋" w:eastAsia="仿宋" w:hAnsi="仿宋" w:hint="eastAsia"/>
          <w:kern w:val="0"/>
          <w:sz w:val="30"/>
          <w:szCs w:val="30"/>
        </w:rPr>
        <w:t>改造工作</w:t>
      </w:r>
      <w:r>
        <w:rPr>
          <w:rFonts w:ascii="Tahoma" w:eastAsia="仿宋" w:hAnsi="Tahoma" w:hint="eastAsia"/>
          <w:kern w:val="0"/>
          <w:sz w:val="30"/>
          <w:szCs w:val="30"/>
        </w:rPr>
        <w:t>，加快政务云（二期）建设，实施“数据池”行动计划，新建广汉市智慧城市和大数据管理运营中心，进一步优化城市</w:t>
      </w:r>
      <w:r>
        <w:rPr>
          <w:rFonts w:ascii="Times New Roman" w:eastAsia="仿宋" w:hAnsi="Times New Roman" w:hint="eastAsia"/>
          <w:kern w:val="0"/>
          <w:sz w:val="30"/>
          <w:szCs w:val="30"/>
        </w:rPr>
        <w:t>5</w:t>
      </w:r>
      <w:r>
        <w:rPr>
          <w:rFonts w:ascii="Times New Roman" w:eastAsia="仿宋" w:hAnsi="Times New Roman"/>
          <w:kern w:val="0"/>
          <w:sz w:val="30"/>
          <w:szCs w:val="30"/>
        </w:rPr>
        <w:t>G</w:t>
      </w:r>
      <w:r>
        <w:rPr>
          <w:rFonts w:ascii="Tahoma" w:eastAsia="仿宋" w:hAnsi="Tahoma" w:hint="eastAsia"/>
          <w:kern w:val="0"/>
          <w:sz w:val="30"/>
          <w:szCs w:val="30"/>
        </w:rPr>
        <w:t>网络布局、拓展</w:t>
      </w:r>
      <w:r>
        <w:rPr>
          <w:rFonts w:ascii="Times New Roman" w:eastAsia="仿宋" w:hAnsi="Times New Roman"/>
          <w:kern w:val="0"/>
          <w:sz w:val="30"/>
          <w:szCs w:val="30"/>
        </w:rPr>
        <w:t>5G</w:t>
      </w:r>
      <w:r>
        <w:rPr>
          <w:rFonts w:ascii="Tahoma" w:eastAsia="仿宋" w:hAnsi="Tahoma" w:hint="eastAsia"/>
          <w:kern w:val="0"/>
          <w:sz w:val="30"/>
          <w:szCs w:val="30"/>
        </w:rPr>
        <w:t>应用场景，完善“智慧政法共享平台”。</w:t>
      </w:r>
      <w:r>
        <w:rPr>
          <w:rFonts w:ascii="Tahoma" w:eastAsia="仿宋" w:hAnsi="Tahoma" w:hint="eastAsia"/>
          <w:b/>
          <w:kern w:val="0"/>
          <w:sz w:val="30"/>
          <w:szCs w:val="30"/>
        </w:rPr>
        <w:t>构建多层次协同的“智慧党建联盟”。</w:t>
      </w:r>
      <w:r>
        <w:rPr>
          <w:rFonts w:ascii="Tahoma" w:eastAsia="仿宋" w:hAnsi="Tahoma" w:hint="eastAsia"/>
          <w:kern w:val="0"/>
          <w:sz w:val="30"/>
          <w:szCs w:val="30"/>
        </w:rPr>
        <w:t>打造数字化党组织管理中心，构建基于社区的党员管理、党员服务和组织生活平台，推动线上双报到、区域化党建等制度有效落实、有序运转。构建区域党建共建体系，全市建立“楼栋党小组</w:t>
      </w:r>
      <w:r>
        <w:rPr>
          <w:rFonts w:ascii="Tahoma" w:eastAsia="仿宋" w:hAnsi="Tahoma" w:hint="eastAsia"/>
          <w:kern w:val="0"/>
          <w:sz w:val="30"/>
          <w:szCs w:val="30"/>
        </w:rPr>
        <w:t>+</w:t>
      </w:r>
      <w:r>
        <w:rPr>
          <w:rFonts w:ascii="Tahoma" w:eastAsia="仿宋" w:hAnsi="Tahoma" w:hint="eastAsia"/>
          <w:kern w:val="0"/>
          <w:sz w:val="30"/>
          <w:szCs w:val="30"/>
        </w:rPr>
        <w:t>小区党委</w:t>
      </w:r>
      <w:r>
        <w:rPr>
          <w:rFonts w:ascii="Tahoma" w:eastAsia="仿宋" w:hAnsi="Tahoma" w:hint="eastAsia"/>
          <w:kern w:val="0"/>
          <w:sz w:val="30"/>
          <w:szCs w:val="30"/>
        </w:rPr>
        <w:t>+</w:t>
      </w:r>
      <w:r>
        <w:rPr>
          <w:rFonts w:ascii="Tahoma" w:eastAsia="仿宋" w:hAnsi="Tahoma" w:hint="eastAsia"/>
          <w:kern w:val="0"/>
          <w:sz w:val="30"/>
          <w:szCs w:val="30"/>
        </w:rPr>
        <w:t>社区‘大党委’</w:t>
      </w:r>
      <w:r>
        <w:rPr>
          <w:rFonts w:ascii="Tahoma" w:eastAsia="仿宋" w:hAnsi="Tahoma" w:hint="eastAsia"/>
          <w:kern w:val="0"/>
          <w:sz w:val="30"/>
          <w:szCs w:val="30"/>
        </w:rPr>
        <w:t>+</w:t>
      </w:r>
      <w:r>
        <w:rPr>
          <w:rFonts w:ascii="Tahoma" w:eastAsia="仿宋" w:hAnsi="Tahoma" w:hint="eastAsia"/>
          <w:kern w:val="0"/>
          <w:sz w:val="30"/>
          <w:szCs w:val="30"/>
        </w:rPr>
        <w:t>街道‘大工委’”多层次协同的“智慧党建联盟”。</w:t>
      </w:r>
      <w:r>
        <w:rPr>
          <w:rFonts w:ascii="Tahoma" w:eastAsia="仿宋" w:hAnsi="Tahoma" w:hint="eastAsia"/>
          <w:b/>
          <w:kern w:val="0"/>
          <w:sz w:val="30"/>
          <w:szCs w:val="30"/>
        </w:rPr>
        <w:t>打造政务服务一体化平台实现政务服务“一网通办”。</w:t>
      </w:r>
      <w:r>
        <w:rPr>
          <w:rFonts w:ascii="Tahoma" w:eastAsia="仿宋" w:hAnsi="Tahoma" w:hint="eastAsia"/>
          <w:kern w:val="0"/>
          <w:sz w:val="30"/>
          <w:szCs w:val="30"/>
        </w:rPr>
        <w:t>优化“广汉市民通”移动客户端和完善“广汉微政务”公众号，集成行政审批预约、五险一金、交通出行、医疗卫生等功能板块，方便企业和居民在线办理自助</w:t>
      </w:r>
      <w:r>
        <w:rPr>
          <w:rFonts w:ascii="Tahoma" w:eastAsia="仿宋" w:hAnsi="Tahoma" w:hint="eastAsia"/>
          <w:kern w:val="0"/>
          <w:sz w:val="30"/>
          <w:szCs w:val="30"/>
        </w:rPr>
        <w:lastRenderedPageBreak/>
        <w:t>服务业务。推行免费政务快递代办惠民活动，构建网上办理、窗口办理与快递代送件、快递代取件无缝衔接的闭环服务体系。</w:t>
      </w:r>
      <w:r>
        <w:rPr>
          <w:rFonts w:ascii="Tahoma" w:eastAsia="仿宋" w:hAnsi="Tahoma" w:hint="eastAsia"/>
          <w:b/>
          <w:kern w:val="0"/>
          <w:sz w:val="30"/>
          <w:szCs w:val="30"/>
        </w:rPr>
        <w:t>整合市域社区公共服务资源构建全天候、一站式“基本公共服务</w:t>
      </w:r>
      <w:r>
        <w:rPr>
          <w:rFonts w:ascii="Tahoma" w:eastAsia="仿宋" w:hAnsi="Tahoma" w:hint="eastAsia"/>
          <w:b/>
          <w:kern w:val="0"/>
          <w:sz w:val="30"/>
          <w:szCs w:val="30"/>
        </w:rPr>
        <w:t>+</w:t>
      </w:r>
      <w:r>
        <w:rPr>
          <w:rFonts w:ascii="Tahoma" w:eastAsia="仿宋" w:hAnsi="Tahoma" w:hint="eastAsia"/>
          <w:b/>
          <w:kern w:val="0"/>
          <w:sz w:val="30"/>
          <w:szCs w:val="30"/>
        </w:rPr>
        <w:t>便民生活服务”的智慧服务平台。</w:t>
      </w:r>
      <w:r>
        <w:rPr>
          <w:rFonts w:ascii="Tahoma" w:eastAsia="仿宋" w:hAnsi="Tahoma" w:hint="eastAsia"/>
          <w:kern w:val="0"/>
          <w:sz w:val="30"/>
          <w:szCs w:val="30"/>
        </w:rPr>
        <w:t>依托“广汉市民通”移动客户端，整合社会组织、志愿队伍、专业人才等力量，面向居民提供文化娱乐、居家养老、教育培训、定制配送、家政服务、邻里互助等专业化服务。搭建特殊群体服务平台，加大特殊群体“一键求助”基础设施建设，完善残疾人、老年人等弱势群体的行踪定位、监测预警、保姆服务等服务。</w:t>
      </w:r>
      <w:r>
        <w:rPr>
          <w:rFonts w:ascii="Tahoma" w:eastAsia="仿宋" w:hAnsi="Tahoma" w:hint="eastAsia"/>
          <w:b/>
          <w:kern w:val="0"/>
          <w:sz w:val="30"/>
          <w:szCs w:val="30"/>
        </w:rPr>
        <w:t>开展“智能安防小区”建设工程。</w:t>
      </w:r>
      <w:r>
        <w:rPr>
          <w:rFonts w:ascii="Tahoma" w:eastAsia="仿宋" w:hAnsi="Tahoma" w:hint="eastAsia"/>
          <w:kern w:val="0"/>
          <w:sz w:val="30"/>
          <w:szCs w:val="30"/>
        </w:rPr>
        <w:t>统筹推进“智慧社区”“智慧小区”建设，联网接入综治中心、公安视频图像综合应用平台，实现平安城市建设、公共卫生应急、人口管控排查等社会治理重点场景的数据化呈现与实时化管理。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6"/>
      </w:tblGrid>
      <w:tr w:rsidR="002B653A">
        <w:trPr>
          <w:jc w:val="center"/>
        </w:trPr>
        <w:tc>
          <w:tcPr>
            <w:tcW w:w="8296" w:type="dxa"/>
          </w:tcPr>
          <w:p w:rsidR="002B653A" w:rsidRDefault="00DF1AA7" w:rsidP="0091109A">
            <w:pPr>
              <w:spacing w:beforeLines="50" w:afterLines="50" w:line="360" w:lineRule="auto"/>
              <w:jc w:val="center"/>
              <w:rPr>
                <w:rFonts w:ascii="黑体" w:eastAsia="黑体" w:hAnsi="黑体" w:cs="仿宋"/>
                <w:b/>
                <w:bCs/>
                <w:sz w:val="28"/>
                <w:szCs w:val="28"/>
              </w:rPr>
            </w:pPr>
            <w:r>
              <w:rPr>
                <w:rFonts w:ascii="黑体" w:eastAsia="黑体" w:hAnsi="黑体" w:cs="仿宋" w:hint="eastAsia"/>
                <w:b/>
                <w:bCs/>
                <w:sz w:val="28"/>
                <w:szCs w:val="28"/>
              </w:rPr>
              <w:t>专栏3-</w:t>
            </w:r>
            <w:r>
              <w:rPr>
                <w:rFonts w:ascii="黑体" w:eastAsia="黑体" w:hAnsi="黑体" w:cs="仿宋"/>
                <w:b/>
                <w:bCs/>
                <w:sz w:val="28"/>
                <w:szCs w:val="28"/>
              </w:rPr>
              <w:t xml:space="preserve">3  </w:t>
            </w:r>
            <w:r>
              <w:rPr>
                <w:rFonts w:ascii="黑体" w:eastAsia="黑体" w:hAnsi="黑体" w:cs="仿宋" w:hint="eastAsia"/>
                <w:b/>
                <w:bCs/>
                <w:sz w:val="28"/>
                <w:szCs w:val="28"/>
              </w:rPr>
              <w:t>金雁街道沱水小区智慧小区建设</w:t>
            </w:r>
          </w:p>
          <w:p w:rsidR="002B653A" w:rsidRDefault="00DF1AA7">
            <w:pPr>
              <w:autoSpaceDE w:val="0"/>
              <w:autoSpaceDN w:val="0"/>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广汉市金雁街道建立健全“党工委引领、社区党组织协调，各级组织响应，党员群众参与”的共建共治机制，建立全市首个镇级基层治理指挥中心，确保智慧社区建设有序推进。按照“项目推动、示范引领、由点到面”的原则，率先启动智慧社区建设，并主动参与智慧社区建设的技术标准制定和功能研发。金雁街道沱水小区，紧扣“一核五治”工作中心，把“智治”作为破解基层末梢治理的有效手段，运用智慧化管理技术于</w:t>
            </w:r>
            <w:r>
              <w:rPr>
                <w:rFonts w:ascii="Times New Roman" w:eastAsia="仿宋" w:hAnsi="Times New Roman"/>
                <w:bCs/>
                <w:sz w:val="24"/>
                <w:szCs w:val="24"/>
              </w:rPr>
              <w:t>2020</w:t>
            </w:r>
            <w:r>
              <w:rPr>
                <w:rFonts w:ascii="Times New Roman" w:eastAsia="仿宋" w:hAnsi="Times New Roman"/>
                <w:bCs/>
                <w:sz w:val="24"/>
                <w:szCs w:val="24"/>
              </w:rPr>
              <w:t>年</w:t>
            </w:r>
            <w:r>
              <w:rPr>
                <w:rFonts w:ascii="Times New Roman" w:eastAsia="仿宋" w:hAnsi="Times New Roman"/>
                <w:bCs/>
                <w:sz w:val="24"/>
                <w:szCs w:val="24"/>
              </w:rPr>
              <w:t>10</w:t>
            </w:r>
            <w:r>
              <w:rPr>
                <w:rFonts w:ascii="Times New Roman" w:eastAsia="仿宋" w:hAnsi="Times New Roman"/>
                <w:bCs/>
                <w:sz w:val="24"/>
                <w:szCs w:val="24"/>
              </w:rPr>
              <w:t>月建立小区终端数据分析、应急预警处置、管理平台维护、数据安全保密等综合管理平台，在智慧社区建设过程中有效调动各级组织及党员群众的积极性和主动性。设置智慧安防设备、人脸识别系统、应急预警处置、自助物业、邻里互助、党员学习、智慧党建、智慧服务等功能，链接就业招聘、医疗服务、法律援助等功能，做到了群众反馈信息与硬件及系统升级相结合，管理平台与手机</w:t>
            </w:r>
            <w:r>
              <w:rPr>
                <w:rFonts w:ascii="Times New Roman" w:eastAsia="仿宋" w:hAnsi="Times New Roman"/>
                <w:bCs/>
                <w:sz w:val="24"/>
                <w:szCs w:val="24"/>
              </w:rPr>
              <w:t>APP</w:t>
            </w:r>
            <w:r>
              <w:rPr>
                <w:rFonts w:ascii="Times New Roman" w:eastAsia="仿宋" w:hAnsi="Times New Roman"/>
                <w:bCs/>
                <w:sz w:val="24"/>
                <w:szCs w:val="24"/>
              </w:rPr>
              <w:t>相结合，物防人</w:t>
            </w:r>
            <w:r>
              <w:rPr>
                <w:rFonts w:ascii="Times New Roman" w:eastAsia="仿宋" w:hAnsi="Times New Roman"/>
                <w:bCs/>
                <w:sz w:val="24"/>
                <w:szCs w:val="24"/>
              </w:rPr>
              <w:lastRenderedPageBreak/>
              <w:t>防体系与智慧安防系统相结合，智慧小区平台功能与群众实际生活相结合，有效提升小区群众对智慧平台的体验感和实用感，实现智慧管理与智慧服务的有机统一。智慧社区管理平台界面，涵盖小区全方面数据及信息，可一键式处理应急情况，并根据后台数据分析情况，优化小区管理。平台运行以来，未发生</w:t>
            </w:r>
            <w:r>
              <w:rPr>
                <w:rFonts w:ascii="Times New Roman" w:eastAsia="仿宋" w:hAnsi="Times New Roman"/>
                <w:bCs/>
                <w:sz w:val="24"/>
                <w:szCs w:val="24"/>
              </w:rPr>
              <w:t>1</w:t>
            </w:r>
            <w:r>
              <w:rPr>
                <w:rFonts w:ascii="Times New Roman" w:eastAsia="仿宋" w:hAnsi="Times New Roman"/>
                <w:bCs/>
                <w:sz w:val="24"/>
                <w:szCs w:val="24"/>
              </w:rPr>
              <w:t>起涉及小区治安管理方面的案件，辖区派出所接警出警次数下降</w:t>
            </w:r>
            <w:r>
              <w:rPr>
                <w:rFonts w:ascii="Times New Roman" w:eastAsia="仿宋" w:hAnsi="Times New Roman"/>
                <w:bCs/>
                <w:sz w:val="24"/>
                <w:szCs w:val="24"/>
              </w:rPr>
              <w:t>90%</w:t>
            </w:r>
            <w:r>
              <w:rPr>
                <w:rFonts w:ascii="Times New Roman" w:eastAsia="仿宋" w:hAnsi="Times New Roman"/>
                <w:bCs/>
                <w:sz w:val="24"/>
                <w:szCs w:val="24"/>
              </w:rPr>
              <w:t>以上，信访案件下降</w:t>
            </w:r>
            <w:r>
              <w:rPr>
                <w:rFonts w:ascii="Times New Roman" w:eastAsia="仿宋" w:hAnsi="Times New Roman"/>
                <w:bCs/>
                <w:sz w:val="24"/>
                <w:szCs w:val="24"/>
              </w:rPr>
              <w:t>96%</w:t>
            </w:r>
            <w:r>
              <w:rPr>
                <w:rFonts w:ascii="Times New Roman" w:eastAsia="仿宋" w:hAnsi="Times New Roman"/>
                <w:bCs/>
                <w:sz w:val="24"/>
                <w:szCs w:val="24"/>
              </w:rPr>
              <w:t>。</w:t>
            </w:r>
          </w:p>
        </w:tc>
      </w:tr>
    </w:tbl>
    <w:p w:rsidR="002B653A" w:rsidRDefault="002B653A">
      <w:pPr>
        <w:adjustRightInd w:val="0"/>
        <w:snapToGrid w:val="0"/>
        <w:spacing w:line="360" w:lineRule="auto"/>
        <w:ind w:firstLineChars="200" w:firstLine="602"/>
        <w:rPr>
          <w:rFonts w:ascii="仿宋" w:eastAsia="仿宋" w:hAnsi="仿宋"/>
          <w:b/>
          <w:bCs/>
          <w:sz w:val="30"/>
          <w:szCs w:val="30"/>
        </w:rPr>
      </w:pPr>
    </w:p>
    <w:p w:rsidR="002B653A" w:rsidRDefault="00DF1AA7">
      <w:pPr>
        <w:pStyle w:val="3"/>
        <w:adjustRightInd w:val="0"/>
        <w:snapToGrid w:val="0"/>
        <w:spacing w:before="0" w:after="0" w:line="360" w:lineRule="auto"/>
        <w:ind w:firstLineChars="200" w:firstLine="602"/>
        <w:rPr>
          <w:rFonts w:ascii="仿宋" w:eastAsia="仿宋" w:hAnsi="仿宋"/>
          <w:sz w:val="30"/>
          <w:szCs w:val="30"/>
        </w:rPr>
      </w:pPr>
      <w:bookmarkStart w:id="30" w:name="_Toc90415738"/>
      <w:r>
        <w:rPr>
          <w:rFonts w:ascii="仿宋" w:eastAsia="仿宋" w:hAnsi="仿宋" w:hint="eastAsia"/>
          <w:sz w:val="30"/>
          <w:szCs w:val="30"/>
        </w:rPr>
        <w:t>四、社区服务项目化，培育参与式多元治理主体</w:t>
      </w:r>
      <w:bookmarkEnd w:id="30"/>
    </w:p>
    <w:p w:rsidR="002B653A" w:rsidRDefault="00DF1AA7">
      <w:pPr>
        <w:adjustRightInd w:val="0"/>
        <w:snapToGrid w:val="0"/>
        <w:spacing w:line="360" w:lineRule="auto"/>
        <w:ind w:firstLineChars="200" w:firstLine="602"/>
        <w:rPr>
          <w:rFonts w:ascii="Tahoma" w:eastAsia="仿宋" w:hAnsi="Tahoma"/>
          <w:kern w:val="0"/>
          <w:sz w:val="30"/>
          <w:szCs w:val="30"/>
        </w:rPr>
      </w:pPr>
      <w:r>
        <w:rPr>
          <w:rFonts w:ascii="Tahoma" w:eastAsia="仿宋" w:hAnsi="Tahoma" w:hint="eastAsia"/>
          <w:b/>
          <w:kern w:val="0"/>
          <w:sz w:val="30"/>
          <w:szCs w:val="30"/>
        </w:rPr>
        <w:t>打造多元主体参与治理平台。</w:t>
      </w:r>
      <w:r>
        <w:rPr>
          <w:rFonts w:ascii="Tahoma" w:eastAsia="仿宋" w:hAnsi="Tahoma" w:hint="eastAsia"/>
          <w:kern w:val="0"/>
          <w:sz w:val="30"/>
          <w:szCs w:val="30"/>
        </w:rPr>
        <w:t>建立“五社联动”服务中心，开展“五社联动”机制创新试点。推动社区养老、儿童关爱、社会救助、社区助残、社区慈善、惠民殡葬、法律援助、环境整治等居民需求服务项目化。</w:t>
      </w:r>
      <w:r>
        <w:rPr>
          <w:rFonts w:ascii="Tahoma" w:eastAsia="仿宋" w:hAnsi="Tahoma" w:hint="eastAsia"/>
          <w:b/>
          <w:kern w:val="0"/>
          <w:sz w:val="30"/>
          <w:szCs w:val="30"/>
        </w:rPr>
        <w:t>加大政府购买服务力度，健全全民参与社会服务项目制度。</w:t>
      </w:r>
      <w:r>
        <w:rPr>
          <w:rFonts w:ascii="Tahoma" w:eastAsia="仿宋" w:hAnsi="Tahoma" w:hint="eastAsia"/>
          <w:kern w:val="0"/>
          <w:sz w:val="30"/>
          <w:szCs w:val="30"/>
        </w:rPr>
        <w:t>整合各部门经费下沉镇（街道），引导资金使用方向和服务项目。以街道为单位试点设立公共资产资源管理中心，统筹整合域内闲置国有土地、房屋、场所等公共资产资源，无偿或低偿提供给街道社区以发展社区经济。以金点子大赛、社区提案、社区恳谈会、居民意见箱等途径推动全民参与社会服务项目。评估非户籍常住居民和党员参加社区“两委”换届试点成效，完善非户籍人口参与当地社区治理的工作机制。</w:t>
      </w:r>
      <w:r>
        <w:rPr>
          <w:rFonts w:ascii="Tahoma" w:eastAsia="仿宋" w:hAnsi="Tahoma" w:hint="eastAsia"/>
          <w:b/>
          <w:kern w:val="0"/>
          <w:sz w:val="30"/>
          <w:szCs w:val="30"/>
        </w:rPr>
        <w:t>协同推进社区服务项目落地与社会组织培育，加大社会慈善资源引进力度。</w:t>
      </w:r>
      <w:r>
        <w:rPr>
          <w:rFonts w:ascii="Tahoma" w:eastAsia="仿宋" w:hAnsi="Tahoma" w:hint="eastAsia"/>
          <w:kern w:val="0"/>
          <w:sz w:val="30"/>
          <w:szCs w:val="30"/>
        </w:rPr>
        <w:t>持续实施社区社会组织孵化和培训工程，完善社区社会组织孵化机制，大力培育社区社会组织。探索社会企业托管政府和社区公共空间开发无偿和低偿收费的公益项目。推进民营企业党组织融入区域化党建体系，探索民营企业参与社区服务项目机制。完善基于参与社区服务项目的志愿者职业培养、评价、激励、发展、</w:t>
      </w:r>
      <w:r>
        <w:rPr>
          <w:rFonts w:ascii="Tahoma" w:eastAsia="仿宋" w:hAnsi="Tahoma" w:hint="eastAsia"/>
          <w:kern w:val="0"/>
          <w:sz w:val="30"/>
          <w:szCs w:val="30"/>
        </w:rPr>
        <w:lastRenderedPageBreak/>
        <w:t>道德等配套制度机制。继续开展“青春志愿</w:t>
      </w:r>
      <w:r>
        <w:rPr>
          <w:rFonts w:ascii="宋体" w:hAnsi="宋体" w:cs="宋体" w:hint="eastAsia"/>
          <w:kern w:val="0"/>
          <w:sz w:val="30"/>
          <w:szCs w:val="30"/>
        </w:rPr>
        <w:t>•</w:t>
      </w:r>
      <w:r>
        <w:rPr>
          <w:rFonts w:ascii="仿宋" w:eastAsia="仿宋" w:hAnsi="仿宋" w:cs="仿宋" w:hint="eastAsia"/>
          <w:kern w:val="0"/>
          <w:sz w:val="30"/>
          <w:szCs w:val="30"/>
        </w:rPr>
        <w:t>爱在旅途”行动、“青春志愿</w:t>
      </w:r>
      <w:r>
        <w:rPr>
          <w:rFonts w:ascii="宋体" w:hAnsi="宋体" w:cs="宋体" w:hint="eastAsia"/>
          <w:kern w:val="0"/>
          <w:sz w:val="30"/>
          <w:szCs w:val="30"/>
        </w:rPr>
        <w:t>•</w:t>
      </w:r>
      <w:r>
        <w:rPr>
          <w:rFonts w:ascii="仿宋" w:eastAsia="仿宋" w:hAnsi="仿宋" w:cs="仿宋" w:hint="eastAsia"/>
          <w:kern w:val="0"/>
          <w:sz w:val="30"/>
          <w:szCs w:val="30"/>
        </w:rPr>
        <w:t>爱在社区”大学生志愿服务社区行动。</w:t>
      </w:r>
      <w:r>
        <w:rPr>
          <w:rFonts w:ascii="Tahoma" w:eastAsia="仿宋" w:hAnsi="Tahoma" w:hint="eastAsia"/>
          <w:kern w:val="0"/>
          <w:sz w:val="30"/>
          <w:szCs w:val="30"/>
        </w:rPr>
        <w:t>逐步健全“志愿者—社工—专业社工—社区专职工作者”成长发展路径。探索将参与社区服务项目纳入社会信用体系，试点建立志愿服务“时间银行”“绿色账户”，健全“服务置换”“贷款优惠”“医疗卫生优惠”等志愿服务回馈制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6"/>
      </w:tblGrid>
      <w:tr w:rsidR="002B653A">
        <w:trPr>
          <w:jc w:val="center"/>
        </w:trPr>
        <w:tc>
          <w:tcPr>
            <w:tcW w:w="8296" w:type="dxa"/>
          </w:tcPr>
          <w:p w:rsidR="002B653A" w:rsidRDefault="00DF1AA7" w:rsidP="0091109A">
            <w:pPr>
              <w:spacing w:beforeLines="50" w:afterLines="50" w:line="360" w:lineRule="auto"/>
              <w:jc w:val="center"/>
              <w:rPr>
                <w:rFonts w:ascii="黑体" w:eastAsia="黑体" w:hAnsi="黑体" w:cs="仿宋"/>
                <w:b/>
                <w:bCs/>
                <w:sz w:val="28"/>
                <w:szCs w:val="28"/>
              </w:rPr>
            </w:pPr>
            <w:r>
              <w:rPr>
                <w:rFonts w:ascii="黑体" w:eastAsia="黑体" w:hAnsi="黑体" w:cs="仿宋" w:hint="eastAsia"/>
                <w:b/>
                <w:bCs/>
                <w:sz w:val="28"/>
                <w:szCs w:val="28"/>
              </w:rPr>
              <w:t>专栏3-</w:t>
            </w:r>
            <w:r>
              <w:rPr>
                <w:rFonts w:ascii="黑体" w:eastAsia="黑体" w:hAnsi="黑体" w:cs="仿宋"/>
                <w:b/>
                <w:bCs/>
                <w:sz w:val="28"/>
                <w:szCs w:val="28"/>
              </w:rPr>
              <w:t xml:space="preserve">4  </w:t>
            </w:r>
            <w:r>
              <w:rPr>
                <w:rFonts w:ascii="黑体" w:eastAsia="黑体" w:hAnsi="黑体" w:cs="仿宋" w:hint="eastAsia"/>
                <w:b/>
                <w:bCs/>
                <w:sz w:val="28"/>
                <w:szCs w:val="28"/>
              </w:rPr>
              <w:t>雒城街道“一个中心双孵化”促进三社联动治理模式</w:t>
            </w:r>
          </w:p>
          <w:p w:rsidR="002B653A" w:rsidRDefault="00DF1AA7">
            <w:pPr>
              <w:autoSpaceDE w:val="0"/>
              <w:autoSpaceDN w:val="0"/>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广汉市雒城街道创新建立雒城街道社会组织支持中心，引入枢纽型社会组织成都市和谐社区发展促进会进行专业运营，通过组建社区治理联盟、发包公益创投项目、设立社区慈善基金、持续专业赋能提升，引导自组织向公益组织转变、草根社会组织向登记社会组织转变，扶持在地社会组织承接的三北社区《邻里报》等首批12个微项目落地实施，有效促进“三社”联动，破除行政机制壁垒，实现基层治理本土落实、创新发展。</w:t>
            </w:r>
          </w:p>
        </w:tc>
      </w:tr>
    </w:tbl>
    <w:p w:rsidR="002B653A" w:rsidRDefault="002B653A">
      <w:pPr>
        <w:rPr>
          <w:rFonts w:ascii="Tahoma" w:eastAsia="仿宋" w:hAnsi="Tahoma"/>
          <w:kern w:val="0"/>
          <w:sz w:val="30"/>
          <w:szCs w:val="30"/>
        </w:rPr>
      </w:pPr>
    </w:p>
    <w:p w:rsidR="002B653A" w:rsidRDefault="00DF1AA7">
      <w:pPr>
        <w:pStyle w:val="3"/>
        <w:adjustRightInd w:val="0"/>
        <w:snapToGrid w:val="0"/>
        <w:spacing w:before="0" w:after="0" w:line="360" w:lineRule="auto"/>
        <w:ind w:firstLineChars="200" w:firstLine="602"/>
        <w:rPr>
          <w:rFonts w:ascii="仿宋" w:eastAsia="仿宋" w:hAnsi="仿宋"/>
          <w:sz w:val="30"/>
          <w:szCs w:val="30"/>
        </w:rPr>
      </w:pPr>
      <w:bookmarkStart w:id="31" w:name="_Toc90415739"/>
      <w:r>
        <w:rPr>
          <w:rFonts w:ascii="仿宋" w:eastAsia="仿宋" w:hAnsi="仿宋" w:hint="eastAsia"/>
          <w:sz w:val="30"/>
          <w:szCs w:val="30"/>
        </w:rPr>
        <w:t>五、责任治理机制平台化，塑造全员式基层治理品牌</w:t>
      </w:r>
      <w:bookmarkEnd w:id="31"/>
    </w:p>
    <w:p w:rsidR="002B653A" w:rsidRDefault="00DF1AA7">
      <w:pPr>
        <w:adjustRightInd w:val="0"/>
        <w:snapToGrid w:val="0"/>
        <w:spacing w:line="360" w:lineRule="auto"/>
        <w:ind w:firstLineChars="200" w:firstLine="602"/>
        <w:rPr>
          <w:rFonts w:ascii="Tahoma" w:eastAsia="仿宋" w:hAnsi="Tahoma"/>
          <w:b/>
          <w:kern w:val="0"/>
          <w:sz w:val="30"/>
          <w:szCs w:val="30"/>
        </w:rPr>
      </w:pPr>
      <w:r>
        <w:rPr>
          <w:rFonts w:ascii="Tahoma" w:eastAsia="仿宋" w:hAnsi="Tahoma" w:hint="eastAsia"/>
          <w:b/>
          <w:kern w:val="0"/>
          <w:sz w:val="30"/>
          <w:szCs w:val="30"/>
        </w:rPr>
        <w:t>创新社区治理贡献总值机制，打造广汉基层治理新品牌。</w:t>
      </w:r>
      <w:r>
        <w:rPr>
          <w:rFonts w:ascii="Tahoma" w:eastAsia="仿宋" w:hAnsi="Tahoma" w:hint="eastAsia"/>
          <w:kern w:val="0"/>
          <w:sz w:val="30"/>
          <w:szCs w:val="30"/>
        </w:rPr>
        <w:t>坚持以党的领导、责任厘清、项目导向、全程协商、显性参与、智慧支撑为原则，创新社区治理贡献总值机制，构建社区治理的责任治理平台，厘清政府、企业、</w:t>
      </w:r>
      <w:r>
        <w:rPr>
          <w:rFonts w:ascii="Tahoma" w:eastAsia="仿宋" w:hAnsi="Tahoma"/>
          <w:kern w:val="0"/>
          <w:sz w:val="30"/>
          <w:szCs w:val="30"/>
        </w:rPr>
        <w:t>社会</w:t>
      </w:r>
      <w:r>
        <w:rPr>
          <w:rFonts w:ascii="Tahoma" w:eastAsia="仿宋" w:hAnsi="Tahoma" w:hint="eastAsia"/>
          <w:kern w:val="0"/>
          <w:sz w:val="30"/>
          <w:szCs w:val="30"/>
        </w:rPr>
        <w:t>、个人等责任相关方共同参与</w:t>
      </w:r>
      <w:r>
        <w:rPr>
          <w:rFonts w:ascii="Tahoma" w:eastAsia="仿宋" w:hAnsi="Tahoma"/>
          <w:kern w:val="0"/>
          <w:sz w:val="30"/>
          <w:szCs w:val="30"/>
        </w:rPr>
        <w:t>基层治理的</w:t>
      </w:r>
      <w:r>
        <w:rPr>
          <w:rFonts w:ascii="Tahoma" w:eastAsia="仿宋" w:hAnsi="Tahoma" w:hint="eastAsia"/>
          <w:kern w:val="0"/>
          <w:sz w:val="30"/>
          <w:szCs w:val="30"/>
        </w:rPr>
        <w:t>责任边界</w:t>
      </w:r>
      <w:r>
        <w:rPr>
          <w:rFonts w:ascii="Tahoma" w:eastAsia="仿宋" w:hAnsi="Tahoma"/>
          <w:kern w:val="0"/>
          <w:sz w:val="30"/>
          <w:szCs w:val="30"/>
        </w:rPr>
        <w:t>，</w:t>
      </w:r>
      <w:r>
        <w:rPr>
          <w:rFonts w:ascii="Tahoma" w:eastAsia="仿宋" w:hAnsi="Tahoma" w:hint="eastAsia"/>
          <w:kern w:val="0"/>
          <w:sz w:val="30"/>
          <w:szCs w:val="30"/>
        </w:rPr>
        <w:t>打造</w:t>
      </w:r>
      <w:r>
        <w:rPr>
          <w:rFonts w:ascii="Tahoma" w:eastAsia="仿宋" w:hAnsi="Tahoma"/>
          <w:kern w:val="0"/>
          <w:sz w:val="30"/>
          <w:szCs w:val="30"/>
        </w:rPr>
        <w:t>人人有责、人人尽责、人人享有的基层责任治理共同体示范高地。</w:t>
      </w:r>
      <w:r>
        <w:rPr>
          <w:rFonts w:ascii="Tahoma" w:eastAsia="仿宋" w:hAnsi="Tahoma" w:hint="eastAsia"/>
          <w:b/>
          <w:kern w:val="0"/>
          <w:sz w:val="30"/>
          <w:szCs w:val="30"/>
        </w:rPr>
        <w:t>创新四级责任治理平台。</w:t>
      </w:r>
      <w:r>
        <w:rPr>
          <w:rFonts w:ascii="Tahoma" w:eastAsia="仿宋" w:hAnsi="Tahoma" w:hint="eastAsia"/>
          <w:kern w:val="0"/>
          <w:sz w:val="30"/>
          <w:szCs w:val="30"/>
        </w:rPr>
        <w:t>创新广汉市、镇（街）、村（社区）、小区（院落）四级平台，分级承担各治理层级诉求搜集、协商厘清责任边界、形成治理项目、链接各类资源、参与项目执行、责任行为评价。</w:t>
      </w:r>
      <w:r>
        <w:rPr>
          <w:rFonts w:ascii="Tahoma" w:eastAsia="仿宋" w:hAnsi="Tahoma" w:hint="eastAsia"/>
          <w:b/>
          <w:kern w:val="0"/>
          <w:sz w:val="30"/>
          <w:szCs w:val="30"/>
        </w:rPr>
        <w:t>精细梳理各主体责</w:t>
      </w:r>
      <w:r>
        <w:rPr>
          <w:rFonts w:ascii="Tahoma" w:eastAsia="仿宋" w:hAnsi="Tahoma" w:hint="eastAsia"/>
          <w:b/>
          <w:kern w:val="0"/>
          <w:sz w:val="30"/>
          <w:szCs w:val="30"/>
        </w:rPr>
        <w:lastRenderedPageBreak/>
        <w:t>任清单。</w:t>
      </w:r>
      <w:r>
        <w:rPr>
          <w:rFonts w:ascii="Tahoma" w:eastAsia="仿宋" w:hAnsi="Tahoma" w:hint="eastAsia"/>
          <w:kern w:val="0"/>
          <w:sz w:val="30"/>
          <w:szCs w:val="30"/>
        </w:rPr>
        <w:t>围绕责任治理主题，定期通过坝坝会、联席会等方式，明确各层级、各主体责任边界，梳理居民、家庭、小区、社区、镇街、部门及企业、驻区单位等治理共同体的责任清单。</w:t>
      </w:r>
      <w:r>
        <w:rPr>
          <w:rFonts w:ascii="Tahoma" w:eastAsia="仿宋" w:hAnsi="Tahoma" w:hint="eastAsia"/>
          <w:b/>
          <w:kern w:val="0"/>
          <w:sz w:val="30"/>
          <w:szCs w:val="30"/>
        </w:rPr>
        <w:t>完善责任治理机制运行方式。</w:t>
      </w:r>
      <w:r>
        <w:rPr>
          <w:rFonts w:ascii="Tahoma" w:eastAsia="仿宋" w:hAnsi="Tahoma" w:hint="eastAsia"/>
          <w:kern w:val="0"/>
          <w:sz w:val="30"/>
          <w:szCs w:val="30"/>
        </w:rPr>
        <w:t>创新广汉基治荟项目对接平台，定期搭建基层需求与各级党政部门、社会资源、市场主体、辖区单位、居民个体的项目发布对接会，引入专业社会组织对项目进行绩效评估。按照项目化思路，对各参与主体投入到项目中的资源进行记载。分类建立雒币责任积分激励机制，大力倡导以荣誉激励为主、服务互换为支撑、商品折换为辅的激励方式。定期由市、镇（街）、村（社区）、小区（院落）四级平台统计责任贡献总值，评选责任治理示范项目、责任治理示范单位、责任治理示范家庭、责任治理示范个人等。</w:t>
      </w:r>
    </w:p>
    <w:p w:rsidR="002B653A" w:rsidRDefault="00DF1AA7" w:rsidP="0091109A">
      <w:pPr>
        <w:pStyle w:val="2"/>
        <w:keepNext w:val="0"/>
        <w:keepLines w:val="0"/>
        <w:widowControl w:val="0"/>
        <w:spacing w:beforeLines="100" w:afterLines="100" w:line="240" w:lineRule="auto"/>
        <w:jc w:val="center"/>
        <w:rPr>
          <w:rFonts w:ascii="黑体" w:eastAsia="黑体" w:hAnsi="黑体"/>
          <w:b w:val="0"/>
        </w:rPr>
      </w:pPr>
      <w:bookmarkStart w:id="32" w:name="_Toc90415740"/>
      <w:r>
        <w:rPr>
          <w:rFonts w:ascii="黑体" w:eastAsia="黑体" w:hAnsi="黑体" w:hint="eastAsia"/>
          <w:b w:val="0"/>
        </w:rPr>
        <w:t>第二节 乡村基层治理实施路径</w:t>
      </w:r>
      <w:bookmarkEnd w:id="32"/>
    </w:p>
    <w:p w:rsidR="002B653A" w:rsidRDefault="00DF1AA7">
      <w:pPr>
        <w:adjustRightInd w:val="0"/>
        <w:snapToGrid w:val="0"/>
        <w:spacing w:line="360" w:lineRule="auto"/>
        <w:ind w:firstLineChars="200" w:firstLine="600"/>
        <w:rPr>
          <w:rFonts w:ascii="Tahoma" w:eastAsia="仿宋" w:hAnsi="Tahoma"/>
          <w:kern w:val="0"/>
          <w:sz w:val="30"/>
          <w:szCs w:val="30"/>
        </w:rPr>
      </w:pPr>
      <w:r>
        <w:rPr>
          <w:rFonts w:ascii="Tahoma" w:eastAsia="仿宋" w:hAnsi="Tahoma" w:hint="eastAsia"/>
          <w:kern w:val="0"/>
          <w:sz w:val="30"/>
          <w:szCs w:val="30"/>
        </w:rPr>
        <w:t>广汉市乡村基层治理的核心矛盾表现在“人”“业”“钱”“美”四个方面。其中“人”的矛盾体现为乡村本地居民多样化需求与乡村社区服务低水平、单一化供给之间的矛盾及人口外流背景下乡村治理社会参与程度低等问题。“钱”的矛盾主要体现在地方政府财政投入的单一资金渠道无法满足复杂乡村基层治理工作的资金需求。“业”的矛盾主要体现在小农经济为主的经济结构制约了农村集体经济组织基层治理主体作用的发挥以及农民收入水平的提高。“美”的矛盾主要体现在脏、乱、差、散的乡村生活环境与广大农民对美好幸福生活的向往不协调、不匹配。因此，全市乡村基层治理实施路径应围绕解决上述矛盾展开。</w:t>
      </w:r>
      <w:r>
        <w:rPr>
          <w:rFonts w:ascii="Tahoma" w:eastAsia="仿宋" w:hAnsi="Tahoma" w:hint="eastAsia"/>
          <w:kern w:val="0"/>
          <w:sz w:val="30"/>
          <w:szCs w:val="30"/>
        </w:rPr>
        <w:lastRenderedPageBreak/>
        <w:t>以“集散结合”健全乡村精准化村级服务体系，满足乡村居民多样化需求，并通过体制机制创新挖掘乡村本土人力资源，实现乡村居民参与基层治理的组织化、常态化，以解决“人”的矛盾。盘活集体资源资产、引进社会资本，通过“三产融合”，发展壮大可持续新型集体经济，以解决“业”的矛盾。积极落实</w:t>
      </w:r>
      <w:r>
        <w:rPr>
          <w:rFonts w:ascii="仿宋" w:eastAsia="仿宋" w:hAnsi="仿宋" w:hint="eastAsia"/>
          <w:sz w:val="30"/>
          <w:szCs w:val="30"/>
        </w:rPr>
        <w:t>“小组微生”乡村建设理念，建设美丽田园理想型乡村，</w:t>
      </w:r>
      <w:r>
        <w:rPr>
          <w:rFonts w:ascii="Tahoma" w:eastAsia="仿宋" w:hAnsi="Tahoma" w:hint="eastAsia"/>
          <w:kern w:val="0"/>
          <w:sz w:val="30"/>
          <w:szCs w:val="30"/>
        </w:rPr>
        <w:t>解决“美”的矛盾。</w:t>
      </w:r>
      <w:r>
        <w:rPr>
          <w:rFonts w:ascii="仿宋" w:eastAsia="仿宋" w:hAnsi="仿宋" w:hint="eastAsia"/>
          <w:sz w:val="30"/>
          <w:szCs w:val="30"/>
        </w:rPr>
        <w:t>优化政府财政投入总量和结构，创新机制吸引社会资本加大对乡村治理相关领域资金投入，解决“钱”的矛盾。</w:t>
      </w:r>
    </w:p>
    <w:p w:rsidR="002B653A" w:rsidRDefault="00DF1AA7">
      <w:pPr>
        <w:pStyle w:val="3"/>
        <w:adjustRightInd w:val="0"/>
        <w:snapToGrid w:val="0"/>
        <w:spacing w:before="0" w:after="0" w:line="360" w:lineRule="auto"/>
        <w:ind w:firstLineChars="200" w:firstLine="602"/>
        <w:rPr>
          <w:rFonts w:ascii="仿宋" w:eastAsia="仿宋" w:hAnsi="仿宋"/>
          <w:sz w:val="30"/>
          <w:szCs w:val="30"/>
        </w:rPr>
      </w:pPr>
      <w:bookmarkStart w:id="33" w:name="_Toc90415741"/>
      <w:r>
        <w:rPr>
          <w:rFonts w:ascii="仿宋" w:eastAsia="仿宋" w:hAnsi="仿宋" w:hint="eastAsia"/>
          <w:sz w:val="30"/>
          <w:szCs w:val="30"/>
        </w:rPr>
        <w:t>一、“集散结合”，健全精准化村级服务体系</w:t>
      </w:r>
      <w:bookmarkEnd w:id="33"/>
    </w:p>
    <w:p w:rsidR="002B653A" w:rsidRDefault="00DF1AA7">
      <w:pPr>
        <w:adjustRightInd w:val="0"/>
        <w:snapToGrid w:val="0"/>
        <w:spacing w:line="360" w:lineRule="auto"/>
        <w:ind w:firstLineChars="200" w:firstLine="602"/>
        <w:rPr>
          <w:rFonts w:ascii="Tahoma" w:eastAsia="仿宋" w:hAnsi="Tahoma"/>
          <w:kern w:val="0"/>
          <w:sz w:val="30"/>
          <w:szCs w:val="30"/>
        </w:rPr>
      </w:pPr>
      <w:r>
        <w:rPr>
          <w:rFonts w:ascii="Tahoma" w:eastAsia="仿宋" w:hAnsi="Tahoma" w:hint="eastAsia"/>
          <w:b/>
          <w:kern w:val="0"/>
          <w:sz w:val="30"/>
          <w:szCs w:val="30"/>
        </w:rPr>
        <w:t>合理布局乡村社区综合服务设施。</w:t>
      </w:r>
      <w:r>
        <w:rPr>
          <w:rFonts w:ascii="Tahoma" w:eastAsia="仿宋" w:hAnsi="Tahoma" w:hint="eastAsia"/>
          <w:kern w:val="0"/>
          <w:sz w:val="30"/>
          <w:szCs w:val="30"/>
        </w:rPr>
        <w:t>试点实施乡村村级综合服务设施“补短板”工程，优化以党群服务中心为基本阵地的村级综合服务设施布局，为党员群众提供“一窗式”基层党建和政务服务。以“优化空间布局、整合发展资源、增强服务功能、降低运行成本”为目标，逐步建立布局合理、规模适中、集散有序的镇—村—村民小组三级综合服务设施。不断完善农村路水电气信“五网”体系和“四好农村路”建管养运协调发展机制。</w:t>
      </w:r>
      <w:r>
        <w:rPr>
          <w:rFonts w:ascii="Tahoma" w:eastAsia="仿宋" w:hAnsi="Tahoma" w:hint="eastAsia"/>
          <w:b/>
          <w:kern w:val="0"/>
          <w:sz w:val="30"/>
          <w:szCs w:val="30"/>
        </w:rPr>
        <w:t>推动政务服务下沉村党群服务中心。</w:t>
      </w:r>
      <w:r>
        <w:rPr>
          <w:rFonts w:ascii="Tahoma" w:eastAsia="仿宋" w:hAnsi="Tahoma" w:hint="eastAsia"/>
          <w:kern w:val="0"/>
          <w:sz w:val="30"/>
          <w:szCs w:val="30"/>
        </w:rPr>
        <w:t>依托党群服务中心推进乡村政务服务信息平台建设，逐步形成村级办事员、网上办事大厅、自助终端相协同的政务服务格局。试点实施乡村村级办事员培训工程。扩大村级民事代办制度覆盖范围，开展《广汉市村级民事代办制度建设的指导意见》政策落实评估工作。健全“院落长”制度，强化“院落长”在传染病、慢性病防控、困难群体和特殊人群关爱照护等方面的作用。</w:t>
      </w:r>
      <w:r>
        <w:rPr>
          <w:rFonts w:ascii="Tahoma" w:eastAsia="仿宋" w:hAnsi="Tahoma" w:hint="eastAsia"/>
          <w:b/>
          <w:kern w:val="0"/>
          <w:sz w:val="30"/>
          <w:szCs w:val="30"/>
        </w:rPr>
        <w:t>推动公共服务下沉村组。</w:t>
      </w:r>
      <w:r>
        <w:rPr>
          <w:rFonts w:ascii="Tahoma" w:eastAsia="仿宋" w:hAnsi="Tahoma" w:hint="eastAsia"/>
          <w:kern w:val="0"/>
          <w:sz w:val="30"/>
          <w:szCs w:val="30"/>
        </w:rPr>
        <w:t>推动村组居家养老协同发展，鼓励有条件村组单独建设或联合建设养老服务中心，</w:t>
      </w:r>
      <w:r>
        <w:rPr>
          <w:rFonts w:ascii="Tahoma" w:eastAsia="仿宋" w:hAnsi="Tahoma" w:hint="eastAsia"/>
          <w:kern w:val="0"/>
          <w:sz w:val="30"/>
          <w:szCs w:val="30"/>
        </w:rPr>
        <w:lastRenderedPageBreak/>
        <w:t>推动村组日间照料中心全覆盖，发展膳食供应、保健康复、精神慰藉等居家养老上门服务。完善政府购买</w:t>
      </w:r>
      <w:r>
        <w:rPr>
          <w:rFonts w:ascii="Tahoma" w:eastAsia="仿宋" w:hAnsi="Tahoma" w:hint="eastAsia"/>
          <w:color w:val="000000" w:themeColor="text1"/>
          <w:kern w:val="0"/>
          <w:sz w:val="30"/>
          <w:szCs w:val="30"/>
        </w:rPr>
        <w:t>乡村公共</w:t>
      </w:r>
      <w:r>
        <w:rPr>
          <w:rFonts w:ascii="Tahoma" w:eastAsia="仿宋" w:hAnsi="Tahoma" w:hint="eastAsia"/>
          <w:kern w:val="0"/>
          <w:sz w:val="30"/>
          <w:szCs w:val="30"/>
        </w:rPr>
        <w:t>服务机制，鼓励和支持基层群众性自治组织承接政府购买服务。试点建立由镇儿童服务中心与村儿童服务点为主体的“一心多点”未成年人救助保护服务机构。增强乡村文化、体育、科普等公共服务供给，丰富村民业余生活。持续开展殡葬服务进村组活动，资金补贴与政策宣传相结合，引导群众树立绿色殡葬理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6"/>
      </w:tblGrid>
      <w:tr w:rsidR="002B653A">
        <w:trPr>
          <w:jc w:val="center"/>
        </w:trPr>
        <w:tc>
          <w:tcPr>
            <w:tcW w:w="8296" w:type="dxa"/>
          </w:tcPr>
          <w:p w:rsidR="002B653A" w:rsidRDefault="00DF1AA7" w:rsidP="0091109A">
            <w:pPr>
              <w:spacing w:beforeLines="50" w:afterLines="50" w:line="360" w:lineRule="auto"/>
              <w:jc w:val="center"/>
              <w:rPr>
                <w:rFonts w:ascii="黑体" w:eastAsia="黑体" w:hAnsi="黑体" w:cs="仿宋"/>
                <w:b/>
                <w:bCs/>
                <w:sz w:val="28"/>
                <w:szCs w:val="28"/>
              </w:rPr>
            </w:pPr>
            <w:r>
              <w:rPr>
                <w:rFonts w:ascii="黑体" w:eastAsia="黑体" w:hAnsi="黑体" w:cs="仿宋" w:hint="eastAsia"/>
                <w:b/>
                <w:bCs/>
                <w:sz w:val="28"/>
                <w:szCs w:val="28"/>
              </w:rPr>
              <w:t>专栏3-</w:t>
            </w:r>
            <w:r>
              <w:rPr>
                <w:rFonts w:ascii="黑体" w:eastAsia="黑体" w:hAnsi="黑体" w:cs="仿宋"/>
                <w:b/>
                <w:bCs/>
                <w:sz w:val="28"/>
                <w:szCs w:val="28"/>
              </w:rPr>
              <w:t xml:space="preserve">5  </w:t>
            </w:r>
            <w:r>
              <w:rPr>
                <w:rFonts w:ascii="黑体" w:eastAsia="黑体" w:hAnsi="黑体" w:cs="仿宋" w:hint="eastAsia"/>
                <w:b/>
                <w:bCs/>
                <w:sz w:val="28"/>
                <w:szCs w:val="28"/>
              </w:rPr>
              <w:t>案例借鉴：国内乡村公共服务体系建设</w:t>
            </w:r>
          </w:p>
          <w:p w:rsidR="002B653A" w:rsidRDefault="00DF1AA7">
            <w:pPr>
              <w:autoSpaceDE w:val="0"/>
              <w:autoSpaceDN w:val="0"/>
              <w:adjustRightInd w:val="0"/>
              <w:snapToGrid w:val="0"/>
              <w:spacing w:line="360" w:lineRule="auto"/>
              <w:ind w:firstLineChars="200" w:firstLine="482"/>
              <w:rPr>
                <w:rFonts w:ascii="仿宋" w:eastAsia="仿宋" w:hAnsi="仿宋" w:cs="仿宋"/>
                <w:bCs/>
                <w:sz w:val="24"/>
                <w:szCs w:val="24"/>
              </w:rPr>
            </w:pPr>
            <w:r>
              <w:rPr>
                <w:rFonts w:ascii="仿宋" w:eastAsia="仿宋" w:hAnsi="仿宋" w:cs="仿宋" w:hint="eastAsia"/>
                <w:b/>
                <w:bCs/>
                <w:sz w:val="24"/>
                <w:szCs w:val="24"/>
              </w:rPr>
              <w:t>河北巨鹿：医养结合+护理险构建农村多元养老保障网。</w:t>
            </w:r>
            <w:r>
              <w:rPr>
                <w:rFonts w:ascii="仿宋" w:eastAsia="仿宋" w:hAnsi="仿宋" w:cs="仿宋" w:hint="eastAsia"/>
                <w:bCs/>
                <w:sz w:val="24"/>
                <w:szCs w:val="24"/>
              </w:rPr>
              <w:t>河北省邢台市巨鹿县探索建立“医养结合+护理险”农村养老模式，整合医疗养老资源，构建包含巨鹿县健康养老综合服务指导中心、乡镇卫生院医养中心（幸福院）、村卫生室医养中心（幸福院）、居家医养在内的农村多元养老保障网，提高养老服务质量，实现农村养老服务低价可及，值得进一步丰富完善、示范推广。</w:t>
            </w:r>
          </w:p>
          <w:p w:rsidR="002B653A" w:rsidRDefault="00DF1AA7">
            <w:pPr>
              <w:autoSpaceDE w:val="0"/>
              <w:autoSpaceDN w:val="0"/>
              <w:adjustRightInd w:val="0"/>
              <w:snapToGrid w:val="0"/>
              <w:spacing w:line="360" w:lineRule="auto"/>
              <w:ind w:firstLineChars="200" w:firstLine="482"/>
              <w:rPr>
                <w:rFonts w:ascii="仿宋" w:eastAsia="仿宋" w:hAnsi="仿宋" w:cs="仿宋"/>
                <w:bCs/>
                <w:sz w:val="24"/>
                <w:szCs w:val="24"/>
              </w:rPr>
            </w:pPr>
            <w:r>
              <w:rPr>
                <w:rFonts w:ascii="仿宋" w:eastAsia="仿宋" w:hAnsi="仿宋" w:cs="仿宋" w:hint="eastAsia"/>
                <w:b/>
                <w:bCs/>
                <w:sz w:val="24"/>
                <w:szCs w:val="24"/>
              </w:rPr>
              <w:t>山东荣成：依托“暖心食堂”构建新型农村养老服务体系。</w:t>
            </w:r>
            <w:r>
              <w:rPr>
                <w:rFonts w:ascii="仿宋" w:eastAsia="仿宋" w:hAnsi="仿宋" w:cs="仿宋" w:hint="eastAsia"/>
                <w:bCs/>
                <w:sz w:val="24"/>
                <w:szCs w:val="24"/>
              </w:rPr>
              <w:t>山东省荣成市创新信用激励政策，发动志愿服务，打造“暖心食堂”，为农村老人提供“一餐热饭”。“暖心食堂”因地制宜采取村级自助型、集中配餐型、暖心饭盒型三种运营模式，发动群众广泛参与志愿服务，健全保障机制，确保“暖心食堂”长久、规范运行。</w:t>
            </w:r>
          </w:p>
          <w:p w:rsidR="002B653A" w:rsidRDefault="00DF1AA7">
            <w:pPr>
              <w:autoSpaceDE w:val="0"/>
              <w:autoSpaceDN w:val="0"/>
              <w:adjustRightInd w:val="0"/>
              <w:snapToGrid w:val="0"/>
              <w:spacing w:line="360" w:lineRule="auto"/>
              <w:ind w:firstLineChars="200" w:firstLine="482"/>
              <w:rPr>
                <w:rFonts w:ascii="仿宋" w:eastAsia="仿宋" w:hAnsi="仿宋" w:cs="仿宋"/>
                <w:bCs/>
                <w:sz w:val="24"/>
                <w:szCs w:val="24"/>
              </w:rPr>
            </w:pPr>
            <w:r>
              <w:rPr>
                <w:rFonts w:ascii="仿宋" w:eastAsia="仿宋" w:hAnsi="仿宋" w:cs="仿宋" w:hint="eastAsia"/>
                <w:b/>
                <w:bCs/>
                <w:sz w:val="24"/>
                <w:szCs w:val="24"/>
              </w:rPr>
              <w:t>上海松江：探索“好邻居”服务体系。</w:t>
            </w:r>
            <w:r>
              <w:rPr>
                <w:rFonts w:ascii="仿宋" w:eastAsia="仿宋" w:hAnsi="仿宋" w:cs="仿宋" w:hint="eastAsia"/>
                <w:bCs/>
                <w:sz w:val="24"/>
                <w:szCs w:val="24"/>
              </w:rPr>
              <w:t>上海市松江区通过构建“好邻居”服务体系，打造“15分钟生活区”，推动公共服务设施向农村社区延伸，探索了一套都市村居治理新模式：以农村居民需求为导向，打造三级服务空间，在镇街层面推进社区服务中心建设，村居层面以“1+5+X”模式优化社区服务站，群众层面推进社区睦邻点建设。</w:t>
            </w:r>
          </w:p>
          <w:p w:rsidR="002B653A" w:rsidRDefault="00DF1AA7">
            <w:pPr>
              <w:autoSpaceDE w:val="0"/>
              <w:autoSpaceDN w:val="0"/>
              <w:adjustRightInd w:val="0"/>
              <w:snapToGrid w:val="0"/>
              <w:spacing w:line="360" w:lineRule="auto"/>
              <w:ind w:firstLineChars="200" w:firstLine="482"/>
              <w:rPr>
                <w:rFonts w:ascii="仿宋" w:eastAsia="仿宋" w:hAnsi="仿宋" w:cs="仿宋"/>
                <w:bCs/>
                <w:sz w:val="24"/>
                <w:szCs w:val="24"/>
              </w:rPr>
            </w:pPr>
            <w:r>
              <w:rPr>
                <w:rFonts w:ascii="仿宋" w:eastAsia="仿宋" w:hAnsi="仿宋" w:cs="仿宋" w:hint="eastAsia"/>
                <w:b/>
                <w:bCs/>
                <w:sz w:val="24"/>
                <w:szCs w:val="24"/>
              </w:rPr>
              <w:t>四川名山：“全程代办”实现农村公共服务“零距离”。</w:t>
            </w:r>
            <w:r>
              <w:rPr>
                <w:rFonts w:ascii="仿宋" w:eastAsia="仿宋" w:hAnsi="仿宋" w:cs="仿宋" w:hint="eastAsia"/>
                <w:bCs/>
                <w:sz w:val="24"/>
                <w:szCs w:val="24"/>
              </w:rPr>
              <w:t>四川省雅安市名山区探索推行村级事务全程代办制度，设立村级便民服务代办站，推行代办服务一卡通，构建全域覆盖的基本公共服务圈，实现一站服务不出村、下沉服务零距离，把便民实事办到了农民群众心坎上。这是推动农村公共服务下沉山区农</w:t>
            </w:r>
            <w:r>
              <w:rPr>
                <w:rFonts w:ascii="仿宋" w:eastAsia="仿宋" w:hAnsi="仿宋" w:cs="仿宋" w:hint="eastAsia"/>
                <w:bCs/>
                <w:sz w:val="24"/>
                <w:szCs w:val="24"/>
              </w:rPr>
              <w:lastRenderedPageBreak/>
              <w:t>村的管用有效举措，为基层推进</w:t>
            </w:r>
            <w:r w:rsidR="0091109A">
              <w:rPr>
                <w:rFonts w:ascii="仿宋" w:eastAsia="仿宋" w:hAnsi="仿宋" w:cs="仿宋" w:hint="eastAsia"/>
                <w:bCs/>
                <w:sz w:val="24"/>
                <w:szCs w:val="24"/>
              </w:rPr>
              <w:t>国家</w:t>
            </w:r>
            <w:r>
              <w:rPr>
                <w:rFonts w:ascii="仿宋" w:eastAsia="仿宋" w:hAnsi="仿宋" w:cs="仿宋" w:hint="eastAsia"/>
                <w:bCs/>
                <w:sz w:val="24"/>
                <w:szCs w:val="24"/>
              </w:rPr>
              <w:t>治理体系和治理能力现代化提供了有益借鉴。</w:t>
            </w:r>
          </w:p>
          <w:p w:rsidR="002B653A" w:rsidRDefault="00DF1AA7">
            <w:pPr>
              <w:autoSpaceDE w:val="0"/>
              <w:autoSpaceDN w:val="0"/>
              <w:adjustRightInd w:val="0"/>
              <w:snapToGrid w:val="0"/>
              <w:spacing w:line="360" w:lineRule="auto"/>
              <w:ind w:firstLineChars="200" w:firstLine="482"/>
              <w:rPr>
                <w:rFonts w:ascii="仿宋" w:eastAsia="仿宋" w:hAnsi="仿宋" w:cs="仿宋"/>
                <w:bCs/>
                <w:sz w:val="24"/>
                <w:szCs w:val="24"/>
              </w:rPr>
            </w:pPr>
            <w:r>
              <w:rPr>
                <w:rFonts w:ascii="仿宋" w:eastAsia="仿宋" w:hAnsi="仿宋" w:cs="仿宋" w:hint="eastAsia"/>
                <w:b/>
                <w:bCs/>
                <w:sz w:val="24"/>
                <w:szCs w:val="24"/>
              </w:rPr>
              <w:t>辽宁庄河：“1945”模式破解农村垃圾治理难题。</w:t>
            </w:r>
            <w:r>
              <w:rPr>
                <w:rFonts w:ascii="仿宋" w:eastAsia="仿宋" w:hAnsi="仿宋" w:cs="仿宋" w:hint="eastAsia"/>
                <w:bCs/>
                <w:sz w:val="24"/>
                <w:szCs w:val="24"/>
              </w:rPr>
              <w:t>宁省大连市庄河市探索“1945”农村生活垃圾长效治理模式，即由1家企业负责农村垃圾全程转运，9个固定和移动垃圾转运站承担乡镇垃圾压缩任务，在小城镇推行垃圾“四分法”，在村屯推行“五指分类法”，实现垃圾源头减量与终端处理、定期清理与日常保洁紧密结合，有效破解农村垃圾治理难题。</w:t>
            </w:r>
          </w:p>
        </w:tc>
      </w:tr>
    </w:tbl>
    <w:p w:rsidR="002B653A" w:rsidRDefault="002B653A">
      <w:pPr>
        <w:rPr>
          <w:rFonts w:ascii="Tahoma" w:eastAsia="仿宋" w:hAnsi="Tahoma"/>
          <w:kern w:val="0"/>
          <w:sz w:val="30"/>
          <w:szCs w:val="30"/>
        </w:rPr>
      </w:pPr>
    </w:p>
    <w:p w:rsidR="002B653A" w:rsidRDefault="00DF1AA7">
      <w:pPr>
        <w:pStyle w:val="3"/>
        <w:adjustRightInd w:val="0"/>
        <w:snapToGrid w:val="0"/>
        <w:spacing w:before="0" w:after="0" w:line="360" w:lineRule="auto"/>
        <w:ind w:firstLineChars="200" w:firstLine="602"/>
        <w:rPr>
          <w:rFonts w:ascii="仿宋" w:eastAsia="仿宋" w:hAnsi="仿宋"/>
          <w:sz w:val="30"/>
          <w:szCs w:val="30"/>
        </w:rPr>
      </w:pPr>
      <w:bookmarkStart w:id="34" w:name="_Toc90415742"/>
      <w:r>
        <w:rPr>
          <w:rFonts w:ascii="仿宋" w:eastAsia="仿宋" w:hAnsi="仿宋" w:hint="eastAsia"/>
          <w:sz w:val="30"/>
          <w:szCs w:val="30"/>
        </w:rPr>
        <w:t>二、“共建共享”，培育参与式多元治理主体</w:t>
      </w:r>
      <w:bookmarkEnd w:id="34"/>
    </w:p>
    <w:p w:rsidR="002B653A" w:rsidRDefault="00DF1AA7">
      <w:pPr>
        <w:adjustRightInd w:val="0"/>
        <w:snapToGrid w:val="0"/>
        <w:spacing w:line="360" w:lineRule="auto"/>
        <w:ind w:firstLineChars="200" w:firstLine="602"/>
        <w:rPr>
          <w:rFonts w:ascii="Tahoma" w:eastAsia="仿宋" w:hAnsi="Tahoma"/>
          <w:kern w:val="0"/>
          <w:sz w:val="30"/>
          <w:szCs w:val="30"/>
        </w:rPr>
      </w:pPr>
      <w:r>
        <w:rPr>
          <w:rFonts w:ascii="Tahoma" w:eastAsia="仿宋" w:hAnsi="Tahoma" w:hint="eastAsia"/>
          <w:b/>
          <w:kern w:val="0"/>
          <w:sz w:val="30"/>
          <w:szCs w:val="30"/>
        </w:rPr>
        <w:t>完善基层群众自治机制，丰富村民民主决策形式。</w:t>
      </w:r>
      <w:r>
        <w:rPr>
          <w:rFonts w:ascii="Tahoma" w:eastAsia="仿宋" w:hAnsi="Tahoma" w:hint="eastAsia"/>
          <w:kern w:val="0"/>
          <w:sz w:val="30"/>
          <w:szCs w:val="30"/>
        </w:rPr>
        <w:t>逐步实现“议事代表制度”全覆盖</w:t>
      </w:r>
      <w:r>
        <w:rPr>
          <w:rFonts w:ascii="Tahoma" w:eastAsia="仿宋" w:hAnsi="Tahoma"/>
          <w:kern w:val="0"/>
          <w:sz w:val="30"/>
          <w:szCs w:val="30"/>
        </w:rPr>
        <w:t>，鼓励村（居）民以</w:t>
      </w:r>
      <w:r>
        <w:rPr>
          <w:rFonts w:ascii="Tahoma" w:eastAsia="仿宋" w:hAnsi="Tahoma" w:hint="eastAsia"/>
          <w:kern w:val="0"/>
          <w:sz w:val="30"/>
          <w:szCs w:val="30"/>
        </w:rPr>
        <w:t>村（居）民说事、民情恳谈、百姓议事等</w:t>
      </w:r>
      <w:r>
        <w:rPr>
          <w:rFonts w:ascii="Tahoma" w:eastAsia="仿宋" w:hAnsi="Tahoma"/>
          <w:kern w:val="0"/>
          <w:sz w:val="30"/>
          <w:szCs w:val="30"/>
        </w:rPr>
        <w:t>多种民主形式依法实施自我管理、自我教育、自我服务、自我监督。</w:t>
      </w:r>
      <w:r>
        <w:rPr>
          <w:rFonts w:ascii="Tahoma" w:eastAsia="仿宋" w:hAnsi="Tahoma" w:hint="eastAsia"/>
          <w:kern w:val="0"/>
          <w:sz w:val="30"/>
          <w:szCs w:val="30"/>
        </w:rPr>
        <w:t>加强基层民主监督，持续强化村务公开，探索组务公开，引导群众主动参与到基层治理监督工作中去。</w:t>
      </w:r>
      <w:r>
        <w:rPr>
          <w:rFonts w:ascii="Tahoma" w:eastAsia="仿宋" w:hAnsi="Tahoma" w:hint="eastAsia"/>
          <w:b/>
          <w:kern w:val="0"/>
          <w:sz w:val="30"/>
          <w:szCs w:val="30"/>
        </w:rPr>
        <w:t>挖掘本土人力资源，构建特色志愿服务体系。</w:t>
      </w:r>
      <w:r>
        <w:rPr>
          <w:rFonts w:ascii="Tahoma" w:eastAsia="仿宋" w:hAnsi="Tahoma" w:hint="eastAsia"/>
          <w:kern w:val="0"/>
          <w:sz w:val="30"/>
          <w:szCs w:val="30"/>
        </w:rPr>
        <w:t>鼓励、引导、支持村党组织组建“党员志愿服务队”“乡村环境治理志愿服务队”“乡村青年志愿服务队”“老年志愿服务队”“乡村少年志愿服务队”等，实现集体成员参与志愿服务的组织化、常态化。</w:t>
      </w:r>
      <w:r>
        <w:rPr>
          <w:rFonts w:ascii="Tahoma" w:eastAsia="仿宋" w:hAnsi="Tahoma" w:hint="eastAsia"/>
          <w:b/>
          <w:kern w:val="0"/>
          <w:sz w:val="30"/>
          <w:szCs w:val="30"/>
        </w:rPr>
        <w:t>倡导慈善精神，实现社会慈善资源与乡村基层治理有效对接。</w:t>
      </w:r>
      <w:r>
        <w:rPr>
          <w:rFonts w:ascii="Tahoma" w:eastAsia="仿宋" w:hAnsi="Tahoma" w:hint="eastAsia"/>
          <w:kern w:val="0"/>
          <w:sz w:val="30"/>
          <w:szCs w:val="30"/>
        </w:rPr>
        <w:t>鼓励通过慈善捐赠、设立乡村发展基金等方式，引导社会慈善资源重点投向养老、教育、文化、体育等乡村治理领域。探索通过政府购买服务、</w:t>
      </w:r>
      <w:r>
        <w:rPr>
          <w:rFonts w:ascii="Times New Roman" w:eastAsia="仿宋" w:hAnsi="Times New Roman"/>
          <w:kern w:val="0"/>
          <w:sz w:val="30"/>
          <w:szCs w:val="30"/>
        </w:rPr>
        <w:t>PPP</w:t>
      </w:r>
      <w:r>
        <w:rPr>
          <w:rFonts w:ascii="Times New Roman" w:eastAsia="仿宋" w:hAnsi="Times New Roman"/>
          <w:kern w:val="0"/>
          <w:sz w:val="30"/>
          <w:szCs w:val="30"/>
        </w:rPr>
        <w:t>模式、</w:t>
      </w:r>
      <w:r>
        <w:rPr>
          <w:rFonts w:ascii="Times New Roman" w:eastAsia="仿宋" w:hAnsi="Times New Roman"/>
          <w:kern w:val="0"/>
          <w:sz w:val="30"/>
          <w:szCs w:val="30"/>
        </w:rPr>
        <w:t>BOT</w:t>
      </w:r>
      <w:r>
        <w:rPr>
          <w:rFonts w:ascii="Tahoma" w:eastAsia="仿宋" w:hAnsi="Tahoma" w:hint="eastAsia"/>
          <w:kern w:val="0"/>
          <w:sz w:val="30"/>
          <w:szCs w:val="30"/>
        </w:rPr>
        <w:t>模式等实现政府与社会资本共建共享乡村公共设施机制，保障社会资本获得合理利润。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6"/>
      </w:tblGrid>
      <w:tr w:rsidR="002B653A">
        <w:trPr>
          <w:jc w:val="center"/>
        </w:trPr>
        <w:tc>
          <w:tcPr>
            <w:tcW w:w="8296" w:type="dxa"/>
          </w:tcPr>
          <w:p w:rsidR="002B653A" w:rsidRDefault="00DF1AA7" w:rsidP="0091109A">
            <w:pPr>
              <w:spacing w:beforeLines="50" w:afterLines="50" w:line="360" w:lineRule="auto"/>
              <w:jc w:val="center"/>
              <w:rPr>
                <w:rFonts w:ascii="黑体" w:eastAsia="黑体" w:hAnsi="黑体" w:cs="仿宋"/>
                <w:bCs/>
                <w:sz w:val="24"/>
                <w:szCs w:val="24"/>
              </w:rPr>
            </w:pPr>
            <w:r>
              <w:rPr>
                <w:rFonts w:ascii="黑体" w:eastAsia="黑体" w:hAnsi="黑体" w:cs="仿宋" w:hint="eastAsia"/>
                <w:b/>
                <w:bCs/>
                <w:sz w:val="28"/>
                <w:szCs w:val="28"/>
              </w:rPr>
              <w:t>专栏3-</w:t>
            </w:r>
            <w:r>
              <w:rPr>
                <w:rFonts w:ascii="黑体" w:eastAsia="黑体" w:hAnsi="黑体" w:cs="仿宋"/>
                <w:b/>
                <w:bCs/>
                <w:sz w:val="28"/>
                <w:szCs w:val="28"/>
              </w:rPr>
              <w:t xml:space="preserve">6  </w:t>
            </w:r>
            <w:r>
              <w:rPr>
                <w:rFonts w:ascii="黑体" w:eastAsia="黑体" w:hAnsi="黑体" w:cs="仿宋" w:hint="eastAsia"/>
                <w:b/>
                <w:bCs/>
                <w:sz w:val="28"/>
                <w:szCs w:val="28"/>
              </w:rPr>
              <w:t>高坪镇“三长共治”乡村基层治理模式</w:t>
            </w:r>
          </w:p>
          <w:p w:rsidR="002B653A" w:rsidRDefault="00DF1AA7">
            <w:pPr>
              <w:autoSpaceDE w:val="0"/>
              <w:autoSpaceDN w:val="0"/>
              <w:spacing w:line="360" w:lineRule="auto"/>
              <w:ind w:firstLineChars="200" w:firstLine="480"/>
              <w:rPr>
                <w:rFonts w:ascii="仿宋" w:eastAsia="仿宋" w:hAnsi="仿宋" w:cs="仿宋"/>
                <w:bCs/>
                <w:sz w:val="24"/>
                <w:szCs w:val="24"/>
              </w:rPr>
            </w:pPr>
            <w:r>
              <w:rPr>
                <w:rFonts w:ascii="仿宋" w:eastAsia="仿宋" w:hAnsi="仿宋" w:cs="仿宋"/>
                <w:bCs/>
                <w:sz w:val="24"/>
                <w:szCs w:val="24"/>
              </w:rPr>
              <w:lastRenderedPageBreak/>
              <w:t>广汉市高坪镇</w:t>
            </w:r>
            <w:r>
              <w:rPr>
                <w:rFonts w:ascii="仿宋" w:eastAsia="仿宋" w:hAnsi="仿宋" w:cs="仿宋" w:hint="eastAsia"/>
                <w:bCs/>
                <w:sz w:val="24"/>
                <w:szCs w:val="24"/>
              </w:rPr>
              <w:t>根据地理空间、居住现状、小区布局等基础数据，</w:t>
            </w:r>
            <w:r>
              <w:rPr>
                <w:rFonts w:ascii="仿宋" w:eastAsia="仿宋" w:hAnsi="仿宋" w:cs="仿宋"/>
                <w:bCs/>
                <w:sz w:val="24"/>
                <w:szCs w:val="24"/>
              </w:rPr>
              <w:t>凝聚</w:t>
            </w:r>
            <w:r>
              <w:rPr>
                <w:rFonts w:ascii="仿宋" w:eastAsia="仿宋" w:hAnsi="仿宋" w:cs="仿宋" w:hint="eastAsia"/>
                <w:bCs/>
                <w:sz w:val="24"/>
                <w:szCs w:val="24"/>
              </w:rPr>
              <w:t>“党组织力量”</w:t>
            </w:r>
            <w:r>
              <w:rPr>
                <w:rFonts w:ascii="仿宋" w:eastAsia="仿宋" w:hAnsi="仿宋" w:cs="仿宋"/>
                <w:bCs/>
                <w:sz w:val="24"/>
                <w:szCs w:val="24"/>
              </w:rPr>
              <w:t>，</w:t>
            </w:r>
            <w:r>
              <w:rPr>
                <w:rFonts w:ascii="仿宋" w:eastAsia="仿宋" w:hAnsi="仿宋" w:cs="仿宋" w:hint="eastAsia"/>
                <w:bCs/>
                <w:sz w:val="24"/>
                <w:szCs w:val="24"/>
              </w:rPr>
              <w:t>推行“网格”管理，</w:t>
            </w:r>
            <w:r>
              <w:rPr>
                <w:rFonts w:ascii="仿宋" w:eastAsia="仿宋" w:hAnsi="仿宋" w:cs="仿宋"/>
                <w:bCs/>
                <w:sz w:val="24"/>
                <w:szCs w:val="24"/>
              </w:rPr>
              <w:t>采取自下而上推荐和自上而下举荐相结合的方式，</w:t>
            </w:r>
            <w:r>
              <w:rPr>
                <w:rFonts w:ascii="仿宋" w:eastAsia="仿宋" w:hAnsi="仿宋" w:cs="仿宋" w:hint="eastAsia"/>
                <w:bCs/>
                <w:sz w:val="24"/>
                <w:szCs w:val="24"/>
              </w:rPr>
              <w:t>由村（社区）“两委”</w:t>
            </w:r>
            <w:r>
              <w:rPr>
                <w:rFonts w:ascii="仿宋" w:eastAsia="仿宋" w:hAnsi="仿宋" w:cs="仿宋"/>
                <w:bCs/>
                <w:sz w:val="24"/>
                <w:szCs w:val="24"/>
              </w:rPr>
              <w:t>优先</w:t>
            </w:r>
            <w:r>
              <w:rPr>
                <w:rFonts w:ascii="仿宋" w:eastAsia="仿宋" w:hAnsi="仿宋" w:cs="仿宋" w:hint="eastAsia"/>
                <w:bCs/>
                <w:sz w:val="24"/>
                <w:szCs w:val="24"/>
              </w:rPr>
              <w:t>选择</w:t>
            </w:r>
            <w:r>
              <w:rPr>
                <w:rFonts w:ascii="仿宋" w:eastAsia="仿宋" w:hAnsi="仿宋" w:cs="仿宋"/>
                <w:bCs/>
                <w:sz w:val="24"/>
                <w:szCs w:val="24"/>
              </w:rPr>
              <w:t>党员、农村致富带头人、返乡创业农民工等担任“三长”</w:t>
            </w:r>
            <w:r>
              <w:rPr>
                <w:rFonts w:ascii="仿宋" w:eastAsia="仿宋" w:hAnsi="仿宋" w:cs="仿宋" w:hint="eastAsia"/>
                <w:bCs/>
                <w:sz w:val="24"/>
                <w:szCs w:val="24"/>
              </w:rPr>
              <w:t>；如</w:t>
            </w:r>
            <w:r>
              <w:rPr>
                <w:rFonts w:ascii="仿宋" w:eastAsia="仿宋" w:hAnsi="仿宋" w:cs="仿宋"/>
                <w:bCs/>
                <w:sz w:val="24"/>
                <w:szCs w:val="24"/>
              </w:rPr>
              <w:t>暂时没有合适人选</w:t>
            </w:r>
            <w:r>
              <w:rPr>
                <w:rFonts w:ascii="仿宋" w:eastAsia="仿宋" w:hAnsi="仿宋" w:cs="仿宋" w:hint="eastAsia"/>
                <w:bCs/>
                <w:sz w:val="24"/>
                <w:szCs w:val="24"/>
              </w:rPr>
              <w:t>则</w:t>
            </w:r>
            <w:r>
              <w:rPr>
                <w:rFonts w:ascii="仿宋" w:eastAsia="仿宋" w:hAnsi="仿宋" w:cs="仿宋"/>
                <w:bCs/>
                <w:sz w:val="24"/>
                <w:szCs w:val="24"/>
              </w:rPr>
              <w:t>由村民小组长兼任，</w:t>
            </w:r>
            <w:r>
              <w:rPr>
                <w:rFonts w:ascii="仿宋" w:eastAsia="仿宋" w:hAnsi="仿宋" w:cs="仿宋" w:hint="eastAsia"/>
                <w:bCs/>
                <w:sz w:val="24"/>
                <w:szCs w:val="24"/>
              </w:rPr>
              <w:t>并培养后备人选。全镇8个村（社区）共推选出院落长、单元长、片区长753名，</w:t>
            </w:r>
            <w:r>
              <w:rPr>
                <w:rFonts w:ascii="仿宋" w:eastAsia="仿宋" w:hAnsi="仿宋" w:cs="仿宋"/>
                <w:bCs/>
                <w:sz w:val="24"/>
                <w:szCs w:val="24"/>
              </w:rPr>
              <w:t>建立“三长共治”工作动态</w:t>
            </w:r>
            <w:r>
              <w:rPr>
                <w:rFonts w:ascii="仿宋" w:eastAsia="仿宋" w:hAnsi="仿宋" w:cs="仿宋" w:hint="eastAsia"/>
                <w:bCs/>
                <w:sz w:val="24"/>
                <w:szCs w:val="24"/>
              </w:rPr>
              <w:t>机制</w:t>
            </w:r>
            <w:r>
              <w:rPr>
                <w:rFonts w:ascii="仿宋" w:eastAsia="仿宋" w:hAnsi="仿宋" w:cs="仿宋"/>
                <w:bCs/>
                <w:sz w:val="24"/>
                <w:szCs w:val="24"/>
              </w:rPr>
              <w:t>，</w:t>
            </w:r>
            <w:r>
              <w:rPr>
                <w:rFonts w:ascii="仿宋" w:eastAsia="仿宋" w:hAnsi="仿宋" w:cs="仿宋" w:hint="eastAsia"/>
                <w:bCs/>
                <w:sz w:val="24"/>
                <w:szCs w:val="24"/>
              </w:rPr>
              <w:t>及时公开宣传和展示</w:t>
            </w:r>
            <w:r>
              <w:rPr>
                <w:rFonts w:ascii="仿宋" w:eastAsia="仿宋" w:hAnsi="仿宋" w:cs="仿宋"/>
                <w:bCs/>
                <w:sz w:val="24"/>
                <w:szCs w:val="24"/>
              </w:rPr>
              <w:t>“三长”履职尽责</w:t>
            </w:r>
            <w:r>
              <w:rPr>
                <w:rFonts w:ascii="仿宋" w:eastAsia="仿宋" w:hAnsi="仿宋" w:cs="仿宋" w:hint="eastAsia"/>
                <w:bCs/>
                <w:sz w:val="24"/>
                <w:szCs w:val="24"/>
              </w:rPr>
              <w:t>情况和</w:t>
            </w:r>
            <w:r>
              <w:rPr>
                <w:rFonts w:ascii="仿宋" w:eastAsia="仿宋" w:hAnsi="仿宋" w:cs="仿宋"/>
                <w:bCs/>
                <w:sz w:val="24"/>
                <w:szCs w:val="24"/>
              </w:rPr>
              <w:t>先进做法</w:t>
            </w:r>
            <w:r>
              <w:rPr>
                <w:rFonts w:ascii="仿宋" w:eastAsia="仿宋" w:hAnsi="仿宋" w:cs="仿宋" w:hint="eastAsia"/>
                <w:bCs/>
                <w:sz w:val="24"/>
                <w:szCs w:val="24"/>
              </w:rPr>
              <w:t>，表现优秀的纳入村（社区）“两委”后备力量；结合党史学习教育开展“三长领航”办实事活动，每半年评选一次“优秀院落”、“优秀三长”，由镇党委予以表彰。“三长共治”推行以来，矛盾纠纷化解率达到100%，初步实现了基层治理更加有效、乡村环境更加美丽、群众生活更加幸福的目标。</w:t>
            </w:r>
          </w:p>
        </w:tc>
      </w:tr>
    </w:tbl>
    <w:p w:rsidR="002B653A" w:rsidRDefault="002B653A">
      <w:pPr>
        <w:rPr>
          <w:rFonts w:ascii="Tahoma" w:eastAsia="仿宋" w:hAnsi="Tahoma"/>
          <w:kern w:val="0"/>
          <w:sz w:val="30"/>
          <w:szCs w:val="30"/>
        </w:rPr>
      </w:pPr>
    </w:p>
    <w:p w:rsidR="002B653A" w:rsidRDefault="00DF1AA7">
      <w:pPr>
        <w:pStyle w:val="3"/>
        <w:adjustRightInd w:val="0"/>
        <w:snapToGrid w:val="0"/>
        <w:spacing w:before="0" w:after="0" w:line="360" w:lineRule="auto"/>
        <w:ind w:firstLineChars="200" w:firstLine="602"/>
        <w:rPr>
          <w:rFonts w:ascii="仿宋" w:eastAsia="仿宋" w:hAnsi="仿宋"/>
          <w:sz w:val="30"/>
          <w:szCs w:val="30"/>
        </w:rPr>
      </w:pPr>
      <w:bookmarkStart w:id="35" w:name="_Toc90415743"/>
      <w:r>
        <w:rPr>
          <w:rFonts w:ascii="仿宋" w:eastAsia="仿宋" w:hAnsi="仿宋" w:hint="eastAsia"/>
          <w:sz w:val="30"/>
          <w:szCs w:val="30"/>
        </w:rPr>
        <w:t>三、“三产融合”，发展可持续新型集体经济</w:t>
      </w:r>
      <w:bookmarkEnd w:id="35"/>
    </w:p>
    <w:p w:rsidR="002B653A" w:rsidRDefault="00DF1AA7">
      <w:pPr>
        <w:adjustRightInd w:val="0"/>
        <w:snapToGrid w:val="0"/>
        <w:spacing w:line="360" w:lineRule="auto"/>
        <w:ind w:firstLineChars="200" w:firstLine="602"/>
        <w:rPr>
          <w:rFonts w:ascii="Tahoma" w:eastAsia="仿宋" w:hAnsi="Tahoma"/>
          <w:kern w:val="0"/>
          <w:sz w:val="30"/>
          <w:szCs w:val="30"/>
        </w:rPr>
      </w:pPr>
      <w:r>
        <w:rPr>
          <w:rFonts w:ascii="Tahoma" w:eastAsia="仿宋" w:hAnsi="Tahoma" w:hint="eastAsia"/>
          <w:b/>
          <w:kern w:val="0"/>
          <w:sz w:val="30"/>
          <w:szCs w:val="30"/>
        </w:rPr>
        <w:t>建立健全村集体经济组织运行机制。</w:t>
      </w:r>
      <w:r>
        <w:rPr>
          <w:rFonts w:ascii="Tahoma" w:eastAsia="仿宋" w:hAnsi="Tahoma" w:hint="eastAsia"/>
          <w:kern w:val="0"/>
          <w:sz w:val="30"/>
          <w:szCs w:val="30"/>
        </w:rPr>
        <w:t>巩固集体股权量化改革成果，积极探索集体资源资产“三权分置”改革、经营性资产股份合作制改革、特别法人地位登记赋码等工作，培育新型农业经营主体，探索新型农村集体经济有效实现形式。完善村党组织书记通过法定程序担任村级集体经济组织负责人、村党组织提名推荐集体经济组织管理层负责人程序，进一步推广村集体经济职业经理人制度。探索建立广汉市支持集体经济发展专项资金。</w:t>
      </w:r>
      <w:r>
        <w:rPr>
          <w:rFonts w:ascii="Tahoma" w:eastAsia="仿宋" w:hAnsi="Tahoma" w:hint="eastAsia"/>
          <w:b/>
          <w:kern w:val="0"/>
          <w:sz w:val="30"/>
          <w:szCs w:val="30"/>
        </w:rPr>
        <w:t>实施“一乡一业”“一村一品”工程，打造本土特色产业品牌。</w:t>
      </w:r>
      <w:r>
        <w:rPr>
          <w:rFonts w:ascii="Tahoma" w:eastAsia="仿宋" w:hAnsi="Tahoma" w:hint="eastAsia"/>
          <w:kern w:val="0"/>
          <w:sz w:val="30"/>
          <w:szCs w:val="30"/>
        </w:rPr>
        <w:t>开展“一乡一业”“一村一品”示范工程，打造生态农业、休闲农业、农耕体验、乡村旅游等特色产业示范村。实施乡村产业“品牌工程”，提升品牌价值，增强市场竞争力。探索发展“农业</w:t>
      </w:r>
      <w:r>
        <w:rPr>
          <w:rFonts w:ascii="Tahoma" w:eastAsia="仿宋" w:hAnsi="Tahoma" w:hint="eastAsia"/>
          <w:kern w:val="0"/>
          <w:sz w:val="30"/>
          <w:szCs w:val="30"/>
        </w:rPr>
        <w:t>+</w:t>
      </w:r>
      <w:r>
        <w:rPr>
          <w:rFonts w:ascii="Tahoma" w:eastAsia="仿宋" w:hAnsi="Tahoma" w:hint="eastAsia"/>
          <w:kern w:val="0"/>
          <w:sz w:val="30"/>
          <w:szCs w:val="30"/>
        </w:rPr>
        <w:t>互联网”等产业新业态，以现代农业产业园、农业科技园区、田园综合体等建设为载体，优化现代农业经营体系，促进农村三产融合。</w:t>
      </w:r>
      <w:r>
        <w:rPr>
          <w:rFonts w:ascii="Tahoma" w:eastAsia="仿宋" w:hAnsi="Tahoma" w:hint="eastAsia"/>
          <w:b/>
          <w:kern w:val="0"/>
          <w:sz w:val="30"/>
          <w:szCs w:val="30"/>
        </w:rPr>
        <w:t>撬动社会资本助推农村集体经济发展。</w:t>
      </w:r>
      <w:r>
        <w:rPr>
          <w:rFonts w:ascii="Tahoma" w:eastAsia="仿宋" w:hAnsi="Tahoma" w:hint="eastAsia"/>
          <w:kern w:val="0"/>
          <w:sz w:val="30"/>
          <w:szCs w:val="30"/>
        </w:rPr>
        <w:t>完善社会资本下乡准入制</w:t>
      </w:r>
      <w:r>
        <w:rPr>
          <w:rFonts w:ascii="Tahoma" w:eastAsia="仿宋" w:hAnsi="Tahoma" w:hint="eastAsia"/>
          <w:kern w:val="0"/>
          <w:sz w:val="30"/>
          <w:szCs w:val="30"/>
        </w:rPr>
        <w:lastRenderedPageBreak/>
        <w:t>度，推动农村集体经济组织以入股、联营等方式与社会资本合作。完善土地等乡村资源有序流转机制。构建农企互利共生利益共同体，完善利益联结分配机制。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6"/>
      </w:tblGrid>
      <w:tr w:rsidR="002B653A">
        <w:trPr>
          <w:jc w:val="center"/>
        </w:trPr>
        <w:tc>
          <w:tcPr>
            <w:tcW w:w="8296" w:type="dxa"/>
          </w:tcPr>
          <w:p w:rsidR="002B653A" w:rsidRDefault="00DF1AA7" w:rsidP="0091109A">
            <w:pPr>
              <w:spacing w:beforeLines="50" w:afterLines="50" w:line="360" w:lineRule="auto"/>
              <w:jc w:val="center"/>
              <w:rPr>
                <w:rFonts w:ascii="黑体" w:eastAsia="黑体" w:hAnsi="黑体" w:cs="仿宋"/>
                <w:b/>
                <w:bCs/>
                <w:sz w:val="28"/>
                <w:szCs w:val="28"/>
              </w:rPr>
            </w:pPr>
            <w:r>
              <w:rPr>
                <w:rFonts w:ascii="黑体" w:eastAsia="黑体" w:hAnsi="黑体" w:cs="仿宋" w:hint="eastAsia"/>
                <w:b/>
                <w:bCs/>
                <w:sz w:val="28"/>
                <w:szCs w:val="28"/>
              </w:rPr>
              <w:t>专栏3-</w:t>
            </w:r>
            <w:r>
              <w:rPr>
                <w:rFonts w:ascii="黑体" w:eastAsia="黑体" w:hAnsi="黑体" w:cs="仿宋"/>
                <w:b/>
                <w:bCs/>
                <w:sz w:val="28"/>
                <w:szCs w:val="28"/>
              </w:rPr>
              <w:t xml:space="preserve">7  </w:t>
            </w:r>
            <w:r>
              <w:rPr>
                <w:rFonts w:ascii="黑体" w:eastAsia="黑体" w:hAnsi="黑体" w:cs="仿宋" w:hint="eastAsia"/>
                <w:b/>
                <w:bCs/>
                <w:sz w:val="28"/>
                <w:szCs w:val="28"/>
              </w:rPr>
              <w:t>友谊村协同推进基层治理与集体经济发展模式</w:t>
            </w:r>
          </w:p>
          <w:p w:rsidR="002B653A" w:rsidRDefault="00DF1AA7">
            <w:pPr>
              <w:autoSpaceDE w:val="0"/>
              <w:autoSpaceDN w:val="0"/>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广汉市三水镇友谊村，以党建引领为核心，选优配强干部队伍，擦亮治理底色。以院落管理委员会和小区物业管理委员会为抓手，聚焦基层痛点，设立民情茶馆，疏通信息堵点。亮明党员身份，链动“三员”合力，发挥治理网格员的“触角”作用，清廉观察员的“前哨”作用，文明宣传员的“领航”作用，激发自治活力。开展清廉村居建设，建立“现场打分+线上反馈”评价机制，确保服务亲民化有质量，开展先进选树活动，确保乡风文明化有温度。打造三水镇乡村振兴会客厅，吸引社会资金2亿元丰富易家河坝景区业态，聘请职业经理人统筹管理集体经济，建设中国西部钓都，以一根鱼竿撬动产业发展。在社会资本支持下，建设了三水镇省级钓鱼竞训基地、易家河坝三江码头鱼凫阁等。2</w:t>
            </w:r>
            <w:r>
              <w:rPr>
                <w:rFonts w:ascii="仿宋" w:eastAsia="仿宋" w:hAnsi="仿宋" w:cs="仿宋"/>
                <w:bCs/>
                <w:sz w:val="24"/>
                <w:szCs w:val="24"/>
              </w:rPr>
              <w:t>020</w:t>
            </w:r>
            <w:r>
              <w:rPr>
                <w:rFonts w:ascii="仿宋" w:eastAsia="仿宋" w:hAnsi="仿宋" w:cs="仿宋" w:hint="eastAsia"/>
                <w:bCs/>
                <w:sz w:val="24"/>
                <w:szCs w:val="24"/>
              </w:rPr>
              <w:t>年，友谊村集体经济年收入1</w:t>
            </w:r>
            <w:r>
              <w:rPr>
                <w:rFonts w:ascii="仿宋" w:eastAsia="仿宋" w:hAnsi="仿宋" w:cs="仿宋"/>
                <w:bCs/>
                <w:sz w:val="24"/>
                <w:szCs w:val="24"/>
              </w:rPr>
              <w:t>50</w:t>
            </w:r>
            <w:r>
              <w:rPr>
                <w:rFonts w:ascii="仿宋" w:eastAsia="仿宋" w:hAnsi="仿宋" w:cs="仿宋" w:hint="eastAsia"/>
                <w:bCs/>
                <w:sz w:val="24"/>
                <w:szCs w:val="24"/>
              </w:rPr>
              <w:t>万元，分红</w:t>
            </w:r>
            <w:r>
              <w:rPr>
                <w:rFonts w:ascii="仿宋" w:eastAsia="仿宋" w:hAnsi="仿宋" w:cs="仿宋"/>
                <w:bCs/>
                <w:sz w:val="24"/>
                <w:szCs w:val="24"/>
              </w:rPr>
              <w:t>25.38</w:t>
            </w:r>
            <w:r>
              <w:rPr>
                <w:rFonts w:ascii="仿宋" w:eastAsia="仿宋" w:hAnsi="仿宋" w:cs="仿宋" w:hint="eastAsia"/>
                <w:bCs/>
                <w:sz w:val="24"/>
                <w:szCs w:val="24"/>
              </w:rPr>
              <w:t>万元，农民人均可支配收入达2</w:t>
            </w:r>
            <w:r>
              <w:rPr>
                <w:rFonts w:ascii="仿宋" w:eastAsia="仿宋" w:hAnsi="仿宋" w:cs="仿宋"/>
                <w:bCs/>
                <w:sz w:val="24"/>
                <w:szCs w:val="24"/>
              </w:rPr>
              <w:t>.</w:t>
            </w:r>
            <w:r>
              <w:rPr>
                <w:rFonts w:ascii="仿宋" w:eastAsia="仿宋" w:hAnsi="仿宋" w:cs="仿宋" w:hint="eastAsia"/>
                <w:bCs/>
                <w:sz w:val="24"/>
                <w:szCs w:val="24"/>
              </w:rPr>
              <w:t>5万元。</w:t>
            </w:r>
          </w:p>
        </w:tc>
      </w:tr>
    </w:tbl>
    <w:p w:rsidR="002B653A" w:rsidRDefault="002B653A">
      <w:pPr>
        <w:rPr>
          <w:sz w:val="30"/>
          <w:szCs w:val="30"/>
        </w:rPr>
      </w:pPr>
    </w:p>
    <w:p w:rsidR="002B653A" w:rsidRDefault="00DF1AA7">
      <w:pPr>
        <w:pStyle w:val="3"/>
        <w:adjustRightInd w:val="0"/>
        <w:snapToGrid w:val="0"/>
        <w:spacing w:before="0" w:after="0" w:line="360" w:lineRule="auto"/>
        <w:ind w:firstLineChars="200" w:firstLine="602"/>
        <w:rPr>
          <w:rFonts w:ascii="仿宋" w:eastAsia="仿宋" w:hAnsi="仿宋"/>
          <w:sz w:val="30"/>
          <w:szCs w:val="30"/>
        </w:rPr>
      </w:pPr>
      <w:bookmarkStart w:id="36" w:name="_Toc90415744"/>
      <w:r>
        <w:rPr>
          <w:rFonts w:ascii="仿宋" w:eastAsia="仿宋" w:hAnsi="仿宋" w:hint="eastAsia"/>
          <w:sz w:val="30"/>
          <w:szCs w:val="30"/>
        </w:rPr>
        <w:t>四、“小组微生”，建设美丽田园理想型社区</w:t>
      </w:r>
      <w:bookmarkEnd w:id="36"/>
    </w:p>
    <w:p w:rsidR="002B653A" w:rsidRDefault="00DF1AA7">
      <w:pPr>
        <w:adjustRightInd w:val="0"/>
        <w:snapToGrid w:val="0"/>
        <w:spacing w:line="360" w:lineRule="auto"/>
        <w:ind w:firstLineChars="200" w:firstLine="602"/>
        <w:rPr>
          <w:rFonts w:ascii="Tahoma" w:eastAsia="仿宋" w:hAnsi="Tahoma"/>
          <w:kern w:val="0"/>
          <w:sz w:val="30"/>
          <w:szCs w:val="30"/>
        </w:rPr>
      </w:pPr>
      <w:r>
        <w:rPr>
          <w:rFonts w:ascii="Tahoma" w:eastAsia="仿宋" w:hAnsi="Tahoma" w:hint="eastAsia"/>
          <w:b/>
          <w:kern w:val="0"/>
          <w:sz w:val="30"/>
          <w:szCs w:val="30"/>
        </w:rPr>
        <w:t>以“小组微生”理念重构乡村美丽田园本底。</w:t>
      </w:r>
      <w:r>
        <w:rPr>
          <w:rFonts w:ascii="Tahoma" w:eastAsia="仿宋" w:hAnsi="Tahoma" w:hint="eastAsia"/>
          <w:kern w:val="0"/>
          <w:sz w:val="30"/>
          <w:szCs w:val="30"/>
        </w:rPr>
        <w:t>引导农民新居建设“小规模聚居，组团式布局”，形成既适度集中又相对独立的自然有机分布格局。实施“微田园”工程，打造乡村聚居点“小菜园”“小果园”，保持、升级农村本色与风貌。加大乡村生态环境改善力度。健全村民参与本村规划建设机制。完善政府公共财政主导、村民委员会和村民自筹、受益主体付费、社会资金支持的乡村清洁经费多元化投入保障机制。加快农村生活垃圾分类投放、收集、转运和处置体系建设。进一步完善村庄常态化保洁</w:t>
      </w:r>
      <w:r>
        <w:rPr>
          <w:rFonts w:ascii="Tahoma" w:eastAsia="仿宋" w:hAnsi="Tahoma" w:hint="eastAsia"/>
          <w:kern w:val="0"/>
          <w:sz w:val="30"/>
          <w:szCs w:val="30"/>
        </w:rPr>
        <w:lastRenderedPageBreak/>
        <w:t>制度，保持村民小组专职保洁员全覆盖。鼓励社会资本参与乡村污水处理设施项目建设和运营管护。推广城镇周边就近接入污水管网、聚居区建设集中污水处理站治理模式。</w:t>
      </w:r>
      <w:r>
        <w:rPr>
          <w:rFonts w:ascii="Tahoma" w:eastAsia="仿宋" w:hAnsi="Tahoma" w:hint="eastAsia"/>
          <w:b/>
          <w:kern w:val="0"/>
          <w:sz w:val="30"/>
          <w:szCs w:val="30"/>
        </w:rPr>
        <w:t>探索“村民自治</w:t>
      </w:r>
      <w:r>
        <w:rPr>
          <w:rFonts w:ascii="Tahoma" w:eastAsia="仿宋" w:hAnsi="Tahoma" w:hint="eastAsia"/>
          <w:b/>
          <w:kern w:val="0"/>
          <w:sz w:val="30"/>
          <w:szCs w:val="30"/>
        </w:rPr>
        <w:t>+</w:t>
      </w:r>
      <w:r>
        <w:rPr>
          <w:rFonts w:ascii="Tahoma" w:eastAsia="仿宋" w:hAnsi="Tahoma" w:hint="eastAsia"/>
          <w:b/>
          <w:kern w:val="0"/>
          <w:sz w:val="30"/>
          <w:szCs w:val="30"/>
        </w:rPr>
        <w:t>政府引导</w:t>
      </w:r>
      <w:r>
        <w:rPr>
          <w:rFonts w:ascii="Tahoma" w:eastAsia="仿宋" w:hAnsi="Tahoma" w:hint="eastAsia"/>
          <w:b/>
          <w:kern w:val="0"/>
          <w:sz w:val="30"/>
          <w:szCs w:val="30"/>
        </w:rPr>
        <w:t>+</w:t>
      </w:r>
      <w:r>
        <w:rPr>
          <w:rFonts w:ascii="Tahoma" w:eastAsia="仿宋" w:hAnsi="Tahoma" w:hint="eastAsia"/>
          <w:b/>
          <w:kern w:val="0"/>
          <w:sz w:val="30"/>
          <w:szCs w:val="30"/>
        </w:rPr>
        <w:t>市场运作”的“小组微生”乡村建设管理机制。</w:t>
      </w:r>
      <w:r>
        <w:rPr>
          <w:rFonts w:ascii="Tahoma" w:eastAsia="仿宋" w:hAnsi="Tahoma" w:hint="eastAsia"/>
          <w:kern w:val="0"/>
          <w:sz w:val="30"/>
          <w:szCs w:val="30"/>
        </w:rPr>
        <w:t>探索村民自主制定资金分配方案、项目规划方案、项目建设方案、房屋建设方案、土地权属调整方案、宅基地复垦方案、安置点后续管理方案、产业发展方案等的议事机制。政府加强对乡村聚居点规划、建设、管理等的规范和引导，加大必要财政扶持力度。探索农村聚居点商业化运营的机制和方式，引导和鼓励社会资本参与农村聚居点建设。</w:t>
      </w:r>
      <w:r>
        <w:rPr>
          <w:rFonts w:ascii="Tahoma" w:eastAsia="仿宋" w:hAnsi="Tahoma" w:hint="eastAsia"/>
          <w:b/>
          <w:kern w:val="0"/>
          <w:sz w:val="30"/>
          <w:szCs w:val="30"/>
        </w:rPr>
        <w:t>协同推进乡村聚居点“建改保”分类建设</w:t>
      </w:r>
      <w:r>
        <w:rPr>
          <w:rFonts w:ascii="Tahoma" w:eastAsia="仿宋" w:hAnsi="Tahoma" w:hint="eastAsia"/>
          <w:kern w:val="0"/>
          <w:sz w:val="30"/>
          <w:szCs w:val="30"/>
        </w:rPr>
        <w:t>。针对资金充足、原居住条件较差、居住分散的情形通过规划新建房屋实现“小组微生”。针对资金欠充足、原居住条件稍好或因自然条件等不适宜拆旧建新的情形通过改造房屋设施及外貌等实现“小组微生”。针对具有特殊历史文化价值与旅游资源的村落通过保护性开发实现“小组微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6"/>
      </w:tblGrid>
      <w:tr w:rsidR="002B653A">
        <w:trPr>
          <w:jc w:val="center"/>
        </w:trPr>
        <w:tc>
          <w:tcPr>
            <w:tcW w:w="8296" w:type="dxa"/>
          </w:tcPr>
          <w:p w:rsidR="002B653A" w:rsidRDefault="00DF1AA7" w:rsidP="0091109A">
            <w:pPr>
              <w:spacing w:beforeLines="50" w:afterLines="50" w:line="360" w:lineRule="auto"/>
              <w:jc w:val="center"/>
              <w:rPr>
                <w:rFonts w:ascii="黑体" w:eastAsia="黑体" w:hAnsi="黑体" w:cs="仿宋"/>
                <w:b/>
                <w:bCs/>
                <w:sz w:val="28"/>
                <w:szCs w:val="28"/>
              </w:rPr>
            </w:pPr>
            <w:r>
              <w:rPr>
                <w:rFonts w:ascii="黑体" w:eastAsia="黑体" w:hAnsi="黑体" w:cs="仿宋" w:hint="eastAsia"/>
                <w:b/>
                <w:bCs/>
                <w:sz w:val="28"/>
                <w:szCs w:val="28"/>
              </w:rPr>
              <w:t>专栏3-</w:t>
            </w:r>
            <w:r>
              <w:rPr>
                <w:rFonts w:ascii="黑体" w:eastAsia="黑体" w:hAnsi="黑体" w:cs="仿宋"/>
                <w:b/>
                <w:bCs/>
                <w:sz w:val="28"/>
                <w:szCs w:val="28"/>
              </w:rPr>
              <w:t>8</w:t>
            </w:r>
            <w:r>
              <w:rPr>
                <w:rFonts w:ascii="黑体" w:eastAsia="黑体" w:hAnsi="黑体" w:cs="仿宋" w:hint="eastAsia"/>
                <w:b/>
                <w:bCs/>
                <w:sz w:val="28"/>
                <w:szCs w:val="28"/>
              </w:rPr>
              <w:t>案例借鉴：成都市青杠树村“小组微生”理想社区建设</w:t>
            </w:r>
          </w:p>
          <w:p w:rsidR="002B653A" w:rsidRDefault="00DF1AA7">
            <w:pPr>
              <w:autoSpaceDE w:val="0"/>
              <w:autoSpaceDN w:val="0"/>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青杠树村位于成都市西南，距中心城区17㎞，幅员面积2.4㎞</w:t>
            </w:r>
            <w:r>
              <w:rPr>
                <w:rFonts w:ascii="仿宋" w:eastAsia="仿宋" w:hAnsi="仿宋" w:cs="仿宋" w:hint="eastAsia"/>
                <w:bCs/>
                <w:sz w:val="24"/>
                <w:szCs w:val="24"/>
                <w:vertAlign w:val="superscript"/>
              </w:rPr>
              <w:t>2</w:t>
            </w:r>
            <w:r>
              <w:rPr>
                <w:rFonts w:ascii="仿宋" w:eastAsia="仿宋" w:hAnsi="仿宋" w:cs="仿宋" w:hint="eastAsia"/>
                <w:bCs/>
                <w:sz w:val="24"/>
                <w:szCs w:val="24"/>
              </w:rPr>
              <w:t>，辖11个村民小组，有932户、2251人。通过新农村综合体建设，形成9个农民聚居点，共9.7万㎡新居，参与户数906户，共2190人，参与率97.3%。青杠树村在建设新农村综合体时严格遵循“小组微生”原则。“小”即小规模打造村落，控制建设规模；“组”即组团式布局，表现为组团之间留有合适的距离，同时做到传统与自然结合；“微”即微田园风光，在不破坏当地自然环境的条件下保持乡村的田园风光；“生”即生态化建设，要求保持生态环境本底，加强文化生态建设。具体建设模式为：一是在建筑风格上，保留川西民居特色，依树建房，古典的川西林盘与现代的川西民居相融成景；根据村民经济条件和需求做户型</w:t>
            </w:r>
            <w:r>
              <w:rPr>
                <w:rFonts w:ascii="仿宋" w:eastAsia="仿宋" w:hAnsi="仿宋" w:cs="仿宋" w:hint="eastAsia"/>
                <w:bCs/>
                <w:sz w:val="24"/>
                <w:szCs w:val="24"/>
              </w:rPr>
              <w:lastRenderedPageBreak/>
              <w:t>设计，不做大拆大建，留住村民的乡愁，尽显微田园风光。二是在自然环境上，坚持不破坏植被、不堵塞沟渠；发挥青杠树村两河相绕的优势，打造沿河生态带，保护原有林盘，同时引水进院，改造低槽田建成生态湿地。三是在景观打造上，顺着田园肌理开展建设，保留田园风光，铺路建房时优先考虑河流、树木，古树挡道则道路改道，林地与房址冲突则改选房址。四是在农家特色上，延续原有生活习惯，保护农家风俗，传承传统文化。在维持农村田园风光，保留农民生活特色的基础上形成了景区村落、景点民居、景观农业。“小组微生”新农村综合体建设，青杠树村从川西坝子一个不知名的小村庄到如今成为闻名全国的“十大最美乡村”“全国一村一品示范村”“中国美丽休闲乡村”，是成都市各乡村遵循“小组微生”新农村综合体的建设模式，大力开展幸福美丽新村建设的一个缩影。</w:t>
            </w:r>
          </w:p>
        </w:tc>
      </w:tr>
    </w:tbl>
    <w:p w:rsidR="002B653A" w:rsidRDefault="002B653A">
      <w:pPr>
        <w:rPr>
          <w:sz w:val="30"/>
          <w:szCs w:val="30"/>
        </w:rPr>
      </w:pPr>
    </w:p>
    <w:p w:rsidR="002B653A" w:rsidRDefault="00DF1AA7">
      <w:pPr>
        <w:pStyle w:val="3"/>
        <w:adjustRightInd w:val="0"/>
        <w:snapToGrid w:val="0"/>
        <w:spacing w:before="0" w:after="0" w:line="360" w:lineRule="auto"/>
        <w:ind w:firstLineChars="200" w:firstLine="602"/>
        <w:rPr>
          <w:rFonts w:ascii="仿宋" w:eastAsia="仿宋" w:hAnsi="仿宋"/>
          <w:sz w:val="30"/>
          <w:szCs w:val="30"/>
        </w:rPr>
      </w:pPr>
      <w:bookmarkStart w:id="37" w:name="_Toc90415745"/>
      <w:r>
        <w:rPr>
          <w:rFonts w:ascii="仿宋" w:eastAsia="仿宋" w:hAnsi="仿宋" w:hint="eastAsia"/>
          <w:sz w:val="30"/>
          <w:szCs w:val="30"/>
        </w:rPr>
        <w:t>五、“积分制”管理，塑造共建共治共享新格局</w:t>
      </w:r>
      <w:bookmarkEnd w:id="37"/>
    </w:p>
    <w:p w:rsidR="002B653A" w:rsidRDefault="00DF1AA7">
      <w:pPr>
        <w:adjustRightInd w:val="0"/>
        <w:snapToGrid w:val="0"/>
        <w:spacing w:line="360" w:lineRule="auto"/>
        <w:ind w:firstLineChars="200" w:firstLine="602"/>
        <w:rPr>
          <w:rFonts w:ascii="Tahoma" w:eastAsia="仿宋" w:hAnsi="Tahoma"/>
          <w:kern w:val="0"/>
          <w:sz w:val="30"/>
          <w:szCs w:val="30"/>
        </w:rPr>
      </w:pPr>
      <w:r>
        <w:rPr>
          <w:rFonts w:ascii="Tahoma" w:eastAsia="仿宋" w:hAnsi="Tahoma" w:hint="eastAsia"/>
          <w:b/>
          <w:kern w:val="0"/>
          <w:sz w:val="30"/>
          <w:szCs w:val="30"/>
        </w:rPr>
        <w:t>以塑造共建共治共享为目标建立乡村基层治理积分管理制度。</w:t>
      </w:r>
      <w:r>
        <w:rPr>
          <w:rFonts w:ascii="Tahoma" w:eastAsia="仿宋" w:hAnsi="Tahoma" w:hint="eastAsia"/>
          <w:kern w:val="0"/>
          <w:sz w:val="30"/>
          <w:szCs w:val="30"/>
        </w:rPr>
        <w:t>以强化党建引领、推动村民自治、实现集体经济壮大为目标，以乡村基层治理工作可量化、可考核、可评分为抓手，激发党员群众内生动力，建立以村党组织为主导的“积分制”管理制度。</w:t>
      </w:r>
      <w:r>
        <w:rPr>
          <w:rFonts w:ascii="Tahoma" w:eastAsia="仿宋" w:hAnsi="Tahoma" w:hint="eastAsia"/>
          <w:b/>
          <w:kern w:val="0"/>
          <w:sz w:val="30"/>
          <w:szCs w:val="30"/>
        </w:rPr>
        <w:t>构建镇村主导、群众参与的积分管理运行机制。</w:t>
      </w:r>
      <w:r>
        <w:rPr>
          <w:rFonts w:ascii="Tahoma" w:eastAsia="仿宋" w:hAnsi="Tahoma" w:hint="eastAsia"/>
          <w:kern w:val="0"/>
          <w:sz w:val="30"/>
          <w:szCs w:val="30"/>
        </w:rPr>
        <w:t>引导村党组织修改“村规民约”，结合实际细化内容、量化指标，构建以“付出</w:t>
      </w:r>
      <w:r>
        <w:rPr>
          <w:rFonts w:ascii="仿宋" w:eastAsia="仿宋" w:hAnsi="仿宋" w:hint="eastAsia"/>
          <w:kern w:val="0"/>
          <w:sz w:val="30"/>
          <w:szCs w:val="30"/>
        </w:rPr>
        <w:t>—</w:t>
      </w:r>
      <w:r>
        <w:rPr>
          <w:rFonts w:ascii="Tahoma" w:eastAsia="仿宋" w:hAnsi="Tahoma" w:hint="eastAsia"/>
          <w:kern w:val="0"/>
          <w:sz w:val="30"/>
          <w:szCs w:val="30"/>
        </w:rPr>
        <w:t>积累</w:t>
      </w:r>
      <w:r>
        <w:rPr>
          <w:rFonts w:ascii="仿宋" w:eastAsia="仿宋" w:hAnsi="仿宋" w:hint="eastAsia"/>
          <w:kern w:val="0"/>
          <w:sz w:val="30"/>
          <w:szCs w:val="30"/>
        </w:rPr>
        <w:t>—</w:t>
      </w:r>
      <w:r>
        <w:rPr>
          <w:rFonts w:ascii="Tahoma" w:eastAsia="仿宋" w:hAnsi="Tahoma" w:hint="eastAsia"/>
          <w:kern w:val="0"/>
          <w:sz w:val="30"/>
          <w:szCs w:val="30"/>
        </w:rPr>
        <w:t>回报”为主要形式的基层治理积分制度。规范积分制实施流程，建立“领导小</w:t>
      </w:r>
      <w:r>
        <w:rPr>
          <w:rFonts w:ascii="仿宋" w:eastAsia="仿宋" w:hAnsi="仿宋" w:hint="eastAsia"/>
          <w:kern w:val="0"/>
          <w:sz w:val="30"/>
          <w:szCs w:val="30"/>
        </w:rPr>
        <w:t>组—实施小组—审核小组—日</w:t>
      </w:r>
      <w:r>
        <w:rPr>
          <w:rFonts w:ascii="Tahoma" w:eastAsia="仿宋" w:hAnsi="Tahoma" w:hint="eastAsia"/>
          <w:kern w:val="0"/>
          <w:sz w:val="30"/>
          <w:szCs w:val="30"/>
        </w:rPr>
        <w:t>常负责人”多层级组织体系。构建“两审议一公开”的积分确认制度。制定实施积分管理正面清单和负面清单。</w:t>
      </w:r>
      <w:r>
        <w:rPr>
          <w:rFonts w:ascii="Tahoma" w:eastAsia="仿宋" w:hAnsi="Tahoma" w:hint="eastAsia"/>
          <w:b/>
          <w:kern w:val="0"/>
          <w:sz w:val="30"/>
          <w:szCs w:val="30"/>
        </w:rPr>
        <w:t>探索多样化家庭积分运用场景。</w:t>
      </w:r>
      <w:r>
        <w:rPr>
          <w:rFonts w:ascii="Tahoma" w:eastAsia="仿宋" w:hAnsi="Tahoma" w:hint="eastAsia"/>
          <w:kern w:val="0"/>
          <w:sz w:val="30"/>
          <w:szCs w:val="30"/>
        </w:rPr>
        <w:t>将家庭平均积分作为参加“道德模范”“文明家庭”“最美家庭”等先进典型评选活动以及推荐成为村（社区）“两代表一委员”等的重要参考条件。整合集体收入资金、社会捐助资金、</w:t>
      </w:r>
      <w:r>
        <w:rPr>
          <w:rFonts w:ascii="Tahoma" w:eastAsia="仿宋" w:hAnsi="Tahoma" w:hint="eastAsia"/>
          <w:kern w:val="0"/>
          <w:sz w:val="30"/>
          <w:szCs w:val="30"/>
        </w:rPr>
        <w:lastRenderedPageBreak/>
        <w:t>公益微积金及其他符合使用条件资金开展家庭总积分兑换活动，可兑换内容包括生活日用品、农资物品、学习资料等。依据家庭总积分高低给予信用贷款额度、利率和服务、保险理赔、保费浮动、生产经营、产业发展、创新创业、基础设施建设等方面的差异化政策支持。</w:t>
      </w:r>
    </w:p>
    <w:p w:rsidR="002B653A" w:rsidRDefault="00DF1AA7" w:rsidP="0091109A">
      <w:pPr>
        <w:pStyle w:val="1"/>
        <w:keepNext w:val="0"/>
        <w:keepLines w:val="0"/>
        <w:widowControl w:val="0"/>
        <w:spacing w:beforeLines="100" w:afterLines="100" w:line="240" w:lineRule="auto"/>
        <w:jc w:val="center"/>
        <w:rPr>
          <w:rFonts w:ascii="黑体" w:eastAsia="黑体" w:hAnsi="黑体"/>
          <w:sz w:val="36"/>
          <w:szCs w:val="36"/>
        </w:rPr>
      </w:pPr>
      <w:r>
        <w:rPr>
          <w:rFonts w:eastAsia="仿宋"/>
          <w:kern w:val="0"/>
          <w:sz w:val="30"/>
          <w:szCs w:val="30"/>
        </w:rPr>
        <w:br w:type="page"/>
      </w:r>
      <w:bookmarkStart w:id="38" w:name="_Toc90415746"/>
      <w:r>
        <w:rPr>
          <w:rFonts w:ascii="黑体" w:eastAsia="黑体" w:hAnsi="黑体" w:hint="eastAsia"/>
          <w:sz w:val="36"/>
          <w:szCs w:val="36"/>
        </w:rPr>
        <w:lastRenderedPageBreak/>
        <w:t>第四章 保障措施</w:t>
      </w:r>
      <w:bookmarkEnd w:id="38"/>
    </w:p>
    <w:p w:rsidR="002B653A" w:rsidRDefault="00DF1AA7" w:rsidP="0091109A">
      <w:pPr>
        <w:pStyle w:val="2"/>
        <w:keepNext w:val="0"/>
        <w:keepLines w:val="0"/>
        <w:widowControl w:val="0"/>
        <w:spacing w:beforeLines="100" w:afterLines="100" w:line="240" w:lineRule="auto"/>
        <w:jc w:val="center"/>
        <w:rPr>
          <w:rFonts w:ascii="黑体" w:eastAsia="黑体" w:hAnsi="黑体"/>
          <w:b w:val="0"/>
        </w:rPr>
      </w:pPr>
      <w:bookmarkStart w:id="39" w:name="_Toc90415747"/>
      <w:r>
        <w:rPr>
          <w:rFonts w:ascii="黑体" w:eastAsia="黑体" w:hAnsi="黑体" w:hint="eastAsia"/>
          <w:b w:val="0"/>
        </w:rPr>
        <w:t>第一节 加强党建引领，提供政治保障</w:t>
      </w:r>
      <w:bookmarkEnd w:id="39"/>
    </w:p>
    <w:p w:rsidR="002B653A" w:rsidRDefault="00DF1AA7">
      <w:pPr>
        <w:adjustRightInd w:val="0"/>
        <w:snapToGrid w:val="0"/>
        <w:spacing w:line="360" w:lineRule="auto"/>
        <w:ind w:firstLineChars="200" w:firstLine="600"/>
        <w:rPr>
          <w:rFonts w:ascii="Tahoma" w:eastAsia="仿宋" w:hAnsi="Tahoma"/>
          <w:kern w:val="0"/>
          <w:sz w:val="30"/>
          <w:szCs w:val="30"/>
        </w:rPr>
      </w:pPr>
      <w:r>
        <w:rPr>
          <w:rFonts w:ascii="Tahoma" w:eastAsia="仿宋" w:hAnsi="Tahoma" w:hint="eastAsia"/>
          <w:kern w:val="0"/>
          <w:sz w:val="30"/>
          <w:szCs w:val="30"/>
        </w:rPr>
        <w:t>实现街道社区区域党委全覆盖，完善兼职委员制度，优化“三张清单”和双向认领机制。选择试点探索建立社区协助办理事项由镇（街道）党委审核机制。开展社区党组织书记、居民委员会主任“一肩挑”工作评价，完善社区党组织书记县级备案制度。完善社区党组织要事决策机制和小区党组织参与小区重要事务决策前置机制。推动小区党组织书记或“两委”成员通过法定程序担任业主委员会主任或成员。全面推广物业党建联建模式，以街道为单位建立小区党组织主导的议事协商、服务评价等制度。分领域完善机关企事业单位、“两新”组织及其下属单位融入属地社区区域化党建组织体系工作制度。推动党组织推荐人选通过法定程序成为社会组织负责人。推进民营企业党组织融入区域化党建体系，拓宽民营企业参与属地治理的渠道。全面评估《关于进一步加强农村基层党建全面提升农村基层社会依法治理水平的实施意见》实施成效，进一步优化村级组织体系。按照“一村一策”持续整顿软弱涣散基层党组织。深入推进“清廉村居”建设。完善村党组织书记、村民委员会主任“一肩挑”工作评价机制。进一步完善村党组织书记担任村级集体经济组织、合作经济组织负责人的法定程序，强化村党组织提名推荐集体经济组织管理层负责人的权限。扩大村集体经济职业经理人制度试点村镇范围。</w:t>
      </w:r>
    </w:p>
    <w:p w:rsidR="002B653A" w:rsidRDefault="002B653A">
      <w:pPr>
        <w:adjustRightInd w:val="0"/>
        <w:snapToGrid w:val="0"/>
        <w:spacing w:line="360" w:lineRule="auto"/>
        <w:ind w:firstLineChars="200" w:firstLine="600"/>
        <w:rPr>
          <w:rFonts w:ascii="Tahoma" w:eastAsia="仿宋" w:hAnsi="Tahoma"/>
          <w:kern w:val="0"/>
          <w:sz w:val="30"/>
          <w:szCs w:val="30"/>
        </w:rPr>
      </w:pPr>
    </w:p>
    <w:p w:rsidR="002B653A" w:rsidRDefault="00DF1AA7" w:rsidP="0091109A">
      <w:pPr>
        <w:pStyle w:val="2"/>
        <w:keepNext w:val="0"/>
        <w:keepLines w:val="0"/>
        <w:widowControl w:val="0"/>
        <w:spacing w:beforeLines="100" w:afterLines="100" w:line="240" w:lineRule="auto"/>
        <w:jc w:val="center"/>
        <w:rPr>
          <w:rFonts w:ascii="黑体" w:eastAsia="黑体" w:hAnsi="黑体"/>
          <w:b w:val="0"/>
        </w:rPr>
      </w:pPr>
      <w:bookmarkStart w:id="40" w:name="_Toc90415748"/>
      <w:r>
        <w:rPr>
          <w:rFonts w:ascii="黑体" w:eastAsia="黑体" w:hAnsi="黑体" w:hint="eastAsia"/>
          <w:b w:val="0"/>
        </w:rPr>
        <w:lastRenderedPageBreak/>
        <w:t>第二节 加强统筹协调，提供组织保障</w:t>
      </w:r>
      <w:bookmarkEnd w:id="40"/>
    </w:p>
    <w:p w:rsidR="002B653A" w:rsidRDefault="00DF1AA7">
      <w:pPr>
        <w:adjustRightInd w:val="0"/>
        <w:snapToGrid w:val="0"/>
        <w:spacing w:line="360" w:lineRule="auto"/>
        <w:ind w:firstLineChars="200" w:firstLine="600"/>
        <w:rPr>
          <w:rFonts w:ascii="Tahoma" w:eastAsia="仿宋" w:hAnsi="Tahoma"/>
          <w:b/>
          <w:kern w:val="0"/>
          <w:sz w:val="30"/>
          <w:szCs w:val="30"/>
        </w:rPr>
      </w:pPr>
      <w:r>
        <w:rPr>
          <w:rFonts w:ascii="Tahoma" w:eastAsia="仿宋" w:hAnsi="Tahoma" w:hint="eastAsia"/>
          <w:kern w:val="0"/>
          <w:sz w:val="30"/>
          <w:szCs w:val="30"/>
        </w:rPr>
        <w:t>进一步完善广汉市社区治理工作部门联席会议制度，提升制度效率。完善街道党组织、社区党组织、小区党组织三级架构，持续推动街道党工委牵头建立小区治理联席会议制度。提升城市管理调度中心运行效率，完善街道联席会议和联动执法等制度机制。系统整合街道党政机构和力量，优化基层党建、公共管理等综合性机构工作流程。加快完善镇（街道）权力清单、责任清单、公共服务事项清单，并给予相应的管理权限和人力物力财力配备。完善街道主导的问题发现、统筹派单、督办问效等流转机制。完善将街道纳入市级规委会、产评会等决策组织的相关配套制度。探索社区居民委员会设立环境和物业管理委员会，督促业主委员会和物业服务企业履行职责。分领域评估并完善基层群团组织参与城市基层治理的措施办法。持续实施社区社会组织孵化和培训工程，提升社区社会组织培育孵化平台服务水平，提升孵化培育资金使用效率。市级建立社会工作总站，镇（街道）建立社会工作站，村（社区）建立社区工作室，小区（院落）建立社会工作点，其负责人由各级分管领导担任。进一步优化乡镇党建工作机构、综合行政执法机构、社会事务机构和便民服务中心的组织结构。进一步扩大乡村振兴服务中心的业务范围，统筹开展农技、畜牧、农经、农机等服务。评估并完善村（社区）公共服务事项目录、村（居）委会依法自治事项清单、依法协助政府事项清单、负面清单等。持续推行镇（街道）统一对村（社区）工作进行综合考核评比，取消对村（社区）工作的“一票否决”事项。探索司法所统筹推进乡镇（街道）法治建设机制。进一步推动广汉与</w:t>
      </w:r>
      <w:r>
        <w:rPr>
          <w:rFonts w:ascii="Tahoma" w:eastAsia="仿宋" w:hAnsi="Tahoma" w:hint="eastAsia"/>
          <w:kern w:val="0"/>
          <w:sz w:val="30"/>
          <w:szCs w:val="30"/>
        </w:rPr>
        <w:lastRenderedPageBreak/>
        <w:t>青白江等毗邻区域协同治理，深化“一带六廊”建设，探索建立边界区域协作治理模式，加强联动，共同打造融合发展治理示范区。</w:t>
      </w:r>
    </w:p>
    <w:p w:rsidR="002B653A" w:rsidRDefault="00DF1AA7" w:rsidP="0091109A">
      <w:pPr>
        <w:pStyle w:val="2"/>
        <w:keepNext w:val="0"/>
        <w:keepLines w:val="0"/>
        <w:widowControl w:val="0"/>
        <w:spacing w:beforeLines="100" w:afterLines="100" w:line="240" w:lineRule="auto"/>
        <w:jc w:val="center"/>
        <w:rPr>
          <w:rFonts w:ascii="黑体" w:eastAsia="黑体" w:hAnsi="黑体"/>
          <w:b w:val="0"/>
        </w:rPr>
      </w:pPr>
      <w:bookmarkStart w:id="41" w:name="_Toc90415749"/>
      <w:r>
        <w:rPr>
          <w:rFonts w:ascii="黑体" w:eastAsia="黑体" w:hAnsi="黑体" w:hint="eastAsia"/>
          <w:b w:val="0"/>
        </w:rPr>
        <w:t>第三节 加强引育协同，提供人才保障</w:t>
      </w:r>
      <w:bookmarkEnd w:id="41"/>
    </w:p>
    <w:p w:rsidR="002B653A" w:rsidRDefault="00DF1AA7">
      <w:pPr>
        <w:adjustRightInd w:val="0"/>
        <w:snapToGrid w:val="0"/>
        <w:spacing w:line="360" w:lineRule="auto"/>
        <w:ind w:firstLineChars="200" w:firstLine="600"/>
        <w:rPr>
          <w:rFonts w:ascii="Tahoma" w:eastAsia="仿宋" w:hAnsi="Tahoma"/>
          <w:kern w:val="0"/>
          <w:sz w:val="30"/>
          <w:szCs w:val="30"/>
        </w:rPr>
      </w:pPr>
      <w:r>
        <w:rPr>
          <w:rFonts w:ascii="Tahoma" w:eastAsia="仿宋" w:hAnsi="Tahoma" w:hint="eastAsia"/>
          <w:kern w:val="0"/>
          <w:sz w:val="30"/>
          <w:szCs w:val="30"/>
        </w:rPr>
        <w:t>加大基层公务员招录力度，扩大定向招录数量和比例。探索岗编适度分离机制，试点“县招乡用”“县管校用”“乡聘村用”。持续实施优秀农民工回引培养工程，完善公开遴选村干部后备人选岗位评价机制和晋升机制。从致富能手、返乡大学生等群体中选拔一批村党组织书记。完善村党组织书记专职化管理相关配套制度。探索村党组织第一书记公开遴选制度。试点村（社区）规划师制度。适度提高对村（社区）干部自主参加各类在职教育的资金补助力度。健全村级组织运转经费保障制度，完善激励性村干部报酬制度，进一步提高正常离任村干部各项待遇。常态化开展乡镇党委组织委员、村党组织书记、农村基层治理骨干教育培训。扩大</w:t>
      </w:r>
      <w:r>
        <w:rPr>
          <w:rFonts w:ascii="Tahoma" w:eastAsia="仿宋" w:hAnsi="Tahoma"/>
          <w:kern w:val="0"/>
          <w:sz w:val="30"/>
          <w:szCs w:val="30"/>
        </w:rPr>
        <w:t>从乡镇（街道）事业编制人员、村党组织第一书记、优秀村（社区）干部中选任乡镇政府副职试点</w:t>
      </w:r>
      <w:r>
        <w:rPr>
          <w:rFonts w:ascii="Tahoma" w:eastAsia="仿宋" w:hAnsi="Tahoma" w:hint="eastAsia"/>
          <w:kern w:val="0"/>
          <w:sz w:val="30"/>
          <w:szCs w:val="30"/>
        </w:rPr>
        <w:t>范围</w:t>
      </w:r>
      <w:r>
        <w:rPr>
          <w:rFonts w:ascii="Tahoma" w:eastAsia="仿宋" w:hAnsi="Tahoma"/>
          <w:kern w:val="0"/>
          <w:sz w:val="30"/>
          <w:szCs w:val="30"/>
        </w:rPr>
        <w:t>。</w:t>
      </w:r>
      <w:r>
        <w:rPr>
          <w:rFonts w:ascii="Tahoma" w:eastAsia="仿宋" w:hAnsi="Tahoma" w:hint="eastAsia"/>
          <w:kern w:val="0"/>
          <w:sz w:val="30"/>
          <w:szCs w:val="30"/>
        </w:rPr>
        <w:t>大力培育本土社会工作人才。加强对机关志愿服务队伍的规范化管理。完善志愿者培训管理制度、项目开发制度。进一步优化社区专职工作者队伍岗位等级序列和薪酬体系，提升社区工作者专业化水平。深化拓展“法律七进”，持续健全村（社区）“两委”成员集中学法制度。完善“村（社区）法律明白人”培养工程课程体系和评价体系。实现镇（街道）、村（社区）法律制度全覆盖。进一步增强党工委意见在职能部门派驻街道机构负责人考核考察和选</w:t>
      </w:r>
      <w:r>
        <w:rPr>
          <w:rFonts w:ascii="Tahoma" w:eastAsia="仿宋" w:hAnsi="Tahoma" w:hint="eastAsia"/>
          <w:kern w:val="0"/>
          <w:sz w:val="30"/>
          <w:szCs w:val="30"/>
        </w:rPr>
        <w:lastRenderedPageBreak/>
        <w:t>拔任用中作用。进一步加强村（社区）监督队伍能力素质培训与经费保障。完善网格员队伍准入和退出机制，建立健全网格员工作评价机制。建立健全专业调解委员会等，规范“特邀专家调解员库”准入与退出机制，探索建立“基层群众工作之家”。</w:t>
      </w:r>
    </w:p>
    <w:p w:rsidR="002B653A" w:rsidRDefault="00DF1AA7" w:rsidP="0091109A">
      <w:pPr>
        <w:pStyle w:val="2"/>
        <w:keepNext w:val="0"/>
        <w:keepLines w:val="0"/>
        <w:widowControl w:val="0"/>
        <w:spacing w:beforeLines="100" w:afterLines="100" w:line="240" w:lineRule="auto"/>
        <w:jc w:val="center"/>
        <w:rPr>
          <w:rFonts w:ascii="黑体" w:eastAsia="黑体" w:hAnsi="黑体"/>
          <w:b w:val="0"/>
        </w:rPr>
      </w:pPr>
      <w:bookmarkStart w:id="42" w:name="_Toc90415750"/>
      <w:r>
        <w:rPr>
          <w:rFonts w:ascii="黑体" w:eastAsia="黑体" w:hAnsi="黑体" w:hint="eastAsia"/>
          <w:b w:val="0"/>
        </w:rPr>
        <w:t>第四节 加强防处衔接，提供秩序保障</w:t>
      </w:r>
      <w:bookmarkEnd w:id="42"/>
    </w:p>
    <w:p w:rsidR="002B653A" w:rsidRDefault="00DF1AA7">
      <w:pPr>
        <w:adjustRightInd w:val="0"/>
        <w:snapToGrid w:val="0"/>
        <w:spacing w:line="360" w:lineRule="auto"/>
        <w:ind w:firstLineChars="200" w:firstLine="600"/>
        <w:rPr>
          <w:rFonts w:ascii="Tahoma" w:eastAsia="仿宋" w:hAnsi="Tahoma"/>
          <w:kern w:val="0"/>
          <w:sz w:val="30"/>
          <w:szCs w:val="30"/>
        </w:rPr>
      </w:pPr>
      <w:r>
        <w:rPr>
          <w:rFonts w:ascii="Tahoma" w:eastAsia="仿宋" w:hAnsi="Tahoma" w:hint="eastAsia"/>
          <w:kern w:val="0"/>
          <w:sz w:val="30"/>
          <w:szCs w:val="30"/>
        </w:rPr>
        <w:t>加快各类社区居民委员会组建工作，推进自治组织全覆盖。完善街道社区包联网格制度。持续强化村（居）务公开，探索组务公开。优化村规民约、居民公约“红黑榜”制度，加大对婚丧大操大办等不良习俗的整治力度。进一步提升乡村警务、破案打击和城区巡防专业化建设一体推进成效。全面实现“一村一辅警”，深入推进党员民警兼任社区党组织委员。加强“六无”平安村（社区）推广宣传工作，新命名表扬一批先进村（社区）。完成新时代文明实践中心建设，实现新时代文明实践所（站）镇（街道）、村（社区）全覆盖，完善新时代文明实践中心工作机制。推进乡村文化振兴“百千万工程”，开展乡风文明建设“十大行动”。实施“百千万巾帼大宣讲”行动。推进法院“全业务”“全时空”“一站式”诉讼服务与</w:t>
      </w:r>
      <w:r>
        <w:rPr>
          <w:rFonts w:ascii="仿宋" w:eastAsia="仿宋" w:hAnsi="仿宋" w:hint="eastAsia"/>
          <w:kern w:val="0"/>
          <w:sz w:val="30"/>
          <w:szCs w:val="30"/>
        </w:rPr>
        <w:t>12309</w:t>
      </w:r>
      <w:r>
        <w:rPr>
          <w:rFonts w:ascii="Tahoma" w:eastAsia="仿宋" w:hAnsi="Tahoma" w:hint="eastAsia"/>
          <w:kern w:val="0"/>
          <w:sz w:val="30"/>
          <w:szCs w:val="30"/>
        </w:rPr>
        <w:t>检察服务。落实行政执法“三项制度”。落实“谁执法谁普法”责任制。推动“诉源治理”“诉非衔接”“公调对接”“律访对接”等机制有机衔接与相互协调，完善多元纠纷解决体系。进一步加强“民转刑”风险防控，评估优化“民转刑”风险提前处置工作预案。进一步完善“五反”工作机制，纵深推进扫黑除恶专项斗争，完善刑事案件统勘机制。强力推进禁毒防艾，加强特殊人群帮教和管教。建立健全涵盖乡</w:t>
      </w:r>
      <w:r>
        <w:rPr>
          <w:rFonts w:ascii="Tahoma" w:eastAsia="仿宋" w:hAnsi="Tahoma" w:hint="eastAsia"/>
          <w:kern w:val="0"/>
          <w:sz w:val="30"/>
          <w:szCs w:val="30"/>
        </w:rPr>
        <w:lastRenderedPageBreak/>
        <w:t>镇政府、农村社区、行政村、村民小组四级体系的网格化应急管理体制机制。因地制宜制定乡镇（街道）突发事件应急预案。加强基层应急队伍体系建设，健全集散结合的乡镇（街道）应急装备物资保障体系。开发应急处突资源统一调度平台，构建社会组织、志愿者、企业等多方参与的应急响应体系。</w:t>
      </w:r>
    </w:p>
    <w:p w:rsidR="002B653A" w:rsidRDefault="00DF1AA7" w:rsidP="0091109A">
      <w:pPr>
        <w:pStyle w:val="2"/>
        <w:keepNext w:val="0"/>
        <w:keepLines w:val="0"/>
        <w:widowControl w:val="0"/>
        <w:spacing w:beforeLines="100" w:afterLines="100" w:line="240" w:lineRule="auto"/>
        <w:jc w:val="center"/>
        <w:rPr>
          <w:rFonts w:ascii="黑体" w:eastAsia="黑体" w:hAnsi="黑体"/>
          <w:b w:val="0"/>
        </w:rPr>
      </w:pPr>
      <w:bookmarkStart w:id="43" w:name="_Toc90415751"/>
      <w:r>
        <w:rPr>
          <w:rFonts w:ascii="黑体" w:eastAsia="黑体" w:hAnsi="黑体" w:hint="eastAsia"/>
          <w:b w:val="0"/>
        </w:rPr>
        <w:t>第五节 加强多元激励，提供资金保障</w:t>
      </w:r>
      <w:bookmarkEnd w:id="43"/>
    </w:p>
    <w:p w:rsidR="002B653A" w:rsidRDefault="00DF1AA7">
      <w:pPr>
        <w:snapToGrid w:val="0"/>
        <w:spacing w:line="360" w:lineRule="auto"/>
        <w:ind w:firstLineChars="200" w:firstLine="600"/>
        <w:rPr>
          <w:rFonts w:ascii="Tahoma" w:eastAsia="仿宋" w:hAnsi="Tahoma"/>
          <w:b/>
          <w:kern w:val="0"/>
          <w:sz w:val="30"/>
          <w:szCs w:val="30"/>
        </w:rPr>
      </w:pPr>
      <w:r>
        <w:rPr>
          <w:rFonts w:ascii="Tahoma" w:eastAsia="仿宋" w:hAnsi="Tahoma" w:hint="eastAsia"/>
          <w:kern w:val="0"/>
          <w:sz w:val="30"/>
          <w:szCs w:val="30"/>
        </w:rPr>
        <w:t>初步建立“上级补助、本级自筹、社会捐赠、社会资本参与”的城乡基层治理资金筹集渠道。进一步增加费随事转事项专门目录，指导各职能部门在年初预算时列明下沉街道事项及匹配经费数额。完善全市财政投入街道经费管理使用机制。将基层组织活动和公共服务运行经费、村（社区）干部基本报酬、社区服务设施和信息化建设经费、人才培养培训经费等纳入财政预算和预算内基本建设投资计划。统筹整合各项涉城乡基层治理财政支出，建立广汉市基层治理基金，大力培育社区慈善基金，畅通治理基金制度，优化使用流程，建立定期表彰制度，撬动社会资源参与基层治理。加快构建在驻国有企事业单位、新经济组织、社会组织及个人捐赠激励机制，将捐赠行为与投融资、税收、补贴、公共服务等方面的政策优惠相挂钩。探索组建政府主导的城乡基层治理项目投资平台，实行公司化运作。构建城乡基层治理项目投资平台与社会资本多样化合作机制，探索通过赞助、入股、租赁、融资租赁等方式实现社会资本有序参与城乡基层治理。探索“福彩进社区”，福彩代销资金按一定比例返还社区资金账户。探索建立“社区合伙人”制度，创新社区发展基金来源渠道。</w:t>
      </w:r>
    </w:p>
    <w:p w:rsidR="002B653A" w:rsidRDefault="00DF1AA7" w:rsidP="0091109A">
      <w:pPr>
        <w:pStyle w:val="1"/>
        <w:keepNext w:val="0"/>
        <w:keepLines w:val="0"/>
        <w:widowControl w:val="0"/>
        <w:spacing w:beforeLines="100" w:afterLines="100" w:line="240" w:lineRule="auto"/>
        <w:jc w:val="center"/>
        <w:rPr>
          <w:rFonts w:ascii="黑体" w:eastAsia="黑体" w:hAnsi="黑体"/>
          <w:sz w:val="36"/>
          <w:szCs w:val="36"/>
        </w:rPr>
      </w:pPr>
      <w:bookmarkStart w:id="44" w:name="_Toc90415752"/>
      <w:r>
        <w:rPr>
          <w:rFonts w:ascii="黑体" w:eastAsia="黑体" w:hAnsi="黑体" w:hint="eastAsia"/>
          <w:sz w:val="36"/>
          <w:szCs w:val="36"/>
        </w:rPr>
        <w:lastRenderedPageBreak/>
        <w:t>第五章 评价指标体系</w:t>
      </w:r>
      <w:bookmarkEnd w:id="44"/>
    </w:p>
    <w:p w:rsidR="002B653A" w:rsidRDefault="00DF1AA7" w:rsidP="0091109A">
      <w:pPr>
        <w:pStyle w:val="2"/>
        <w:keepNext w:val="0"/>
        <w:keepLines w:val="0"/>
        <w:widowControl w:val="0"/>
        <w:spacing w:beforeLines="100" w:afterLines="100" w:line="240" w:lineRule="auto"/>
        <w:jc w:val="center"/>
        <w:rPr>
          <w:rFonts w:ascii="黑体" w:eastAsia="黑体" w:hAnsi="黑体"/>
          <w:b w:val="0"/>
        </w:rPr>
      </w:pPr>
      <w:bookmarkStart w:id="45" w:name="_Toc90415753"/>
      <w:r>
        <w:rPr>
          <w:rFonts w:ascii="黑体" w:eastAsia="黑体" w:hAnsi="黑体" w:hint="eastAsia"/>
          <w:b w:val="0"/>
        </w:rPr>
        <w:t>第一节 基层治理指标体系</w:t>
      </w:r>
      <w:bookmarkEnd w:id="45"/>
    </w:p>
    <w:tbl>
      <w:tblPr>
        <w:tblStyle w:val="aa"/>
        <w:tblW w:w="5000" w:type="pct"/>
        <w:jc w:val="center"/>
        <w:tblLook w:val="04A0"/>
      </w:tblPr>
      <w:tblGrid>
        <w:gridCol w:w="796"/>
        <w:gridCol w:w="6635"/>
        <w:gridCol w:w="1091"/>
      </w:tblGrid>
      <w:tr w:rsidR="002B653A">
        <w:trPr>
          <w:trHeight w:val="360"/>
          <w:jc w:val="center"/>
        </w:trPr>
        <w:tc>
          <w:tcPr>
            <w:tcW w:w="467" w:type="pct"/>
            <w:vAlign w:val="center"/>
          </w:tcPr>
          <w:p w:rsidR="002B653A" w:rsidRDefault="00DF1AA7" w:rsidP="0091109A">
            <w:pPr>
              <w:adjustRightInd w:val="0"/>
              <w:snapToGrid w:val="0"/>
              <w:spacing w:beforeLines="50" w:afterLines="50"/>
              <w:jc w:val="center"/>
              <w:rPr>
                <w:rFonts w:ascii="仿宋" w:eastAsia="仿宋" w:hAnsi="仿宋"/>
                <w:b/>
                <w:bCs/>
                <w:sz w:val="24"/>
                <w:szCs w:val="24"/>
              </w:rPr>
            </w:pPr>
            <w:r>
              <w:rPr>
                <w:rFonts w:ascii="仿宋" w:eastAsia="仿宋" w:hAnsi="仿宋" w:hint="eastAsia"/>
                <w:b/>
                <w:bCs/>
                <w:sz w:val="24"/>
                <w:szCs w:val="24"/>
              </w:rPr>
              <w:t>维度</w:t>
            </w:r>
          </w:p>
        </w:tc>
        <w:tc>
          <w:tcPr>
            <w:tcW w:w="3892" w:type="pct"/>
            <w:vAlign w:val="center"/>
          </w:tcPr>
          <w:p w:rsidR="002B653A" w:rsidRDefault="00DF1AA7" w:rsidP="0091109A">
            <w:pPr>
              <w:adjustRightInd w:val="0"/>
              <w:snapToGrid w:val="0"/>
              <w:spacing w:beforeLines="50" w:afterLines="50"/>
              <w:jc w:val="center"/>
              <w:rPr>
                <w:rFonts w:ascii="仿宋" w:eastAsia="仿宋" w:hAnsi="仿宋"/>
                <w:b/>
                <w:bCs/>
                <w:sz w:val="24"/>
                <w:szCs w:val="24"/>
              </w:rPr>
            </w:pPr>
            <w:r>
              <w:rPr>
                <w:rFonts w:ascii="仿宋" w:eastAsia="仿宋" w:hAnsi="仿宋" w:hint="eastAsia"/>
                <w:b/>
                <w:bCs/>
                <w:sz w:val="24"/>
                <w:szCs w:val="24"/>
              </w:rPr>
              <w:t>指标</w:t>
            </w:r>
          </w:p>
        </w:tc>
        <w:tc>
          <w:tcPr>
            <w:tcW w:w="640" w:type="pct"/>
            <w:vAlign w:val="center"/>
          </w:tcPr>
          <w:p w:rsidR="002B653A" w:rsidRDefault="00DF1AA7" w:rsidP="0091109A">
            <w:pPr>
              <w:adjustRightInd w:val="0"/>
              <w:snapToGrid w:val="0"/>
              <w:spacing w:beforeLines="50" w:afterLines="50"/>
              <w:jc w:val="center"/>
              <w:rPr>
                <w:rFonts w:ascii="仿宋" w:eastAsia="仿宋" w:hAnsi="仿宋"/>
                <w:b/>
                <w:bCs/>
                <w:sz w:val="24"/>
                <w:szCs w:val="24"/>
              </w:rPr>
            </w:pPr>
            <w:r>
              <w:rPr>
                <w:rFonts w:ascii="仿宋" w:eastAsia="仿宋" w:hAnsi="仿宋" w:hint="eastAsia"/>
                <w:b/>
                <w:bCs/>
                <w:sz w:val="24"/>
                <w:szCs w:val="24"/>
              </w:rPr>
              <w:t>目标值</w:t>
            </w:r>
          </w:p>
        </w:tc>
      </w:tr>
      <w:tr w:rsidR="002B653A">
        <w:trPr>
          <w:trHeight w:val="360"/>
          <w:jc w:val="center"/>
        </w:trPr>
        <w:tc>
          <w:tcPr>
            <w:tcW w:w="467" w:type="pct"/>
            <w:vMerge w:val="restar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公共服务设施</w:t>
            </w:r>
          </w:p>
        </w:tc>
        <w:tc>
          <w:tcPr>
            <w:tcW w:w="3892"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城乡社区综合服务设施覆盖率（%）</w:t>
            </w:r>
          </w:p>
        </w:tc>
        <w:tc>
          <w:tcPr>
            <w:tcW w:w="640"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100</w:t>
            </w:r>
          </w:p>
        </w:tc>
      </w:tr>
      <w:tr w:rsidR="002B653A">
        <w:trPr>
          <w:trHeight w:val="360"/>
          <w:jc w:val="center"/>
        </w:trPr>
        <w:tc>
          <w:tcPr>
            <w:tcW w:w="467" w:type="pct"/>
            <w:vMerge/>
            <w:vAlign w:val="center"/>
          </w:tcPr>
          <w:p w:rsidR="002B653A" w:rsidRDefault="002B653A" w:rsidP="0091109A">
            <w:pPr>
              <w:adjustRightInd w:val="0"/>
              <w:snapToGrid w:val="0"/>
              <w:spacing w:beforeLines="50" w:afterLines="50"/>
              <w:rPr>
                <w:rFonts w:ascii="仿宋" w:eastAsia="仿宋" w:hAnsi="仿宋"/>
                <w:sz w:val="24"/>
                <w:szCs w:val="24"/>
              </w:rPr>
            </w:pPr>
          </w:p>
        </w:tc>
        <w:tc>
          <w:tcPr>
            <w:tcW w:w="3892"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每百户居民拥有社区综合服务设施面积（平方米）</w:t>
            </w:r>
          </w:p>
        </w:tc>
        <w:tc>
          <w:tcPr>
            <w:tcW w:w="640"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≥35</w:t>
            </w:r>
          </w:p>
        </w:tc>
      </w:tr>
      <w:tr w:rsidR="002B653A">
        <w:trPr>
          <w:trHeight w:val="360"/>
          <w:jc w:val="center"/>
        </w:trPr>
        <w:tc>
          <w:tcPr>
            <w:tcW w:w="467" w:type="pct"/>
            <w:vMerge/>
            <w:vAlign w:val="center"/>
          </w:tcPr>
          <w:p w:rsidR="002B653A" w:rsidRDefault="002B653A" w:rsidP="0091109A">
            <w:pPr>
              <w:adjustRightInd w:val="0"/>
              <w:snapToGrid w:val="0"/>
              <w:spacing w:beforeLines="50" w:afterLines="50"/>
              <w:rPr>
                <w:rFonts w:ascii="仿宋" w:eastAsia="仿宋" w:hAnsi="仿宋"/>
                <w:sz w:val="24"/>
                <w:szCs w:val="24"/>
              </w:rPr>
            </w:pPr>
          </w:p>
        </w:tc>
        <w:tc>
          <w:tcPr>
            <w:tcW w:w="3892"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党群服务重心社区（村庄）覆盖率（%）</w:t>
            </w:r>
          </w:p>
        </w:tc>
        <w:tc>
          <w:tcPr>
            <w:tcW w:w="640"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100</w:t>
            </w:r>
          </w:p>
        </w:tc>
      </w:tr>
      <w:tr w:rsidR="002B653A">
        <w:trPr>
          <w:trHeight w:val="360"/>
          <w:jc w:val="center"/>
        </w:trPr>
        <w:tc>
          <w:tcPr>
            <w:tcW w:w="467" w:type="pct"/>
            <w:vMerge/>
            <w:vAlign w:val="center"/>
          </w:tcPr>
          <w:p w:rsidR="002B653A" w:rsidRDefault="002B653A" w:rsidP="0091109A">
            <w:pPr>
              <w:adjustRightInd w:val="0"/>
              <w:snapToGrid w:val="0"/>
              <w:spacing w:beforeLines="50" w:afterLines="50"/>
              <w:rPr>
                <w:rFonts w:ascii="仿宋" w:eastAsia="仿宋" w:hAnsi="仿宋"/>
                <w:sz w:val="24"/>
                <w:szCs w:val="24"/>
              </w:rPr>
            </w:pPr>
          </w:p>
        </w:tc>
        <w:tc>
          <w:tcPr>
            <w:tcW w:w="3892"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“亲民化”改造验收完成率（%）</w:t>
            </w:r>
          </w:p>
        </w:tc>
        <w:tc>
          <w:tcPr>
            <w:tcW w:w="640"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100</w:t>
            </w:r>
          </w:p>
        </w:tc>
      </w:tr>
      <w:tr w:rsidR="002B653A">
        <w:trPr>
          <w:trHeight w:val="360"/>
          <w:jc w:val="center"/>
        </w:trPr>
        <w:tc>
          <w:tcPr>
            <w:tcW w:w="467" w:type="pct"/>
            <w:vMerge/>
            <w:vAlign w:val="center"/>
          </w:tcPr>
          <w:p w:rsidR="002B653A" w:rsidRDefault="002B653A" w:rsidP="0091109A">
            <w:pPr>
              <w:adjustRightInd w:val="0"/>
              <w:snapToGrid w:val="0"/>
              <w:spacing w:beforeLines="50" w:afterLines="50"/>
              <w:rPr>
                <w:rFonts w:ascii="仿宋" w:eastAsia="仿宋" w:hAnsi="仿宋"/>
                <w:sz w:val="24"/>
                <w:szCs w:val="24"/>
              </w:rPr>
            </w:pPr>
          </w:p>
        </w:tc>
        <w:tc>
          <w:tcPr>
            <w:tcW w:w="3892"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社区每千人卫生服务设施建筑面积（平方米）</w:t>
            </w:r>
          </w:p>
        </w:tc>
        <w:tc>
          <w:tcPr>
            <w:tcW w:w="640"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≥60</w:t>
            </w:r>
          </w:p>
        </w:tc>
      </w:tr>
      <w:tr w:rsidR="002B653A">
        <w:trPr>
          <w:trHeight w:val="360"/>
          <w:jc w:val="center"/>
        </w:trPr>
        <w:tc>
          <w:tcPr>
            <w:tcW w:w="467" w:type="pct"/>
            <w:vMerge/>
            <w:vAlign w:val="center"/>
          </w:tcPr>
          <w:p w:rsidR="002B653A" w:rsidRDefault="002B653A" w:rsidP="0091109A">
            <w:pPr>
              <w:adjustRightInd w:val="0"/>
              <w:snapToGrid w:val="0"/>
              <w:spacing w:beforeLines="50" w:afterLines="50"/>
              <w:rPr>
                <w:rFonts w:ascii="仿宋" w:eastAsia="仿宋" w:hAnsi="仿宋"/>
                <w:sz w:val="24"/>
                <w:szCs w:val="24"/>
              </w:rPr>
            </w:pPr>
          </w:p>
        </w:tc>
        <w:tc>
          <w:tcPr>
            <w:tcW w:w="3892"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普惠性幼儿园覆盖率（%）</w:t>
            </w:r>
          </w:p>
        </w:tc>
        <w:tc>
          <w:tcPr>
            <w:tcW w:w="640"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≥80</w:t>
            </w:r>
          </w:p>
        </w:tc>
      </w:tr>
      <w:tr w:rsidR="002B653A">
        <w:trPr>
          <w:trHeight w:val="360"/>
          <w:jc w:val="center"/>
        </w:trPr>
        <w:tc>
          <w:tcPr>
            <w:tcW w:w="467" w:type="pct"/>
            <w:vMerge/>
            <w:vAlign w:val="center"/>
          </w:tcPr>
          <w:p w:rsidR="002B653A" w:rsidRDefault="002B653A" w:rsidP="0091109A">
            <w:pPr>
              <w:adjustRightInd w:val="0"/>
              <w:snapToGrid w:val="0"/>
              <w:spacing w:beforeLines="50" w:afterLines="50"/>
              <w:rPr>
                <w:rFonts w:ascii="仿宋" w:eastAsia="仿宋" w:hAnsi="仿宋"/>
                <w:sz w:val="24"/>
                <w:szCs w:val="24"/>
              </w:rPr>
            </w:pPr>
          </w:p>
        </w:tc>
        <w:tc>
          <w:tcPr>
            <w:tcW w:w="3892"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街道社区养老综合体（个）</w:t>
            </w:r>
          </w:p>
        </w:tc>
        <w:tc>
          <w:tcPr>
            <w:tcW w:w="640"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≥1</w:t>
            </w:r>
          </w:p>
        </w:tc>
      </w:tr>
      <w:tr w:rsidR="002B653A">
        <w:trPr>
          <w:trHeight w:val="360"/>
          <w:jc w:val="center"/>
        </w:trPr>
        <w:tc>
          <w:tcPr>
            <w:tcW w:w="467" w:type="pct"/>
            <w:vMerge/>
            <w:vAlign w:val="center"/>
          </w:tcPr>
          <w:p w:rsidR="002B653A" w:rsidRDefault="002B653A" w:rsidP="0091109A">
            <w:pPr>
              <w:adjustRightInd w:val="0"/>
              <w:snapToGrid w:val="0"/>
              <w:spacing w:beforeLines="50" w:afterLines="50"/>
              <w:rPr>
                <w:rFonts w:ascii="仿宋" w:eastAsia="仿宋" w:hAnsi="仿宋"/>
                <w:sz w:val="24"/>
                <w:szCs w:val="24"/>
              </w:rPr>
            </w:pPr>
          </w:p>
        </w:tc>
        <w:tc>
          <w:tcPr>
            <w:tcW w:w="3892"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社区日间照料机构覆盖率（%）</w:t>
            </w:r>
          </w:p>
        </w:tc>
        <w:tc>
          <w:tcPr>
            <w:tcW w:w="640"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≥90</w:t>
            </w:r>
          </w:p>
        </w:tc>
      </w:tr>
      <w:tr w:rsidR="002B653A">
        <w:trPr>
          <w:trHeight w:val="360"/>
          <w:jc w:val="center"/>
        </w:trPr>
        <w:tc>
          <w:tcPr>
            <w:tcW w:w="467" w:type="pct"/>
            <w:vMerge/>
            <w:vAlign w:val="center"/>
          </w:tcPr>
          <w:p w:rsidR="002B653A" w:rsidRDefault="002B653A" w:rsidP="0091109A">
            <w:pPr>
              <w:adjustRightInd w:val="0"/>
              <w:snapToGrid w:val="0"/>
              <w:spacing w:beforeLines="50" w:afterLines="50"/>
              <w:rPr>
                <w:rFonts w:ascii="仿宋" w:eastAsia="仿宋" w:hAnsi="仿宋"/>
                <w:sz w:val="24"/>
                <w:szCs w:val="24"/>
              </w:rPr>
            </w:pPr>
          </w:p>
        </w:tc>
        <w:tc>
          <w:tcPr>
            <w:tcW w:w="3892"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养老机构护理型床位比例（%）</w:t>
            </w:r>
          </w:p>
        </w:tc>
        <w:tc>
          <w:tcPr>
            <w:tcW w:w="640"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≥55</w:t>
            </w:r>
          </w:p>
        </w:tc>
      </w:tr>
      <w:tr w:rsidR="002B653A">
        <w:trPr>
          <w:trHeight w:val="360"/>
          <w:jc w:val="center"/>
        </w:trPr>
        <w:tc>
          <w:tcPr>
            <w:tcW w:w="467" w:type="pct"/>
            <w:vMerge/>
            <w:vAlign w:val="center"/>
          </w:tcPr>
          <w:p w:rsidR="002B653A" w:rsidRDefault="002B653A" w:rsidP="0091109A">
            <w:pPr>
              <w:adjustRightInd w:val="0"/>
              <w:snapToGrid w:val="0"/>
              <w:spacing w:beforeLines="50" w:afterLines="50"/>
              <w:rPr>
                <w:rFonts w:ascii="仿宋" w:eastAsia="仿宋" w:hAnsi="仿宋"/>
                <w:sz w:val="24"/>
                <w:szCs w:val="24"/>
              </w:rPr>
            </w:pPr>
          </w:p>
        </w:tc>
        <w:tc>
          <w:tcPr>
            <w:tcW w:w="3892"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乡镇(街道)范围具备综合功能的养老服务机构覆盖率（%）</w:t>
            </w:r>
          </w:p>
        </w:tc>
        <w:tc>
          <w:tcPr>
            <w:tcW w:w="640"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≥60</w:t>
            </w:r>
          </w:p>
        </w:tc>
      </w:tr>
      <w:tr w:rsidR="002B653A">
        <w:trPr>
          <w:trHeight w:val="360"/>
          <w:jc w:val="center"/>
        </w:trPr>
        <w:tc>
          <w:tcPr>
            <w:tcW w:w="467" w:type="pct"/>
            <w:vMerge/>
            <w:vAlign w:val="center"/>
          </w:tcPr>
          <w:p w:rsidR="002B653A" w:rsidRDefault="002B653A" w:rsidP="0091109A">
            <w:pPr>
              <w:adjustRightInd w:val="0"/>
              <w:snapToGrid w:val="0"/>
              <w:spacing w:beforeLines="50" w:afterLines="50"/>
              <w:rPr>
                <w:rFonts w:ascii="仿宋" w:eastAsia="仿宋" w:hAnsi="仿宋"/>
                <w:sz w:val="24"/>
                <w:szCs w:val="24"/>
              </w:rPr>
            </w:pPr>
          </w:p>
        </w:tc>
        <w:tc>
          <w:tcPr>
            <w:tcW w:w="3892"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具有就业服务平台的社区（村庄）比例（%）</w:t>
            </w:r>
          </w:p>
        </w:tc>
        <w:tc>
          <w:tcPr>
            <w:tcW w:w="640"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100</w:t>
            </w:r>
          </w:p>
        </w:tc>
      </w:tr>
      <w:tr w:rsidR="002B653A">
        <w:trPr>
          <w:trHeight w:val="360"/>
          <w:jc w:val="center"/>
        </w:trPr>
        <w:tc>
          <w:tcPr>
            <w:tcW w:w="467" w:type="pct"/>
            <w:vMerge/>
            <w:vAlign w:val="center"/>
          </w:tcPr>
          <w:p w:rsidR="002B653A" w:rsidRDefault="002B653A" w:rsidP="0091109A">
            <w:pPr>
              <w:adjustRightInd w:val="0"/>
              <w:snapToGrid w:val="0"/>
              <w:spacing w:beforeLines="50" w:afterLines="50"/>
              <w:rPr>
                <w:rFonts w:ascii="仿宋" w:eastAsia="仿宋" w:hAnsi="仿宋"/>
                <w:sz w:val="24"/>
                <w:szCs w:val="24"/>
              </w:rPr>
            </w:pPr>
          </w:p>
        </w:tc>
        <w:tc>
          <w:tcPr>
            <w:tcW w:w="3892"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每万人社会企业数量（个）</w:t>
            </w:r>
          </w:p>
        </w:tc>
        <w:tc>
          <w:tcPr>
            <w:tcW w:w="640"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≥1</w:t>
            </w:r>
          </w:p>
        </w:tc>
      </w:tr>
      <w:tr w:rsidR="002B653A">
        <w:trPr>
          <w:trHeight w:val="360"/>
          <w:jc w:val="center"/>
        </w:trPr>
        <w:tc>
          <w:tcPr>
            <w:tcW w:w="467" w:type="pct"/>
            <w:vMerge/>
            <w:vAlign w:val="center"/>
          </w:tcPr>
          <w:p w:rsidR="002B653A" w:rsidRDefault="002B653A" w:rsidP="0091109A">
            <w:pPr>
              <w:adjustRightInd w:val="0"/>
              <w:snapToGrid w:val="0"/>
              <w:spacing w:beforeLines="50" w:afterLines="50"/>
              <w:rPr>
                <w:rFonts w:ascii="仿宋" w:eastAsia="仿宋" w:hAnsi="仿宋"/>
                <w:sz w:val="24"/>
                <w:szCs w:val="24"/>
              </w:rPr>
            </w:pPr>
          </w:p>
        </w:tc>
        <w:tc>
          <w:tcPr>
            <w:tcW w:w="3892"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社区基金/集体基金的组建率（%）</w:t>
            </w:r>
          </w:p>
        </w:tc>
        <w:tc>
          <w:tcPr>
            <w:tcW w:w="640"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≥30</w:t>
            </w:r>
          </w:p>
        </w:tc>
      </w:tr>
      <w:tr w:rsidR="002B653A">
        <w:trPr>
          <w:trHeight w:val="360"/>
          <w:jc w:val="center"/>
        </w:trPr>
        <w:tc>
          <w:tcPr>
            <w:tcW w:w="467" w:type="pct"/>
            <w:vMerge/>
            <w:vAlign w:val="center"/>
          </w:tcPr>
          <w:p w:rsidR="002B653A" w:rsidRDefault="002B653A" w:rsidP="0091109A">
            <w:pPr>
              <w:adjustRightInd w:val="0"/>
              <w:snapToGrid w:val="0"/>
              <w:spacing w:beforeLines="50" w:afterLines="50"/>
              <w:rPr>
                <w:rFonts w:ascii="仿宋" w:eastAsia="仿宋" w:hAnsi="仿宋"/>
                <w:sz w:val="24"/>
                <w:szCs w:val="24"/>
              </w:rPr>
            </w:pPr>
          </w:p>
        </w:tc>
        <w:tc>
          <w:tcPr>
            <w:tcW w:w="3892"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农村区域养老服务中心（个）</w:t>
            </w:r>
          </w:p>
        </w:tc>
        <w:tc>
          <w:tcPr>
            <w:tcW w:w="640"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≥1</w:t>
            </w:r>
          </w:p>
        </w:tc>
      </w:tr>
      <w:tr w:rsidR="002B653A">
        <w:trPr>
          <w:trHeight w:val="360"/>
          <w:jc w:val="center"/>
        </w:trPr>
        <w:tc>
          <w:tcPr>
            <w:tcW w:w="467" w:type="pct"/>
            <w:vMerge/>
            <w:vAlign w:val="center"/>
          </w:tcPr>
          <w:p w:rsidR="002B653A" w:rsidRDefault="002B653A" w:rsidP="0091109A">
            <w:pPr>
              <w:adjustRightInd w:val="0"/>
              <w:snapToGrid w:val="0"/>
              <w:spacing w:beforeLines="50" w:afterLines="50"/>
              <w:rPr>
                <w:rFonts w:ascii="仿宋" w:eastAsia="仿宋" w:hAnsi="仿宋"/>
                <w:sz w:val="24"/>
                <w:szCs w:val="24"/>
              </w:rPr>
            </w:pPr>
          </w:p>
        </w:tc>
        <w:tc>
          <w:tcPr>
            <w:tcW w:w="3892"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改造农村敬老院护理型床位（个）</w:t>
            </w:r>
          </w:p>
        </w:tc>
        <w:tc>
          <w:tcPr>
            <w:tcW w:w="640"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≥50</w:t>
            </w:r>
          </w:p>
        </w:tc>
      </w:tr>
      <w:tr w:rsidR="002B653A">
        <w:trPr>
          <w:trHeight w:val="360"/>
          <w:jc w:val="center"/>
        </w:trPr>
        <w:tc>
          <w:tcPr>
            <w:tcW w:w="467" w:type="pct"/>
            <w:vMerge/>
            <w:vAlign w:val="center"/>
          </w:tcPr>
          <w:p w:rsidR="002B653A" w:rsidRDefault="002B653A" w:rsidP="0091109A">
            <w:pPr>
              <w:adjustRightInd w:val="0"/>
              <w:snapToGrid w:val="0"/>
              <w:spacing w:beforeLines="50" w:afterLines="50"/>
              <w:rPr>
                <w:rFonts w:ascii="仿宋" w:eastAsia="仿宋" w:hAnsi="仿宋"/>
                <w:sz w:val="24"/>
                <w:szCs w:val="24"/>
              </w:rPr>
            </w:pPr>
          </w:p>
        </w:tc>
        <w:tc>
          <w:tcPr>
            <w:tcW w:w="3892"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儿童之家示范点（个）</w:t>
            </w:r>
          </w:p>
        </w:tc>
        <w:tc>
          <w:tcPr>
            <w:tcW w:w="640"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≥10</w:t>
            </w:r>
          </w:p>
        </w:tc>
      </w:tr>
      <w:tr w:rsidR="002B653A">
        <w:trPr>
          <w:trHeight w:val="360"/>
          <w:jc w:val="center"/>
        </w:trPr>
        <w:tc>
          <w:tcPr>
            <w:tcW w:w="467" w:type="pct"/>
            <w:vMerge/>
            <w:vAlign w:val="center"/>
          </w:tcPr>
          <w:p w:rsidR="002B653A" w:rsidRDefault="002B653A" w:rsidP="0091109A">
            <w:pPr>
              <w:adjustRightInd w:val="0"/>
              <w:snapToGrid w:val="0"/>
              <w:spacing w:beforeLines="50" w:afterLines="50"/>
              <w:rPr>
                <w:rFonts w:ascii="仿宋" w:eastAsia="仿宋" w:hAnsi="仿宋"/>
                <w:sz w:val="24"/>
                <w:szCs w:val="24"/>
              </w:rPr>
            </w:pPr>
          </w:p>
        </w:tc>
        <w:tc>
          <w:tcPr>
            <w:tcW w:w="3892"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儿童关爱及未成年保护项目（个）</w:t>
            </w:r>
          </w:p>
        </w:tc>
        <w:tc>
          <w:tcPr>
            <w:tcW w:w="640"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≥5</w:t>
            </w:r>
          </w:p>
        </w:tc>
      </w:tr>
      <w:tr w:rsidR="002B653A">
        <w:trPr>
          <w:trHeight w:val="360"/>
          <w:jc w:val="center"/>
        </w:trPr>
        <w:tc>
          <w:tcPr>
            <w:tcW w:w="467" w:type="pct"/>
            <w:vMerge/>
            <w:vAlign w:val="center"/>
          </w:tcPr>
          <w:p w:rsidR="002B653A" w:rsidRDefault="002B653A" w:rsidP="0091109A">
            <w:pPr>
              <w:adjustRightInd w:val="0"/>
              <w:snapToGrid w:val="0"/>
              <w:spacing w:beforeLines="50" w:afterLines="50"/>
              <w:rPr>
                <w:rFonts w:ascii="仿宋" w:eastAsia="仿宋" w:hAnsi="仿宋"/>
                <w:sz w:val="24"/>
                <w:szCs w:val="24"/>
              </w:rPr>
            </w:pPr>
          </w:p>
        </w:tc>
        <w:tc>
          <w:tcPr>
            <w:tcW w:w="3892"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无障碍设施的公共空间覆盖率（%）</w:t>
            </w:r>
          </w:p>
        </w:tc>
        <w:tc>
          <w:tcPr>
            <w:tcW w:w="640"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100</w:t>
            </w:r>
          </w:p>
        </w:tc>
      </w:tr>
      <w:tr w:rsidR="002B653A">
        <w:trPr>
          <w:trHeight w:val="360"/>
          <w:jc w:val="center"/>
        </w:trPr>
        <w:tc>
          <w:tcPr>
            <w:tcW w:w="467" w:type="pct"/>
            <w:vMerge/>
            <w:vAlign w:val="center"/>
          </w:tcPr>
          <w:p w:rsidR="002B653A" w:rsidRDefault="002B653A" w:rsidP="0091109A">
            <w:pPr>
              <w:adjustRightInd w:val="0"/>
              <w:snapToGrid w:val="0"/>
              <w:spacing w:beforeLines="50" w:afterLines="50"/>
              <w:rPr>
                <w:rFonts w:ascii="仿宋" w:eastAsia="仿宋" w:hAnsi="仿宋"/>
                <w:sz w:val="24"/>
                <w:szCs w:val="24"/>
              </w:rPr>
            </w:pPr>
          </w:p>
        </w:tc>
        <w:tc>
          <w:tcPr>
            <w:tcW w:w="3892"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每千人文体服务设施用地面积（平方米）</w:t>
            </w:r>
          </w:p>
        </w:tc>
        <w:tc>
          <w:tcPr>
            <w:tcW w:w="640"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≥225</w:t>
            </w:r>
          </w:p>
        </w:tc>
      </w:tr>
      <w:tr w:rsidR="002B653A">
        <w:trPr>
          <w:trHeight w:val="360"/>
          <w:jc w:val="center"/>
        </w:trPr>
        <w:tc>
          <w:tcPr>
            <w:tcW w:w="467" w:type="pct"/>
            <w:vMerge/>
            <w:vAlign w:val="center"/>
          </w:tcPr>
          <w:p w:rsidR="002B653A" w:rsidRDefault="002B653A" w:rsidP="0091109A">
            <w:pPr>
              <w:adjustRightInd w:val="0"/>
              <w:snapToGrid w:val="0"/>
              <w:spacing w:beforeLines="50" w:afterLines="50"/>
              <w:rPr>
                <w:rFonts w:ascii="仿宋" w:eastAsia="仿宋" w:hAnsi="仿宋"/>
                <w:sz w:val="24"/>
                <w:szCs w:val="24"/>
              </w:rPr>
            </w:pPr>
          </w:p>
        </w:tc>
        <w:tc>
          <w:tcPr>
            <w:tcW w:w="3892"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具有社区（村庄）特色的文化功能设施覆盖率（%）</w:t>
            </w:r>
          </w:p>
        </w:tc>
        <w:tc>
          <w:tcPr>
            <w:tcW w:w="640"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100</w:t>
            </w:r>
          </w:p>
        </w:tc>
      </w:tr>
      <w:tr w:rsidR="002B653A">
        <w:trPr>
          <w:trHeight w:val="360"/>
          <w:jc w:val="center"/>
        </w:trPr>
        <w:tc>
          <w:tcPr>
            <w:tcW w:w="467" w:type="pct"/>
            <w:vMerge w:val="restar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美丽社区（村庄）建设</w:t>
            </w:r>
          </w:p>
        </w:tc>
        <w:tc>
          <w:tcPr>
            <w:tcW w:w="3892"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特色街区个数（个）</w:t>
            </w:r>
          </w:p>
        </w:tc>
        <w:tc>
          <w:tcPr>
            <w:tcW w:w="640"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≥5</w:t>
            </w:r>
          </w:p>
        </w:tc>
      </w:tr>
      <w:tr w:rsidR="002B653A">
        <w:trPr>
          <w:trHeight w:val="360"/>
          <w:jc w:val="center"/>
        </w:trPr>
        <w:tc>
          <w:tcPr>
            <w:tcW w:w="467" w:type="pct"/>
            <w:vMerge/>
            <w:vAlign w:val="center"/>
          </w:tcPr>
          <w:p w:rsidR="002B653A" w:rsidRDefault="002B653A" w:rsidP="0091109A">
            <w:pPr>
              <w:adjustRightInd w:val="0"/>
              <w:snapToGrid w:val="0"/>
              <w:spacing w:beforeLines="50" w:afterLines="50"/>
              <w:jc w:val="center"/>
              <w:rPr>
                <w:rFonts w:ascii="仿宋" w:eastAsia="仿宋" w:hAnsi="仿宋"/>
                <w:sz w:val="24"/>
                <w:szCs w:val="24"/>
              </w:rPr>
            </w:pPr>
          </w:p>
        </w:tc>
        <w:tc>
          <w:tcPr>
            <w:tcW w:w="3892"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社区微更新个数（个）</w:t>
            </w:r>
          </w:p>
        </w:tc>
        <w:tc>
          <w:tcPr>
            <w:tcW w:w="640"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≥20</w:t>
            </w:r>
          </w:p>
        </w:tc>
      </w:tr>
      <w:tr w:rsidR="002B653A">
        <w:trPr>
          <w:trHeight w:val="360"/>
          <w:jc w:val="center"/>
        </w:trPr>
        <w:tc>
          <w:tcPr>
            <w:tcW w:w="467" w:type="pct"/>
            <w:vMerge/>
            <w:vAlign w:val="center"/>
          </w:tcPr>
          <w:p w:rsidR="002B653A" w:rsidRDefault="002B653A" w:rsidP="0091109A">
            <w:pPr>
              <w:adjustRightInd w:val="0"/>
              <w:snapToGrid w:val="0"/>
              <w:spacing w:beforeLines="50" w:afterLines="50"/>
              <w:jc w:val="center"/>
              <w:rPr>
                <w:rFonts w:ascii="仿宋" w:eastAsia="仿宋" w:hAnsi="仿宋"/>
                <w:sz w:val="24"/>
                <w:szCs w:val="24"/>
              </w:rPr>
            </w:pPr>
          </w:p>
        </w:tc>
        <w:tc>
          <w:tcPr>
            <w:tcW w:w="3892"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背街小巷整治个数（个）</w:t>
            </w:r>
          </w:p>
        </w:tc>
        <w:tc>
          <w:tcPr>
            <w:tcW w:w="640"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≥20</w:t>
            </w:r>
          </w:p>
        </w:tc>
      </w:tr>
      <w:tr w:rsidR="002B653A">
        <w:trPr>
          <w:trHeight w:val="360"/>
          <w:jc w:val="center"/>
        </w:trPr>
        <w:tc>
          <w:tcPr>
            <w:tcW w:w="467" w:type="pct"/>
            <w:vMerge/>
            <w:vAlign w:val="center"/>
          </w:tcPr>
          <w:p w:rsidR="002B653A" w:rsidRDefault="002B653A" w:rsidP="0091109A">
            <w:pPr>
              <w:adjustRightInd w:val="0"/>
              <w:snapToGrid w:val="0"/>
              <w:spacing w:beforeLines="50" w:afterLines="50"/>
              <w:jc w:val="center"/>
              <w:rPr>
                <w:rFonts w:ascii="仿宋" w:eastAsia="仿宋" w:hAnsi="仿宋"/>
                <w:sz w:val="24"/>
                <w:szCs w:val="24"/>
              </w:rPr>
            </w:pPr>
          </w:p>
        </w:tc>
        <w:tc>
          <w:tcPr>
            <w:tcW w:w="3892"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智慧社区建成个数（个）</w:t>
            </w:r>
          </w:p>
        </w:tc>
        <w:tc>
          <w:tcPr>
            <w:tcW w:w="640"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≥2</w:t>
            </w:r>
          </w:p>
        </w:tc>
      </w:tr>
      <w:tr w:rsidR="002B653A">
        <w:trPr>
          <w:trHeight w:val="360"/>
          <w:jc w:val="center"/>
        </w:trPr>
        <w:tc>
          <w:tcPr>
            <w:tcW w:w="467" w:type="pct"/>
            <w:vMerge/>
            <w:vAlign w:val="center"/>
          </w:tcPr>
          <w:p w:rsidR="002B653A" w:rsidRDefault="002B653A" w:rsidP="0091109A">
            <w:pPr>
              <w:adjustRightInd w:val="0"/>
              <w:snapToGrid w:val="0"/>
              <w:spacing w:beforeLines="50" w:afterLines="50"/>
              <w:jc w:val="center"/>
              <w:rPr>
                <w:rFonts w:ascii="仿宋" w:eastAsia="仿宋" w:hAnsi="仿宋"/>
                <w:sz w:val="24"/>
                <w:szCs w:val="24"/>
              </w:rPr>
            </w:pPr>
          </w:p>
        </w:tc>
        <w:tc>
          <w:tcPr>
            <w:tcW w:w="3892"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智慧小区建成个数</w:t>
            </w:r>
          </w:p>
        </w:tc>
        <w:tc>
          <w:tcPr>
            <w:tcW w:w="640"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≥10</w:t>
            </w:r>
          </w:p>
        </w:tc>
      </w:tr>
      <w:tr w:rsidR="002B653A">
        <w:trPr>
          <w:trHeight w:val="360"/>
          <w:jc w:val="center"/>
        </w:trPr>
        <w:tc>
          <w:tcPr>
            <w:tcW w:w="467" w:type="pct"/>
            <w:vMerge/>
            <w:vAlign w:val="center"/>
          </w:tcPr>
          <w:p w:rsidR="002B653A" w:rsidRDefault="002B653A" w:rsidP="0091109A">
            <w:pPr>
              <w:adjustRightInd w:val="0"/>
              <w:snapToGrid w:val="0"/>
              <w:spacing w:beforeLines="50" w:afterLines="50"/>
              <w:jc w:val="center"/>
              <w:rPr>
                <w:rFonts w:ascii="仿宋" w:eastAsia="仿宋" w:hAnsi="仿宋"/>
                <w:sz w:val="24"/>
                <w:szCs w:val="24"/>
              </w:rPr>
            </w:pPr>
          </w:p>
        </w:tc>
        <w:tc>
          <w:tcPr>
            <w:tcW w:w="3892"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“小组微生”村庄改造个数（个）</w:t>
            </w:r>
          </w:p>
        </w:tc>
        <w:tc>
          <w:tcPr>
            <w:tcW w:w="640"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≥5</w:t>
            </w:r>
          </w:p>
        </w:tc>
      </w:tr>
      <w:tr w:rsidR="002B653A">
        <w:trPr>
          <w:trHeight w:val="360"/>
          <w:jc w:val="center"/>
        </w:trPr>
        <w:tc>
          <w:tcPr>
            <w:tcW w:w="467" w:type="pct"/>
            <w:vMerge w:val="restar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多元共治</w:t>
            </w:r>
          </w:p>
        </w:tc>
        <w:tc>
          <w:tcPr>
            <w:tcW w:w="3892"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乡镇(街道)社会工作服务覆盖率（%）</w:t>
            </w:r>
          </w:p>
        </w:tc>
        <w:tc>
          <w:tcPr>
            <w:tcW w:w="640"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100</w:t>
            </w:r>
          </w:p>
        </w:tc>
      </w:tr>
      <w:tr w:rsidR="002B653A">
        <w:trPr>
          <w:trHeight w:val="360"/>
          <w:jc w:val="center"/>
        </w:trPr>
        <w:tc>
          <w:tcPr>
            <w:tcW w:w="467" w:type="pct"/>
            <w:vMerge/>
            <w:vAlign w:val="center"/>
          </w:tcPr>
          <w:p w:rsidR="002B653A" w:rsidRDefault="002B653A" w:rsidP="0091109A">
            <w:pPr>
              <w:adjustRightInd w:val="0"/>
              <w:snapToGrid w:val="0"/>
              <w:spacing w:beforeLines="50" w:afterLines="50"/>
              <w:jc w:val="center"/>
              <w:rPr>
                <w:rFonts w:ascii="仿宋" w:eastAsia="仿宋" w:hAnsi="仿宋"/>
                <w:sz w:val="24"/>
                <w:szCs w:val="24"/>
              </w:rPr>
            </w:pPr>
          </w:p>
        </w:tc>
        <w:tc>
          <w:tcPr>
            <w:tcW w:w="3892"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城镇社区平均拥有社会组织数量（个）</w:t>
            </w:r>
          </w:p>
        </w:tc>
        <w:tc>
          <w:tcPr>
            <w:tcW w:w="640"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≥10</w:t>
            </w:r>
          </w:p>
        </w:tc>
      </w:tr>
      <w:tr w:rsidR="002B653A">
        <w:trPr>
          <w:trHeight w:val="360"/>
          <w:jc w:val="center"/>
        </w:trPr>
        <w:tc>
          <w:tcPr>
            <w:tcW w:w="467" w:type="pct"/>
            <w:vMerge/>
            <w:vAlign w:val="center"/>
          </w:tcPr>
          <w:p w:rsidR="002B653A" w:rsidRDefault="002B653A" w:rsidP="0091109A">
            <w:pPr>
              <w:adjustRightInd w:val="0"/>
              <w:snapToGrid w:val="0"/>
              <w:spacing w:beforeLines="50" w:afterLines="50"/>
              <w:jc w:val="center"/>
              <w:rPr>
                <w:rFonts w:ascii="仿宋" w:eastAsia="仿宋" w:hAnsi="仿宋"/>
                <w:sz w:val="24"/>
                <w:szCs w:val="24"/>
              </w:rPr>
            </w:pPr>
          </w:p>
        </w:tc>
        <w:tc>
          <w:tcPr>
            <w:tcW w:w="3892"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农村村庄平均拥有社会组织数量（个）</w:t>
            </w:r>
          </w:p>
        </w:tc>
        <w:tc>
          <w:tcPr>
            <w:tcW w:w="640"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≥5</w:t>
            </w:r>
          </w:p>
        </w:tc>
      </w:tr>
      <w:tr w:rsidR="002B653A">
        <w:trPr>
          <w:trHeight w:val="360"/>
          <w:jc w:val="center"/>
        </w:trPr>
        <w:tc>
          <w:tcPr>
            <w:tcW w:w="467" w:type="pct"/>
            <w:vMerge/>
            <w:vAlign w:val="center"/>
          </w:tcPr>
          <w:p w:rsidR="002B653A" w:rsidRDefault="002B653A" w:rsidP="0091109A">
            <w:pPr>
              <w:adjustRightInd w:val="0"/>
              <w:snapToGrid w:val="0"/>
              <w:spacing w:beforeLines="50" w:afterLines="50"/>
              <w:jc w:val="center"/>
              <w:rPr>
                <w:rFonts w:ascii="仿宋" w:eastAsia="仿宋" w:hAnsi="仿宋"/>
                <w:sz w:val="24"/>
                <w:szCs w:val="24"/>
              </w:rPr>
            </w:pPr>
          </w:p>
        </w:tc>
        <w:tc>
          <w:tcPr>
            <w:tcW w:w="3892"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评选先进个人、团体、项目（个）</w:t>
            </w:r>
          </w:p>
        </w:tc>
        <w:tc>
          <w:tcPr>
            <w:tcW w:w="640"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10</w:t>
            </w:r>
          </w:p>
        </w:tc>
      </w:tr>
      <w:tr w:rsidR="002B653A">
        <w:trPr>
          <w:trHeight w:val="360"/>
          <w:jc w:val="center"/>
        </w:trPr>
        <w:tc>
          <w:tcPr>
            <w:tcW w:w="467" w:type="pct"/>
            <w:vMerge/>
            <w:vAlign w:val="center"/>
          </w:tcPr>
          <w:p w:rsidR="002B653A" w:rsidRDefault="002B653A" w:rsidP="0091109A">
            <w:pPr>
              <w:adjustRightInd w:val="0"/>
              <w:snapToGrid w:val="0"/>
              <w:spacing w:beforeLines="50" w:afterLines="50"/>
              <w:jc w:val="center"/>
              <w:rPr>
                <w:rFonts w:ascii="仿宋" w:eastAsia="仿宋" w:hAnsi="仿宋"/>
                <w:sz w:val="24"/>
                <w:szCs w:val="24"/>
              </w:rPr>
            </w:pPr>
          </w:p>
        </w:tc>
        <w:tc>
          <w:tcPr>
            <w:tcW w:w="3892"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社区基金（集体基金）的数量（个）</w:t>
            </w:r>
          </w:p>
        </w:tc>
        <w:tc>
          <w:tcPr>
            <w:tcW w:w="640"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1</w:t>
            </w:r>
          </w:p>
        </w:tc>
      </w:tr>
      <w:tr w:rsidR="002B653A">
        <w:trPr>
          <w:trHeight w:val="360"/>
          <w:jc w:val="center"/>
        </w:trPr>
        <w:tc>
          <w:tcPr>
            <w:tcW w:w="467" w:type="pct"/>
            <w:vMerge w:val="restar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基层经济业态</w:t>
            </w:r>
          </w:p>
        </w:tc>
        <w:tc>
          <w:tcPr>
            <w:tcW w:w="3892"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社区餐饮、购物、休闲、银行等生活服务领域业态（类）</w:t>
            </w:r>
          </w:p>
        </w:tc>
        <w:tc>
          <w:tcPr>
            <w:tcW w:w="640"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≥7</w:t>
            </w:r>
          </w:p>
        </w:tc>
      </w:tr>
      <w:tr w:rsidR="002B653A">
        <w:trPr>
          <w:trHeight w:val="360"/>
          <w:jc w:val="center"/>
        </w:trPr>
        <w:tc>
          <w:tcPr>
            <w:tcW w:w="467" w:type="pct"/>
            <w:vMerge/>
            <w:vAlign w:val="center"/>
          </w:tcPr>
          <w:p w:rsidR="002B653A" w:rsidRDefault="002B653A" w:rsidP="0091109A">
            <w:pPr>
              <w:adjustRightInd w:val="0"/>
              <w:snapToGrid w:val="0"/>
              <w:spacing w:beforeLines="50" w:afterLines="50"/>
              <w:rPr>
                <w:rFonts w:ascii="仿宋" w:eastAsia="仿宋" w:hAnsi="仿宋"/>
                <w:sz w:val="24"/>
                <w:szCs w:val="24"/>
              </w:rPr>
            </w:pPr>
          </w:p>
        </w:tc>
        <w:tc>
          <w:tcPr>
            <w:tcW w:w="3892"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社区24小时不打烊的便利店、药店等（类）</w:t>
            </w:r>
          </w:p>
        </w:tc>
        <w:tc>
          <w:tcPr>
            <w:tcW w:w="640"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≥2</w:t>
            </w:r>
          </w:p>
        </w:tc>
      </w:tr>
      <w:tr w:rsidR="002B653A">
        <w:trPr>
          <w:trHeight w:val="360"/>
          <w:jc w:val="center"/>
        </w:trPr>
        <w:tc>
          <w:tcPr>
            <w:tcW w:w="467" w:type="pct"/>
            <w:vMerge/>
            <w:vAlign w:val="center"/>
          </w:tcPr>
          <w:p w:rsidR="002B653A" w:rsidRDefault="002B653A" w:rsidP="0091109A">
            <w:pPr>
              <w:adjustRightInd w:val="0"/>
              <w:snapToGrid w:val="0"/>
              <w:spacing w:beforeLines="50" w:afterLines="50"/>
              <w:rPr>
                <w:rFonts w:ascii="仿宋" w:eastAsia="仿宋" w:hAnsi="仿宋"/>
                <w:sz w:val="24"/>
                <w:szCs w:val="24"/>
              </w:rPr>
            </w:pPr>
          </w:p>
        </w:tc>
        <w:tc>
          <w:tcPr>
            <w:tcW w:w="3892"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乡村集体经济组织覆盖率（%）</w:t>
            </w:r>
          </w:p>
        </w:tc>
        <w:tc>
          <w:tcPr>
            <w:tcW w:w="640"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100</w:t>
            </w:r>
          </w:p>
        </w:tc>
      </w:tr>
      <w:tr w:rsidR="002B653A">
        <w:trPr>
          <w:trHeight w:val="360"/>
          <w:jc w:val="center"/>
        </w:trPr>
        <w:tc>
          <w:tcPr>
            <w:tcW w:w="467" w:type="pct"/>
            <w:vMerge/>
            <w:vAlign w:val="center"/>
          </w:tcPr>
          <w:p w:rsidR="002B653A" w:rsidRDefault="002B653A" w:rsidP="0091109A">
            <w:pPr>
              <w:adjustRightInd w:val="0"/>
              <w:snapToGrid w:val="0"/>
              <w:spacing w:beforeLines="50" w:afterLines="50"/>
              <w:rPr>
                <w:rFonts w:ascii="仿宋" w:eastAsia="仿宋" w:hAnsi="仿宋"/>
                <w:sz w:val="24"/>
                <w:szCs w:val="24"/>
              </w:rPr>
            </w:pPr>
          </w:p>
        </w:tc>
        <w:tc>
          <w:tcPr>
            <w:tcW w:w="3892"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集体经济组织年平均收益（万元）</w:t>
            </w:r>
          </w:p>
        </w:tc>
        <w:tc>
          <w:tcPr>
            <w:tcW w:w="640" w:type="pct"/>
            <w:vAlign w:val="center"/>
          </w:tcPr>
          <w:p w:rsidR="002B653A" w:rsidRDefault="00DF1AA7" w:rsidP="0091109A">
            <w:pPr>
              <w:adjustRightInd w:val="0"/>
              <w:snapToGrid w:val="0"/>
              <w:spacing w:beforeLines="50" w:afterLines="50"/>
              <w:jc w:val="center"/>
              <w:rPr>
                <w:rFonts w:ascii="仿宋" w:eastAsia="仿宋" w:hAnsi="仿宋"/>
                <w:sz w:val="24"/>
                <w:szCs w:val="24"/>
              </w:rPr>
            </w:pPr>
            <w:r>
              <w:rPr>
                <w:rFonts w:ascii="仿宋" w:eastAsia="仿宋" w:hAnsi="仿宋" w:hint="eastAsia"/>
                <w:sz w:val="24"/>
                <w:szCs w:val="24"/>
              </w:rPr>
              <w:t>10</w:t>
            </w:r>
          </w:p>
        </w:tc>
      </w:tr>
    </w:tbl>
    <w:p w:rsidR="002B653A" w:rsidRDefault="002B653A">
      <w:pPr>
        <w:snapToGrid w:val="0"/>
        <w:spacing w:line="360" w:lineRule="auto"/>
        <w:ind w:firstLineChars="150" w:firstLine="316"/>
        <w:rPr>
          <w:rFonts w:ascii="黑体" w:eastAsia="黑体" w:hAnsi="黑体"/>
          <w:b/>
        </w:rPr>
      </w:pPr>
    </w:p>
    <w:p w:rsidR="002B653A" w:rsidRDefault="00DF1AA7">
      <w:pPr>
        <w:widowControl/>
        <w:jc w:val="left"/>
        <w:rPr>
          <w:rFonts w:ascii="黑体" w:eastAsia="黑体" w:hAnsi="黑体"/>
          <w:bCs/>
          <w:kern w:val="0"/>
          <w:sz w:val="32"/>
          <w:szCs w:val="32"/>
        </w:rPr>
      </w:pPr>
      <w:r>
        <w:rPr>
          <w:rFonts w:ascii="黑体" w:eastAsia="黑体" w:hAnsi="黑体"/>
          <w:b/>
        </w:rPr>
        <w:br w:type="page"/>
      </w:r>
    </w:p>
    <w:p w:rsidR="002B653A" w:rsidRDefault="00DF1AA7" w:rsidP="0091109A">
      <w:pPr>
        <w:pStyle w:val="2"/>
        <w:keepNext w:val="0"/>
        <w:keepLines w:val="0"/>
        <w:widowControl w:val="0"/>
        <w:spacing w:beforeLines="100" w:afterLines="100" w:line="240" w:lineRule="auto"/>
        <w:jc w:val="center"/>
        <w:rPr>
          <w:rFonts w:ascii="黑体" w:eastAsia="黑体" w:hAnsi="黑体"/>
          <w:b w:val="0"/>
        </w:rPr>
      </w:pPr>
      <w:bookmarkStart w:id="46" w:name="_Toc90415754"/>
      <w:r>
        <w:rPr>
          <w:rFonts w:ascii="黑体" w:eastAsia="黑体" w:hAnsi="黑体" w:hint="eastAsia"/>
          <w:b w:val="0"/>
        </w:rPr>
        <w:lastRenderedPageBreak/>
        <w:t>第二节 基层治理保障指标体系</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662"/>
        <w:gridCol w:w="1043"/>
      </w:tblGrid>
      <w:tr w:rsidR="002B653A">
        <w:trPr>
          <w:trHeight w:val="360"/>
        </w:trPr>
        <w:tc>
          <w:tcPr>
            <w:tcW w:w="47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维度</w:t>
            </w:r>
          </w:p>
        </w:tc>
        <w:tc>
          <w:tcPr>
            <w:tcW w:w="390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指标</w:t>
            </w:r>
          </w:p>
        </w:tc>
        <w:tc>
          <w:tcPr>
            <w:tcW w:w="612"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目标值</w:t>
            </w:r>
          </w:p>
        </w:tc>
      </w:tr>
      <w:tr w:rsidR="002B653A">
        <w:trPr>
          <w:trHeight w:val="360"/>
        </w:trPr>
        <w:tc>
          <w:tcPr>
            <w:tcW w:w="479" w:type="pct"/>
            <w:vMerge w:val="restar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党建引领与组织保障</w:t>
            </w:r>
          </w:p>
        </w:tc>
        <w:tc>
          <w:tcPr>
            <w:tcW w:w="390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小区（村组）党组织覆盖率（%）</w:t>
            </w:r>
          </w:p>
        </w:tc>
        <w:tc>
          <w:tcPr>
            <w:tcW w:w="612"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p>
        </w:tc>
      </w:tr>
      <w:tr w:rsidR="002B653A">
        <w:trPr>
          <w:trHeight w:val="360"/>
        </w:trPr>
        <w:tc>
          <w:tcPr>
            <w:tcW w:w="479" w:type="pct"/>
            <w:vMerge/>
            <w:vAlign w:val="center"/>
          </w:tcPr>
          <w:p w:rsidR="002B653A" w:rsidRDefault="002B653A" w:rsidP="0091109A">
            <w:pPr>
              <w:widowControl/>
              <w:adjustRightInd w:val="0"/>
              <w:snapToGrid w:val="0"/>
              <w:spacing w:beforeLines="50" w:afterLines="50"/>
              <w:jc w:val="left"/>
              <w:rPr>
                <w:rFonts w:ascii="仿宋" w:eastAsia="仿宋" w:hAnsi="仿宋" w:cs="宋体"/>
                <w:color w:val="000000"/>
                <w:kern w:val="0"/>
                <w:sz w:val="24"/>
                <w:szCs w:val="24"/>
              </w:rPr>
            </w:pPr>
          </w:p>
        </w:tc>
        <w:tc>
          <w:tcPr>
            <w:tcW w:w="390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“社区——小区”两级治理体系建成率（%）</w:t>
            </w:r>
          </w:p>
        </w:tc>
        <w:tc>
          <w:tcPr>
            <w:tcW w:w="612"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≥95</w:t>
            </w:r>
          </w:p>
        </w:tc>
      </w:tr>
      <w:tr w:rsidR="002B653A">
        <w:trPr>
          <w:trHeight w:val="360"/>
        </w:trPr>
        <w:tc>
          <w:tcPr>
            <w:tcW w:w="479" w:type="pct"/>
            <w:vMerge/>
            <w:vAlign w:val="center"/>
          </w:tcPr>
          <w:p w:rsidR="002B653A" w:rsidRDefault="002B653A" w:rsidP="0091109A">
            <w:pPr>
              <w:widowControl/>
              <w:adjustRightInd w:val="0"/>
              <w:snapToGrid w:val="0"/>
              <w:spacing w:beforeLines="50" w:afterLines="50"/>
              <w:jc w:val="left"/>
              <w:rPr>
                <w:rFonts w:ascii="仿宋" w:eastAsia="仿宋" w:hAnsi="仿宋" w:cs="宋体"/>
                <w:color w:val="000000"/>
                <w:kern w:val="0"/>
                <w:sz w:val="24"/>
                <w:szCs w:val="24"/>
              </w:rPr>
            </w:pPr>
          </w:p>
        </w:tc>
        <w:tc>
          <w:tcPr>
            <w:tcW w:w="390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区域化党组织建成率（%）</w:t>
            </w:r>
          </w:p>
        </w:tc>
        <w:tc>
          <w:tcPr>
            <w:tcW w:w="612"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≥90</w:t>
            </w:r>
          </w:p>
        </w:tc>
      </w:tr>
      <w:tr w:rsidR="002B653A">
        <w:trPr>
          <w:trHeight w:val="360"/>
        </w:trPr>
        <w:tc>
          <w:tcPr>
            <w:tcW w:w="479" w:type="pct"/>
            <w:vMerge/>
            <w:vAlign w:val="center"/>
          </w:tcPr>
          <w:p w:rsidR="002B653A" w:rsidRDefault="002B653A" w:rsidP="0091109A">
            <w:pPr>
              <w:widowControl/>
              <w:adjustRightInd w:val="0"/>
              <w:snapToGrid w:val="0"/>
              <w:spacing w:beforeLines="50" w:afterLines="50"/>
              <w:jc w:val="left"/>
              <w:rPr>
                <w:rFonts w:ascii="仿宋" w:eastAsia="仿宋" w:hAnsi="仿宋" w:cs="宋体"/>
                <w:color w:val="000000"/>
                <w:kern w:val="0"/>
                <w:sz w:val="24"/>
                <w:szCs w:val="24"/>
              </w:rPr>
            </w:pPr>
          </w:p>
        </w:tc>
        <w:tc>
          <w:tcPr>
            <w:tcW w:w="390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驻区单位参与社区（村庄）共建（%）</w:t>
            </w:r>
          </w:p>
        </w:tc>
        <w:tc>
          <w:tcPr>
            <w:tcW w:w="612"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p>
        </w:tc>
      </w:tr>
      <w:tr w:rsidR="002B653A">
        <w:trPr>
          <w:trHeight w:val="360"/>
        </w:trPr>
        <w:tc>
          <w:tcPr>
            <w:tcW w:w="479" w:type="pct"/>
            <w:vMerge/>
            <w:vAlign w:val="center"/>
          </w:tcPr>
          <w:p w:rsidR="002B653A" w:rsidRDefault="002B653A" w:rsidP="0091109A">
            <w:pPr>
              <w:widowControl/>
              <w:adjustRightInd w:val="0"/>
              <w:snapToGrid w:val="0"/>
              <w:spacing w:beforeLines="50" w:afterLines="50"/>
              <w:jc w:val="left"/>
              <w:rPr>
                <w:rFonts w:ascii="仿宋" w:eastAsia="仿宋" w:hAnsi="仿宋" w:cs="宋体"/>
                <w:color w:val="000000"/>
                <w:kern w:val="0"/>
                <w:sz w:val="24"/>
                <w:szCs w:val="24"/>
              </w:rPr>
            </w:pPr>
          </w:p>
        </w:tc>
        <w:tc>
          <w:tcPr>
            <w:tcW w:w="390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社区（村庄）法律顾问覆盖率（%）</w:t>
            </w:r>
          </w:p>
        </w:tc>
        <w:tc>
          <w:tcPr>
            <w:tcW w:w="612"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p>
        </w:tc>
      </w:tr>
      <w:tr w:rsidR="002B653A">
        <w:trPr>
          <w:trHeight w:val="360"/>
        </w:trPr>
        <w:tc>
          <w:tcPr>
            <w:tcW w:w="479" w:type="pct"/>
            <w:vMerge/>
            <w:vAlign w:val="center"/>
          </w:tcPr>
          <w:p w:rsidR="002B653A" w:rsidRDefault="002B653A" w:rsidP="0091109A">
            <w:pPr>
              <w:widowControl/>
              <w:adjustRightInd w:val="0"/>
              <w:snapToGrid w:val="0"/>
              <w:spacing w:beforeLines="50" w:afterLines="50"/>
              <w:jc w:val="left"/>
              <w:rPr>
                <w:rFonts w:ascii="仿宋" w:eastAsia="仿宋" w:hAnsi="仿宋" w:cs="宋体"/>
                <w:color w:val="000000"/>
                <w:kern w:val="0"/>
                <w:sz w:val="24"/>
                <w:szCs w:val="24"/>
              </w:rPr>
            </w:pPr>
          </w:p>
        </w:tc>
        <w:tc>
          <w:tcPr>
            <w:tcW w:w="390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建立村规民约村庄比率（%）</w:t>
            </w:r>
          </w:p>
        </w:tc>
        <w:tc>
          <w:tcPr>
            <w:tcW w:w="612"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p>
        </w:tc>
      </w:tr>
      <w:tr w:rsidR="002B653A">
        <w:trPr>
          <w:trHeight w:val="360"/>
        </w:trPr>
        <w:tc>
          <w:tcPr>
            <w:tcW w:w="479" w:type="pct"/>
            <w:vMerge/>
            <w:vAlign w:val="center"/>
          </w:tcPr>
          <w:p w:rsidR="002B653A" w:rsidRDefault="002B653A" w:rsidP="0091109A">
            <w:pPr>
              <w:widowControl/>
              <w:adjustRightInd w:val="0"/>
              <w:snapToGrid w:val="0"/>
              <w:spacing w:beforeLines="50" w:afterLines="50"/>
              <w:jc w:val="left"/>
              <w:rPr>
                <w:rFonts w:ascii="仿宋" w:eastAsia="仿宋" w:hAnsi="仿宋" w:cs="宋体"/>
                <w:color w:val="000000"/>
                <w:kern w:val="0"/>
                <w:sz w:val="24"/>
                <w:szCs w:val="24"/>
              </w:rPr>
            </w:pPr>
          </w:p>
        </w:tc>
        <w:tc>
          <w:tcPr>
            <w:tcW w:w="390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建立居民公约小区比率（%）</w:t>
            </w:r>
          </w:p>
        </w:tc>
        <w:tc>
          <w:tcPr>
            <w:tcW w:w="612"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p>
        </w:tc>
      </w:tr>
      <w:tr w:rsidR="002B653A">
        <w:trPr>
          <w:trHeight w:val="360"/>
        </w:trPr>
        <w:tc>
          <w:tcPr>
            <w:tcW w:w="479" w:type="pct"/>
            <w:vMerge/>
            <w:vAlign w:val="center"/>
          </w:tcPr>
          <w:p w:rsidR="002B653A" w:rsidRDefault="002B653A" w:rsidP="0091109A">
            <w:pPr>
              <w:widowControl/>
              <w:adjustRightInd w:val="0"/>
              <w:snapToGrid w:val="0"/>
              <w:spacing w:beforeLines="50" w:afterLines="50"/>
              <w:jc w:val="left"/>
              <w:rPr>
                <w:rFonts w:ascii="仿宋" w:eastAsia="仿宋" w:hAnsi="仿宋" w:cs="宋体"/>
                <w:color w:val="000000"/>
                <w:kern w:val="0"/>
                <w:sz w:val="24"/>
                <w:szCs w:val="24"/>
              </w:rPr>
            </w:pPr>
          </w:p>
        </w:tc>
        <w:tc>
          <w:tcPr>
            <w:tcW w:w="390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党建引领社区（村庄）多元主体民主协商居民满意度（%）</w:t>
            </w:r>
          </w:p>
        </w:tc>
        <w:tc>
          <w:tcPr>
            <w:tcW w:w="612"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≥90</w:t>
            </w:r>
          </w:p>
        </w:tc>
      </w:tr>
      <w:tr w:rsidR="002B653A">
        <w:trPr>
          <w:trHeight w:val="360"/>
        </w:trPr>
        <w:tc>
          <w:tcPr>
            <w:tcW w:w="479" w:type="pct"/>
            <w:vMerge/>
            <w:vAlign w:val="center"/>
          </w:tcPr>
          <w:p w:rsidR="002B653A" w:rsidRDefault="002B653A" w:rsidP="0091109A">
            <w:pPr>
              <w:widowControl/>
              <w:adjustRightInd w:val="0"/>
              <w:snapToGrid w:val="0"/>
              <w:spacing w:beforeLines="50" w:afterLines="50"/>
              <w:jc w:val="left"/>
              <w:rPr>
                <w:rFonts w:ascii="仿宋" w:eastAsia="仿宋" w:hAnsi="仿宋" w:cs="宋体"/>
                <w:color w:val="000000"/>
                <w:kern w:val="0"/>
                <w:sz w:val="24"/>
                <w:szCs w:val="24"/>
              </w:rPr>
            </w:pPr>
          </w:p>
        </w:tc>
        <w:tc>
          <w:tcPr>
            <w:tcW w:w="390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建立智慧服务级管理平台的社区比例（%）</w:t>
            </w:r>
          </w:p>
        </w:tc>
        <w:tc>
          <w:tcPr>
            <w:tcW w:w="612"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≥80</w:t>
            </w:r>
          </w:p>
        </w:tc>
      </w:tr>
      <w:tr w:rsidR="002B653A">
        <w:trPr>
          <w:trHeight w:val="360"/>
        </w:trPr>
        <w:tc>
          <w:tcPr>
            <w:tcW w:w="479" w:type="pct"/>
            <w:vMerge/>
            <w:vAlign w:val="center"/>
          </w:tcPr>
          <w:p w:rsidR="002B653A" w:rsidRDefault="002B653A" w:rsidP="0091109A">
            <w:pPr>
              <w:widowControl/>
              <w:adjustRightInd w:val="0"/>
              <w:snapToGrid w:val="0"/>
              <w:spacing w:beforeLines="50" w:afterLines="50"/>
              <w:jc w:val="left"/>
              <w:rPr>
                <w:rFonts w:ascii="仿宋" w:eastAsia="仿宋" w:hAnsi="仿宋" w:cs="宋体"/>
                <w:color w:val="000000"/>
                <w:kern w:val="0"/>
                <w:sz w:val="24"/>
                <w:szCs w:val="24"/>
              </w:rPr>
            </w:pPr>
          </w:p>
        </w:tc>
        <w:tc>
          <w:tcPr>
            <w:tcW w:w="390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城市运行“一网统管”、政务服务“一网通办”综合实现率（%）</w:t>
            </w:r>
          </w:p>
        </w:tc>
        <w:tc>
          <w:tcPr>
            <w:tcW w:w="612"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≥80</w:t>
            </w:r>
          </w:p>
        </w:tc>
      </w:tr>
      <w:tr w:rsidR="002B653A">
        <w:trPr>
          <w:trHeight w:val="360"/>
        </w:trPr>
        <w:tc>
          <w:tcPr>
            <w:tcW w:w="479" w:type="pct"/>
            <w:vMerge/>
            <w:vAlign w:val="center"/>
          </w:tcPr>
          <w:p w:rsidR="002B653A" w:rsidRDefault="002B653A" w:rsidP="0091109A">
            <w:pPr>
              <w:widowControl/>
              <w:adjustRightInd w:val="0"/>
              <w:snapToGrid w:val="0"/>
              <w:spacing w:beforeLines="50" w:afterLines="50"/>
              <w:jc w:val="left"/>
              <w:rPr>
                <w:rFonts w:ascii="仿宋" w:eastAsia="仿宋" w:hAnsi="仿宋" w:cs="宋体"/>
                <w:color w:val="000000"/>
                <w:kern w:val="0"/>
                <w:sz w:val="24"/>
                <w:szCs w:val="24"/>
              </w:rPr>
            </w:pPr>
          </w:p>
        </w:tc>
        <w:tc>
          <w:tcPr>
            <w:tcW w:w="390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社区工作者人力资源信息上级信息管理平台连通率（%）</w:t>
            </w:r>
          </w:p>
        </w:tc>
        <w:tc>
          <w:tcPr>
            <w:tcW w:w="612"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p>
        </w:tc>
      </w:tr>
      <w:tr w:rsidR="002B653A">
        <w:trPr>
          <w:trHeight w:val="360"/>
        </w:trPr>
        <w:tc>
          <w:tcPr>
            <w:tcW w:w="479" w:type="pct"/>
            <w:vMerge/>
            <w:vAlign w:val="center"/>
          </w:tcPr>
          <w:p w:rsidR="002B653A" w:rsidRDefault="002B653A" w:rsidP="0091109A">
            <w:pPr>
              <w:widowControl/>
              <w:adjustRightInd w:val="0"/>
              <w:snapToGrid w:val="0"/>
              <w:spacing w:beforeLines="50" w:afterLines="50"/>
              <w:jc w:val="left"/>
              <w:rPr>
                <w:rFonts w:ascii="仿宋" w:eastAsia="仿宋" w:hAnsi="仿宋" w:cs="宋体"/>
                <w:color w:val="000000"/>
                <w:kern w:val="0"/>
                <w:sz w:val="24"/>
                <w:szCs w:val="24"/>
              </w:rPr>
            </w:pPr>
          </w:p>
        </w:tc>
        <w:tc>
          <w:tcPr>
            <w:tcW w:w="390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每万人中注册志愿者数量（人）</w:t>
            </w:r>
          </w:p>
        </w:tc>
        <w:tc>
          <w:tcPr>
            <w:tcW w:w="612"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≥2000</w:t>
            </w:r>
          </w:p>
        </w:tc>
      </w:tr>
      <w:tr w:rsidR="002B653A">
        <w:trPr>
          <w:trHeight w:val="360"/>
        </w:trPr>
        <w:tc>
          <w:tcPr>
            <w:tcW w:w="479" w:type="pct"/>
            <w:vMerge/>
            <w:vAlign w:val="center"/>
          </w:tcPr>
          <w:p w:rsidR="002B653A" w:rsidRDefault="002B653A" w:rsidP="0091109A">
            <w:pPr>
              <w:widowControl/>
              <w:adjustRightInd w:val="0"/>
              <w:snapToGrid w:val="0"/>
              <w:spacing w:beforeLines="50" w:afterLines="50"/>
              <w:jc w:val="left"/>
              <w:rPr>
                <w:rFonts w:ascii="仿宋" w:eastAsia="仿宋" w:hAnsi="仿宋" w:cs="宋体"/>
                <w:color w:val="000000"/>
                <w:kern w:val="0"/>
                <w:sz w:val="24"/>
                <w:szCs w:val="24"/>
              </w:rPr>
            </w:pPr>
          </w:p>
        </w:tc>
        <w:tc>
          <w:tcPr>
            <w:tcW w:w="390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志愿服务站点在社区综合服务设施中的覆盖率（%）</w:t>
            </w:r>
          </w:p>
        </w:tc>
        <w:tc>
          <w:tcPr>
            <w:tcW w:w="612"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1000</w:t>
            </w:r>
          </w:p>
        </w:tc>
      </w:tr>
      <w:tr w:rsidR="002B653A">
        <w:trPr>
          <w:trHeight w:val="360"/>
        </w:trPr>
        <w:tc>
          <w:tcPr>
            <w:tcW w:w="479" w:type="pct"/>
            <w:vMerge/>
            <w:vAlign w:val="center"/>
          </w:tcPr>
          <w:p w:rsidR="002B653A" w:rsidRDefault="002B653A" w:rsidP="0091109A">
            <w:pPr>
              <w:widowControl/>
              <w:adjustRightInd w:val="0"/>
              <w:snapToGrid w:val="0"/>
              <w:spacing w:beforeLines="50" w:afterLines="50"/>
              <w:jc w:val="left"/>
              <w:rPr>
                <w:rFonts w:ascii="仿宋" w:eastAsia="仿宋" w:hAnsi="仿宋" w:cs="宋体"/>
                <w:color w:val="000000"/>
                <w:kern w:val="0"/>
                <w:sz w:val="24"/>
                <w:szCs w:val="24"/>
              </w:rPr>
            </w:pPr>
          </w:p>
        </w:tc>
        <w:tc>
          <w:tcPr>
            <w:tcW w:w="390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每万人城镇常住人口拥有社区工作者（人）</w:t>
            </w:r>
          </w:p>
        </w:tc>
        <w:tc>
          <w:tcPr>
            <w:tcW w:w="612"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18</w:t>
            </w:r>
          </w:p>
        </w:tc>
      </w:tr>
      <w:tr w:rsidR="002B653A">
        <w:trPr>
          <w:trHeight w:val="360"/>
        </w:trPr>
        <w:tc>
          <w:tcPr>
            <w:tcW w:w="479" w:type="pct"/>
            <w:vMerge/>
            <w:vAlign w:val="center"/>
          </w:tcPr>
          <w:p w:rsidR="002B653A" w:rsidRDefault="002B653A" w:rsidP="0091109A">
            <w:pPr>
              <w:widowControl/>
              <w:adjustRightInd w:val="0"/>
              <w:snapToGrid w:val="0"/>
              <w:spacing w:beforeLines="50" w:afterLines="50"/>
              <w:jc w:val="left"/>
              <w:rPr>
                <w:rFonts w:ascii="仿宋" w:eastAsia="仿宋" w:hAnsi="仿宋" w:cs="宋体"/>
                <w:color w:val="000000"/>
                <w:kern w:val="0"/>
                <w:sz w:val="24"/>
                <w:szCs w:val="24"/>
              </w:rPr>
            </w:pPr>
          </w:p>
        </w:tc>
        <w:tc>
          <w:tcPr>
            <w:tcW w:w="390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每万人农村常住人口拥有社区工作者（人）</w:t>
            </w:r>
          </w:p>
        </w:tc>
        <w:tc>
          <w:tcPr>
            <w:tcW w:w="612"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w:t>
            </w:r>
          </w:p>
        </w:tc>
      </w:tr>
      <w:tr w:rsidR="002B653A">
        <w:trPr>
          <w:trHeight w:val="360"/>
        </w:trPr>
        <w:tc>
          <w:tcPr>
            <w:tcW w:w="479" w:type="pct"/>
            <w:vMerge/>
            <w:vAlign w:val="center"/>
          </w:tcPr>
          <w:p w:rsidR="002B653A" w:rsidRDefault="002B653A" w:rsidP="0091109A">
            <w:pPr>
              <w:widowControl/>
              <w:adjustRightInd w:val="0"/>
              <w:snapToGrid w:val="0"/>
              <w:spacing w:beforeLines="50" w:afterLines="50"/>
              <w:jc w:val="left"/>
              <w:rPr>
                <w:rFonts w:ascii="仿宋" w:eastAsia="仿宋" w:hAnsi="仿宋" w:cs="宋体"/>
                <w:color w:val="000000"/>
                <w:kern w:val="0"/>
                <w:sz w:val="24"/>
                <w:szCs w:val="24"/>
              </w:rPr>
            </w:pPr>
          </w:p>
        </w:tc>
        <w:tc>
          <w:tcPr>
            <w:tcW w:w="390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社区工作者中取得社会工作职业资格水平证书人员比例（%）</w:t>
            </w:r>
          </w:p>
        </w:tc>
        <w:tc>
          <w:tcPr>
            <w:tcW w:w="612"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≥15</w:t>
            </w:r>
          </w:p>
        </w:tc>
      </w:tr>
      <w:tr w:rsidR="002B653A">
        <w:trPr>
          <w:trHeight w:val="360"/>
        </w:trPr>
        <w:tc>
          <w:tcPr>
            <w:tcW w:w="479" w:type="pct"/>
            <w:vMerge/>
            <w:vAlign w:val="center"/>
          </w:tcPr>
          <w:p w:rsidR="002B653A" w:rsidRDefault="002B653A" w:rsidP="0091109A">
            <w:pPr>
              <w:widowControl/>
              <w:adjustRightInd w:val="0"/>
              <w:snapToGrid w:val="0"/>
              <w:spacing w:beforeLines="50" w:afterLines="50"/>
              <w:jc w:val="left"/>
              <w:rPr>
                <w:rFonts w:ascii="仿宋" w:eastAsia="仿宋" w:hAnsi="仿宋" w:cs="宋体"/>
                <w:color w:val="000000"/>
                <w:kern w:val="0"/>
                <w:sz w:val="24"/>
                <w:szCs w:val="24"/>
              </w:rPr>
            </w:pPr>
          </w:p>
        </w:tc>
        <w:tc>
          <w:tcPr>
            <w:tcW w:w="390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行政村平均社会组织拥有量（个）</w:t>
            </w:r>
          </w:p>
        </w:tc>
        <w:tc>
          <w:tcPr>
            <w:tcW w:w="612"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p>
        </w:tc>
      </w:tr>
      <w:tr w:rsidR="002B653A">
        <w:trPr>
          <w:trHeight w:val="360"/>
        </w:trPr>
        <w:tc>
          <w:tcPr>
            <w:tcW w:w="479" w:type="pct"/>
            <w:vMerge w:val="restar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人才保障</w:t>
            </w:r>
          </w:p>
        </w:tc>
        <w:tc>
          <w:tcPr>
            <w:tcW w:w="390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每万人中专业社工数量（人）</w:t>
            </w:r>
          </w:p>
        </w:tc>
        <w:tc>
          <w:tcPr>
            <w:tcW w:w="612"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w:t>
            </w:r>
          </w:p>
        </w:tc>
      </w:tr>
      <w:tr w:rsidR="002B653A">
        <w:trPr>
          <w:trHeight w:val="360"/>
        </w:trPr>
        <w:tc>
          <w:tcPr>
            <w:tcW w:w="479" w:type="pct"/>
            <w:vMerge/>
            <w:shd w:val="clear" w:color="auto" w:fill="auto"/>
            <w:vAlign w:val="center"/>
          </w:tcPr>
          <w:p w:rsidR="002B653A" w:rsidRDefault="002B653A" w:rsidP="0091109A">
            <w:pPr>
              <w:adjustRightInd w:val="0"/>
              <w:snapToGrid w:val="0"/>
              <w:spacing w:beforeLines="50" w:afterLines="50"/>
              <w:jc w:val="left"/>
              <w:rPr>
                <w:rFonts w:ascii="仿宋" w:eastAsia="仿宋" w:hAnsi="仿宋" w:cs="宋体"/>
                <w:color w:val="000000"/>
                <w:kern w:val="0"/>
                <w:sz w:val="24"/>
                <w:szCs w:val="24"/>
              </w:rPr>
            </w:pPr>
          </w:p>
        </w:tc>
        <w:tc>
          <w:tcPr>
            <w:tcW w:w="390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社区规划师、乡村规划师常态化服务覆盖率（%）</w:t>
            </w:r>
          </w:p>
        </w:tc>
        <w:tc>
          <w:tcPr>
            <w:tcW w:w="612"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≥80</w:t>
            </w:r>
          </w:p>
        </w:tc>
      </w:tr>
      <w:tr w:rsidR="002B653A">
        <w:trPr>
          <w:trHeight w:val="360"/>
        </w:trPr>
        <w:tc>
          <w:tcPr>
            <w:tcW w:w="479" w:type="pct"/>
            <w:vMerge/>
            <w:shd w:val="clear" w:color="auto" w:fill="auto"/>
            <w:vAlign w:val="center"/>
          </w:tcPr>
          <w:p w:rsidR="002B653A" w:rsidRDefault="002B653A" w:rsidP="0091109A">
            <w:pPr>
              <w:adjustRightInd w:val="0"/>
              <w:snapToGrid w:val="0"/>
              <w:spacing w:beforeLines="50" w:afterLines="50"/>
              <w:jc w:val="left"/>
              <w:rPr>
                <w:rFonts w:ascii="等线" w:eastAsia="等线" w:hAnsi="等线" w:cs="宋体"/>
                <w:color w:val="000000"/>
                <w:kern w:val="0"/>
                <w:sz w:val="22"/>
              </w:rPr>
            </w:pPr>
          </w:p>
        </w:tc>
        <w:tc>
          <w:tcPr>
            <w:tcW w:w="390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社会工作专业人才数（万人）</w:t>
            </w:r>
          </w:p>
        </w:tc>
        <w:tc>
          <w:tcPr>
            <w:tcW w:w="612"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0.1</w:t>
            </w:r>
          </w:p>
        </w:tc>
      </w:tr>
      <w:tr w:rsidR="002B653A">
        <w:trPr>
          <w:trHeight w:val="360"/>
        </w:trPr>
        <w:tc>
          <w:tcPr>
            <w:tcW w:w="479" w:type="pct"/>
            <w:vMerge/>
            <w:shd w:val="clear" w:color="auto" w:fill="auto"/>
            <w:vAlign w:val="center"/>
          </w:tcPr>
          <w:p w:rsidR="002B653A" w:rsidRDefault="002B653A" w:rsidP="0091109A">
            <w:pPr>
              <w:adjustRightInd w:val="0"/>
              <w:snapToGrid w:val="0"/>
              <w:spacing w:beforeLines="50" w:afterLines="50"/>
              <w:jc w:val="left"/>
              <w:rPr>
                <w:rFonts w:ascii="等线" w:eastAsia="等线" w:hAnsi="等线" w:cs="宋体"/>
                <w:color w:val="000000"/>
                <w:kern w:val="0"/>
                <w:sz w:val="22"/>
              </w:rPr>
            </w:pPr>
          </w:p>
        </w:tc>
        <w:tc>
          <w:tcPr>
            <w:tcW w:w="390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基层公务员新增招录人数（人）</w:t>
            </w:r>
          </w:p>
        </w:tc>
        <w:tc>
          <w:tcPr>
            <w:tcW w:w="612"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p>
        </w:tc>
      </w:tr>
      <w:tr w:rsidR="002B653A">
        <w:trPr>
          <w:trHeight w:val="360"/>
        </w:trPr>
        <w:tc>
          <w:tcPr>
            <w:tcW w:w="479" w:type="pct"/>
            <w:vMerge/>
            <w:shd w:val="clear" w:color="auto" w:fill="auto"/>
            <w:vAlign w:val="center"/>
          </w:tcPr>
          <w:p w:rsidR="002B653A" w:rsidRDefault="002B653A" w:rsidP="0091109A">
            <w:pPr>
              <w:adjustRightInd w:val="0"/>
              <w:snapToGrid w:val="0"/>
              <w:spacing w:beforeLines="50" w:afterLines="50"/>
              <w:jc w:val="left"/>
              <w:rPr>
                <w:rFonts w:ascii="等线" w:eastAsia="等线" w:hAnsi="等线" w:cs="宋体"/>
                <w:color w:val="000000"/>
                <w:kern w:val="0"/>
                <w:sz w:val="22"/>
              </w:rPr>
            </w:pPr>
          </w:p>
        </w:tc>
        <w:tc>
          <w:tcPr>
            <w:tcW w:w="390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岗编分离机制管理人员数（人）</w:t>
            </w:r>
          </w:p>
        </w:tc>
        <w:tc>
          <w:tcPr>
            <w:tcW w:w="612"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≥200</w:t>
            </w:r>
          </w:p>
        </w:tc>
      </w:tr>
      <w:tr w:rsidR="002B653A">
        <w:trPr>
          <w:trHeight w:val="360"/>
        </w:trPr>
        <w:tc>
          <w:tcPr>
            <w:tcW w:w="479" w:type="pct"/>
            <w:vMerge/>
            <w:shd w:val="clear" w:color="auto" w:fill="auto"/>
            <w:vAlign w:val="center"/>
          </w:tcPr>
          <w:p w:rsidR="002B653A" w:rsidRDefault="002B653A" w:rsidP="0091109A">
            <w:pPr>
              <w:adjustRightInd w:val="0"/>
              <w:snapToGrid w:val="0"/>
              <w:spacing w:beforeLines="50" w:afterLines="50"/>
              <w:jc w:val="left"/>
              <w:rPr>
                <w:rFonts w:ascii="等线" w:eastAsia="等线" w:hAnsi="等线" w:cs="宋体"/>
                <w:color w:val="000000"/>
                <w:kern w:val="0"/>
                <w:sz w:val="22"/>
              </w:rPr>
            </w:pPr>
          </w:p>
        </w:tc>
        <w:tc>
          <w:tcPr>
            <w:tcW w:w="390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回引培养优秀农民工数量（人）</w:t>
            </w:r>
          </w:p>
        </w:tc>
        <w:tc>
          <w:tcPr>
            <w:tcW w:w="612"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≥50</w:t>
            </w:r>
          </w:p>
        </w:tc>
      </w:tr>
      <w:tr w:rsidR="002B653A">
        <w:trPr>
          <w:trHeight w:val="360"/>
        </w:trPr>
        <w:tc>
          <w:tcPr>
            <w:tcW w:w="479" w:type="pct"/>
            <w:vMerge/>
            <w:shd w:val="clear" w:color="auto" w:fill="auto"/>
            <w:vAlign w:val="center"/>
          </w:tcPr>
          <w:p w:rsidR="002B653A" w:rsidRDefault="002B653A" w:rsidP="0091109A">
            <w:pPr>
              <w:adjustRightInd w:val="0"/>
              <w:snapToGrid w:val="0"/>
              <w:spacing w:beforeLines="50" w:afterLines="50"/>
              <w:jc w:val="left"/>
              <w:rPr>
                <w:rFonts w:ascii="等线" w:eastAsia="等线" w:hAnsi="等线" w:cs="宋体"/>
                <w:color w:val="000000"/>
                <w:kern w:val="0"/>
                <w:sz w:val="22"/>
              </w:rPr>
            </w:pPr>
          </w:p>
        </w:tc>
        <w:tc>
          <w:tcPr>
            <w:tcW w:w="390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村/社区干部自主参加各类在职教育人数（人）</w:t>
            </w:r>
          </w:p>
        </w:tc>
        <w:tc>
          <w:tcPr>
            <w:tcW w:w="612"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≥50</w:t>
            </w:r>
          </w:p>
        </w:tc>
      </w:tr>
      <w:tr w:rsidR="002B653A">
        <w:trPr>
          <w:trHeight w:val="360"/>
        </w:trPr>
        <w:tc>
          <w:tcPr>
            <w:tcW w:w="479" w:type="pct"/>
            <w:vMerge/>
            <w:shd w:val="clear" w:color="auto" w:fill="auto"/>
            <w:vAlign w:val="center"/>
          </w:tcPr>
          <w:p w:rsidR="002B653A" w:rsidRDefault="002B653A" w:rsidP="0091109A">
            <w:pPr>
              <w:widowControl/>
              <w:adjustRightInd w:val="0"/>
              <w:snapToGrid w:val="0"/>
              <w:spacing w:beforeLines="50" w:afterLines="50"/>
              <w:jc w:val="left"/>
              <w:rPr>
                <w:rFonts w:ascii="等线" w:eastAsia="等线" w:hAnsi="等线" w:cs="宋体"/>
                <w:color w:val="000000"/>
                <w:kern w:val="0"/>
                <w:sz w:val="22"/>
              </w:rPr>
            </w:pPr>
          </w:p>
        </w:tc>
        <w:tc>
          <w:tcPr>
            <w:tcW w:w="390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“网格员”数量（人）</w:t>
            </w:r>
          </w:p>
        </w:tc>
        <w:tc>
          <w:tcPr>
            <w:tcW w:w="612"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≥500</w:t>
            </w:r>
          </w:p>
        </w:tc>
      </w:tr>
      <w:tr w:rsidR="002B653A">
        <w:trPr>
          <w:trHeight w:val="360"/>
        </w:trPr>
        <w:tc>
          <w:tcPr>
            <w:tcW w:w="479" w:type="pct"/>
            <w:vMerge w:val="restar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秩序保障</w:t>
            </w:r>
          </w:p>
        </w:tc>
        <w:tc>
          <w:tcPr>
            <w:tcW w:w="390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社区（村庄）矛盾纠纷多元化解平台建成率（%）</w:t>
            </w:r>
          </w:p>
        </w:tc>
        <w:tc>
          <w:tcPr>
            <w:tcW w:w="612"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p>
        </w:tc>
      </w:tr>
      <w:tr w:rsidR="002B653A">
        <w:trPr>
          <w:trHeight w:val="360"/>
        </w:trPr>
        <w:tc>
          <w:tcPr>
            <w:tcW w:w="479" w:type="pct"/>
            <w:vMerge/>
            <w:shd w:val="clear" w:color="auto" w:fill="auto"/>
            <w:vAlign w:val="center"/>
          </w:tcPr>
          <w:p w:rsidR="002B653A" w:rsidRDefault="002B653A" w:rsidP="0091109A">
            <w:pPr>
              <w:adjustRightInd w:val="0"/>
              <w:snapToGrid w:val="0"/>
              <w:spacing w:beforeLines="50" w:afterLines="50"/>
              <w:jc w:val="left"/>
              <w:rPr>
                <w:rFonts w:ascii="仿宋" w:eastAsia="仿宋" w:hAnsi="仿宋" w:cs="宋体"/>
                <w:color w:val="000000"/>
                <w:kern w:val="0"/>
                <w:sz w:val="24"/>
                <w:szCs w:val="24"/>
              </w:rPr>
            </w:pPr>
          </w:p>
        </w:tc>
        <w:tc>
          <w:tcPr>
            <w:tcW w:w="390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居民对社区（村庄）治安环境的满意度（%）</w:t>
            </w:r>
          </w:p>
        </w:tc>
        <w:tc>
          <w:tcPr>
            <w:tcW w:w="612"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≥95</w:t>
            </w:r>
          </w:p>
        </w:tc>
      </w:tr>
      <w:tr w:rsidR="002B653A">
        <w:trPr>
          <w:trHeight w:val="360"/>
        </w:trPr>
        <w:tc>
          <w:tcPr>
            <w:tcW w:w="479" w:type="pct"/>
            <w:vMerge/>
            <w:shd w:val="clear" w:color="auto" w:fill="auto"/>
            <w:vAlign w:val="center"/>
          </w:tcPr>
          <w:p w:rsidR="002B653A" w:rsidRDefault="002B653A" w:rsidP="0091109A">
            <w:pPr>
              <w:adjustRightInd w:val="0"/>
              <w:snapToGrid w:val="0"/>
              <w:spacing w:beforeLines="50" w:afterLines="50"/>
              <w:jc w:val="left"/>
              <w:rPr>
                <w:rFonts w:ascii="等线" w:eastAsia="等线" w:hAnsi="等线" w:cs="宋体"/>
                <w:color w:val="000000"/>
                <w:kern w:val="0"/>
                <w:sz w:val="22"/>
              </w:rPr>
            </w:pPr>
          </w:p>
        </w:tc>
        <w:tc>
          <w:tcPr>
            <w:tcW w:w="390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社区“雪亮工程”覆盖率（%）</w:t>
            </w:r>
          </w:p>
        </w:tc>
        <w:tc>
          <w:tcPr>
            <w:tcW w:w="612"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p>
        </w:tc>
      </w:tr>
      <w:tr w:rsidR="002B653A">
        <w:trPr>
          <w:trHeight w:val="360"/>
        </w:trPr>
        <w:tc>
          <w:tcPr>
            <w:tcW w:w="479" w:type="pct"/>
            <w:vMerge/>
            <w:shd w:val="clear" w:color="auto" w:fill="auto"/>
            <w:vAlign w:val="center"/>
          </w:tcPr>
          <w:p w:rsidR="002B653A" w:rsidRDefault="002B653A" w:rsidP="0091109A">
            <w:pPr>
              <w:adjustRightInd w:val="0"/>
              <w:snapToGrid w:val="0"/>
              <w:spacing w:beforeLines="50" w:afterLines="50"/>
              <w:jc w:val="left"/>
              <w:rPr>
                <w:rFonts w:ascii="等线" w:eastAsia="等线" w:hAnsi="等线" w:cs="宋体"/>
                <w:color w:val="000000"/>
                <w:kern w:val="0"/>
                <w:sz w:val="22"/>
              </w:rPr>
            </w:pPr>
          </w:p>
        </w:tc>
        <w:tc>
          <w:tcPr>
            <w:tcW w:w="390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村庄重要路段“天网”覆盖率</w:t>
            </w:r>
          </w:p>
        </w:tc>
        <w:tc>
          <w:tcPr>
            <w:tcW w:w="612"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80%</w:t>
            </w:r>
          </w:p>
        </w:tc>
      </w:tr>
      <w:tr w:rsidR="002B653A">
        <w:trPr>
          <w:trHeight w:val="360"/>
        </w:trPr>
        <w:tc>
          <w:tcPr>
            <w:tcW w:w="479" w:type="pct"/>
            <w:vMerge/>
            <w:shd w:val="clear" w:color="auto" w:fill="auto"/>
            <w:vAlign w:val="center"/>
          </w:tcPr>
          <w:p w:rsidR="002B653A" w:rsidRDefault="002B653A" w:rsidP="0091109A">
            <w:pPr>
              <w:adjustRightInd w:val="0"/>
              <w:snapToGrid w:val="0"/>
              <w:spacing w:beforeLines="50" w:afterLines="50"/>
              <w:jc w:val="left"/>
              <w:rPr>
                <w:rFonts w:ascii="等线" w:eastAsia="等线" w:hAnsi="等线" w:cs="宋体"/>
                <w:color w:val="000000"/>
                <w:kern w:val="0"/>
                <w:sz w:val="22"/>
              </w:rPr>
            </w:pPr>
          </w:p>
        </w:tc>
        <w:tc>
          <w:tcPr>
            <w:tcW w:w="390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民生诉求响应完成率（%）</w:t>
            </w:r>
          </w:p>
        </w:tc>
        <w:tc>
          <w:tcPr>
            <w:tcW w:w="612"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≥95</w:t>
            </w:r>
          </w:p>
        </w:tc>
      </w:tr>
      <w:tr w:rsidR="002B653A">
        <w:trPr>
          <w:trHeight w:val="360"/>
        </w:trPr>
        <w:tc>
          <w:tcPr>
            <w:tcW w:w="479" w:type="pct"/>
            <w:vMerge/>
            <w:shd w:val="clear" w:color="auto" w:fill="auto"/>
            <w:vAlign w:val="center"/>
          </w:tcPr>
          <w:p w:rsidR="002B653A" w:rsidRDefault="002B653A" w:rsidP="0091109A">
            <w:pPr>
              <w:adjustRightInd w:val="0"/>
              <w:snapToGrid w:val="0"/>
              <w:spacing w:beforeLines="50" w:afterLines="50"/>
              <w:jc w:val="left"/>
              <w:rPr>
                <w:rFonts w:ascii="等线" w:eastAsia="等线" w:hAnsi="等线" w:cs="宋体"/>
                <w:color w:val="000000"/>
                <w:kern w:val="0"/>
                <w:sz w:val="22"/>
              </w:rPr>
            </w:pPr>
          </w:p>
        </w:tc>
        <w:tc>
          <w:tcPr>
            <w:tcW w:w="390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居民对民生呼叫响应的满意度（%）</w:t>
            </w:r>
          </w:p>
        </w:tc>
        <w:tc>
          <w:tcPr>
            <w:tcW w:w="612"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≥95</w:t>
            </w:r>
          </w:p>
        </w:tc>
      </w:tr>
      <w:tr w:rsidR="002B653A">
        <w:trPr>
          <w:trHeight w:val="360"/>
        </w:trPr>
        <w:tc>
          <w:tcPr>
            <w:tcW w:w="479" w:type="pct"/>
            <w:vMerge/>
            <w:shd w:val="clear" w:color="auto" w:fill="auto"/>
            <w:vAlign w:val="center"/>
          </w:tcPr>
          <w:p w:rsidR="002B653A" w:rsidRDefault="002B653A" w:rsidP="0091109A">
            <w:pPr>
              <w:adjustRightInd w:val="0"/>
              <w:snapToGrid w:val="0"/>
              <w:spacing w:beforeLines="50" w:afterLines="50"/>
              <w:jc w:val="left"/>
              <w:rPr>
                <w:rFonts w:ascii="等线" w:eastAsia="等线" w:hAnsi="等线" w:cs="宋体"/>
                <w:color w:val="000000"/>
                <w:kern w:val="0"/>
                <w:sz w:val="22"/>
              </w:rPr>
            </w:pPr>
          </w:p>
        </w:tc>
        <w:tc>
          <w:tcPr>
            <w:tcW w:w="390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社区消防、安保、灾害等预警预防体系和应急机制建设率（%）</w:t>
            </w:r>
          </w:p>
        </w:tc>
        <w:tc>
          <w:tcPr>
            <w:tcW w:w="612"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p>
        </w:tc>
      </w:tr>
      <w:tr w:rsidR="002B653A">
        <w:trPr>
          <w:trHeight w:val="360"/>
        </w:trPr>
        <w:tc>
          <w:tcPr>
            <w:tcW w:w="479" w:type="pct"/>
            <w:vMerge/>
            <w:shd w:val="clear" w:color="auto" w:fill="auto"/>
            <w:vAlign w:val="center"/>
          </w:tcPr>
          <w:p w:rsidR="002B653A" w:rsidRDefault="002B653A" w:rsidP="0091109A">
            <w:pPr>
              <w:adjustRightInd w:val="0"/>
              <w:snapToGrid w:val="0"/>
              <w:spacing w:beforeLines="50" w:afterLines="50"/>
              <w:jc w:val="left"/>
              <w:rPr>
                <w:rFonts w:ascii="等线" w:eastAsia="等线" w:hAnsi="等线" w:cs="宋体"/>
                <w:color w:val="000000"/>
                <w:kern w:val="0"/>
                <w:sz w:val="22"/>
              </w:rPr>
            </w:pPr>
          </w:p>
        </w:tc>
        <w:tc>
          <w:tcPr>
            <w:tcW w:w="390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社区公共卫生防控体系建成率（%）</w:t>
            </w:r>
          </w:p>
        </w:tc>
        <w:tc>
          <w:tcPr>
            <w:tcW w:w="612"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p>
        </w:tc>
      </w:tr>
      <w:tr w:rsidR="002B653A">
        <w:trPr>
          <w:trHeight w:val="360"/>
        </w:trPr>
        <w:tc>
          <w:tcPr>
            <w:tcW w:w="479" w:type="pct"/>
            <w:vMerge/>
            <w:shd w:val="clear" w:color="auto" w:fill="auto"/>
            <w:vAlign w:val="center"/>
          </w:tcPr>
          <w:p w:rsidR="002B653A" w:rsidRDefault="002B653A" w:rsidP="0091109A">
            <w:pPr>
              <w:adjustRightInd w:val="0"/>
              <w:snapToGrid w:val="0"/>
              <w:spacing w:beforeLines="50" w:afterLines="50"/>
              <w:jc w:val="left"/>
              <w:rPr>
                <w:rFonts w:ascii="等线" w:eastAsia="等线" w:hAnsi="等线" w:cs="宋体"/>
                <w:color w:val="000000"/>
                <w:kern w:val="0"/>
                <w:sz w:val="22"/>
              </w:rPr>
            </w:pPr>
          </w:p>
        </w:tc>
        <w:tc>
          <w:tcPr>
            <w:tcW w:w="390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村庄消防、安保、灾害等预警预防体系和应急机制建设率（%）</w:t>
            </w:r>
          </w:p>
        </w:tc>
        <w:tc>
          <w:tcPr>
            <w:tcW w:w="612"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80</w:t>
            </w:r>
          </w:p>
        </w:tc>
      </w:tr>
      <w:tr w:rsidR="002B653A">
        <w:trPr>
          <w:trHeight w:val="360"/>
        </w:trPr>
        <w:tc>
          <w:tcPr>
            <w:tcW w:w="479" w:type="pct"/>
            <w:vMerge/>
            <w:shd w:val="clear" w:color="auto" w:fill="auto"/>
            <w:vAlign w:val="center"/>
          </w:tcPr>
          <w:p w:rsidR="002B653A" w:rsidRDefault="002B653A" w:rsidP="0091109A">
            <w:pPr>
              <w:widowControl/>
              <w:adjustRightInd w:val="0"/>
              <w:snapToGrid w:val="0"/>
              <w:spacing w:beforeLines="50" w:afterLines="50"/>
              <w:jc w:val="left"/>
              <w:rPr>
                <w:rFonts w:ascii="等线" w:eastAsia="等线" w:hAnsi="等线" w:cs="宋体"/>
                <w:color w:val="000000"/>
                <w:kern w:val="0"/>
                <w:sz w:val="22"/>
              </w:rPr>
            </w:pPr>
          </w:p>
        </w:tc>
        <w:tc>
          <w:tcPr>
            <w:tcW w:w="3909"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村庄公共卫生防控体系建成率（%）</w:t>
            </w:r>
          </w:p>
        </w:tc>
        <w:tc>
          <w:tcPr>
            <w:tcW w:w="612" w:type="pct"/>
            <w:shd w:val="clear" w:color="auto" w:fill="auto"/>
            <w:vAlign w:val="center"/>
          </w:tcPr>
          <w:p w:rsidR="002B653A" w:rsidRDefault="00DF1AA7" w:rsidP="0091109A">
            <w:pPr>
              <w:widowControl/>
              <w:adjustRightInd w:val="0"/>
              <w:snapToGrid w:val="0"/>
              <w:spacing w:beforeLines="50" w:afterLines="5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100</w:t>
            </w:r>
          </w:p>
        </w:tc>
      </w:tr>
    </w:tbl>
    <w:p w:rsidR="002B653A" w:rsidRDefault="002B653A"/>
    <w:p w:rsidR="002B653A" w:rsidRDefault="002B653A"/>
    <w:p w:rsidR="002B653A" w:rsidRDefault="002B653A">
      <w:pPr>
        <w:pStyle w:val="4"/>
      </w:pPr>
    </w:p>
    <w:p w:rsidR="002B653A" w:rsidRDefault="002B653A">
      <w:pPr>
        <w:pStyle w:val="4"/>
      </w:pPr>
    </w:p>
    <w:sectPr w:rsidR="002B653A" w:rsidSect="002B653A">
      <w:footerReference w:type="default" r:id="rId16"/>
      <w:footnotePr>
        <w:numFmt w:val="decimalEnclosedCircleChinese"/>
      </w:footnotePr>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4AD" w:rsidRDefault="00A424AD" w:rsidP="002B653A">
      <w:r>
        <w:separator/>
      </w:r>
    </w:p>
  </w:endnote>
  <w:endnote w:type="continuationSeparator" w:id="0">
    <w:p w:rsidR="00A424AD" w:rsidRDefault="00A424AD" w:rsidP="002B65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2F" w:rsidRDefault="00981E2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53A" w:rsidRDefault="00182780">
    <w:pPr>
      <w:pStyle w:val="a6"/>
      <w:jc w:val="center"/>
      <w:rPr>
        <w:rFonts w:ascii="Times New Roman" w:hAnsi="Times New Roman"/>
        <w:b/>
        <w:bCs/>
        <w:sz w:val="24"/>
        <w:szCs w:val="24"/>
      </w:rPr>
    </w:pPr>
    <w:r>
      <w:rPr>
        <w:rFonts w:ascii="Times New Roman" w:hAnsi="Times New Roman"/>
        <w:b/>
        <w:bCs/>
        <w:sz w:val="24"/>
        <w:szCs w:val="24"/>
      </w:rPr>
      <w:fldChar w:fldCharType="begin"/>
    </w:r>
    <w:r w:rsidR="00DF1AA7">
      <w:rPr>
        <w:rFonts w:ascii="Times New Roman" w:hAnsi="Times New Roman"/>
        <w:b/>
        <w:bCs/>
        <w:sz w:val="24"/>
        <w:szCs w:val="24"/>
      </w:rPr>
      <w:instrText>PAGE   \* MERGEFORMAT</w:instrText>
    </w:r>
    <w:r>
      <w:rPr>
        <w:rFonts w:ascii="Times New Roman" w:hAnsi="Times New Roman"/>
        <w:b/>
        <w:bCs/>
        <w:sz w:val="24"/>
        <w:szCs w:val="24"/>
      </w:rPr>
      <w:fldChar w:fldCharType="separate"/>
    </w:r>
    <w:r w:rsidR="0091109A" w:rsidRPr="0091109A">
      <w:rPr>
        <w:rFonts w:ascii="Times New Roman" w:hAnsi="Times New Roman"/>
        <w:b/>
        <w:bCs/>
        <w:noProof/>
        <w:sz w:val="24"/>
        <w:szCs w:val="24"/>
        <w:lang w:val="zh-CN"/>
      </w:rPr>
      <w:t>II</w:t>
    </w:r>
    <w:r>
      <w:rPr>
        <w:rFonts w:ascii="Times New Roman" w:hAnsi="Times New Roman"/>
        <w:b/>
        <w:bCs/>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2F" w:rsidRDefault="00981E2F">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53A" w:rsidRDefault="002B653A">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53A" w:rsidRDefault="00182780">
    <w:pPr>
      <w:pStyle w:val="a6"/>
      <w:jc w:val="center"/>
      <w:rPr>
        <w:rFonts w:ascii="Times New Roman" w:hAnsi="Times New Roman"/>
        <w:b/>
        <w:bCs/>
        <w:sz w:val="24"/>
        <w:szCs w:val="24"/>
      </w:rPr>
    </w:pPr>
    <w:r>
      <w:rPr>
        <w:rFonts w:ascii="Times New Roman" w:hAnsi="Times New Roman"/>
        <w:b/>
        <w:bCs/>
        <w:sz w:val="24"/>
        <w:szCs w:val="24"/>
      </w:rPr>
      <w:fldChar w:fldCharType="begin"/>
    </w:r>
    <w:r w:rsidR="00DF1AA7">
      <w:rPr>
        <w:rFonts w:ascii="Times New Roman" w:hAnsi="Times New Roman"/>
        <w:b/>
        <w:bCs/>
        <w:sz w:val="24"/>
        <w:szCs w:val="24"/>
      </w:rPr>
      <w:instrText>PAGE   \* MERGEFORMAT</w:instrText>
    </w:r>
    <w:r>
      <w:rPr>
        <w:rFonts w:ascii="Times New Roman" w:hAnsi="Times New Roman"/>
        <w:b/>
        <w:bCs/>
        <w:sz w:val="24"/>
        <w:szCs w:val="24"/>
      </w:rPr>
      <w:fldChar w:fldCharType="separate"/>
    </w:r>
    <w:r w:rsidR="0091109A" w:rsidRPr="0091109A">
      <w:rPr>
        <w:rFonts w:ascii="Times New Roman" w:hAnsi="Times New Roman"/>
        <w:b/>
        <w:bCs/>
        <w:noProof/>
        <w:sz w:val="24"/>
        <w:szCs w:val="24"/>
        <w:lang w:val="zh-CN"/>
      </w:rPr>
      <w:t>2</w:t>
    </w:r>
    <w:r>
      <w:rPr>
        <w:rFonts w:ascii="Times New Roman" w:hAnsi="Times New Roman"/>
        <w:b/>
        <w:bCs/>
        <w:sz w:val="24"/>
        <w:szCs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53A" w:rsidRDefault="00182780">
    <w:pPr>
      <w:pStyle w:val="a6"/>
      <w:jc w:val="center"/>
      <w:rPr>
        <w:rFonts w:ascii="Times New Roman" w:hAnsi="Times New Roman"/>
        <w:b/>
        <w:bCs/>
        <w:sz w:val="24"/>
        <w:szCs w:val="24"/>
      </w:rPr>
    </w:pPr>
    <w:r>
      <w:rPr>
        <w:rFonts w:ascii="Times New Roman" w:hAnsi="Times New Roman"/>
        <w:b/>
        <w:bCs/>
        <w:sz w:val="24"/>
        <w:szCs w:val="24"/>
      </w:rPr>
      <w:fldChar w:fldCharType="begin"/>
    </w:r>
    <w:r w:rsidR="00DF1AA7">
      <w:rPr>
        <w:rFonts w:ascii="Times New Roman" w:hAnsi="Times New Roman"/>
        <w:b/>
        <w:bCs/>
        <w:sz w:val="24"/>
        <w:szCs w:val="24"/>
      </w:rPr>
      <w:instrText>PAGE   \* MERGEFORMAT</w:instrText>
    </w:r>
    <w:r>
      <w:rPr>
        <w:rFonts w:ascii="Times New Roman" w:hAnsi="Times New Roman"/>
        <w:b/>
        <w:bCs/>
        <w:sz w:val="24"/>
        <w:szCs w:val="24"/>
      </w:rPr>
      <w:fldChar w:fldCharType="separate"/>
    </w:r>
    <w:r w:rsidR="0091109A" w:rsidRPr="0091109A">
      <w:rPr>
        <w:rFonts w:ascii="Times New Roman" w:hAnsi="Times New Roman"/>
        <w:b/>
        <w:bCs/>
        <w:noProof/>
        <w:sz w:val="24"/>
        <w:szCs w:val="24"/>
        <w:lang w:val="zh-CN"/>
      </w:rPr>
      <w:t>28</w:t>
    </w:r>
    <w:r>
      <w:rPr>
        <w:rFonts w:ascii="Times New Roman" w:hAnsi="Times New Roman"/>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4AD" w:rsidRDefault="00A424AD" w:rsidP="002B653A">
      <w:r>
        <w:separator/>
      </w:r>
    </w:p>
  </w:footnote>
  <w:footnote w:type="continuationSeparator" w:id="0">
    <w:p w:rsidR="00A424AD" w:rsidRDefault="00A424AD" w:rsidP="002B6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2F" w:rsidRDefault="00981E2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2F" w:rsidRDefault="00981E2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2F" w:rsidRDefault="00981E2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6B8A"/>
    <w:rsid w:val="000019FB"/>
    <w:rsid w:val="00010A1A"/>
    <w:rsid w:val="00012415"/>
    <w:rsid w:val="00013EC6"/>
    <w:rsid w:val="00017A2F"/>
    <w:rsid w:val="000200B0"/>
    <w:rsid w:val="000204E2"/>
    <w:rsid w:val="000259C8"/>
    <w:rsid w:val="00025A55"/>
    <w:rsid w:val="000266ED"/>
    <w:rsid w:val="000301C4"/>
    <w:rsid w:val="00033774"/>
    <w:rsid w:val="000412F6"/>
    <w:rsid w:val="00052C10"/>
    <w:rsid w:val="0005597F"/>
    <w:rsid w:val="00056B8A"/>
    <w:rsid w:val="00057CC5"/>
    <w:rsid w:val="00060895"/>
    <w:rsid w:val="00064E8E"/>
    <w:rsid w:val="00065712"/>
    <w:rsid w:val="00067057"/>
    <w:rsid w:val="000721D7"/>
    <w:rsid w:val="00073458"/>
    <w:rsid w:val="00073B2E"/>
    <w:rsid w:val="000742BD"/>
    <w:rsid w:val="0008219E"/>
    <w:rsid w:val="00083FFB"/>
    <w:rsid w:val="0008738F"/>
    <w:rsid w:val="00091F9E"/>
    <w:rsid w:val="00091FCD"/>
    <w:rsid w:val="00093561"/>
    <w:rsid w:val="00095ADA"/>
    <w:rsid w:val="000968E0"/>
    <w:rsid w:val="000A3A71"/>
    <w:rsid w:val="000A611A"/>
    <w:rsid w:val="000A65E8"/>
    <w:rsid w:val="000B15DF"/>
    <w:rsid w:val="000B5BA0"/>
    <w:rsid w:val="000C3291"/>
    <w:rsid w:val="000C7968"/>
    <w:rsid w:val="000D30AB"/>
    <w:rsid w:val="000D6CF3"/>
    <w:rsid w:val="000E18A6"/>
    <w:rsid w:val="000E2753"/>
    <w:rsid w:val="000E3EB4"/>
    <w:rsid w:val="000F6982"/>
    <w:rsid w:val="00104E3C"/>
    <w:rsid w:val="00106B77"/>
    <w:rsid w:val="00125DA2"/>
    <w:rsid w:val="001356D5"/>
    <w:rsid w:val="00136FD0"/>
    <w:rsid w:val="00147A58"/>
    <w:rsid w:val="001563C3"/>
    <w:rsid w:val="00161EEF"/>
    <w:rsid w:val="001811FC"/>
    <w:rsid w:val="00182780"/>
    <w:rsid w:val="00193B0D"/>
    <w:rsid w:val="00197BBE"/>
    <w:rsid w:val="00197D3D"/>
    <w:rsid w:val="00197EB3"/>
    <w:rsid w:val="001A064D"/>
    <w:rsid w:val="001A1E65"/>
    <w:rsid w:val="001A4C56"/>
    <w:rsid w:val="001B189A"/>
    <w:rsid w:val="001B2970"/>
    <w:rsid w:val="001B552D"/>
    <w:rsid w:val="001B6AC0"/>
    <w:rsid w:val="001B6DF1"/>
    <w:rsid w:val="001C38C9"/>
    <w:rsid w:val="001E568F"/>
    <w:rsid w:val="001E6958"/>
    <w:rsid w:val="001F3C97"/>
    <w:rsid w:val="001F41B6"/>
    <w:rsid w:val="001F7E22"/>
    <w:rsid w:val="0020000E"/>
    <w:rsid w:val="00203021"/>
    <w:rsid w:val="002032C9"/>
    <w:rsid w:val="00205810"/>
    <w:rsid w:val="00206AE1"/>
    <w:rsid w:val="0021286B"/>
    <w:rsid w:val="00213847"/>
    <w:rsid w:val="002255E8"/>
    <w:rsid w:val="00227419"/>
    <w:rsid w:val="00233BD4"/>
    <w:rsid w:val="002454DE"/>
    <w:rsid w:val="00245889"/>
    <w:rsid w:val="00254751"/>
    <w:rsid w:val="00265BD7"/>
    <w:rsid w:val="002731D6"/>
    <w:rsid w:val="00274D0C"/>
    <w:rsid w:val="00274DB7"/>
    <w:rsid w:val="00284CC0"/>
    <w:rsid w:val="00286481"/>
    <w:rsid w:val="00294238"/>
    <w:rsid w:val="00297F1C"/>
    <w:rsid w:val="002A71CA"/>
    <w:rsid w:val="002B1210"/>
    <w:rsid w:val="002B3695"/>
    <w:rsid w:val="002B653A"/>
    <w:rsid w:val="002D5A2C"/>
    <w:rsid w:val="002E04E6"/>
    <w:rsid w:val="002F28E9"/>
    <w:rsid w:val="002F5597"/>
    <w:rsid w:val="00301E30"/>
    <w:rsid w:val="00310493"/>
    <w:rsid w:val="00311BF8"/>
    <w:rsid w:val="00314F83"/>
    <w:rsid w:val="003158ED"/>
    <w:rsid w:val="003174F1"/>
    <w:rsid w:val="0032084C"/>
    <w:rsid w:val="00323061"/>
    <w:rsid w:val="0032777E"/>
    <w:rsid w:val="00332847"/>
    <w:rsid w:val="003337DA"/>
    <w:rsid w:val="00335A79"/>
    <w:rsid w:val="00335ECA"/>
    <w:rsid w:val="0033735F"/>
    <w:rsid w:val="003374E7"/>
    <w:rsid w:val="0034152F"/>
    <w:rsid w:val="00346DEB"/>
    <w:rsid w:val="0035010F"/>
    <w:rsid w:val="00360F51"/>
    <w:rsid w:val="003669CF"/>
    <w:rsid w:val="003742F6"/>
    <w:rsid w:val="0037754E"/>
    <w:rsid w:val="003847C7"/>
    <w:rsid w:val="00384C33"/>
    <w:rsid w:val="00386322"/>
    <w:rsid w:val="00390B9A"/>
    <w:rsid w:val="003917F8"/>
    <w:rsid w:val="003A0E2F"/>
    <w:rsid w:val="003A3559"/>
    <w:rsid w:val="003A3F07"/>
    <w:rsid w:val="003A651E"/>
    <w:rsid w:val="003B0357"/>
    <w:rsid w:val="003B1408"/>
    <w:rsid w:val="003B2141"/>
    <w:rsid w:val="003B4880"/>
    <w:rsid w:val="003C0B14"/>
    <w:rsid w:val="003C26E3"/>
    <w:rsid w:val="003C3E03"/>
    <w:rsid w:val="003C4ADA"/>
    <w:rsid w:val="003C691B"/>
    <w:rsid w:val="003D0FA3"/>
    <w:rsid w:val="003D1F46"/>
    <w:rsid w:val="003D48F2"/>
    <w:rsid w:val="003D5495"/>
    <w:rsid w:val="003D5527"/>
    <w:rsid w:val="003F2BFC"/>
    <w:rsid w:val="003F32E7"/>
    <w:rsid w:val="003F48A8"/>
    <w:rsid w:val="0040413B"/>
    <w:rsid w:val="0040456C"/>
    <w:rsid w:val="00405715"/>
    <w:rsid w:val="00412D9E"/>
    <w:rsid w:val="004140B9"/>
    <w:rsid w:val="004146A0"/>
    <w:rsid w:val="00414C3A"/>
    <w:rsid w:val="00422E80"/>
    <w:rsid w:val="004231DF"/>
    <w:rsid w:val="0042631B"/>
    <w:rsid w:val="0042787E"/>
    <w:rsid w:val="00427EC1"/>
    <w:rsid w:val="0044142E"/>
    <w:rsid w:val="00442658"/>
    <w:rsid w:val="00444AC8"/>
    <w:rsid w:val="0045427D"/>
    <w:rsid w:val="00455CFA"/>
    <w:rsid w:val="0045785B"/>
    <w:rsid w:val="0046663C"/>
    <w:rsid w:val="00474943"/>
    <w:rsid w:val="00474BB7"/>
    <w:rsid w:val="004868C4"/>
    <w:rsid w:val="0048690D"/>
    <w:rsid w:val="00495529"/>
    <w:rsid w:val="004A19EF"/>
    <w:rsid w:val="004A2DD7"/>
    <w:rsid w:val="004A3230"/>
    <w:rsid w:val="004A38FC"/>
    <w:rsid w:val="004A5036"/>
    <w:rsid w:val="004A54AC"/>
    <w:rsid w:val="004A5C73"/>
    <w:rsid w:val="004A6526"/>
    <w:rsid w:val="004A75A5"/>
    <w:rsid w:val="004B2CEC"/>
    <w:rsid w:val="004B7BCC"/>
    <w:rsid w:val="004C53EC"/>
    <w:rsid w:val="004C6E94"/>
    <w:rsid w:val="004D0056"/>
    <w:rsid w:val="004E104D"/>
    <w:rsid w:val="004F3078"/>
    <w:rsid w:val="004F5099"/>
    <w:rsid w:val="00500044"/>
    <w:rsid w:val="00503679"/>
    <w:rsid w:val="00507AF4"/>
    <w:rsid w:val="00510A70"/>
    <w:rsid w:val="0051455C"/>
    <w:rsid w:val="00521D78"/>
    <w:rsid w:val="0053502C"/>
    <w:rsid w:val="00540566"/>
    <w:rsid w:val="00542E98"/>
    <w:rsid w:val="00544B2B"/>
    <w:rsid w:val="00551901"/>
    <w:rsid w:val="005621E1"/>
    <w:rsid w:val="00564595"/>
    <w:rsid w:val="005657FE"/>
    <w:rsid w:val="00567E4B"/>
    <w:rsid w:val="0057237B"/>
    <w:rsid w:val="005755F8"/>
    <w:rsid w:val="00576201"/>
    <w:rsid w:val="005863E4"/>
    <w:rsid w:val="00593FCE"/>
    <w:rsid w:val="0059673E"/>
    <w:rsid w:val="005A015C"/>
    <w:rsid w:val="005B1752"/>
    <w:rsid w:val="005B604B"/>
    <w:rsid w:val="005C22C8"/>
    <w:rsid w:val="005C241C"/>
    <w:rsid w:val="005D06E6"/>
    <w:rsid w:val="005D233B"/>
    <w:rsid w:val="005D5619"/>
    <w:rsid w:val="005F0D9A"/>
    <w:rsid w:val="005F0E1F"/>
    <w:rsid w:val="005F2DFD"/>
    <w:rsid w:val="005F35FD"/>
    <w:rsid w:val="005F3B9F"/>
    <w:rsid w:val="005F72B4"/>
    <w:rsid w:val="00602FCA"/>
    <w:rsid w:val="00606A6C"/>
    <w:rsid w:val="006154B3"/>
    <w:rsid w:val="00616782"/>
    <w:rsid w:val="00617D42"/>
    <w:rsid w:val="00617D5D"/>
    <w:rsid w:val="00620255"/>
    <w:rsid w:val="00622EE1"/>
    <w:rsid w:val="0062491B"/>
    <w:rsid w:val="00634675"/>
    <w:rsid w:val="006351AC"/>
    <w:rsid w:val="006367AF"/>
    <w:rsid w:val="00636E1E"/>
    <w:rsid w:val="006424B7"/>
    <w:rsid w:val="006519E0"/>
    <w:rsid w:val="006527DA"/>
    <w:rsid w:val="006556CB"/>
    <w:rsid w:val="00660BD5"/>
    <w:rsid w:val="00663A3E"/>
    <w:rsid w:val="00665604"/>
    <w:rsid w:val="00667169"/>
    <w:rsid w:val="006677BA"/>
    <w:rsid w:val="0067305E"/>
    <w:rsid w:val="00673920"/>
    <w:rsid w:val="00674E00"/>
    <w:rsid w:val="00675D68"/>
    <w:rsid w:val="0068230E"/>
    <w:rsid w:val="00684518"/>
    <w:rsid w:val="006851A0"/>
    <w:rsid w:val="00692799"/>
    <w:rsid w:val="006A33DA"/>
    <w:rsid w:val="006B4FFB"/>
    <w:rsid w:val="006C0B46"/>
    <w:rsid w:val="006C5EA7"/>
    <w:rsid w:val="006E4C73"/>
    <w:rsid w:val="006E6236"/>
    <w:rsid w:val="006F0916"/>
    <w:rsid w:val="006F5AB7"/>
    <w:rsid w:val="00702053"/>
    <w:rsid w:val="00705900"/>
    <w:rsid w:val="00712F46"/>
    <w:rsid w:val="00714C24"/>
    <w:rsid w:val="00723314"/>
    <w:rsid w:val="00731068"/>
    <w:rsid w:val="00733A8E"/>
    <w:rsid w:val="00735FF0"/>
    <w:rsid w:val="00743ACE"/>
    <w:rsid w:val="007466E6"/>
    <w:rsid w:val="00747069"/>
    <w:rsid w:val="00753F7C"/>
    <w:rsid w:val="00755185"/>
    <w:rsid w:val="007651E9"/>
    <w:rsid w:val="007657B1"/>
    <w:rsid w:val="007709C4"/>
    <w:rsid w:val="007716E0"/>
    <w:rsid w:val="007765C1"/>
    <w:rsid w:val="00780737"/>
    <w:rsid w:val="0078176B"/>
    <w:rsid w:val="00782BA8"/>
    <w:rsid w:val="00783509"/>
    <w:rsid w:val="007846F4"/>
    <w:rsid w:val="007871AD"/>
    <w:rsid w:val="00793F0D"/>
    <w:rsid w:val="00795FF3"/>
    <w:rsid w:val="007A073B"/>
    <w:rsid w:val="007A2579"/>
    <w:rsid w:val="007A7F2E"/>
    <w:rsid w:val="007B18CB"/>
    <w:rsid w:val="007B30DF"/>
    <w:rsid w:val="007B6338"/>
    <w:rsid w:val="007B74BD"/>
    <w:rsid w:val="007B7ACC"/>
    <w:rsid w:val="007C0AC1"/>
    <w:rsid w:val="007C78F2"/>
    <w:rsid w:val="007D2966"/>
    <w:rsid w:val="007D43F5"/>
    <w:rsid w:val="007E7539"/>
    <w:rsid w:val="00803FE7"/>
    <w:rsid w:val="00806E44"/>
    <w:rsid w:val="0081112E"/>
    <w:rsid w:val="008230CB"/>
    <w:rsid w:val="00824A02"/>
    <w:rsid w:val="008349D0"/>
    <w:rsid w:val="00834AAC"/>
    <w:rsid w:val="008369B2"/>
    <w:rsid w:val="0083714F"/>
    <w:rsid w:val="0084442C"/>
    <w:rsid w:val="008458D2"/>
    <w:rsid w:val="00846F0F"/>
    <w:rsid w:val="00850029"/>
    <w:rsid w:val="00852155"/>
    <w:rsid w:val="00854E89"/>
    <w:rsid w:val="0085596C"/>
    <w:rsid w:val="00856747"/>
    <w:rsid w:val="00862079"/>
    <w:rsid w:val="008621A9"/>
    <w:rsid w:val="00863FC6"/>
    <w:rsid w:val="00864AE1"/>
    <w:rsid w:val="008662C1"/>
    <w:rsid w:val="00872279"/>
    <w:rsid w:val="008740F1"/>
    <w:rsid w:val="00877CB8"/>
    <w:rsid w:val="008824C0"/>
    <w:rsid w:val="00882F04"/>
    <w:rsid w:val="00895035"/>
    <w:rsid w:val="008A2E41"/>
    <w:rsid w:val="008A660D"/>
    <w:rsid w:val="008A77A9"/>
    <w:rsid w:val="008B2F5F"/>
    <w:rsid w:val="008D0B1F"/>
    <w:rsid w:val="008D4D0C"/>
    <w:rsid w:val="008D59CA"/>
    <w:rsid w:val="008E096E"/>
    <w:rsid w:val="008E1DBE"/>
    <w:rsid w:val="008E3C62"/>
    <w:rsid w:val="008E451B"/>
    <w:rsid w:val="008E5187"/>
    <w:rsid w:val="008F035D"/>
    <w:rsid w:val="008F51D7"/>
    <w:rsid w:val="00900945"/>
    <w:rsid w:val="00900CD8"/>
    <w:rsid w:val="00906AB9"/>
    <w:rsid w:val="0091109A"/>
    <w:rsid w:val="009119D0"/>
    <w:rsid w:val="0091332D"/>
    <w:rsid w:val="00913FBB"/>
    <w:rsid w:val="009277A4"/>
    <w:rsid w:val="009353B8"/>
    <w:rsid w:val="00942FCA"/>
    <w:rsid w:val="009454FD"/>
    <w:rsid w:val="0095289E"/>
    <w:rsid w:val="00953A52"/>
    <w:rsid w:val="00955C67"/>
    <w:rsid w:val="009561C3"/>
    <w:rsid w:val="00957300"/>
    <w:rsid w:val="0096134C"/>
    <w:rsid w:val="009644D2"/>
    <w:rsid w:val="00967754"/>
    <w:rsid w:val="00970099"/>
    <w:rsid w:val="00971938"/>
    <w:rsid w:val="00971F28"/>
    <w:rsid w:val="00973717"/>
    <w:rsid w:val="00981E2F"/>
    <w:rsid w:val="00982CDF"/>
    <w:rsid w:val="009855D0"/>
    <w:rsid w:val="0098619A"/>
    <w:rsid w:val="0099476B"/>
    <w:rsid w:val="00995E34"/>
    <w:rsid w:val="00996CE0"/>
    <w:rsid w:val="009A1475"/>
    <w:rsid w:val="009A32CC"/>
    <w:rsid w:val="009A44BD"/>
    <w:rsid w:val="009A5455"/>
    <w:rsid w:val="009A66D7"/>
    <w:rsid w:val="009B0802"/>
    <w:rsid w:val="009B34F7"/>
    <w:rsid w:val="009B6F6A"/>
    <w:rsid w:val="009C20CA"/>
    <w:rsid w:val="009D20F7"/>
    <w:rsid w:val="009D232D"/>
    <w:rsid w:val="009E722D"/>
    <w:rsid w:val="009F2227"/>
    <w:rsid w:val="009F4FBD"/>
    <w:rsid w:val="00A00D24"/>
    <w:rsid w:val="00A02734"/>
    <w:rsid w:val="00A02A8A"/>
    <w:rsid w:val="00A1053E"/>
    <w:rsid w:val="00A35C2B"/>
    <w:rsid w:val="00A4062B"/>
    <w:rsid w:val="00A40F43"/>
    <w:rsid w:val="00A424AD"/>
    <w:rsid w:val="00A43B6A"/>
    <w:rsid w:val="00A51CBD"/>
    <w:rsid w:val="00A572F8"/>
    <w:rsid w:val="00A6485C"/>
    <w:rsid w:val="00A64C9E"/>
    <w:rsid w:val="00A76088"/>
    <w:rsid w:val="00A7770E"/>
    <w:rsid w:val="00A84431"/>
    <w:rsid w:val="00A859BD"/>
    <w:rsid w:val="00A8625B"/>
    <w:rsid w:val="00A8723D"/>
    <w:rsid w:val="00A910AC"/>
    <w:rsid w:val="00A92E95"/>
    <w:rsid w:val="00A94EB9"/>
    <w:rsid w:val="00A957A4"/>
    <w:rsid w:val="00AB0B33"/>
    <w:rsid w:val="00AB389D"/>
    <w:rsid w:val="00AB7113"/>
    <w:rsid w:val="00AC31DA"/>
    <w:rsid w:val="00AC4360"/>
    <w:rsid w:val="00AC5498"/>
    <w:rsid w:val="00AC7082"/>
    <w:rsid w:val="00AD0234"/>
    <w:rsid w:val="00AD4EA5"/>
    <w:rsid w:val="00AD672E"/>
    <w:rsid w:val="00AD7485"/>
    <w:rsid w:val="00AD75E8"/>
    <w:rsid w:val="00AD7E12"/>
    <w:rsid w:val="00AE42D6"/>
    <w:rsid w:val="00AE4EFF"/>
    <w:rsid w:val="00AF03BF"/>
    <w:rsid w:val="00AF0C7B"/>
    <w:rsid w:val="00AF2893"/>
    <w:rsid w:val="00AF4376"/>
    <w:rsid w:val="00AF5F56"/>
    <w:rsid w:val="00B0337E"/>
    <w:rsid w:val="00B0702F"/>
    <w:rsid w:val="00B10A9A"/>
    <w:rsid w:val="00B14605"/>
    <w:rsid w:val="00B15041"/>
    <w:rsid w:val="00B26837"/>
    <w:rsid w:val="00B30522"/>
    <w:rsid w:val="00B33D7E"/>
    <w:rsid w:val="00B33FB7"/>
    <w:rsid w:val="00B468C5"/>
    <w:rsid w:val="00B46AF4"/>
    <w:rsid w:val="00B51008"/>
    <w:rsid w:val="00B5328A"/>
    <w:rsid w:val="00B53A87"/>
    <w:rsid w:val="00B71454"/>
    <w:rsid w:val="00B802F6"/>
    <w:rsid w:val="00B805B0"/>
    <w:rsid w:val="00B8072B"/>
    <w:rsid w:val="00B82C3A"/>
    <w:rsid w:val="00B8361B"/>
    <w:rsid w:val="00B92A5A"/>
    <w:rsid w:val="00B956F8"/>
    <w:rsid w:val="00BA0471"/>
    <w:rsid w:val="00BA04CA"/>
    <w:rsid w:val="00BB28BF"/>
    <w:rsid w:val="00BB5F51"/>
    <w:rsid w:val="00BB6D88"/>
    <w:rsid w:val="00BC47F7"/>
    <w:rsid w:val="00BC64D0"/>
    <w:rsid w:val="00BC6769"/>
    <w:rsid w:val="00BC6E7C"/>
    <w:rsid w:val="00BD1344"/>
    <w:rsid w:val="00BD2F39"/>
    <w:rsid w:val="00BD3FDA"/>
    <w:rsid w:val="00BD7EDE"/>
    <w:rsid w:val="00BE1536"/>
    <w:rsid w:val="00BF46EF"/>
    <w:rsid w:val="00BF6A46"/>
    <w:rsid w:val="00BF7099"/>
    <w:rsid w:val="00C01C72"/>
    <w:rsid w:val="00C0571E"/>
    <w:rsid w:val="00C1241B"/>
    <w:rsid w:val="00C13AB7"/>
    <w:rsid w:val="00C16234"/>
    <w:rsid w:val="00C20F09"/>
    <w:rsid w:val="00C21F1E"/>
    <w:rsid w:val="00C27DEE"/>
    <w:rsid w:val="00C31366"/>
    <w:rsid w:val="00C31F35"/>
    <w:rsid w:val="00C348F9"/>
    <w:rsid w:val="00C3776C"/>
    <w:rsid w:val="00C378D0"/>
    <w:rsid w:val="00C53102"/>
    <w:rsid w:val="00C57651"/>
    <w:rsid w:val="00C61919"/>
    <w:rsid w:val="00C61D03"/>
    <w:rsid w:val="00C6239C"/>
    <w:rsid w:val="00C6477C"/>
    <w:rsid w:val="00C650B8"/>
    <w:rsid w:val="00C667F6"/>
    <w:rsid w:val="00C707D6"/>
    <w:rsid w:val="00C70834"/>
    <w:rsid w:val="00C70C59"/>
    <w:rsid w:val="00C729CA"/>
    <w:rsid w:val="00C840CF"/>
    <w:rsid w:val="00C848C7"/>
    <w:rsid w:val="00C84903"/>
    <w:rsid w:val="00C90690"/>
    <w:rsid w:val="00CA2B41"/>
    <w:rsid w:val="00CA3D17"/>
    <w:rsid w:val="00CA495F"/>
    <w:rsid w:val="00CB14C4"/>
    <w:rsid w:val="00CB7F71"/>
    <w:rsid w:val="00CC55C9"/>
    <w:rsid w:val="00CC5C98"/>
    <w:rsid w:val="00CC5F8B"/>
    <w:rsid w:val="00CD3A18"/>
    <w:rsid w:val="00CD3EA5"/>
    <w:rsid w:val="00CE002C"/>
    <w:rsid w:val="00CE2F81"/>
    <w:rsid w:val="00CF1762"/>
    <w:rsid w:val="00CF3056"/>
    <w:rsid w:val="00CF75D6"/>
    <w:rsid w:val="00CF7F1D"/>
    <w:rsid w:val="00D03F09"/>
    <w:rsid w:val="00D04FE1"/>
    <w:rsid w:val="00D1668E"/>
    <w:rsid w:val="00D20981"/>
    <w:rsid w:val="00D34CE6"/>
    <w:rsid w:val="00D52C05"/>
    <w:rsid w:val="00D6060E"/>
    <w:rsid w:val="00D67C78"/>
    <w:rsid w:val="00DA1194"/>
    <w:rsid w:val="00DA2FC7"/>
    <w:rsid w:val="00DB1BE3"/>
    <w:rsid w:val="00DB20A8"/>
    <w:rsid w:val="00DB7A82"/>
    <w:rsid w:val="00DC1059"/>
    <w:rsid w:val="00DC196D"/>
    <w:rsid w:val="00DC304D"/>
    <w:rsid w:val="00DD27C1"/>
    <w:rsid w:val="00DD3A1A"/>
    <w:rsid w:val="00DD637D"/>
    <w:rsid w:val="00DE388C"/>
    <w:rsid w:val="00DE607C"/>
    <w:rsid w:val="00DE70D0"/>
    <w:rsid w:val="00DF1AA7"/>
    <w:rsid w:val="00DF3EE1"/>
    <w:rsid w:val="00E00340"/>
    <w:rsid w:val="00E03014"/>
    <w:rsid w:val="00E0460A"/>
    <w:rsid w:val="00E05790"/>
    <w:rsid w:val="00E07F83"/>
    <w:rsid w:val="00E105EB"/>
    <w:rsid w:val="00E147E8"/>
    <w:rsid w:val="00E161BF"/>
    <w:rsid w:val="00E30F31"/>
    <w:rsid w:val="00E34BC6"/>
    <w:rsid w:val="00E35DA6"/>
    <w:rsid w:val="00E41080"/>
    <w:rsid w:val="00E4446A"/>
    <w:rsid w:val="00E45D77"/>
    <w:rsid w:val="00E51DDE"/>
    <w:rsid w:val="00E6184C"/>
    <w:rsid w:val="00E61946"/>
    <w:rsid w:val="00E61BE7"/>
    <w:rsid w:val="00E62A77"/>
    <w:rsid w:val="00E64549"/>
    <w:rsid w:val="00E77B32"/>
    <w:rsid w:val="00E816FD"/>
    <w:rsid w:val="00E86D26"/>
    <w:rsid w:val="00EC4427"/>
    <w:rsid w:val="00EC6F63"/>
    <w:rsid w:val="00ED000A"/>
    <w:rsid w:val="00ED070A"/>
    <w:rsid w:val="00EE2F51"/>
    <w:rsid w:val="00EE4571"/>
    <w:rsid w:val="00EE4C72"/>
    <w:rsid w:val="00F02E80"/>
    <w:rsid w:val="00F13CF7"/>
    <w:rsid w:val="00F21161"/>
    <w:rsid w:val="00F331E0"/>
    <w:rsid w:val="00F33743"/>
    <w:rsid w:val="00F37531"/>
    <w:rsid w:val="00F5082D"/>
    <w:rsid w:val="00F6156C"/>
    <w:rsid w:val="00F77E63"/>
    <w:rsid w:val="00F77FD4"/>
    <w:rsid w:val="00F807D5"/>
    <w:rsid w:val="00F80FDE"/>
    <w:rsid w:val="00F83431"/>
    <w:rsid w:val="00F8739F"/>
    <w:rsid w:val="00F96F75"/>
    <w:rsid w:val="00FA3F82"/>
    <w:rsid w:val="00FA4670"/>
    <w:rsid w:val="00FA7974"/>
    <w:rsid w:val="00FB0334"/>
    <w:rsid w:val="00FB0DCE"/>
    <w:rsid w:val="00FC18AD"/>
    <w:rsid w:val="00FC56F8"/>
    <w:rsid w:val="00FD1BFA"/>
    <w:rsid w:val="00FD6400"/>
    <w:rsid w:val="00FD6517"/>
    <w:rsid w:val="00FE4798"/>
    <w:rsid w:val="00FE523C"/>
    <w:rsid w:val="0C0435F8"/>
    <w:rsid w:val="13505A15"/>
    <w:rsid w:val="13A0180C"/>
    <w:rsid w:val="1E747EA3"/>
    <w:rsid w:val="1FF7041E"/>
    <w:rsid w:val="577018DA"/>
    <w:rsid w:val="57D970D0"/>
    <w:rsid w:val="694A0765"/>
    <w:rsid w:val="6E134BDB"/>
    <w:rsid w:val="75997675"/>
    <w:rsid w:val="7C712D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Normal Table"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2B653A"/>
    <w:pPr>
      <w:widowControl w:val="0"/>
      <w:jc w:val="both"/>
    </w:pPr>
    <w:rPr>
      <w:kern w:val="2"/>
      <w:sz w:val="21"/>
      <w:szCs w:val="22"/>
    </w:rPr>
  </w:style>
  <w:style w:type="paragraph" w:styleId="1">
    <w:name w:val="heading 1"/>
    <w:basedOn w:val="a"/>
    <w:next w:val="a"/>
    <w:link w:val="1Char"/>
    <w:uiPriority w:val="9"/>
    <w:qFormat/>
    <w:rsid w:val="002B653A"/>
    <w:pPr>
      <w:keepNext/>
      <w:keepLines/>
      <w:widowControl/>
      <w:adjustRightInd w:val="0"/>
      <w:snapToGrid w:val="0"/>
      <w:spacing w:before="340" w:after="330" w:line="578" w:lineRule="auto"/>
      <w:jc w:val="left"/>
      <w:outlineLvl w:val="0"/>
    </w:pPr>
    <w:rPr>
      <w:rFonts w:ascii="Tahoma" w:eastAsia="微软雅黑" w:hAnsi="Tahoma"/>
      <w:b/>
      <w:bCs/>
      <w:kern w:val="44"/>
      <w:sz w:val="44"/>
      <w:szCs w:val="44"/>
    </w:rPr>
  </w:style>
  <w:style w:type="paragraph" w:styleId="2">
    <w:name w:val="heading 2"/>
    <w:basedOn w:val="a"/>
    <w:next w:val="a"/>
    <w:link w:val="2Char"/>
    <w:uiPriority w:val="9"/>
    <w:qFormat/>
    <w:rsid w:val="002B653A"/>
    <w:pPr>
      <w:keepNext/>
      <w:keepLines/>
      <w:widowControl/>
      <w:adjustRightInd w:val="0"/>
      <w:snapToGrid w:val="0"/>
      <w:spacing w:before="260" w:after="260" w:line="416" w:lineRule="auto"/>
      <w:jc w:val="left"/>
      <w:outlineLvl w:val="1"/>
    </w:pPr>
    <w:rPr>
      <w:rFonts w:ascii="Cambria" w:hAnsi="Cambria"/>
      <w:b/>
      <w:bCs/>
      <w:kern w:val="0"/>
      <w:sz w:val="32"/>
      <w:szCs w:val="32"/>
    </w:rPr>
  </w:style>
  <w:style w:type="paragraph" w:styleId="3">
    <w:name w:val="heading 3"/>
    <w:basedOn w:val="a"/>
    <w:next w:val="a"/>
    <w:link w:val="3Char"/>
    <w:uiPriority w:val="9"/>
    <w:qFormat/>
    <w:rsid w:val="002B653A"/>
    <w:pPr>
      <w:keepNext/>
      <w:keepLines/>
      <w:spacing w:before="260" w:after="260" w:line="416" w:lineRule="auto"/>
      <w:outlineLvl w:val="2"/>
    </w:pPr>
    <w:rPr>
      <w:b/>
      <w:bCs/>
      <w:kern w:val="0"/>
      <w:sz w:val="32"/>
      <w:szCs w:val="32"/>
    </w:rPr>
  </w:style>
  <w:style w:type="paragraph" w:styleId="4">
    <w:name w:val="heading 4"/>
    <w:basedOn w:val="a"/>
    <w:next w:val="a"/>
    <w:uiPriority w:val="9"/>
    <w:semiHidden/>
    <w:unhideWhenUsed/>
    <w:qFormat/>
    <w:rsid w:val="002B653A"/>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2B653A"/>
    <w:rPr>
      <w:rFonts w:ascii="宋体"/>
      <w:sz w:val="18"/>
      <w:szCs w:val="18"/>
    </w:rPr>
  </w:style>
  <w:style w:type="paragraph" w:styleId="a4">
    <w:name w:val="annotation text"/>
    <w:basedOn w:val="a"/>
    <w:uiPriority w:val="99"/>
    <w:unhideWhenUsed/>
    <w:qFormat/>
    <w:rsid w:val="002B653A"/>
    <w:pPr>
      <w:jc w:val="left"/>
    </w:pPr>
  </w:style>
  <w:style w:type="paragraph" w:styleId="30">
    <w:name w:val="toc 3"/>
    <w:basedOn w:val="a"/>
    <w:next w:val="a"/>
    <w:uiPriority w:val="39"/>
    <w:unhideWhenUsed/>
    <w:qFormat/>
    <w:rsid w:val="002B653A"/>
    <w:pPr>
      <w:widowControl/>
      <w:spacing w:after="100" w:line="259" w:lineRule="auto"/>
      <w:ind w:left="440"/>
      <w:jc w:val="left"/>
    </w:pPr>
    <w:rPr>
      <w:kern w:val="0"/>
      <w:sz w:val="22"/>
    </w:rPr>
  </w:style>
  <w:style w:type="paragraph" w:styleId="a5">
    <w:name w:val="Balloon Text"/>
    <w:basedOn w:val="a"/>
    <w:link w:val="Char0"/>
    <w:uiPriority w:val="99"/>
    <w:unhideWhenUsed/>
    <w:qFormat/>
    <w:rsid w:val="002B653A"/>
    <w:rPr>
      <w:kern w:val="0"/>
      <w:sz w:val="18"/>
      <w:szCs w:val="18"/>
    </w:rPr>
  </w:style>
  <w:style w:type="paragraph" w:styleId="a6">
    <w:name w:val="footer"/>
    <w:basedOn w:val="a"/>
    <w:link w:val="Char1"/>
    <w:uiPriority w:val="99"/>
    <w:unhideWhenUsed/>
    <w:qFormat/>
    <w:rsid w:val="002B653A"/>
    <w:pPr>
      <w:tabs>
        <w:tab w:val="center" w:pos="4153"/>
        <w:tab w:val="right" w:pos="8306"/>
      </w:tabs>
      <w:snapToGrid w:val="0"/>
      <w:jc w:val="left"/>
    </w:pPr>
    <w:rPr>
      <w:kern w:val="0"/>
      <w:sz w:val="18"/>
      <w:szCs w:val="18"/>
    </w:rPr>
  </w:style>
  <w:style w:type="paragraph" w:styleId="a7">
    <w:name w:val="header"/>
    <w:basedOn w:val="a"/>
    <w:link w:val="Char2"/>
    <w:uiPriority w:val="99"/>
    <w:unhideWhenUsed/>
    <w:qFormat/>
    <w:rsid w:val="002B653A"/>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rsid w:val="002B653A"/>
    <w:pPr>
      <w:widowControl/>
      <w:spacing w:after="100" w:line="259" w:lineRule="auto"/>
      <w:jc w:val="left"/>
    </w:pPr>
    <w:rPr>
      <w:kern w:val="0"/>
      <w:sz w:val="22"/>
    </w:rPr>
  </w:style>
  <w:style w:type="paragraph" w:styleId="a8">
    <w:name w:val="footnote text"/>
    <w:basedOn w:val="a"/>
    <w:link w:val="Char3"/>
    <w:uiPriority w:val="99"/>
    <w:unhideWhenUsed/>
    <w:qFormat/>
    <w:rsid w:val="002B653A"/>
    <w:pPr>
      <w:snapToGrid w:val="0"/>
      <w:jc w:val="left"/>
    </w:pPr>
    <w:rPr>
      <w:sz w:val="18"/>
      <w:szCs w:val="18"/>
    </w:rPr>
  </w:style>
  <w:style w:type="paragraph" w:styleId="20">
    <w:name w:val="toc 2"/>
    <w:basedOn w:val="a"/>
    <w:next w:val="a"/>
    <w:uiPriority w:val="39"/>
    <w:unhideWhenUsed/>
    <w:qFormat/>
    <w:rsid w:val="002B653A"/>
    <w:pPr>
      <w:widowControl/>
      <w:tabs>
        <w:tab w:val="right" w:leader="dot" w:pos="8296"/>
      </w:tabs>
      <w:adjustRightInd w:val="0"/>
      <w:snapToGrid w:val="0"/>
      <w:spacing w:line="348" w:lineRule="auto"/>
      <w:ind w:left="220"/>
      <w:jc w:val="left"/>
    </w:pPr>
    <w:rPr>
      <w:rFonts w:ascii="仿宋" w:eastAsia="仿宋" w:hAnsi="仿宋"/>
      <w:b/>
      <w:bCs/>
      <w:kern w:val="0"/>
      <w:sz w:val="30"/>
      <w:szCs w:val="30"/>
    </w:rPr>
  </w:style>
  <w:style w:type="paragraph" w:styleId="a9">
    <w:name w:val="Normal (Web)"/>
    <w:basedOn w:val="a"/>
    <w:uiPriority w:val="99"/>
    <w:unhideWhenUsed/>
    <w:qFormat/>
    <w:rsid w:val="002B653A"/>
    <w:pPr>
      <w:widowControl/>
      <w:spacing w:before="100" w:beforeAutospacing="1" w:after="100" w:afterAutospacing="1"/>
      <w:jc w:val="left"/>
    </w:pPr>
    <w:rPr>
      <w:rFonts w:ascii="宋体" w:hAnsi="宋体" w:cs="宋体"/>
      <w:kern w:val="0"/>
      <w:sz w:val="24"/>
      <w:szCs w:val="24"/>
    </w:rPr>
  </w:style>
  <w:style w:type="table" w:styleId="aa">
    <w:name w:val="Table Grid"/>
    <w:basedOn w:val="a1"/>
    <w:uiPriority w:val="39"/>
    <w:qFormat/>
    <w:rsid w:val="002B6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qFormat/>
    <w:rsid w:val="002B653A"/>
    <w:rPr>
      <w:color w:val="0000FF"/>
      <w:u w:val="single"/>
    </w:rPr>
  </w:style>
  <w:style w:type="character" w:styleId="ac">
    <w:name w:val="footnote reference"/>
    <w:uiPriority w:val="99"/>
    <w:unhideWhenUsed/>
    <w:qFormat/>
    <w:rsid w:val="002B653A"/>
    <w:rPr>
      <w:vertAlign w:val="superscript"/>
    </w:rPr>
  </w:style>
  <w:style w:type="character" w:customStyle="1" w:styleId="Char3">
    <w:name w:val="脚注文本 Char"/>
    <w:link w:val="a8"/>
    <w:uiPriority w:val="99"/>
    <w:semiHidden/>
    <w:qFormat/>
    <w:rsid w:val="002B653A"/>
    <w:rPr>
      <w:kern w:val="2"/>
      <w:sz w:val="18"/>
      <w:szCs w:val="18"/>
    </w:rPr>
  </w:style>
  <w:style w:type="character" w:customStyle="1" w:styleId="2Char">
    <w:name w:val="标题 2 Char"/>
    <w:link w:val="2"/>
    <w:uiPriority w:val="9"/>
    <w:qFormat/>
    <w:rsid w:val="002B653A"/>
    <w:rPr>
      <w:rFonts w:ascii="Cambria" w:eastAsia="宋体" w:hAnsi="Cambria" w:cs="Times New Roman"/>
      <w:b/>
      <w:bCs/>
      <w:kern w:val="0"/>
      <w:sz w:val="32"/>
      <w:szCs w:val="32"/>
    </w:rPr>
  </w:style>
  <w:style w:type="character" w:customStyle="1" w:styleId="Char2">
    <w:name w:val="页眉 Char"/>
    <w:link w:val="a7"/>
    <w:uiPriority w:val="99"/>
    <w:qFormat/>
    <w:rsid w:val="002B653A"/>
    <w:rPr>
      <w:sz w:val="18"/>
      <w:szCs w:val="18"/>
    </w:rPr>
  </w:style>
  <w:style w:type="character" w:customStyle="1" w:styleId="1Char">
    <w:name w:val="标题 1 Char"/>
    <w:link w:val="1"/>
    <w:uiPriority w:val="9"/>
    <w:qFormat/>
    <w:rsid w:val="002B653A"/>
    <w:rPr>
      <w:rFonts w:ascii="Tahoma" w:eastAsia="微软雅黑" w:hAnsi="Tahoma"/>
      <w:b/>
      <w:bCs/>
      <w:kern w:val="44"/>
      <w:sz w:val="44"/>
      <w:szCs w:val="44"/>
    </w:rPr>
  </w:style>
  <w:style w:type="character" w:customStyle="1" w:styleId="Char1">
    <w:name w:val="页脚 Char"/>
    <w:link w:val="a6"/>
    <w:uiPriority w:val="99"/>
    <w:qFormat/>
    <w:rsid w:val="002B653A"/>
    <w:rPr>
      <w:sz w:val="18"/>
      <w:szCs w:val="18"/>
    </w:rPr>
  </w:style>
  <w:style w:type="character" w:customStyle="1" w:styleId="3Char">
    <w:name w:val="标题 3 Char"/>
    <w:link w:val="3"/>
    <w:uiPriority w:val="9"/>
    <w:qFormat/>
    <w:rsid w:val="002B653A"/>
    <w:rPr>
      <w:b/>
      <w:bCs/>
      <w:sz w:val="32"/>
      <w:szCs w:val="32"/>
    </w:rPr>
  </w:style>
  <w:style w:type="character" w:customStyle="1" w:styleId="Char0">
    <w:name w:val="批注框文本 Char"/>
    <w:link w:val="a5"/>
    <w:uiPriority w:val="99"/>
    <w:semiHidden/>
    <w:qFormat/>
    <w:rsid w:val="002B653A"/>
    <w:rPr>
      <w:sz w:val="18"/>
      <w:szCs w:val="18"/>
    </w:rPr>
  </w:style>
  <w:style w:type="paragraph" w:customStyle="1" w:styleId="TOC1">
    <w:name w:val="TOC 标题1"/>
    <w:basedOn w:val="1"/>
    <w:next w:val="a"/>
    <w:uiPriority w:val="39"/>
    <w:qFormat/>
    <w:rsid w:val="002B653A"/>
    <w:pPr>
      <w:adjustRightInd/>
      <w:snapToGrid/>
      <w:spacing w:before="240" w:after="0" w:line="259" w:lineRule="auto"/>
      <w:outlineLvl w:val="9"/>
    </w:pPr>
    <w:rPr>
      <w:rFonts w:ascii="Cambria" w:eastAsia="宋体" w:hAnsi="Cambria"/>
      <w:b w:val="0"/>
      <w:bCs w:val="0"/>
      <w:color w:val="365F91"/>
      <w:kern w:val="0"/>
      <w:sz w:val="32"/>
      <w:szCs w:val="32"/>
    </w:rPr>
  </w:style>
  <w:style w:type="paragraph" w:customStyle="1" w:styleId="11">
    <w:name w:val="修订1"/>
    <w:hidden/>
    <w:uiPriority w:val="99"/>
    <w:unhideWhenUsed/>
    <w:qFormat/>
    <w:rsid w:val="002B653A"/>
    <w:rPr>
      <w:kern w:val="2"/>
      <w:sz w:val="21"/>
      <w:szCs w:val="22"/>
    </w:rPr>
  </w:style>
  <w:style w:type="character" w:customStyle="1" w:styleId="Char">
    <w:name w:val="文档结构图 Char"/>
    <w:basedOn w:val="a0"/>
    <w:link w:val="a3"/>
    <w:uiPriority w:val="99"/>
    <w:semiHidden/>
    <w:qFormat/>
    <w:rsid w:val="002B653A"/>
    <w:rPr>
      <w:rFonts w:ascii="宋体"/>
      <w:kern w:val="2"/>
      <w:sz w:val="18"/>
      <w:szCs w:val="18"/>
    </w:rPr>
  </w:style>
  <w:style w:type="paragraph" w:customStyle="1" w:styleId="TOC10">
    <w:name w:val="TOC 标题1"/>
    <w:basedOn w:val="1"/>
    <w:next w:val="a"/>
    <w:uiPriority w:val="39"/>
    <w:qFormat/>
    <w:rsid w:val="002B653A"/>
    <w:pPr>
      <w:adjustRightInd/>
      <w:snapToGrid/>
      <w:spacing w:before="240" w:after="0" w:line="259" w:lineRule="auto"/>
      <w:outlineLvl w:val="9"/>
    </w:pPr>
    <w:rPr>
      <w:rFonts w:ascii="Cambria" w:eastAsia="宋体" w:hAnsi="Cambria"/>
      <w:b w:val="0"/>
      <w:bCs w:val="0"/>
      <w:color w:val="365F91"/>
      <w:kern w:val="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AE82DD-6668-4391-A0F6-060ECFCB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4171</Words>
  <Characters>23777</Characters>
  <Application>Microsoft Office Word</Application>
  <DocSecurity>0</DocSecurity>
  <Lines>198</Lines>
  <Paragraphs>55</Paragraphs>
  <ScaleCrop>false</ScaleCrop>
  <Company>Microsoft</Company>
  <LinksUpToDate>false</LinksUpToDate>
  <CharactersWithSpaces>27893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61</cp:revision>
  <dcterms:created xsi:type="dcterms:W3CDTF">2021-11-29T07:18:00Z</dcterms:created>
  <dcterms:modified xsi:type="dcterms:W3CDTF">2023-06-12T03:51:00Z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A655B6E2764D4AA5AEE1362C1CC2FCCA</vt:lpwstr>
  </property>
</Properties>
</file>