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6B" w:rsidRPr="0020014A" w:rsidRDefault="009A7E6B" w:rsidP="0020014A">
      <w:pPr>
        <w:pStyle w:val="a5"/>
        <w:shd w:val="clear" w:color="auto" w:fill="FFFFFF"/>
        <w:spacing w:before="0" w:beforeAutospacing="0" w:after="0" w:afterAutospacing="0" w:line="540" w:lineRule="atLeast"/>
        <w:ind w:firstLineChars="400" w:firstLine="1285"/>
        <w:rPr>
          <w:b/>
          <w:color w:val="333333"/>
          <w:sz w:val="32"/>
          <w:szCs w:val="32"/>
        </w:rPr>
      </w:pPr>
      <w:r w:rsidRPr="0020014A">
        <w:rPr>
          <w:rFonts w:hint="eastAsia"/>
          <w:b/>
          <w:color w:val="333333"/>
          <w:sz w:val="32"/>
          <w:szCs w:val="32"/>
        </w:rPr>
        <w:t>广汉市发展和改革局2017年部门预算编制说明</w:t>
      </w:r>
    </w:p>
    <w:p w:rsidR="009A7E6B" w:rsidRDefault="009A7E6B" w:rsidP="009A7E6B">
      <w:pPr>
        <w:pStyle w:val="a5"/>
        <w:shd w:val="clear" w:color="auto" w:fill="FFFFFF"/>
        <w:spacing w:before="0" w:beforeAutospacing="0" w:after="0" w:afterAutospacing="0" w:line="540" w:lineRule="atLeast"/>
        <w:rPr>
          <w:color w:val="333333"/>
          <w:sz w:val="27"/>
          <w:szCs w:val="27"/>
        </w:rPr>
      </w:pP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按照预算管理有关规定，目前部门预算的编制实行综合预算制度，即全部收入和支出都反映在预算中。</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一、 基本职能及主要工作</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（一）基本职能</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我单位属于行政单位，执行行政单位会计制度，下设8个机构，分别是办公室、国民经济综合股、社会事业股、投资股、经济体制改革综合股、招标投标管理股、价格管理股、广汉市价格监督检查分局，其中由办公室负责管理单位固定资产。我局行政编制人数总计25人，其中行政编制22人，工勤人员编制3人，事业编制人员6人，2016年年末实有在职人数31人。</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（二）2017年重点工作</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1.投资备案（审批）情况。2017年，深入落实开展在线审批监管平台,进一步规范项目审批流程,做好政府投资项目审批，提高项目审批效率。</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2.调整充实“国家重大项目库”和“三年滚动投资计划项目库”，加大协调包装申请上级资金项目的力度，力争更多项目进入国家、省的“总盘子”。</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3.建立建成广汉市企业目录管理库，为服务企业发展、策划包装项目，争取更多的无偿资金打下坚实的基础。</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lastRenderedPageBreak/>
        <w:t>4.及时跟踪小汉工业集中区申报省级经开区相关工作，争取纳入《中国开发区审核公告目录》。</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5.积极做好成德同城化工作，协调我市有关部门按照德阳发展北部新城的思路，加强与周边县市对接，按照“五个协同”要求和我市建设成德同城示范区的目标定位，倾力加快北接德阳、南融成都的进程。</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6.鼓励符合条件的、有市场潜力的企业通过“新三板”上市实现融资需求，进一步利用“新三板”等多层次资本市场，提高重点项目企业直接融资比重，推动全市产业发展和转型升级。</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7.加强招投标监督管理，加大对部门的业务指导力度，营造好广汉市的投资环境。</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8.推进重点项目建设。全市初步安排省、市重点建设项目9个，总投资240.7亿元，其中省重点5个，总投资198.3亿元。</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9.认真落实价格改革相关工作。认真落实中央、省、市关于水气价格改革政策，积极疏导价格矛盾，完成阶梯水价调价工作。</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10.加大对违反价格管理法规行为的调查处理力度，加强市场价格巡查。坚持做好价格举报投诉受理，坚决打击市场垄断和各种乱涨价、乱收费行为，促进全市经济增长与社会稳定，切实维护群众利益。</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11.继续深入贯彻中央扶贫工作会议精神，坚持精准扶贫方针，加快转变经济发展方式，认真开展定点帮扶工作，加大行业扶贫力度。</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12.切实加强党风廉政建设，落实“两个责任”，改进工作作风，激励全局干部把精力凝聚到抓宏观、抓项目、抓创新、抓自身建设上来。</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二、部门概况</w:t>
      </w:r>
    </w:p>
    <w:p w:rsidR="009A7E6B" w:rsidRDefault="009A7E6B" w:rsidP="000D0C01">
      <w:pPr>
        <w:pStyle w:val="a5"/>
        <w:shd w:val="clear" w:color="auto" w:fill="FFFFFF"/>
        <w:spacing w:before="0" w:beforeAutospacing="0" w:after="0" w:afterAutospacing="0" w:line="540" w:lineRule="atLeast"/>
        <w:ind w:firstLineChars="150" w:firstLine="405"/>
        <w:rPr>
          <w:color w:val="333333"/>
          <w:sz w:val="27"/>
          <w:szCs w:val="27"/>
        </w:rPr>
      </w:pPr>
      <w:r>
        <w:rPr>
          <w:rFonts w:hint="eastAsia"/>
          <w:color w:val="333333"/>
          <w:sz w:val="27"/>
          <w:szCs w:val="27"/>
        </w:rPr>
        <w:lastRenderedPageBreak/>
        <w:t>广汉市发展和改革局是一级行政单位。</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三、收支预算总体情况</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2017年广汉市发展和改革局收入预算总额为626.75万元，</w:t>
      </w:r>
      <w:r w:rsidR="00CB544C">
        <w:rPr>
          <w:rFonts w:hint="eastAsia"/>
          <w:color w:val="333333"/>
          <w:sz w:val="27"/>
          <w:szCs w:val="27"/>
        </w:rPr>
        <w:t>比2016年增加21.34万元，增长3.5%，</w:t>
      </w:r>
      <w:r>
        <w:rPr>
          <w:rFonts w:hint="eastAsia"/>
          <w:color w:val="333333"/>
          <w:sz w:val="27"/>
          <w:szCs w:val="27"/>
        </w:rPr>
        <w:t>其中：当年财政拨款收入626.75</w:t>
      </w:r>
      <w:r w:rsidR="00241D8F">
        <w:rPr>
          <w:rFonts w:hint="eastAsia"/>
          <w:color w:val="333333"/>
          <w:sz w:val="27"/>
          <w:szCs w:val="27"/>
        </w:rPr>
        <w:t>万元</w:t>
      </w:r>
      <w:r>
        <w:rPr>
          <w:rFonts w:hint="eastAsia"/>
          <w:color w:val="333333"/>
          <w:sz w:val="27"/>
          <w:szCs w:val="27"/>
        </w:rPr>
        <w:t>。相应安排支出预算626.75万元，其中：一般公共服务508.23万元，社会保障和就业69.82万元，医疗卫生23.72万元，住房保障支出24.98万元。</w:t>
      </w:r>
    </w:p>
    <w:p w:rsidR="009A7E6B" w:rsidRDefault="009A7E6B" w:rsidP="000D0C01">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四、财政拨款支出预算安排情况</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广汉市发改局局预算安排财政拨款支出主要用于保障该部门机构正常运转、完成日常工作任务以及承担，相关工作。其中：</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基本支出，是用于保障机关、下属事业单位等机构正常运转的日常支出，包括基本工资122.57、津贴补贴92.6万元、奖金8.68万元、养老保险缴费43.75万元、职业年金缴费17.5万元、社保缴费（医疗）16.4元、退休费3.77万元、医疗门补助8.57万元、独生子女费0.08万元、绩效管理奖62万元等人员经费404.45以及办公费40.2万元、水电费5万元、邮电费21万元、差旅费40万元、工会经费3.10万元、培训费20万元、公务接待费10万元、劳务费13万元、委托业务费30万元、公务车运行费8万元、其他交费费30万元。办公设备购置等日常公用经费220.3万元。</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项目支出2万元，是用于保障机关、下属事业单位等机构为完成特定的行政工作任务或事业发展目标，用于日元贷款利息专项业务工作的经费支出。</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lastRenderedPageBreak/>
        <w:t>2017年广汉市发展和改革局预算财政拨款支出按支出功能分类主要用于以下方面:</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一）一般公共服务支出508.23万元，主要用于机关及下属事业单位人员工资、日常运转以及为完成特定行政工作任务和事业发展目标而安排的年度项目支出，项目支出主要包括：日元贷款利息专项业务工作的经费支出。</w:t>
      </w:r>
    </w:p>
    <w:p w:rsidR="009A7E6B" w:rsidRDefault="009A7E6B" w:rsidP="000D0C01">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（二）社会保障和就业支出69.82万元，主要用于：主要用于机关、下属事业单位离退休人员支出和基本养老保险、职业年金缴费支出等。</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（三）医疗卫生支出23.72万元，主要用于：主要用于机关及下属事业单位按照规定标准为职工缴纳的基本医疗保险及公务员医疗补助等支出。</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（四）住房保障支出24.98万元，主要用于：主要用于机关及下属事业单位按照规定标准为职工缴纳住房公积金等支出。　</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五、“三公”经费财政拨款预算安排情况</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2017年“三公”经费财政拨款预算数18万元，其中：因公出国（境）经费</w:t>
      </w:r>
      <w:r w:rsidR="00D7428D">
        <w:rPr>
          <w:rFonts w:hint="eastAsia"/>
          <w:color w:val="333333"/>
          <w:sz w:val="27"/>
          <w:szCs w:val="27"/>
        </w:rPr>
        <w:t>0</w:t>
      </w:r>
      <w:r>
        <w:rPr>
          <w:rFonts w:hint="eastAsia"/>
          <w:color w:val="333333"/>
          <w:sz w:val="27"/>
          <w:szCs w:val="27"/>
        </w:rPr>
        <w:t>万元，公务接待费10万元，公务用车购置及运行维护费8万元。</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（一）因公出国（境）经费较2016年预算无</w:t>
      </w:r>
    </w:p>
    <w:p w:rsidR="009A7E6B" w:rsidRDefault="009A7E6B" w:rsidP="0010634D">
      <w:pPr>
        <w:pStyle w:val="a5"/>
        <w:shd w:val="clear" w:color="auto" w:fill="FFFFFF"/>
        <w:spacing w:before="0" w:beforeAutospacing="0" w:after="0" w:afterAutospacing="0" w:line="540" w:lineRule="atLeast"/>
        <w:ind w:firstLineChars="150" w:firstLine="405"/>
        <w:rPr>
          <w:color w:val="333333"/>
          <w:sz w:val="27"/>
          <w:szCs w:val="27"/>
        </w:rPr>
      </w:pPr>
      <w:r>
        <w:rPr>
          <w:rFonts w:hint="eastAsia"/>
          <w:color w:val="333333"/>
          <w:sz w:val="27"/>
          <w:szCs w:val="27"/>
        </w:rPr>
        <w:t>（二）公务接待费较2016年</w:t>
      </w:r>
      <w:r w:rsidR="00D7428D">
        <w:rPr>
          <w:rFonts w:hint="eastAsia"/>
          <w:color w:val="333333"/>
          <w:sz w:val="27"/>
          <w:szCs w:val="27"/>
        </w:rPr>
        <w:t>减少5万元，减少</w:t>
      </w:r>
      <w:r w:rsidR="0010634D">
        <w:rPr>
          <w:rFonts w:hint="eastAsia"/>
          <w:color w:val="333333"/>
          <w:sz w:val="27"/>
          <w:szCs w:val="27"/>
        </w:rPr>
        <w:t>33.33%，减少原因为按国家公务接待规定，厉行节约，压缩公务接待开支。</w:t>
      </w:r>
    </w:p>
    <w:p w:rsidR="009A7E6B" w:rsidRDefault="009A7E6B" w:rsidP="000D0C01">
      <w:pPr>
        <w:pStyle w:val="a5"/>
        <w:shd w:val="clear" w:color="auto" w:fill="FFFFFF"/>
        <w:spacing w:before="0" w:beforeAutospacing="0" w:after="0" w:afterAutospacing="0" w:line="540" w:lineRule="atLeast"/>
        <w:ind w:firstLineChars="150" w:firstLine="405"/>
        <w:rPr>
          <w:color w:val="333333"/>
          <w:sz w:val="27"/>
          <w:szCs w:val="27"/>
        </w:rPr>
      </w:pPr>
      <w:r>
        <w:rPr>
          <w:rFonts w:hint="eastAsia"/>
          <w:color w:val="333333"/>
          <w:sz w:val="27"/>
          <w:szCs w:val="27"/>
        </w:rPr>
        <w:t>（三）公务用车运行维护费较2016年</w:t>
      </w:r>
      <w:r w:rsidR="0010634D">
        <w:rPr>
          <w:rFonts w:hint="eastAsia"/>
          <w:color w:val="333333"/>
          <w:sz w:val="27"/>
          <w:szCs w:val="27"/>
        </w:rPr>
        <w:t>减少2万元，减少20%</w:t>
      </w:r>
      <w:r>
        <w:rPr>
          <w:rFonts w:hint="eastAsia"/>
          <w:color w:val="333333"/>
          <w:sz w:val="27"/>
          <w:szCs w:val="27"/>
        </w:rPr>
        <w:t>。单位现有公务用车5辆，其中：轿车5辆。2017年预算安排公务用车运行维</w:t>
      </w:r>
      <w:r>
        <w:rPr>
          <w:rFonts w:hint="eastAsia"/>
          <w:color w:val="333333"/>
          <w:sz w:val="27"/>
          <w:szCs w:val="27"/>
        </w:rPr>
        <w:lastRenderedPageBreak/>
        <w:t>护费8万元，用于公务用车燃油、维修、保险等方面支出。较2016年预算下降的主要原因是车辆减少</w:t>
      </w:r>
      <w:r w:rsidR="0010634D">
        <w:rPr>
          <w:rFonts w:hint="eastAsia"/>
          <w:color w:val="333333"/>
          <w:sz w:val="27"/>
          <w:szCs w:val="27"/>
        </w:rPr>
        <w:t>。</w:t>
      </w:r>
    </w:p>
    <w:p w:rsidR="009A7E6B" w:rsidRDefault="009A7E6B" w:rsidP="0010634D">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六、其他重要事项的情况说明</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（一）机关运行经费</w:t>
      </w:r>
    </w:p>
    <w:p w:rsidR="009A7E6B" w:rsidRDefault="009A7E6B" w:rsidP="0010634D">
      <w:pPr>
        <w:pStyle w:val="a5"/>
        <w:shd w:val="clear" w:color="auto" w:fill="FFFFFF"/>
        <w:spacing w:before="0" w:beforeAutospacing="0" w:after="0" w:afterAutospacing="0" w:line="540" w:lineRule="atLeast"/>
        <w:ind w:firstLineChars="200" w:firstLine="540"/>
        <w:rPr>
          <w:color w:val="333333"/>
          <w:sz w:val="27"/>
          <w:szCs w:val="27"/>
        </w:rPr>
      </w:pPr>
      <w:r>
        <w:rPr>
          <w:rFonts w:hint="eastAsia"/>
          <w:color w:val="333333"/>
          <w:sz w:val="27"/>
          <w:szCs w:val="27"/>
        </w:rPr>
        <w:t>广汉市发改局2017年履行一般行政管理管理职能、维持机关正常运转而开支的机关运行经费，合计220.3万元。</w:t>
      </w:r>
    </w:p>
    <w:p w:rsidR="009A7E6B" w:rsidRDefault="009A7E6B"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（二）政府采购情况</w:t>
      </w:r>
    </w:p>
    <w:p w:rsidR="009A7E6B" w:rsidRDefault="00C15D0A" w:rsidP="009A7E6B">
      <w:pPr>
        <w:pStyle w:val="a5"/>
        <w:shd w:val="clear" w:color="auto" w:fill="FFFFFF"/>
        <w:spacing w:before="0" w:beforeAutospacing="0" w:after="0" w:afterAutospacing="0" w:line="540" w:lineRule="atLeast"/>
        <w:rPr>
          <w:color w:val="333333"/>
          <w:sz w:val="27"/>
          <w:szCs w:val="27"/>
        </w:rPr>
      </w:pPr>
      <w:r>
        <w:rPr>
          <w:rFonts w:hint="eastAsia"/>
          <w:color w:val="333333"/>
          <w:sz w:val="27"/>
          <w:szCs w:val="27"/>
        </w:rPr>
        <w:t xml:space="preserve">    2016年无政府采购</w:t>
      </w:r>
    </w:p>
    <w:p w:rsidR="004C1110" w:rsidRPr="0020014A" w:rsidRDefault="009A7E6B" w:rsidP="004C1110">
      <w:pPr>
        <w:autoSpaceDE w:val="0"/>
        <w:autoSpaceDN w:val="0"/>
        <w:adjustRightInd w:val="0"/>
        <w:spacing w:line="600" w:lineRule="exact"/>
        <w:ind w:firstLineChars="200" w:firstLine="540"/>
        <w:jc w:val="left"/>
        <w:rPr>
          <w:rFonts w:ascii="宋体" w:eastAsia="宋体" w:hAnsi="宋体" w:cs="宋体"/>
          <w:color w:val="333333"/>
          <w:kern w:val="0"/>
          <w:sz w:val="27"/>
          <w:szCs w:val="27"/>
        </w:rPr>
      </w:pPr>
      <w:r>
        <w:rPr>
          <w:rFonts w:hint="eastAsia"/>
          <w:color w:val="333333"/>
          <w:sz w:val="27"/>
          <w:szCs w:val="27"/>
        </w:rPr>
        <w:t> </w:t>
      </w:r>
      <w:r w:rsidR="004C1110" w:rsidRPr="0020014A">
        <w:rPr>
          <w:rFonts w:ascii="宋体" w:eastAsia="宋体" w:hAnsi="宋体" w:cs="宋体" w:hint="eastAsia"/>
          <w:color w:val="333333"/>
          <w:kern w:val="0"/>
          <w:sz w:val="27"/>
          <w:szCs w:val="27"/>
        </w:rPr>
        <w:t>七、名词解释</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 xml:space="preserve">1.财政拨款收入：指省级财政当年拨付的资金。 </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2.事业收入：指事业单位开展专业业务活动及辅助活动所取得的收入。</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3.经营收入：指事业单位在专业业务活动及其辅助活动之外开展非独立核算经营活动取得的收入。如…（二级预算单位经营收入情况）等。</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 xml:space="preserve">4.其他收入：指除上述“财政拨款收入”、“事业收入”、“经营收入”等以外的收入。 </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6.年初结转和结余：指以前年度尚未完成、结转到本年按有关规定继续使用的资金。</w:t>
      </w:r>
    </w:p>
    <w:p w:rsidR="004C1110" w:rsidRPr="0020014A" w:rsidRDefault="004C1110" w:rsidP="004C1110">
      <w:pPr>
        <w:numPr>
          <w:ilvl w:val="0"/>
          <w:numId w:val="1"/>
        </w:numPr>
        <w:ind w:hanging="360"/>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t>一般 公共服务（类）商贸事务（款）</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lastRenderedPageBreak/>
        <w:t>行政运行（项）:反映行政单位（包括实行公务员管理的事业单位）的基本支出。</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一般行政管理事务</w:t>
      </w:r>
      <w:r w:rsidRPr="0020014A">
        <w:rPr>
          <w:rFonts w:ascii="宋体" w:eastAsia="宋体" w:hAnsi="宋体" w:cs="宋体" w:hint="eastAsia"/>
          <w:bCs/>
          <w:color w:val="333333"/>
          <w:kern w:val="0"/>
          <w:sz w:val="27"/>
          <w:szCs w:val="27"/>
        </w:rPr>
        <w:t>（项）：反映行政单位（包括实行公务员管理的事业单位）未单独设置顶级科目的其他项目支出。</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事业运行</w:t>
      </w:r>
      <w:r w:rsidRPr="0020014A">
        <w:rPr>
          <w:rFonts w:ascii="宋体" w:eastAsia="宋体" w:hAnsi="宋体" w:cs="宋体" w:hint="eastAsia"/>
          <w:bCs/>
          <w:color w:val="333333"/>
          <w:kern w:val="0"/>
          <w:sz w:val="27"/>
          <w:szCs w:val="27"/>
        </w:rPr>
        <w:t>（项）:反映事业单位的基本支出，不包括（实行公务员管理的事业单位）后勤服务中心、医务室等附属事业单位。</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 xml:space="preserve">  其他商贸事务支出</w:t>
      </w:r>
      <w:r w:rsidRPr="0020014A">
        <w:rPr>
          <w:rFonts w:ascii="宋体" w:eastAsia="宋体" w:hAnsi="宋体" w:cs="宋体" w:hint="eastAsia"/>
          <w:bCs/>
          <w:color w:val="333333"/>
          <w:kern w:val="0"/>
          <w:sz w:val="27"/>
          <w:szCs w:val="27"/>
        </w:rPr>
        <w:t>（项）反映除上述项目以外其他用于商贸事务方面的支出。</w:t>
      </w:r>
    </w:p>
    <w:p w:rsidR="004C1110" w:rsidRPr="0020014A" w:rsidRDefault="004C1110" w:rsidP="0020014A">
      <w:pPr>
        <w:ind w:firstLineChars="196" w:firstLine="529"/>
        <w:rPr>
          <w:rFonts w:ascii="宋体" w:eastAsia="宋体" w:hAnsi="宋体" w:cs="宋体"/>
          <w:bCs/>
          <w:color w:val="333333"/>
          <w:kern w:val="0"/>
          <w:sz w:val="27"/>
          <w:szCs w:val="27"/>
        </w:rPr>
      </w:pPr>
      <w:r w:rsidRPr="0020014A">
        <w:rPr>
          <w:rFonts w:ascii="宋体" w:eastAsia="宋体" w:hAnsi="宋体" w:cs="宋体" w:hint="eastAsia"/>
          <w:bCs/>
          <w:color w:val="333333"/>
          <w:kern w:val="0"/>
          <w:sz w:val="27"/>
          <w:szCs w:val="27"/>
        </w:rPr>
        <w:t>科学技术（类）</w:t>
      </w:r>
      <w:r w:rsidRPr="0020014A">
        <w:rPr>
          <w:rFonts w:ascii="宋体" w:eastAsia="宋体" w:hAnsi="宋体" w:cs="宋体" w:hint="eastAsia"/>
          <w:color w:val="333333"/>
          <w:kern w:val="0"/>
          <w:sz w:val="27"/>
          <w:szCs w:val="27"/>
        </w:rPr>
        <w:t>技术研究与开发</w:t>
      </w:r>
      <w:r w:rsidRPr="0020014A">
        <w:rPr>
          <w:rFonts w:ascii="宋体" w:eastAsia="宋体" w:hAnsi="宋体" w:cs="宋体" w:hint="eastAsia"/>
          <w:bCs/>
          <w:color w:val="333333"/>
          <w:kern w:val="0"/>
          <w:sz w:val="27"/>
          <w:szCs w:val="27"/>
        </w:rPr>
        <w:t>（款）</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其他技术研究与开发支出</w:t>
      </w:r>
      <w:r w:rsidRPr="0020014A">
        <w:rPr>
          <w:rFonts w:ascii="宋体" w:eastAsia="宋体" w:hAnsi="宋体" w:cs="宋体" w:hint="eastAsia"/>
          <w:bCs/>
          <w:color w:val="333333"/>
          <w:kern w:val="0"/>
          <w:sz w:val="27"/>
          <w:szCs w:val="27"/>
        </w:rPr>
        <w:t>（项）:</w:t>
      </w:r>
      <w:r w:rsidRPr="0020014A">
        <w:rPr>
          <w:rFonts w:ascii="宋体" w:eastAsia="宋体" w:hAnsi="宋体" w:cs="宋体" w:hint="eastAsia"/>
          <w:color w:val="333333"/>
          <w:kern w:val="0"/>
          <w:sz w:val="27"/>
          <w:szCs w:val="27"/>
        </w:rPr>
        <w:t>反映上述项目以外其他用于技术研究与开放方面的支出。</w:t>
      </w:r>
    </w:p>
    <w:p w:rsidR="004C1110" w:rsidRPr="0020014A" w:rsidRDefault="004C1110" w:rsidP="0020014A">
      <w:pPr>
        <w:ind w:firstLineChars="196" w:firstLine="529"/>
        <w:rPr>
          <w:rFonts w:ascii="宋体" w:eastAsia="宋体" w:hAnsi="宋体" w:cs="宋体"/>
          <w:bCs/>
          <w:color w:val="333333"/>
          <w:kern w:val="0"/>
          <w:sz w:val="27"/>
          <w:szCs w:val="27"/>
        </w:rPr>
      </w:pPr>
      <w:r w:rsidRPr="0020014A">
        <w:rPr>
          <w:rFonts w:ascii="宋体" w:eastAsia="宋体" w:hAnsi="宋体" w:cs="宋体" w:hint="eastAsia"/>
          <w:bCs/>
          <w:color w:val="333333"/>
          <w:kern w:val="0"/>
          <w:sz w:val="27"/>
          <w:szCs w:val="27"/>
        </w:rPr>
        <w:t xml:space="preserve">8、社会保障和就业（类）行政事业单位离退休（款） </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t>事业单位离退休（项）:反映归口管理的事业单位开支的离退休经费。</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未归口管理的行政单位离退休</w:t>
      </w:r>
      <w:r w:rsidRPr="0020014A">
        <w:rPr>
          <w:rFonts w:ascii="宋体" w:eastAsia="宋体" w:hAnsi="宋体" w:cs="宋体" w:hint="eastAsia"/>
          <w:bCs/>
          <w:color w:val="333333"/>
          <w:kern w:val="0"/>
          <w:sz w:val="27"/>
          <w:szCs w:val="27"/>
        </w:rPr>
        <w:t>（项）:反映为实行归口管理的行政单位（包括实行公务员管理的事业单位）开支的离退休支出。</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机关事业单位基本养老保险缴费</w:t>
      </w:r>
      <w:r w:rsidRPr="0020014A">
        <w:rPr>
          <w:rFonts w:ascii="宋体" w:eastAsia="宋体" w:hAnsi="宋体" w:cs="宋体" w:hint="eastAsia"/>
          <w:bCs/>
          <w:color w:val="333333"/>
          <w:kern w:val="0"/>
          <w:sz w:val="27"/>
          <w:szCs w:val="27"/>
        </w:rPr>
        <w:t>（项）:反映机关事业单位实施养老保险制度由单位缴纳的基本养老保险费支出。</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机关事业单位职业年金缴费</w:t>
      </w:r>
      <w:r w:rsidRPr="0020014A">
        <w:rPr>
          <w:rFonts w:ascii="宋体" w:eastAsia="宋体" w:hAnsi="宋体" w:cs="宋体" w:hint="eastAsia"/>
          <w:bCs/>
          <w:color w:val="333333"/>
          <w:kern w:val="0"/>
          <w:sz w:val="27"/>
          <w:szCs w:val="27"/>
        </w:rPr>
        <w:t>（项）: 反映机关事业单位实施养老保险制度由单位缴纳的职业年金支出。</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t>社会保障和就业（类）</w:t>
      </w:r>
      <w:r w:rsidRPr="0020014A">
        <w:rPr>
          <w:rFonts w:ascii="宋体" w:eastAsia="宋体" w:hAnsi="宋体" w:cs="宋体" w:hint="eastAsia"/>
          <w:color w:val="333333"/>
          <w:kern w:val="0"/>
          <w:sz w:val="27"/>
          <w:szCs w:val="27"/>
        </w:rPr>
        <w:t>抚恤</w:t>
      </w:r>
      <w:r w:rsidRPr="0020014A">
        <w:rPr>
          <w:rFonts w:ascii="宋体" w:eastAsia="宋体" w:hAnsi="宋体" w:cs="宋体" w:hint="eastAsia"/>
          <w:bCs/>
          <w:color w:val="333333"/>
          <w:kern w:val="0"/>
          <w:sz w:val="27"/>
          <w:szCs w:val="27"/>
        </w:rPr>
        <w:t>（款）</w:t>
      </w:r>
      <w:r w:rsidRPr="0020014A">
        <w:rPr>
          <w:rFonts w:ascii="宋体" w:eastAsia="宋体" w:hAnsi="宋体" w:cs="宋体" w:hint="eastAsia"/>
          <w:color w:val="333333"/>
          <w:kern w:val="0"/>
          <w:sz w:val="27"/>
          <w:szCs w:val="27"/>
        </w:rPr>
        <w:t xml:space="preserve">  </w:t>
      </w:r>
    </w:p>
    <w:p w:rsidR="004C1110" w:rsidRPr="0020014A" w:rsidRDefault="004C1110" w:rsidP="0020014A">
      <w:pPr>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死亡抚恤</w:t>
      </w:r>
      <w:r w:rsidRPr="0020014A">
        <w:rPr>
          <w:rFonts w:ascii="宋体" w:eastAsia="宋体" w:hAnsi="宋体" w:cs="宋体" w:hint="eastAsia"/>
          <w:bCs/>
          <w:color w:val="333333"/>
          <w:kern w:val="0"/>
          <w:sz w:val="27"/>
          <w:szCs w:val="27"/>
        </w:rPr>
        <w:t>（项）：反映按规定用于烈士和牺牲、病故人员家属的一</w:t>
      </w:r>
      <w:r w:rsidRPr="0020014A">
        <w:rPr>
          <w:rFonts w:ascii="宋体" w:eastAsia="宋体" w:hAnsi="宋体" w:cs="宋体" w:hint="eastAsia"/>
          <w:bCs/>
          <w:color w:val="333333"/>
          <w:kern w:val="0"/>
          <w:sz w:val="27"/>
          <w:szCs w:val="27"/>
        </w:rPr>
        <w:lastRenderedPageBreak/>
        <w:t>次性和定期抚恤金以及丧葬补助费。</w:t>
      </w:r>
    </w:p>
    <w:p w:rsidR="004C1110" w:rsidRPr="0020014A" w:rsidRDefault="004C1110" w:rsidP="0020014A">
      <w:pPr>
        <w:ind w:firstLineChars="196" w:firstLine="529"/>
        <w:rPr>
          <w:rFonts w:ascii="Calibri" w:eastAsia="宋体" w:hAnsi="Calibri" w:cs="Times New Roman"/>
          <w:color w:val="333333"/>
          <w:kern w:val="0"/>
          <w:sz w:val="27"/>
          <w:szCs w:val="27"/>
        </w:rPr>
      </w:pPr>
      <w:r w:rsidRPr="0020014A">
        <w:rPr>
          <w:rFonts w:ascii="宋体" w:eastAsia="宋体" w:hAnsi="宋体" w:cs="宋体" w:hint="eastAsia"/>
          <w:bCs/>
          <w:color w:val="333333"/>
          <w:kern w:val="0"/>
          <w:sz w:val="27"/>
          <w:szCs w:val="27"/>
        </w:rPr>
        <w:t xml:space="preserve">9、医疗卫生与计划生育（类）医疗保障（款）  </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t>行政单位医疗（项）:反映财政部门集中安排的行政单位基本医疗保险缴费经费，未参加医疗保险的行政单位的公费医疗经费，按国家规定享受离休人员、红军老战士待遇人员的医疗经费。</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公务员医疗补助</w:t>
      </w:r>
      <w:r w:rsidRPr="0020014A">
        <w:rPr>
          <w:rFonts w:ascii="宋体" w:eastAsia="宋体" w:hAnsi="宋体" w:cs="宋体" w:hint="eastAsia"/>
          <w:bCs/>
          <w:color w:val="333333"/>
          <w:kern w:val="0"/>
          <w:sz w:val="27"/>
          <w:szCs w:val="27"/>
        </w:rPr>
        <w:t>（项）:反映财政部门集中安排的公务员医疗补助经费。</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其他医疗保障支出</w:t>
      </w:r>
      <w:r w:rsidRPr="0020014A">
        <w:rPr>
          <w:rFonts w:ascii="宋体" w:eastAsia="宋体" w:hAnsi="宋体" w:cs="宋体" w:hint="eastAsia"/>
          <w:bCs/>
          <w:color w:val="333333"/>
          <w:kern w:val="0"/>
          <w:sz w:val="27"/>
          <w:szCs w:val="27"/>
        </w:rPr>
        <w:t>（项）:反映除上述项目以外的其他用于行政事业单位医疗方面的支出。</w:t>
      </w:r>
    </w:p>
    <w:p w:rsidR="004C1110" w:rsidRPr="0020014A" w:rsidRDefault="004C1110" w:rsidP="0020014A">
      <w:pPr>
        <w:spacing w:line="600" w:lineRule="exact"/>
        <w:ind w:firstLineChars="196" w:firstLine="529"/>
        <w:rPr>
          <w:rFonts w:ascii="宋体" w:eastAsia="宋体" w:hAnsi="宋体" w:cs="宋体"/>
          <w:bCs/>
          <w:color w:val="333333"/>
          <w:kern w:val="0"/>
          <w:sz w:val="27"/>
          <w:szCs w:val="27"/>
        </w:rPr>
      </w:pPr>
      <w:r w:rsidRPr="0020014A">
        <w:rPr>
          <w:rFonts w:ascii="宋体" w:eastAsia="宋体" w:hAnsi="宋体" w:cs="宋体" w:hint="eastAsia"/>
          <w:bCs/>
          <w:color w:val="333333"/>
          <w:kern w:val="0"/>
          <w:sz w:val="27"/>
          <w:szCs w:val="27"/>
        </w:rPr>
        <w:t>10、住房保障支出（类）住房改革支出（款）</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bCs/>
          <w:color w:val="333333"/>
          <w:kern w:val="0"/>
          <w:sz w:val="27"/>
          <w:szCs w:val="27"/>
        </w:rPr>
        <w:t>住房公积金（项）:反映行政事业单位按人力资源和社会保障部、财政部规定的基本工资和津贴补贴以及规定比例为职工缴纳的住房公积金。</w:t>
      </w:r>
    </w:p>
    <w:p w:rsidR="004C1110" w:rsidRPr="0020014A" w:rsidRDefault="004C1110" w:rsidP="0020014A">
      <w:pPr>
        <w:spacing w:line="600" w:lineRule="exact"/>
        <w:ind w:firstLineChars="196" w:firstLine="529"/>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11、结余分配：指事业单位按规定提取的职工福利基金、事业基金和缴纳的所得税，以及建设单位按规定应交回的基本建设竣工项目结余资金。</w:t>
      </w:r>
    </w:p>
    <w:p w:rsidR="004C1110" w:rsidRPr="0020014A" w:rsidRDefault="004C1110" w:rsidP="0020014A">
      <w:pPr>
        <w:ind w:firstLineChars="200" w:firstLine="540"/>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12、期末结转和结余：指本年度或以前年度预算安排、因客观条件发生变化无法按原计划实施，需延迟到以后年度按有关规定继续使用的资金。</w:t>
      </w:r>
    </w:p>
    <w:p w:rsidR="004C1110" w:rsidRPr="0020014A" w:rsidRDefault="004C1110" w:rsidP="0020014A">
      <w:pPr>
        <w:ind w:firstLineChars="200" w:firstLine="540"/>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13、基本支出：指为保障机构正常运转、完成日常工作任务而发生的人员支出和公用支出。</w:t>
      </w:r>
    </w:p>
    <w:p w:rsidR="004C1110" w:rsidRPr="0020014A" w:rsidRDefault="004C1110" w:rsidP="0020014A">
      <w:pPr>
        <w:ind w:firstLineChars="200" w:firstLine="540"/>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t xml:space="preserve">14、项目支出：指在基本支出之外为完成特定行政任务和事业发展目标所发生的支出。 </w:t>
      </w:r>
    </w:p>
    <w:p w:rsidR="004C1110" w:rsidRPr="0020014A" w:rsidRDefault="004C1110" w:rsidP="0020014A">
      <w:pPr>
        <w:ind w:firstLineChars="200" w:firstLine="540"/>
        <w:rPr>
          <w:rFonts w:ascii="宋体" w:eastAsia="宋体" w:hAnsi="宋体" w:cs="宋体"/>
          <w:color w:val="333333"/>
          <w:kern w:val="0"/>
          <w:sz w:val="27"/>
          <w:szCs w:val="27"/>
        </w:rPr>
      </w:pPr>
      <w:r w:rsidRPr="0020014A">
        <w:rPr>
          <w:rFonts w:ascii="宋体" w:eastAsia="宋体" w:hAnsi="宋体" w:cs="宋体" w:hint="eastAsia"/>
          <w:color w:val="333333"/>
          <w:kern w:val="0"/>
          <w:sz w:val="27"/>
          <w:szCs w:val="27"/>
        </w:rPr>
        <w:lastRenderedPageBreak/>
        <w:t>15、经营支出：指事业单位在专业业务活动及其辅助活动之外开展非独立核算经营活动发生的支出。</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16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C1110" w:rsidRPr="0020014A" w:rsidRDefault="004C1110" w:rsidP="0020014A">
      <w:pPr>
        <w:pStyle w:val="Default"/>
        <w:spacing w:line="560" w:lineRule="exact"/>
        <w:ind w:firstLineChars="200" w:firstLine="540"/>
        <w:rPr>
          <w:rFonts w:ascii="宋体" w:eastAsia="宋体" w:hAnsi="宋体" w:cs="宋体"/>
          <w:color w:val="333333"/>
          <w:sz w:val="27"/>
          <w:szCs w:val="27"/>
        </w:rPr>
      </w:pPr>
      <w:r w:rsidRPr="0020014A">
        <w:rPr>
          <w:rFonts w:ascii="宋体" w:eastAsia="宋体" w:hAnsi="宋体" w:cs="宋体" w:hint="eastAsia"/>
          <w:color w:val="333333"/>
          <w:sz w:val="27"/>
          <w:szCs w:val="27"/>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A7E6B" w:rsidRPr="004C1110" w:rsidRDefault="009A7E6B" w:rsidP="009A7E6B">
      <w:pPr>
        <w:pStyle w:val="a5"/>
        <w:shd w:val="clear" w:color="auto" w:fill="FFFFFF"/>
        <w:spacing w:before="0" w:beforeAutospacing="0" w:after="0" w:afterAutospacing="0" w:line="540" w:lineRule="atLeast"/>
        <w:rPr>
          <w:color w:val="333333"/>
          <w:sz w:val="27"/>
          <w:szCs w:val="27"/>
        </w:rPr>
      </w:pPr>
    </w:p>
    <w:p w:rsidR="007B334B" w:rsidRDefault="007B334B"/>
    <w:p w:rsidR="009A7E6B" w:rsidRDefault="009A7E6B"/>
    <w:sectPr w:rsidR="009A7E6B" w:rsidSect="007B334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9E2" w:rsidRDefault="007479E2" w:rsidP="009A7E6B">
      <w:r>
        <w:separator/>
      </w:r>
    </w:p>
  </w:endnote>
  <w:endnote w:type="continuationSeparator" w:id="1">
    <w:p w:rsidR="007479E2" w:rsidRDefault="007479E2" w:rsidP="009A7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4C" w:rsidRDefault="00CB54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4C" w:rsidRDefault="00CB54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4C" w:rsidRDefault="00CB54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9E2" w:rsidRDefault="007479E2" w:rsidP="009A7E6B">
      <w:r>
        <w:separator/>
      </w:r>
    </w:p>
  </w:footnote>
  <w:footnote w:type="continuationSeparator" w:id="1">
    <w:p w:rsidR="007479E2" w:rsidRDefault="007479E2" w:rsidP="009A7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4C" w:rsidRDefault="00CB54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6B" w:rsidRDefault="009A7E6B" w:rsidP="00CB544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4C" w:rsidRDefault="00CB54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D6ED0"/>
    <w:multiLevelType w:val="hybridMultilevel"/>
    <w:tmpl w:val="63B0BC04"/>
    <w:lvl w:ilvl="0" w:tplc="877E60F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E6B"/>
    <w:rsid w:val="000D0C01"/>
    <w:rsid w:val="0010634D"/>
    <w:rsid w:val="0020014A"/>
    <w:rsid w:val="00241D8F"/>
    <w:rsid w:val="004161FB"/>
    <w:rsid w:val="004C1110"/>
    <w:rsid w:val="00722201"/>
    <w:rsid w:val="007479E2"/>
    <w:rsid w:val="00750F21"/>
    <w:rsid w:val="007B334B"/>
    <w:rsid w:val="009A7E6B"/>
    <w:rsid w:val="00B62D97"/>
    <w:rsid w:val="00C15D0A"/>
    <w:rsid w:val="00CB544C"/>
    <w:rsid w:val="00D74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7E6B"/>
    <w:rPr>
      <w:sz w:val="18"/>
      <w:szCs w:val="18"/>
    </w:rPr>
  </w:style>
  <w:style w:type="paragraph" w:styleId="a4">
    <w:name w:val="footer"/>
    <w:basedOn w:val="a"/>
    <w:link w:val="Char0"/>
    <w:uiPriority w:val="99"/>
    <w:semiHidden/>
    <w:unhideWhenUsed/>
    <w:rsid w:val="009A7E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7E6B"/>
    <w:rPr>
      <w:sz w:val="18"/>
      <w:szCs w:val="18"/>
    </w:rPr>
  </w:style>
  <w:style w:type="paragraph" w:styleId="a5">
    <w:name w:val="Normal (Web)"/>
    <w:basedOn w:val="a"/>
    <w:uiPriority w:val="99"/>
    <w:semiHidden/>
    <w:unhideWhenUsed/>
    <w:rsid w:val="009A7E6B"/>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4C1110"/>
    <w:rPr>
      <w:b/>
      <w:bCs/>
    </w:rPr>
  </w:style>
  <w:style w:type="paragraph" w:customStyle="1" w:styleId="Default">
    <w:name w:val="Default"/>
    <w:rsid w:val="004C1110"/>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2751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616</Words>
  <Characters>3516</Characters>
  <Application>Microsoft Office Word</Application>
  <DocSecurity>0</DocSecurity>
  <Lines>29</Lines>
  <Paragraphs>8</Paragraphs>
  <ScaleCrop>false</ScaleCrop>
  <Company>微软中国</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中国用户</dc:creator>
  <cp:keywords/>
  <dc:description/>
  <cp:lastModifiedBy>中国用户</cp:lastModifiedBy>
  <cp:revision>9</cp:revision>
  <dcterms:created xsi:type="dcterms:W3CDTF">2017-11-10T03:11:00Z</dcterms:created>
  <dcterms:modified xsi:type="dcterms:W3CDTF">2017-11-10T07:39:00Z</dcterms:modified>
</cp:coreProperties>
</file>