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0D" w:rsidRPr="00A13CC1" w:rsidRDefault="00F1361C" w:rsidP="00DC410D">
      <w:pPr>
        <w:spacing w:line="600" w:lineRule="exact"/>
        <w:jc w:val="center"/>
        <w:rPr>
          <w:rFonts w:ascii="方正小标宋简体" w:eastAsia="方正小标宋简体" w:hAnsi="宋体"/>
          <w:color w:val="000000"/>
          <w:sz w:val="36"/>
          <w:szCs w:val="36"/>
        </w:rPr>
      </w:pPr>
      <w:r w:rsidRPr="00A13CC1">
        <w:rPr>
          <w:rFonts w:ascii="方正小标宋简体" w:eastAsia="方正小标宋简体" w:hAnsi="宋体" w:hint="eastAsia"/>
          <w:color w:val="000000"/>
          <w:sz w:val="36"/>
          <w:szCs w:val="36"/>
        </w:rPr>
        <w:t>四川省</w:t>
      </w:r>
      <w:r w:rsidR="000337CA">
        <w:rPr>
          <w:rFonts w:ascii="方正小标宋简体" w:eastAsia="方正小标宋简体" w:hAnsi="宋体" w:hint="eastAsia"/>
          <w:color w:val="000000"/>
          <w:sz w:val="36"/>
          <w:szCs w:val="36"/>
        </w:rPr>
        <w:t>广汉市房地产交易所</w:t>
      </w:r>
    </w:p>
    <w:p w:rsidR="00F1361C" w:rsidRPr="00A13CC1" w:rsidRDefault="005664BB" w:rsidP="00DC410D">
      <w:pPr>
        <w:spacing w:line="600" w:lineRule="exact"/>
        <w:jc w:val="center"/>
        <w:rPr>
          <w:rFonts w:ascii="方正小标宋简体" w:eastAsia="方正小标宋简体" w:hAnsi="宋体"/>
          <w:color w:val="000000"/>
          <w:sz w:val="36"/>
          <w:szCs w:val="36"/>
        </w:rPr>
      </w:pPr>
      <w:r w:rsidRPr="00A13CC1">
        <w:rPr>
          <w:rFonts w:ascii="方正小标宋简体" w:eastAsia="方正小标宋简体" w:hAnsi="宋体" w:hint="eastAsia"/>
          <w:color w:val="000000"/>
          <w:sz w:val="36"/>
          <w:szCs w:val="36"/>
        </w:rPr>
        <w:t>2017</w:t>
      </w:r>
      <w:r w:rsidR="00F1361C" w:rsidRPr="00A13CC1">
        <w:rPr>
          <w:rFonts w:ascii="方正小标宋简体" w:eastAsia="方正小标宋简体" w:hAnsi="宋体" w:hint="eastAsia"/>
          <w:color w:val="000000"/>
          <w:sz w:val="36"/>
          <w:szCs w:val="36"/>
        </w:rPr>
        <w:t>年部门决算</w:t>
      </w:r>
      <w:r w:rsidR="00DC410D" w:rsidRPr="00A13CC1">
        <w:rPr>
          <w:rFonts w:ascii="方正小标宋简体" w:eastAsia="方正小标宋简体" w:hAnsi="宋体" w:hint="eastAsia"/>
          <w:color w:val="000000"/>
          <w:sz w:val="36"/>
          <w:szCs w:val="36"/>
        </w:rPr>
        <w:t>编制</w:t>
      </w:r>
      <w:r w:rsidR="00F1361C" w:rsidRPr="00A13CC1">
        <w:rPr>
          <w:rFonts w:ascii="方正小标宋简体" w:eastAsia="方正小标宋简体" w:hAnsi="宋体" w:hint="eastAsia"/>
          <w:color w:val="000000"/>
          <w:sz w:val="36"/>
          <w:szCs w:val="36"/>
        </w:rPr>
        <w:t>说明</w:t>
      </w:r>
    </w:p>
    <w:p w:rsidR="00F1361C" w:rsidRPr="00A13CC1" w:rsidRDefault="00F1361C" w:rsidP="00F1361C">
      <w:pPr>
        <w:spacing w:line="600" w:lineRule="exact"/>
        <w:jc w:val="center"/>
        <w:rPr>
          <w:rFonts w:ascii="宋体" w:hAnsi="宋体"/>
          <w:b/>
          <w:color w:val="000000"/>
          <w:sz w:val="44"/>
          <w:szCs w:val="44"/>
        </w:rPr>
      </w:pPr>
    </w:p>
    <w:p w:rsidR="00F1361C" w:rsidRPr="00A13CC1" w:rsidRDefault="00F1361C"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一、基本职能及主要工作</w:t>
      </w:r>
    </w:p>
    <w:p w:rsidR="000337CA" w:rsidRDefault="00F1361C" w:rsidP="000E3676">
      <w:pPr>
        <w:pStyle w:val="a5"/>
        <w:adjustRightInd w:val="0"/>
        <w:snapToGrid w:val="0"/>
        <w:spacing w:before="93" w:line="600" w:lineRule="exact"/>
        <w:ind w:firstLineChars="210" w:firstLine="672"/>
        <w:rPr>
          <w:bCs/>
          <w:color w:val="000000"/>
          <w:sz w:val="32"/>
          <w:szCs w:val="32"/>
        </w:rPr>
      </w:pPr>
      <w:r w:rsidRPr="00A13CC1">
        <w:rPr>
          <w:rFonts w:hint="eastAsia"/>
          <w:bCs/>
          <w:color w:val="000000"/>
          <w:sz w:val="32"/>
          <w:szCs w:val="32"/>
        </w:rPr>
        <w:t>（一）主要职能。</w:t>
      </w:r>
      <w:r w:rsidR="000337CA">
        <w:rPr>
          <w:rFonts w:hint="eastAsia"/>
          <w:bCs/>
          <w:color w:val="000000"/>
          <w:sz w:val="32"/>
          <w:szCs w:val="32"/>
        </w:rPr>
        <w:t xml:space="preserve"> </w:t>
      </w:r>
    </w:p>
    <w:p w:rsidR="000337CA" w:rsidRPr="00FA1F18" w:rsidRDefault="000337CA" w:rsidP="000337CA">
      <w:pPr>
        <w:ind w:firstLine="630"/>
        <w:rPr>
          <w:rFonts w:ascii="宋体" w:hAnsi="宋体"/>
          <w:sz w:val="32"/>
          <w:szCs w:val="32"/>
        </w:rPr>
      </w:pPr>
      <w:r w:rsidRPr="00FA1F18">
        <w:rPr>
          <w:rFonts w:ascii="宋体" w:hAnsi="宋体" w:hint="eastAsia"/>
          <w:sz w:val="32"/>
          <w:szCs w:val="32"/>
        </w:rPr>
        <w:t>1、执行国家有关房地产交易管理的法律法规、部门规章，并制定具体实施办法；</w:t>
      </w:r>
    </w:p>
    <w:p w:rsidR="000337CA" w:rsidRPr="00FA1F18" w:rsidRDefault="000337CA" w:rsidP="000337CA">
      <w:pPr>
        <w:ind w:firstLine="630"/>
        <w:rPr>
          <w:rFonts w:ascii="宋体" w:hAnsi="宋体"/>
          <w:sz w:val="32"/>
          <w:szCs w:val="32"/>
        </w:rPr>
      </w:pPr>
      <w:r w:rsidRPr="00FA1F18">
        <w:rPr>
          <w:rFonts w:ascii="宋体" w:hAnsi="宋体" w:hint="eastAsia"/>
          <w:sz w:val="32"/>
          <w:szCs w:val="32"/>
        </w:rPr>
        <w:t>2、整顿和规范房地产交易秩序，对房地产交易、经营等活动进行指导和监督，查处违法行为，维护当事人的合法权益；</w:t>
      </w:r>
    </w:p>
    <w:p w:rsidR="000337CA" w:rsidRPr="00FA1F18" w:rsidRDefault="000337CA" w:rsidP="000337CA">
      <w:pPr>
        <w:ind w:firstLine="630"/>
        <w:rPr>
          <w:rFonts w:ascii="宋体" w:hAnsi="宋体"/>
          <w:sz w:val="32"/>
          <w:szCs w:val="32"/>
        </w:rPr>
      </w:pPr>
      <w:r w:rsidRPr="00FA1F18">
        <w:rPr>
          <w:rFonts w:ascii="宋体" w:hAnsi="宋体" w:hint="eastAsia"/>
          <w:sz w:val="32"/>
          <w:szCs w:val="32"/>
        </w:rPr>
        <w:t xml:space="preserve">3、办理房地产交易登记，鉴定及权属转移初审手续；   </w:t>
      </w:r>
    </w:p>
    <w:p w:rsidR="000337CA" w:rsidRPr="00FA1F18" w:rsidRDefault="000337CA" w:rsidP="000337CA">
      <w:pPr>
        <w:ind w:firstLine="630"/>
        <w:rPr>
          <w:rFonts w:ascii="宋体" w:hAnsi="宋体"/>
          <w:sz w:val="32"/>
          <w:szCs w:val="32"/>
        </w:rPr>
      </w:pPr>
      <w:r w:rsidRPr="00FA1F18">
        <w:rPr>
          <w:rFonts w:ascii="宋体" w:hAnsi="宋体" w:hint="eastAsia"/>
          <w:sz w:val="32"/>
          <w:szCs w:val="32"/>
        </w:rPr>
        <w:t>4、协助财政、税务部门征收与房地产交易有关的税款；</w:t>
      </w:r>
    </w:p>
    <w:p w:rsidR="000337CA" w:rsidRPr="00FA1F18" w:rsidRDefault="000337CA" w:rsidP="000337CA">
      <w:pPr>
        <w:ind w:firstLine="630"/>
        <w:rPr>
          <w:rFonts w:ascii="宋体" w:hAnsi="宋体"/>
          <w:sz w:val="32"/>
          <w:szCs w:val="32"/>
        </w:rPr>
      </w:pPr>
      <w:r w:rsidRPr="00FA1F18">
        <w:rPr>
          <w:rFonts w:ascii="宋体" w:hAnsi="宋体" w:hint="eastAsia"/>
          <w:sz w:val="32"/>
          <w:szCs w:val="32"/>
        </w:rPr>
        <w:t>5、为房地产交易提供洽谈协议，交流信息，展示行情等各种服务；</w:t>
      </w:r>
    </w:p>
    <w:p w:rsidR="000337CA" w:rsidRPr="00FA1F18" w:rsidRDefault="000337CA" w:rsidP="000337CA">
      <w:pPr>
        <w:ind w:firstLine="630"/>
        <w:rPr>
          <w:rFonts w:ascii="宋体" w:hAnsi="宋体"/>
          <w:sz w:val="32"/>
          <w:szCs w:val="32"/>
        </w:rPr>
      </w:pPr>
      <w:r w:rsidRPr="00FA1F18">
        <w:rPr>
          <w:rFonts w:ascii="宋体" w:hAnsi="宋体" w:hint="eastAsia"/>
          <w:sz w:val="32"/>
          <w:szCs w:val="32"/>
        </w:rPr>
        <w:t>6、建立定期的市场交易信息发布制度，为政府宏观决策和正确引导市场发展服务。</w:t>
      </w:r>
    </w:p>
    <w:p w:rsidR="00F1361C" w:rsidRDefault="00F1361C" w:rsidP="000E3676">
      <w:pPr>
        <w:pStyle w:val="a5"/>
        <w:adjustRightInd w:val="0"/>
        <w:snapToGrid w:val="0"/>
        <w:spacing w:before="93" w:line="600" w:lineRule="exact"/>
        <w:ind w:firstLineChars="210" w:firstLine="672"/>
        <w:rPr>
          <w:bCs/>
          <w:color w:val="000000"/>
          <w:sz w:val="32"/>
          <w:szCs w:val="32"/>
        </w:rPr>
      </w:pPr>
      <w:r w:rsidRPr="00A13CC1">
        <w:rPr>
          <w:rFonts w:hint="eastAsia"/>
          <w:bCs/>
          <w:color w:val="000000"/>
          <w:sz w:val="32"/>
          <w:szCs w:val="32"/>
        </w:rPr>
        <w:t>（二）</w:t>
      </w:r>
      <w:r w:rsidR="005664BB" w:rsidRPr="00A13CC1">
        <w:rPr>
          <w:rFonts w:hint="eastAsia"/>
          <w:bCs/>
          <w:color w:val="000000"/>
          <w:sz w:val="32"/>
          <w:szCs w:val="32"/>
        </w:rPr>
        <w:t>2017</w:t>
      </w:r>
      <w:r w:rsidRPr="00A13CC1">
        <w:rPr>
          <w:rFonts w:hint="eastAsia"/>
          <w:bCs/>
          <w:color w:val="000000"/>
          <w:sz w:val="32"/>
          <w:szCs w:val="32"/>
        </w:rPr>
        <w:t>年重点工作完成情况。</w:t>
      </w:r>
    </w:p>
    <w:p w:rsidR="007305BA" w:rsidRPr="000E3676" w:rsidRDefault="009F517D" w:rsidP="007305BA">
      <w:pPr>
        <w:ind w:firstLineChars="200" w:firstLine="640"/>
        <w:rPr>
          <w:rFonts w:asciiTheme="majorEastAsia" w:eastAsiaTheme="majorEastAsia" w:hAnsiTheme="majorEastAsia"/>
          <w:sz w:val="32"/>
          <w:szCs w:val="32"/>
        </w:rPr>
      </w:pPr>
      <w:r w:rsidRPr="00FA1F18">
        <w:rPr>
          <w:rFonts w:ascii="宋体" w:hAnsi="宋体" w:hint="eastAsia"/>
          <w:sz w:val="32"/>
          <w:szCs w:val="32"/>
        </w:rPr>
        <w:t>我所累计办理二手房交易登记</w:t>
      </w:r>
      <w:r>
        <w:rPr>
          <w:rFonts w:ascii="宋体" w:hAnsi="宋体" w:hint="eastAsia"/>
          <w:sz w:val="32"/>
          <w:szCs w:val="32"/>
        </w:rPr>
        <w:t>3384</w:t>
      </w:r>
      <w:r w:rsidRPr="00FA1F18">
        <w:rPr>
          <w:rFonts w:ascii="宋体" w:hAnsi="宋体" w:hint="eastAsia"/>
          <w:sz w:val="32"/>
          <w:szCs w:val="32"/>
        </w:rPr>
        <w:t>宗、面积</w:t>
      </w:r>
      <w:r>
        <w:rPr>
          <w:rFonts w:ascii="宋体" w:hAnsi="宋体" w:hint="eastAsia"/>
          <w:sz w:val="32"/>
          <w:szCs w:val="32"/>
        </w:rPr>
        <w:t>38.14</w:t>
      </w:r>
      <w:r w:rsidRPr="00FA1F18">
        <w:rPr>
          <w:rFonts w:ascii="宋体" w:hAnsi="宋体" w:hint="eastAsia"/>
          <w:sz w:val="32"/>
          <w:szCs w:val="32"/>
        </w:rPr>
        <w:t>万平方米、金额</w:t>
      </w:r>
      <w:r>
        <w:rPr>
          <w:rFonts w:ascii="宋体" w:hAnsi="宋体" w:hint="eastAsia"/>
          <w:sz w:val="32"/>
          <w:szCs w:val="32"/>
        </w:rPr>
        <w:t>80719.68</w:t>
      </w:r>
      <w:r w:rsidRPr="00FA1F18">
        <w:rPr>
          <w:rFonts w:ascii="宋体" w:hAnsi="宋体" w:hint="eastAsia"/>
          <w:sz w:val="32"/>
          <w:szCs w:val="32"/>
        </w:rPr>
        <w:t>万元；办理</w:t>
      </w:r>
      <w:r w:rsidRPr="00FA1F18">
        <w:rPr>
          <w:rFonts w:ascii="宋体" w:hAnsi="宋体"/>
          <w:sz w:val="32"/>
          <w:szCs w:val="32"/>
        </w:rPr>
        <w:t>抵押</w:t>
      </w:r>
      <w:r w:rsidRPr="00FA1F18">
        <w:rPr>
          <w:rFonts w:ascii="宋体" w:hAnsi="宋体" w:hint="eastAsia"/>
          <w:sz w:val="32"/>
          <w:szCs w:val="32"/>
        </w:rPr>
        <w:t>登记</w:t>
      </w:r>
      <w:r>
        <w:rPr>
          <w:rFonts w:ascii="宋体" w:hAnsi="宋体" w:hint="eastAsia"/>
          <w:sz w:val="32"/>
          <w:szCs w:val="32"/>
        </w:rPr>
        <w:t>782</w:t>
      </w:r>
      <w:r w:rsidRPr="00FA1F18">
        <w:rPr>
          <w:rFonts w:ascii="宋体" w:hAnsi="宋体" w:hint="eastAsia"/>
          <w:sz w:val="32"/>
          <w:szCs w:val="32"/>
        </w:rPr>
        <w:t>宗、</w:t>
      </w:r>
      <w:r w:rsidRPr="00FA1F18">
        <w:rPr>
          <w:rFonts w:ascii="宋体" w:hAnsi="宋体"/>
          <w:sz w:val="32"/>
          <w:szCs w:val="32"/>
        </w:rPr>
        <w:t>面积：</w:t>
      </w:r>
      <w:r>
        <w:rPr>
          <w:rFonts w:ascii="宋体" w:hAnsi="宋体" w:hint="eastAsia"/>
          <w:sz w:val="32"/>
          <w:szCs w:val="32"/>
        </w:rPr>
        <w:t>84.75</w:t>
      </w:r>
      <w:r w:rsidRPr="00FA1F18">
        <w:rPr>
          <w:rFonts w:ascii="宋体" w:hAnsi="宋体" w:hint="eastAsia"/>
          <w:sz w:val="32"/>
          <w:szCs w:val="32"/>
        </w:rPr>
        <w:t>万</w:t>
      </w:r>
      <w:r w:rsidRPr="00FA1F18">
        <w:rPr>
          <w:rFonts w:ascii="宋体" w:hAnsi="宋体"/>
          <w:sz w:val="32"/>
          <w:szCs w:val="32"/>
        </w:rPr>
        <w:t>平方米</w:t>
      </w:r>
      <w:r w:rsidRPr="00FA1F18">
        <w:rPr>
          <w:rFonts w:ascii="宋体" w:hAnsi="宋体" w:hint="eastAsia"/>
          <w:sz w:val="32"/>
          <w:szCs w:val="32"/>
        </w:rPr>
        <w:t>、</w:t>
      </w:r>
      <w:r w:rsidRPr="00FA1F18">
        <w:rPr>
          <w:rFonts w:ascii="宋体" w:hAnsi="宋体"/>
          <w:sz w:val="32"/>
          <w:szCs w:val="32"/>
        </w:rPr>
        <w:t>金额：</w:t>
      </w:r>
      <w:r>
        <w:rPr>
          <w:rFonts w:ascii="宋体" w:hAnsi="宋体" w:hint="eastAsia"/>
          <w:sz w:val="32"/>
          <w:szCs w:val="32"/>
        </w:rPr>
        <w:t>145303</w:t>
      </w:r>
      <w:r w:rsidRPr="00FA1F18">
        <w:rPr>
          <w:rFonts w:ascii="宋体" w:hAnsi="宋体"/>
          <w:sz w:val="32"/>
          <w:szCs w:val="32"/>
        </w:rPr>
        <w:t>万元</w:t>
      </w:r>
      <w:r w:rsidRPr="00FA1F18">
        <w:rPr>
          <w:rFonts w:ascii="宋体" w:hAnsi="宋体" w:hint="eastAsia"/>
          <w:sz w:val="32"/>
          <w:szCs w:val="32"/>
        </w:rPr>
        <w:t>；商品房预（销）售合同备案</w:t>
      </w:r>
      <w:r>
        <w:rPr>
          <w:rFonts w:ascii="宋体" w:hAnsi="宋体" w:hint="eastAsia"/>
          <w:sz w:val="32"/>
          <w:szCs w:val="32"/>
        </w:rPr>
        <w:t>15781</w:t>
      </w:r>
      <w:r w:rsidRPr="00FA1F18">
        <w:rPr>
          <w:rFonts w:ascii="宋体" w:hAnsi="宋体" w:hint="eastAsia"/>
          <w:sz w:val="32"/>
          <w:szCs w:val="32"/>
        </w:rPr>
        <w:t>宗、面积</w:t>
      </w:r>
      <w:r>
        <w:rPr>
          <w:rFonts w:ascii="宋体" w:hAnsi="宋体" w:hint="eastAsia"/>
          <w:sz w:val="32"/>
          <w:szCs w:val="32"/>
        </w:rPr>
        <w:t>114.27</w:t>
      </w:r>
      <w:r w:rsidRPr="00FA1F18">
        <w:rPr>
          <w:rFonts w:ascii="宋体" w:hAnsi="宋体" w:hint="eastAsia"/>
          <w:sz w:val="32"/>
          <w:szCs w:val="32"/>
        </w:rPr>
        <w:t>万平方米、金额</w:t>
      </w:r>
      <w:r>
        <w:rPr>
          <w:rFonts w:ascii="宋体" w:hAnsi="宋体" w:hint="eastAsia"/>
          <w:sz w:val="32"/>
          <w:szCs w:val="32"/>
        </w:rPr>
        <w:t>490118.43</w:t>
      </w:r>
      <w:r w:rsidRPr="00FA1F18">
        <w:rPr>
          <w:rFonts w:ascii="宋体" w:hAnsi="宋体" w:hint="eastAsia"/>
          <w:sz w:val="32"/>
          <w:szCs w:val="32"/>
        </w:rPr>
        <w:t>万元；</w:t>
      </w:r>
      <w:r w:rsidR="007305BA" w:rsidRPr="000E3676">
        <w:rPr>
          <w:rFonts w:asciiTheme="majorEastAsia" w:eastAsiaTheme="majorEastAsia" w:hAnsiTheme="majorEastAsia" w:hint="eastAsia"/>
          <w:sz w:val="32"/>
          <w:szCs w:val="32"/>
        </w:rPr>
        <w:t>发放住房补贴452宗、金额866.1026万元。完成房</w:t>
      </w:r>
      <w:r w:rsidR="007305BA" w:rsidRPr="000E3676">
        <w:rPr>
          <w:rFonts w:asciiTheme="majorEastAsia" w:eastAsiaTheme="majorEastAsia" w:hAnsiTheme="majorEastAsia" w:hint="eastAsia"/>
          <w:sz w:val="32"/>
          <w:szCs w:val="32"/>
        </w:rPr>
        <w:lastRenderedPageBreak/>
        <w:t>屋交易手续费收入（含住房转让手续费、非住房交易手续费）129.00万元；2017年4月1日起已取消交易手续费收费。</w:t>
      </w:r>
    </w:p>
    <w:p w:rsidR="00F1361C" w:rsidRPr="00A13CC1" w:rsidRDefault="00F1361C" w:rsidP="007305BA">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二、部门概况</w:t>
      </w:r>
    </w:p>
    <w:p w:rsidR="007305BA" w:rsidRPr="007770C3" w:rsidRDefault="007305BA" w:rsidP="000E3676">
      <w:pPr>
        <w:pStyle w:val="a5"/>
        <w:adjustRightInd w:val="0"/>
        <w:snapToGrid w:val="0"/>
        <w:spacing w:before="93" w:line="600" w:lineRule="exact"/>
        <w:ind w:firstLineChars="210" w:firstLine="672"/>
        <w:rPr>
          <w:color w:val="000000"/>
          <w:sz w:val="32"/>
          <w:szCs w:val="32"/>
        </w:rPr>
      </w:pPr>
      <w:r>
        <w:rPr>
          <w:rFonts w:hint="eastAsia"/>
          <w:color w:val="000000"/>
          <w:sz w:val="32"/>
          <w:szCs w:val="32"/>
        </w:rPr>
        <w:t>房地产交易所是住建局下属二级</w:t>
      </w:r>
      <w:r w:rsidRPr="007770C3">
        <w:rPr>
          <w:rFonts w:hint="eastAsia"/>
          <w:color w:val="000000"/>
          <w:sz w:val="32"/>
          <w:szCs w:val="32"/>
        </w:rPr>
        <w:t>单位</w:t>
      </w:r>
      <w:r>
        <w:rPr>
          <w:rFonts w:hint="eastAsia"/>
          <w:color w:val="000000"/>
          <w:sz w:val="32"/>
          <w:szCs w:val="32"/>
        </w:rPr>
        <w:t>1</w:t>
      </w:r>
      <w:r w:rsidRPr="007770C3">
        <w:rPr>
          <w:rFonts w:hint="eastAsia"/>
          <w:color w:val="000000"/>
          <w:sz w:val="32"/>
          <w:szCs w:val="32"/>
        </w:rPr>
        <w:t>个，</w:t>
      </w:r>
      <w:r>
        <w:rPr>
          <w:rFonts w:hint="eastAsia"/>
          <w:color w:val="000000"/>
          <w:sz w:val="32"/>
          <w:szCs w:val="32"/>
        </w:rPr>
        <w:t>属</w:t>
      </w:r>
      <w:r w:rsidRPr="007770C3">
        <w:rPr>
          <w:rFonts w:hint="eastAsia"/>
          <w:color w:val="000000"/>
          <w:sz w:val="32"/>
          <w:szCs w:val="32"/>
        </w:rPr>
        <w:t>其他事业单位</w:t>
      </w:r>
      <w:r>
        <w:rPr>
          <w:rFonts w:hint="eastAsia"/>
          <w:color w:val="000000"/>
          <w:sz w:val="32"/>
          <w:szCs w:val="32"/>
        </w:rPr>
        <w:t>1</w:t>
      </w:r>
      <w:r w:rsidRPr="007770C3">
        <w:rPr>
          <w:rFonts w:hint="eastAsia"/>
          <w:color w:val="000000"/>
          <w:sz w:val="32"/>
          <w:szCs w:val="32"/>
        </w:rPr>
        <w:t>个。</w:t>
      </w:r>
    </w:p>
    <w:p w:rsidR="00F1361C" w:rsidRPr="00A13CC1" w:rsidRDefault="00F1361C"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三、收支决算总体情况</w:t>
      </w:r>
      <w:r w:rsidR="00D51276" w:rsidRPr="00A13CC1">
        <w:rPr>
          <w:rFonts w:ascii="黑体" w:eastAsia="黑体" w:hint="eastAsia"/>
          <w:color w:val="000000"/>
          <w:sz w:val="32"/>
          <w:szCs w:val="32"/>
        </w:rPr>
        <w:t>说明</w:t>
      </w:r>
    </w:p>
    <w:p w:rsidR="00725B8B" w:rsidRPr="00725B8B" w:rsidRDefault="005664BB" w:rsidP="00AD7C1B">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w:t>
      </w:r>
      <w:r w:rsidR="007305BA">
        <w:rPr>
          <w:rFonts w:ascii="仿宋_GB2312" w:eastAsia="仿宋_GB2312" w:hint="eastAsia"/>
          <w:color w:val="000000"/>
          <w:sz w:val="32"/>
          <w:szCs w:val="32"/>
        </w:rPr>
        <w:t>广汉市房地产交易所</w:t>
      </w:r>
      <w:r w:rsidR="00F1361C" w:rsidRPr="00A13CC1">
        <w:rPr>
          <w:rFonts w:ascii="仿宋_GB2312" w:eastAsia="仿宋_GB2312" w:hint="eastAsia"/>
          <w:color w:val="000000"/>
          <w:sz w:val="32"/>
          <w:szCs w:val="32"/>
        </w:rPr>
        <w:t>本年收入合计</w:t>
      </w:r>
      <w:r w:rsidR="007305BA">
        <w:rPr>
          <w:rFonts w:ascii="仿宋_GB2312" w:eastAsia="仿宋_GB2312" w:hint="eastAsia"/>
          <w:color w:val="000000"/>
          <w:sz w:val="32"/>
          <w:szCs w:val="32"/>
        </w:rPr>
        <w:t>1204.14</w:t>
      </w:r>
      <w:r w:rsidR="00F1361C" w:rsidRPr="00A13CC1">
        <w:rPr>
          <w:rFonts w:ascii="仿宋_GB2312" w:eastAsia="仿宋_GB2312" w:hint="eastAsia"/>
          <w:color w:val="000000"/>
          <w:sz w:val="32"/>
          <w:szCs w:val="32"/>
        </w:rPr>
        <w:t>万元，其中：</w:t>
      </w:r>
      <w:r w:rsidR="00AD7C1B" w:rsidRPr="00A13CC1">
        <w:rPr>
          <w:rFonts w:ascii="仿宋_GB2312" w:eastAsia="仿宋_GB2312" w:hint="eastAsia"/>
          <w:color w:val="000000"/>
          <w:sz w:val="32"/>
          <w:szCs w:val="32"/>
          <w:shd w:val="pct15" w:color="auto" w:fill="FFFFFF"/>
        </w:rPr>
        <w:t>一般公共预算财政拨款收入</w:t>
      </w:r>
      <w:r w:rsidR="007305BA">
        <w:rPr>
          <w:rFonts w:ascii="仿宋_GB2312" w:eastAsia="仿宋_GB2312" w:hint="eastAsia"/>
          <w:color w:val="000000"/>
          <w:sz w:val="32"/>
          <w:szCs w:val="32"/>
          <w:shd w:val="pct15" w:color="auto" w:fill="FFFFFF"/>
        </w:rPr>
        <w:t>1204.14</w:t>
      </w:r>
      <w:r w:rsidR="00F1361C" w:rsidRPr="00A13CC1">
        <w:rPr>
          <w:rFonts w:ascii="仿宋_GB2312" w:eastAsia="仿宋_GB2312" w:hint="eastAsia"/>
          <w:color w:val="000000"/>
          <w:sz w:val="32"/>
          <w:szCs w:val="32"/>
          <w:shd w:val="pct15" w:color="auto" w:fill="FFFFFF"/>
        </w:rPr>
        <w:t>万元，占</w:t>
      </w:r>
      <w:r w:rsidR="007305BA">
        <w:rPr>
          <w:rFonts w:ascii="仿宋_GB2312" w:eastAsia="仿宋_GB2312" w:hint="eastAsia"/>
          <w:color w:val="000000"/>
          <w:sz w:val="32"/>
          <w:szCs w:val="32"/>
          <w:shd w:val="pct15" w:color="auto" w:fill="FFFFFF"/>
        </w:rPr>
        <w:t>100</w:t>
      </w:r>
      <w:r w:rsidR="00F1361C" w:rsidRPr="00A13CC1">
        <w:rPr>
          <w:rFonts w:ascii="仿宋_GB2312" w:eastAsia="仿宋_GB2312" w:hint="eastAsia"/>
          <w:color w:val="000000"/>
          <w:sz w:val="32"/>
          <w:szCs w:val="32"/>
          <w:shd w:val="pct15" w:color="auto" w:fill="FFFFFF"/>
        </w:rPr>
        <w:t>%</w:t>
      </w:r>
      <w:r w:rsidR="007305BA">
        <w:rPr>
          <w:rFonts w:ascii="仿宋_GB2312" w:eastAsia="仿宋_GB2312" w:hint="eastAsia"/>
          <w:color w:val="000000"/>
          <w:sz w:val="32"/>
          <w:szCs w:val="32"/>
          <w:shd w:val="pct15" w:color="auto" w:fill="FFFFFF"/>
        </w:rPr>
        <w:t>。</w:t>
      </w:r>
    </w:p>
    <w:p w:rsidR="0014729F" w:rsidRDefault="005664BB" w:rsidP="0014729F">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highlight w:val="yellow"/>
        </w:rPr>
        <w:t>（图1：收入决算结构图）（</w:t>
      </w:r>
      <w:r w:rsidR="0066343B" w:rsidRPr="00A13CC1">
        <w:rPr>
          <w:rFonts w:ascii="仿宋_GB2312" w:eastAsia="仿宋_GB2312" w:hint="eastAsia"/>
          <w:color w:val="000000"/>
          <w:sz w:val="32"/>
          <w:szCs w:val="32"/>
          <w:highlight w:val="yellow"/>
        </w:rPr>
        <w:t>饼状</w:t>
      </w:r>
      <w:r w:rsidR="00191536" w:rsidRPr="00A13CC1">
        <w:rPr>
          <w:rFonts w:ascii="仿宋_GB2312" w:eastAsia="仿宋_GB2312" w:hint="eastAsia"/>
          <w:color w:val="000000"/>
          <w:sz w:val="32"/>
          <w:szCs w:val="32"/>
          <w:highlight w:val="yellow"/>
        </w:rPr>
        <w:t>图）</w:t>
      </w:r>
    </w:p>
    <w:p w:rsidR="00725B8B" w:rsidRPr="00A13CC1" w:rsidRDefault="00A44BEE" w:rsidP="00A44BEE">
      <w:pPr>
        <w:spacing w:line="360" w:lineRule="auto"/>
        <w:ind w:firstLineChars="200" w:firstLine="640"/>
        <w:rPr>
          <w:rFonts w:ascii="仿宋_GB2312" w:eastAsia="仿宋_GB2312"/>
          <w:color w:val="000000"/>
          <w:sz w:val="32"/>
          <w:szCs w:val="32"/>
        </w:rPr>
      </w:pPr>
      <w:r w:rsidRPr="00A44BEE">
        <w:rPr>
          <w:rFonts w:ascii="仿宋_GB2312" w:eastAsia="仿宋_GB2312"/>
          <w:noProof/>
          <w:color w:val="000000"/>
          <w:sz w:val="32"/>
          <w:szCs w:val="32"/>
        </w:rPr>
        <w:drawing>
          <wp:inline distT="0" distB="0" distL="0" distR="0">
            <wp:extent cx="5274310" cy="307657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3766" w:rsidRDefault="005664BB" w:rsidP="00191536">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w:t>
      </w:r>
      <w:r w:rsidR="00B13766">
        <w:rPr>
          <w:rFonts w:ascii="仿宋_GB2312" w:eastAsia="仿宋_GB2312" w:hint="eastAsia"/>
          <w:color w:val="000000"/>
          <w:sz w:val="32"/>
          <w:szCs w:val="32"/>
        </w:rPr>
        <w:t>广汉市房地产交易所</w:t>
      </w:r>
      <w:r w:rsidR="00F1361C" w:rsidRPr="00A13CC1">
        <w:rPr>
          <w:rFonts w:ascii="仿宋_GB2312" w:eastAsia="仿宋_GB2312" w:hint="eastAsia"/>
          <w:color w:val="000000"/>
          <w:sz w:val="32"/>
          <w:szCs w:val="32"/>
        </w:rPr>
        <w:t>本年支出合计</w:t>
      </w:r>
      <w:r w:rsidR="00B13766">
        <w:rPr>
          <w:rFonts w:ascii="仿宋_GB2312" w:eastAsia="仿宋_GB2312" w:hint="eastAsia"/>
          <w:color w:val="000000"/>
          <w:sz w:val="32"/>
          <w:szCs w:val="32"/>
        </w:rPr>
        <w:t>1162.53</w:t>
      </w:r>
      <w:r w:rsidR="00F1361C" w:rsidRPr="00A13CC1">
        <w:rPr>
          <w:rFonts w:ascii="仿宋_GB2312" w:eastAsia="仿宋_GB2312" w:hint="eastAsia"/>
          <w:color w:val="000000"/>
          <w:sz w:val="32"/>
          <w:szCs w:val="32"/>
        </w:rPr>
        <w:t>万元，其中：基本支出</w:t>
      </w:r>
      <w:r w:rsidR="00B13766">
        <w:rPr>
          <w:rFonts w:ascii="仿宋_GB2312" w:eastAsia="仿宋_GB2312" w:hint="eastAsia"/>
          <w:color w:val="000000"/>
          <w:sz w:val="32"/>
          <w:szCs w:val="32"/>
        </w:rPr>
        <w:t>296.44</w:t>
      </w:r>
      <w:r w:rsidR="00F1361C" w:rsidRPr="00A13CC1">
        <w:rPr>
          <w:rFonts w:ascii="仿宋_GB2312" w:eastAsia="仿宋_GB2312" w:hint="eastAsia"/>
          <w:color w:val="000000"/>
          <w:sz w:val="32"/>
          <w:szCs w:val="32"/>
        </w:rPr>
        <w:t>万元，占</w:t>
      </w:r>
      <w:r w:rsidR="00B13766">
        <w:rPr>
          <w:rFonts w:ascii="仿宋_GB2312" w:eastAsia="仿宋_GB2312" w:hint="eastAsia"/>
          <w:color w:val="000000"/>
          <w:sz w:val="32"/>
          <w:szCs w:val="32"/>
        </w:rPr>
        <w:t>25.50</w:t>
      </w:r>
      <w:r w:rsidR="00F1361C" w:rsidRPr="00A13CC1">
        <w:rPr>
          <w:rFonts w:ascii="仿宋_GB2312" w:eastAsia="仿宋_GB2312" w:hint="eastAsia"/>
          <w:color w:val="000000"/>
          <w:sz w:val="32"/>
          <w:szCs w:val="32"/>
        </w:rPr>
        <w:t>%；项目支出</w:t>
      </w:r>
      <w:r w:rsidR="00B13766">
        <w:rPr>
          <w:rFonts w:ascii="仿宋_GB2312" w:eastAsia="仿宋_GB2312" w:hint="eastAsia"/>
          <w:color w:val="000000"/>
          <w:sz w:val="32"/>
          <w:szCs w:val="32"/>
        </w:rPr>
        <w:t>866.09</w:t>
      </w:r>
      <w:r w:rsidR="00F1361C" w:rsidRPr="00A13CC1">
        <w:rPr>
          <w:rFonts w:ascii="仿宋_GB2312" w:eastAsia="仿宋_GB2312" w:hint="eastAsia"/>
          <w:color w:val="000000"/>
          <w:sz w:val="32"/>
          <w:szCs w:val="32"/>
        </w:rPr>
        <w:t>万元，占</w:t>
      </w:r>
      <w:r w:rsidR="00B13766">
        <w:rPr>
          <w:rFonts w:ascii="仿宋_GB2312" w:eastAsia="仿宋_GB2312" w:hint="eastAsia"/>
          <w:color w:val="000000"/>
          <w:sz w:val="32"/>
          <w:szCs w:val="32"/>
        </w:rPr>
        <w:t>74.50</w:t>
      </w:r>
      <w:r w:rsidR="00F1361C" w:rsidRPr="00A13CC1">
        <w:rPr>
          <w:rFonts w:ascii="仿宋_GB2312" w:eastAsia="仿宋_GB2312" w:hint="eastAsia"/>
          <w:color w:val="000000"/>
          <w:sz w:val="32"/>
          <w:szCs w:val="32"/>
        </w:rPr>
        <w:t>%</w:t>
      </w:r>
      <w:r w:rsidR="00B13766">
        <w:rPr>
          <w:rFonts w:ascii="仿宋_GB2312" w:eastAsia="仿宋_GB2312" w:hint="eastAsia"/>
          <w:color w:val="000000"/>
          <w:sz w:val="32"/>
          <w:szCs w:val="32"/>
        </w:rPr>
        <w:t>。</w:t>
      </w:r>
    </w:p>
    <w:p w:rsidR="00F1361C" w:rsidRDefault="005664BB" w:rsidP="00191536">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highlight w:val="yellow"/>
        </w:rPr>
        <w:t>（图2：支出决算结构图）</w:t>
      </w:r>
      <w:r w:rsidR="00191536" w:rsidRPr="00A13CC1">
        <w:rPr>
          <w:rFonts w:ascii="仿宋_GB2312" w:eastAsia="仿宋_GB2312" w:hint="eastAsia"/>
          <w:color w:val="000000"/>
          <w:sz w:val="32"/>
          <w:szCs w:val="32"/>
          <w:highlight w:val="yellow"/>
        </w:rPr>
        <w:t>（</w:t>
      </w:r>
      <w:r w:rsidR="0066343B" w:rsidRPr="00A13CC1">
        <w:rPr>
          <w:rFonts w:ascii="仿宋_GB2312" w:eastAsia="仿宋_GB2312" w:hint="eastAsia"/>
          <w:color w:val="000000"/>
          <w:sz w:val="32"/>
          <w:szCs w:val="32"/>
          <w:highlight w:val="yellow"/>
        </w:rPr>
        <w:t>饼状图</w:t>
      </w:r>
      <w:r w:rsidR="00191536" w:rsidRPr="00A13CC1">
        <w:rPr>
          <w:rFonts w:ascii="仿宋_GB2312" w:eastAsia="仿宋_GB2312" w:hint="eastAsia"/>
          <w:color w:val="000000"/>
          <w:sz w:val="32"/>
          <w:szCs w:val="32"/>
          <w:highlight w:val="yellow"/>
        </w:rPr>
        <w:t>）</w:t>
      </w:r>
    </w:p>
    <w:p w:rsidR="00A44BEE" w:rsidRPr="00A13CC1" w:rsidRDefault="00A44BEE" w:rsidP="00A44BEE">
      <w:pPr>
        <w:spacing w:line="360" w:lineRule="auto"/>
        <w:ind w:firstLineChars="200" w:firstLine="640"/>
        <w:rPr>
          <w:rFonts w:ascii="仿宋_GB2312" w:eastAsia="仿宋_GB2312"/>
          <w:color w:val="000000"/>
          <w:sz w:val="32"/>
          <w:szCs w:val="32"/>
        </w:rPr>
      </w:pPr>
      <w:r w:rsidRPr="00A44BEE">
        <w:rPr>
          <w:rFonts w:ascii="仿宋_GB2312" w:eastAsia="仿宋_GB2312"/>
          <w:noProof/>
          <w:color w:val="000000"/>
          <w:sz w:val="32"/>
          <w:szCs w:val="32"/>
        </w:rPr>
        <w:lastRenderedPageBreak/>
        <w:drawing>
          <wp:inline distT="0" distB="0" distL="0" distR="0">
            <wp:extent cx="5274310" cy="307657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361C" w:rsidRPr="00A13CC1" w:rsidRDefault="00F1361C" w:rsidP="009B4EAE">
      <w:pPr>
        <w:spacing w:line="600" w:lineRule="exact"/>
        <w:ind w:firstLineChars="200" w:firstLine="640"/>
        <w:rPr>
          <w:rFonts w:ascii="仿宋_GB2312" w:eastAsia="仿宋_GB2312"/>
          <w:color w:val="000000"/>
          <w:sz w:val="32"/>
          <w:szCs w:val="32"/>
        </w:rPr>
      </w:pPr>
      <w:r w:rsidRPr="00A13CC1">
        <w:rPr>
          <w:rFonts w:ascii="黑体" w:eastAsia="黑体" w:hint="eastAsia"/>
          <w:color w:val="000000"/>
          <w:sz w:val="32"/>
          <w:szCs w:val="32"/>
        </w:rPr>
        <w:t>四、财政拨款</w:t>
      </w:r>
      <w:r w:rsidR="005664BB" w:rsidRPr="00A13CC1">
        <w:rPr>
          <w:rFonts w:ascii="黑体" w:eastAsia="黑体" w:hint="eastAsia"/>
          <w:color w:val="000000"/>
          <w:sz w:val="32"/>
          <w:szCs w:val="32"/>
        </w:rPr>
        <w:t>收入支出决算总体</w:t>
      </w:r>
      <w:r w:rsidRPr="00A13CC1">
        <w:rPr>
          <w:rFonts w:ascii="黑体" w:eastAsia="黑体" w:hint="eastAsia"/>
          <w:color w:val="000000"/>
          <w:sz w:val="32"/>
          <w:szCs w:val="32"/>
        </w:rPr>
        <w:t>情况</w:t>
      </w:r>
      <w:r w:rsidR="00D51276" w:rsidRPr="00A13CC1">
        <w:rPr>
          <w:rFonts w:ascii="黑体" w:eastAsia="黑体" w:hint="eastAsia"/>
          <w:color w:val="000000"/>
          <w:sz w:val="32"/>
          <w:szCs w:val="32"/>
        </w:rPr>
        <w:t>说明</w:t>
      </w:r>
    </w:p>
    <w:p w:rsidR="005664BB" w:rsidRPr="00A13CC1" w:rsidRDefault="005664BB" w:rsidP="00191536">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5D5CED" w:rsidRPr="00A13CC1">
        <w:rPr>
          <w:rFonts w:ascii="仿宋_GB2312" w:eastAsia="仿宋_GB2312" w:hint="eastAsia"/>
          <w:color w:val="000000"/>
          <w:sz w:val="32"/>
          <w:szCs w:val="32"/>
        </w:rPr>
        <w:t>年度财政拨款</w:t>
      </w:r>
      <w:r w:rsidRPr="00A13CC1">
        <w:rPr>
          <w:rFonts w:ascii="仿宋_GB2312" w:eastAsia="仿宋_GB2312" w:hint="eastAsia"/>
          <w:color w:val="000000"/>
          <w:sz w:val="32"/>
          <w:szCs w:val="32"/>
        </w:rPr>
        <w:t>收、支总计</w:t>
      </w:r>
      <w:r w:rsidR="00032471">
        <w:rPr>
          <w:rFonts w:ascii="仿宋_GB2312" w:eastAsia="仿宋_GB2312" w:hint="eastAsia"/>
          <w:color w:val="000000"/>
          <w:sz w:val="32"/>
          <w:szCs w:val="32"/>
        </w:rPr>
        <w:t>1316.67</w:t>
      </w:r>
      <w:r w:rsidR="00F1361C" w:rsidRPr="00A13CC1">
        <w:rPr>
          <w:rFonts w:ascii="仿宋_GB2312" w:eastAsia="仿宋_GB2312" w:hint="eastAsia"/>
          <w:color w:val="000000"/>
          <w:sz w:val="32"/>
          <w:szCs w:val="32"/>
        </w:rPr>
        <w:t>万元。与</w:t>
      </w:r>
      <w:r w:rsidRPr="00A13CC1">
        <w:rPr>
          <w:rFonts w:ascii="仿宋_GB2312" w:eastAsia="仿宋_GB2312" w:hint="eastAsia"/>
          <w:color w:val="000000"/>
          <w:sz w:val="32"/>
          <w:szCs w:val="32"/>
        </w:rPr>
        <w:t>2016</w:t>
      </w:r>
      <w:r w:rsidR="00F1361C" w:rsidRPr="00A13CC1">
        <w:rPr>
          <w:rFonts w:ascii="仿宋_GB2312" w:eastAsia="仿宋_GB2312" w:hint="eastAsia"/>
          <w:color w:val="000000"/>
          <w:sz w:val="32"/>
          <w:szCs w:val="32"/>
        </w:rPr>
        <w:t>年相比，财政拨款收、支</w:t>
      </w:r>
      <w:r w:rsidR="005D5CED" w:rsidRPr="00A13CC1">
        <w:rPr>
          <w:rFonts w:ascii="仿宋_GB2312" w:eastAsia="仿宋_GB2312" w:hint="eastAsia"/>
          <w:color w:val="000000"/>
          <w:sz w:val="32"/>
          <w:szCs w:val="32"/>
        </w:rPr>
        <w:t>总计</w:t>
      </w:r>
      <w:r w:rsidR="00F1361C" w:rsidRPr="00A13CC1">
        <w:rPr>
          <w:rFonts w:ascii="仿宋_GB2312" w:eastAsia="仿宋_GB2312" w:hint="eastAsia"/>
          <w:color w:val="000000"/>
          <w:sz w:val="32"/>
          <w:szCs w:val="32"/>
        </w:rPr>
        <w:t>各增加</w:t>
      </w:r>
      <w:r w:rsidR="00032471">
        <w:rPr>
          <w:rFonts w:ascii="仿宋_GB2312" w:eastAsia="仿宋_GB2312" w:hint="eastAsia"/>
          <w:color w:val="000000"/>
          <w:sz w:val="32"/>
          <w:szCs w:val="32"/>
        </w:rPr>
        <w:t>500.24</w:t>
      </w:r>
      <w:r w:rsidR="00F1361C" w:rsidRPr="00A13CC1">
        <w:rPr>
          <w:rFonts w:ascii="仿宋_GB2312" w:eastAsia="仿宋_GB2312" w:hint="eastAsia"/>
          <w:color w:val="000000"/>
          <w:sz w:val="32"/>
          <w:szCs w:val="32"/>
        </w:rPr>
        <w:t>万元，</w:t>
      </w:r>
      <w:r w:rsidR="00C03E31" w:rsidRPr="00A13CC1">
        <w:rPr>
          <w:rFonts w:ascii="仿宋_GB2312" w:eastAsia="仿宋_GB2312" w:hint="eastAsia"/>
          <w:color w:val="000000"/>
          <w:sz w:val="32"/>
          <w:szCs w:val="32"/>
        </w:rPr>
        <w:t>增长</w:t>
      </w:r>
      <w:r w:rsidR="00032471">
        <w:rPr>
          <w:rFonts w:ascii="仿宋_GB2312" w:eastAsia="仿宋_GB2312" w:hint="eastAsia"/>
          <w:color w:val="000000"/>
          <w:sz w:val="32"/>
          <w:szCs w:val="32"/>
        </w:rPr>
        <w:t>61.27</w:t>
      </w:r>
      <w:r w:rsidR="00F1361C" w:rsidRPr="00A13CC1">
        <w:rPr>
          <w:rFonts w:ascii="仿宋_GB2312" w:eastAsia="仿宋_GB2312" w:hint="eastAsia"/>
          <w:color w:val="000000"/>
          <w:sz w:val="32"/>
          <w:szCs w:val="32"/>
        </w:rPr>
        <w:t>%</w:t>
      </w:r>
      <w:r w:rsidR="00191536" w:rsidRPr="00A13CC1">
        <w:rPr>
          <w:rFonts w:ascii="仿宋_GB2312" w:eastAsia="仿宋_GB2312" w:hint="eastAsia"/>
          <w:color w:val="000000"/>
          <w:sz w:val="32"/>
          <w:szCs w:val="32"/>
        </w:rPr>
        <w:t>。</w:t>
      </w:r>
    </w:p>
    <w:p w:rsidR="009B4EAE" w:rsidRPr="00A13CC1" w:rsidRDefault="005664BB" w:rsidP="00191536">
      <w:pPr>
        <w:spacing w:line="600" w:lineRule="exact"/>
        <w:ind w:firstLineChars="200" w:firstLine="640"/>
        <w:rPr>
          <w:rFonts w:ascii="仿宋_GB2312" w:eastAsia="仿宋_GB2312"/>
          <w:color w:val="000000"/>
          <w:sz w:val="32"/>
          <w:szCs w:val="32"/>
          <w:highlight w:val="yellow"/>
        </w:rPr>
      </w:pPr>
      <w:r w:rsidRPr="00A13CC1">
        <w:rPr>
          <w:rFonts w:ascii="仿宋_GB2312" w:eastAsia="仿宋_GB2312" w:hint="eastAsia"/>
          <w:color w:val="000000"/>
          <w:sz w:val="32"/>
          <w:szCs w:val="32"/>
          <w:highlight w:val="yellow"/>
        </w:rPr>
        <w:t>（图3：财政拨款收、支决算总计变动情况）</w:t>
      </w:r>
      <w:r w:rsidR="009B4EAE" w:rsidRPr="00A13CC1">
        <w:rPr>
          <w:rFonts w:ascii="仿宋_GB2312" w:eastAsia="仿宋_GB2312" w:hint="eastAsia"/>
          <w:color w:val="000000"/>
          <w:sz w:val="32"/>
          <w:szCs w:val="32"/>
          <w:highlight w:val="yellow"/>
        </w:rPr>
        <w:t>（</w:t>
      </w:r>
      <w:r w:rsidR="0066343B" w:rsidRPr="00A13CC1">
        <w:rPr>
          <w:rFonts w:ascii="仿宋_GB2312" w:eastAsia="仿宋_GB2312" w:hint="eastAsia"/>
          <w:color w:val="000000"/>
          <w:sz w:val="32"/>
          <w:szCs w:val="32"/>
          <w:highlight w:val="yellow"/>
        </w:rPr>
        <w:t>柱状</w:t>
      </w:r>
      <w:r w:rsidR="009B4EAE" w:rsidRPr="00A13CC1">
        <w:rPr>
          <w:rFonts w:ascii="仿宋_GB2312" w:eastAsia="仿宋_GB2312" w:hint="eastAsia"/>
          <w:color w:val="000000"/>
          <w:sz w:val="32"/>
          <w:szCs w:val="32"/>
          <w:highlight w:val="yellow"/>
        </w:rPr>
        <w:t>图）</w:t>
      </w:r>
    </w:p>
    <w:p w:rsidR="005D5CED" w:rsidRDefault="005D5CED" w:rsidP="00260C3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（数据来源财决Z01-1表，</w:t>
      </w:r>
      <w:r w:rsidR="004E206B" w:rsidRPr="00A13CC1">
        <w:rPr>
          <w:rFonts w:ascii="仿宋_GB2312" w:eastAsia="仿宋_GB2312" w:hint="eastAsia"/>
          <w:b/>
          <w:color w:val="000000"/>
          <w:sz w:val="32"/>
          <w:szCs w:val="32"/>
          <w:highlight w:val="yellow"/>
        </w:rPr>
        <w:t>除国有资本经营预算外，</w:t>
      </w:r>
      <w:r w:rsidRPr="00A13CC1">
        <w:rPr>
          <w:rFonts w:ascii="仿宋_GB2312" w:eastAsia="仿宋_GB2312" w:hint="eastAsia"/>
          <w:b/>
          <w:color w:val="000000"/>
          <w:sz w:val="32"/>
          <w:szCs w:val="32"/>
          <w:highlight w:val="yellow"/>
        </w:rPr>
        <w:t>口径为“总计”数</w:t>
      </w:r>
      <w:r w:rsidR="00860645" w:rsidRPr="00A13CC1">
        <w:rPr>
          <w:rFonts w:ascii="仿宋_GB2312" w:eastAsia="仿宋_GB2312" w:hint="eastAsia"/>
          <w:b/>
          <w:color w:val="000000"/>
          <w:sz w:val="32"/>
          <w:szCs w:val="32"/>
          <w:highlight w:val="yellow"/>
        </w:rPr>
        <w:t>。</w:t>
      </w:r>
      <w:r w:rsidRPr="00A13CC1">
        <w:rPr>
          <w:rFonts w:ascii="仿宋_GB2312" w:eastAsia="仿宋_GB2312" w:hint="eastAsia"/>
          <w:b/>
          <w:color w:val="000000"/>
          <w:sz w:val="32"/>
          <w:szCs w:val="32"/>
          <w:highlight w:val="yellow"/>
        </w:rPr>
        <w:t>）</w:t>
      </w:r>
    </w:p>
    <w:p w:rsidR="00A44BEE" w:rsidRPr="00A13CC1" w:rsidRDefault="00A44BEE" w:rsidP="00A44BEE">
      <w:pPr>
        <w:spacing w:line="360" w:lineRule="auto"/>
        <w:ind w:firstLine="641"/>
        <w:rPr>
          <w:rFonts w:ascii="仿宋_GB2312" w:eastAsia="仿宋_GB2312"/>
          <w:b/>
          <w:color w:val="000000"/>
          <w:sz w:val="32"/>
          <w:szCs w:val="32"/>
        </w:rPr>
      </w:pPr>
      <w:r w:rsidRPr="00A44BEE">
        <w:rPr>
          <w:rFonts w:ascii="仿宋_GB2312" w:eastAsia="仿宋_GB2312"/>
          <w:b/>
          <w:noProof/>
          <w:color w:val="000000"/>
          <w:sz w:val="32"/>
          <w:szCs w:val="32"/>
        </w:rPr>
        <w:drawing>
          <wp:inline distT="0" distB="0" distL="0" distR="0">
            <wp:extent cx="5274310" cy="2940775"/>
            <wp:effectExtent l="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361C" w:rsidRPr="00A13CC1" w:rsidRDefault="00F1361C"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lastRenderedPageBreak/>
        <w:t>五、一般公共预算财政拨款支出决算情况</w:t>
      </w:r>
      <w:r w:rsidR="00D51276" w:rsidRPr="00A13CC1">
        <w:rPr>
          <w:rFonts w:ascii="黑体" w:eastAsia="黑体" w:hint="eastAsia"/>
          <w:color w:val="000000"/>
          <w:sz w:val="32"/>
          <w:szCs w:val="32"/>
        </w:rPr>
        <w:t>说明</w:t>
      </w:r>
    </w:p>
    <w:p w:rsidR="00F1361C" w:rsidRPr="00A13CC1" w:rsidRDefault="00F1361C"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（一）一般公共预算财政拨款支出决算总体情况</w:t>
      </w:r>
    </w:p>
    <w:p w:rsidR="005664BB" w:rsidRPr="00A13CC1" w:rsidRDefault="005664BB"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年度一般公共预算财政拨款支出</w:t>
      </w:r>
      <w:r w:rsidR="00032471">
        <w:rPr>
          <w:rFonts w:ascii="仿宋_GB2312" w:eastAsia="仿宋_GB2312" w:hint="eastAsia"/>
          <w:color w:val="000000"/>
          <w:sz w:val="32"/>
          <w:szCs w:val="32"/>
        </w:rPr>
        <w:t>1162.53</w:t>
      </w:r>
      <w:r w:rsidR="00F1361C" w:rsidRPr="00A13CC1">
        <w:rPr>
          <w:rFonts w:ascii="仿宋_GB2312" w:eastAsia="仿宋_GB2312" w:hint="eastAsia"/>
          <w:color w:val="000000"/>
          <w:sz w:val="32"/>
          <w:szCs w:val="32"/>
        </w:rPr>
        <w:t>万元，占本年支出合计的</w:t>
      </w:r>
      <w:r w:rsidR="00032471">
        <w:rPr>
          <w:rFonts w:ascii="仿宋_GB2312" w:eastAsia="仿宋_GB2312" w:hint="eastAsia"/>
          <w:color w:val="000000"/>
          <w:sz w:val="32"/>
          <w:szCs w:val="32"/>
        </w:rPr>
        <w:t>100</w:t>
      </w:r>
      <w:r w:rsidR="00F1361C" w:rsidRPr="00A13CC1">
        <w:rPr>
          <w:rFonts w:ascii="仿宋_GB2312" w:eastAsia="仿宋_GB2312" w:hint="eastAsia"/>
          <w:color w:val="000000"/>
          <w:sz w:val="32"/>
          <w:szCs w:val="32"/>
        </w:rPr>
        <w:t>%。与</w:t>
      </w:r>
      <w:r w:rsidRPr="00A13CC1">
        <w:rPr>
          <w:rFonts w:ascii="仿宋_GB2312" w:eastAsia="仿宋_GB2312" w:hint="eastAsia"/>
          <w:color w:val="000000"/>
          <w:sz w:val="32"/>
          <w:szCs w:val="32"/>
        </w:rPr>
        <w:t>2016</w:t>
      </w:r>
      <w:r w:rsidR="00F1361C" w:rsidRPr="00A13CC1">
        <w:rPr>
          <w:rFonts w:ascii="仿宋_GB2312" w:eastAsia="仿宋_GB2312" w:hint="eastAsia"/>
          <w:color w:val="000000"/>
          <w:sz w:val="32"/>
          <w:szCs w:val="32"/>
        </w:rPr>
        <w:t>年相比，一般公共预算财政拨款增加</w:t>
      </w:r>
      <w:r w:rsidR="00032471">
        <w:rPr>
          <w:rFonts w:ascii="仿宋_GB2312" w:eastAsia="仿宋_GB2312" w:hint="eastAsia"/>
          <w:color w:val="000000"/>
          <w:sz w:val="32"/>
          <w:szCs w:val="32"/>
        </w:rPr>
        <w:t>458.98</w:t>
      </w:r>
      <w:r w:rsidR="00F1361C" w:rsidRPr="00A13CC1">
        <w:rPr>
          <w:rFonts w:ascii="仿宋_GB2312" w:eastAsia="仿宋_GB2312" w:hint="eastAsia"/>
          <w:color w:val="000000"/>
          <w:sz w:val="32"/>
          <w:szCs w:val="32"/>
        </w:rPr>
        <w:t>万元，</w:t>
      </w:r>
      <w:r w:rsidR="00C03E31" w:rsidRPr="00A13CC1">
        <w:rPr>
          <w:rFonts w:ascii="仿宋_GB2312" w:eastAsia="仿宋_GB2312" w:hint="eastAsia"/>
          <w:color w:val="000000"/>
          <w:sz w:val="32"/>
          <w:szCs w:val="32"/>
        </w:rPr>
        <w:t>增长</w:t>
      </w:r>
      <w:r w:rsidR="00032471">
        <w:rPr>
          <w:rFonts w:ascii="仿宋_GB2312" w:eastAsia="仿宋_GB2312" w:hint="eastAsia"/>
          <w:color w:val="000000"/>
          <w:sz w:val="32"/>
          <w:szCs w:val="32"/>
        </w:rPr>
        <w:t>65.24</w:t>
      </w:r>
      <w:r w:rsidR="00F1361C" w:rsidRPr="00A13CC1">
        <w:rPr>
          <w:rFonts w:ascii="仿宋_GB2312" w:eastAsia="仿宋_GB2312" w:hint="eastAsia"/>
          <w:color w:val="000000"/>
          <w:sz w:val="32"/>
          <w:szCs w:val="32"/>
        </w:rPr>
        <w:t>%。</w:t>
      </w:r>
    </w:p>
    <w:p w:rsidR="00F1361C" w:rsidRDefault="005664BB"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highlight w:val="yellow"/>
        </w:rPr>
        <w:t>（图4：一般公共预算财政拨款支出决算变动情况）</w:t>
      </w:r>
      <w:r w:rsidR="00191536" w:rsidRPr="00A13CC1">
        <w:rPr>
          <w:rFonts w:ascii="仿宋_GB2312" w:eastAsia="仿宋_GB2312" w:hint="eastAsia"/>
          <w:color w:val="000000"/>
          <w:sz w:val="32"/>
          <w:szCs w:val="32"/>
          <w:highlight w:val="yellow"/>
        </w:rPr>
        <w:t>（</w:t>
      </w:r>
      <w:r w:rsidR="0066343B" w:rsidRPr="00A13CC1">
        <w:rPr>
          <w:rFonts w:ascii="仿宋_GB2312" w:eastAsia="仿宋_GB2312" w:hint="eastAsia"/>
          <w:color w:val="000000"/>
          <w:sz w:val="32"/>
          <w:szCs w:val="32"/>
          <w:highlight w:val="yellow"/>
        </w:rPr>
        <w:t>柱状</w:t>
      </w:r>
      <w:r w:rsidR="00191536" w:rsidRPr="00A13CC1">
        <w:rPr>
          <w:rFonts w:ascii="仿宋_GB2312" w:eastAsia="仿宋_GB2312" w:hint="eastAsia"/>
          <w:color w:val="000000"/>
          <w:sz w:val="32"/>
          <w:szCs w:val="32"/>
          <w:highlight w:val="yellow"/>
        </w:rPr>
        <w:t>图）</w:t>
      </w:r>
    </w:p>
    <w:p w:rsidR="00A44BEE" w:rsidRPr="00A13CC1" w:rsidRDefault="00A44BEE" w:rsidP="00A44BEE">
      <w:pPr>
        <w:spacing w:line="360" w:lineRule="auto"/>
        <w:ind w:firstLineChars="200" w:firstLine="640"/>
        <w:rPr>
          <w:rFonts w:ascii="仿宋_GB2312" w:eastAsia="仿宋_GB2312"/>
          <w:color w:val="000000"/>
          <w:sz w:val="32"/>
          <w:szCs w:val="32"/>
        </w:rPr>
      </w:pPr>
      <w:r w:rsidRPr="00A44BEE">
        <w:rPr>
          <w:rFonts w:ascii="仿宋_GB2312" w:eastAsia="仿宋_GB2312"/>
          <w:noProof/>
          <w:color w:val="000000"/>
          <w:sz w:val="32"/>
          <w:szCs w:val="32"/>
        </w:rPr>
        <w:drawing>
          <wp:inline distT="0" distB="0" distL="0" distR="0">
            <wp:extent cx="5274310" cy="3076575"/>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361C" w:rsidRDefault="00F1361C" w:rsidP="00191536">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（二）一般公共预算财政拨款支出决算结构情况</w:t>
      </w:r>
    </w:p>
    <w:p w:rsidR="005664BB" w:rsidRPr="00A13CC1" w:rsidRDefault="005664BB" w:rsidP="00A13CC1">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年一般公共预算财政拨款支出</w:t>
      </w:r>
      <w:r w:rsidR="00032471">
        <w:rPr>
          <w:rFonts w:ascii="仿宋_GB2312" w:eastAsia="仿宋_GB2312" w:hint="eastAsia"/>
          <w:color w:val="000000"/>
          <w:sz w:val="32"/>
          <w:szCs w:val="32"/>
        </w:rPr>
        <w:t>1162.53</w:t>
      </w:r>
      <w:r w:rsidR="00F1361C" w:rsidRPr="00A13CC1">
        <w:rPr>
          <w:rFonts w:ascii="仿宋_GB2312" w:eastAsia="仿宋_GB2312" w:hint="eastAsia"/>
          <w:color w:val="000000"/>
          <w:sz w:val="32"/>
          <w:szCs w:val="32"/>
        </w:rPr>
        <w:t>万元，主要用于以下方面:</w:t>
      </w:r>
      <w:r w:rsidR="00032471">
        <w:rPr>
          <w:rFonts w:ascii="仿宋_GB2312" w:eastAsia="仿宋_GB2312" w:hint="eastAsia"/>
          <w:color w:val="000000"/>
          <w:sz w:val="32"/>
          <w:szCs w:val="32"/>
        </w:rPr>
        <w:t>城乡社区</w:t>
      </w:r>
      <w:r w:rsidR="00F1361C" w:rsidRPr="00A13CC1">
        <w:rPr>
          <w:rFonts w:ascii="仿宋_GB2312" w:eastAsia="仿宋_GB2312" w:hint="eastAsia"/>
          <w:color w:val="000000"/>
          <w:sz w:val="32"/>
          <w:szCs w:val="32"/>
        </w:rPr>
        <w:t>支出</w:t>
      </w:r>
      <w:r w:rsidR="00CB780E">
        <w:rPr>
          <w:rFonts w:ascii="仿宋_GB2312" w:eastAsia="仿宋_GB2312" w:hint="eastAsia"/>
          <w:color w:val="000000"/>
          <w:sz w:val="32"/>
          <w:szCs w:val="32"/>
        </w:rPr>
        <w:t>1121.71</w:t>
      </w:r>
      <w:r w:rsidR="00F1361C" w:rsidRPr="00A13CC1">
        <w:rPr>
          <w:rFonts w:ascii="仿宋_GB2312" w:eastAsia="仿宋_GB2312" w:hint="eastAsia"/>
          <w:color w:val="000000"/>
          <w:sz w:val="32"/>
          <w:szCs w:val="32"/>
        </w:rPr>
        <w:t>万元，占</w:t>
      </w:r>
      <w:r w:rsidR="00CB780E">
        <w:rPr>
          <w:rFonts w:ascii="仿宋_GB2312" w:eastAsia="仿宋_GB2312" w:hint="eastAsia"/>
          <w:color w:val="000000"/>
          <w:sz w:val="32"/>
          <w:szCs w:val="32"/>
        </w:rPr>
        <w:t>96.49</w:t>
      </w:r>
      <w:r w:rsidR="00F1361C" w:rsidRPr="00A13CC1">
        <w:rPr>
          <w:rFonts w:ascii="仿宋_GB2312" w:eastAsia="仿宋_GB2312" w:hint="eastAsia"/>
          <w:color w:val="000000"/>
          <w:sz w:val="32"/>
          <w:szCs w:val="32"/>
        </w:rPr>
        <w:t>%</w:t>
      </w:r>
      <w:r w:rsidR="00032471">
        <w:rPr>
          <w:rFonts w:ascii="仿宋_GB2312" w:eastAsia="仿宋_GB2312" w:hint="eastAsia"/>
          <w:color w:val="000000"/>
          <w:sz w:val="32"/>
          <w:szCs w:val="32"/>
        </w:rPr>
        <w:t>；</w:t>
      </w:r>
      <w:r w:rsidR="00F1361C" w:rsidRPr="00A13CC1">
        <w:rPr>
          <w:rFonts w:ascii="仿宋_GB2312" w:eastAsia="仿宋_GB2312" w:hint="eastAsia"/>
          <w:color w:val="000000"/>
          <w:sz w:val="32"/>
          <w:szCs w:val="32"/>
        </w:rPr>
        <w:t>社会保障和就业支出</w:t>
      </w:r>
      <w:r w:rsidR="00CB780E">
        <w:rPr>
          <w:rFonts w:ascii="仿宋_GB2312" w:eastAsia="仿宋_GB2312" w:hint="eastAsia"/>
          <w:color w:val="000000"/>
          <w:sz w:val="32"/>
          <w:szCs w:val="32"/>
        </w:rPr>
        <w:t>23.19</w:t>
      </w:r>
      <w:r w:rsidR="00F1361C" w:rsidRPr="00A13CC1">
        <w:rPr>
          <w:rFonts w:ascii="仿宋_GB2312" w:eastAsia="仿宋_GB2312" w:hint="eastAsia"/>
          <w:color w:val="000000"/>
          <w:sz w:val="32"/>
          <w:szCs w:val="32"/>
        </w:rPr>
        <w:t>万元，占</w:t>
      </w:r>
      <w:r w:rsidR="00CB780E">
        <w:rPr>
          <w:rFonts w:ascii="仿宋_GB2312" w:eastAsia="仿宋_GB2312" w:hint="eastAsia"/>
          <w:color w:val="000000"/>
          <w:sz w:val="32"/>
          <w:szCs w:val="32"/>
        </w:rPr>
        <w:t>1.99</w:t>
      </w:r>
      <w:r w:rsidR="00F1361C" w:rsidRPr="00A13CC1">
        <w:rPr>
          <w:rFonts w:ascii="仿宋_GB2312" w:eastAsia="仿宋_GB2312" w:hint="eastAsia"/>
          <w:color w:val="000000"/>
          <w:sz w:val="32"/>
          <w:szCs w:val="32"/>
        </w:rPr>
        <w:t>%；医疗卫生支出</w:t>
      </w:r>
      <w:r w:rsidR="00CB780E">
        <w:rPr>
          <w:rFonts w:ascii="仿宋_GB2312" w:eastAsia="仿宋_GB2312" w:hint="eastAsia"/>
          <w:color w:val="000000"/>
          <w:sz w:val="32"/>
          <w:szCs w:val="32"/>
        </w:rPr>
        <w:t>7.75</w:t>
      </w:r>
      <w:r w:rsidR="00F1361C" w:rsidRPr="00A13CC1">
        <w:rPr>
          <w:rFonts w:ascii="仿宋_GB2312" w:eastAsia="仿宋_GB2312" w:hint="eastAsia"/>
          <w:color w:val="000000"/>
          <w:sz w:val="32"/>
          <w:szCs w:val="32"/>
        </w:rPr>
        <w:t>万元，占</w:t>
      </w:r>
      <w:r w:rsidR="00CB780E">
        <w:rPr>
          <w:rFonts w:ascii="仿宋_GB2312" w:eastAsia="仿宋_GB2312" w:hint="eastAsia"/>
          <w:color w:val="000000"/>
          <w:sz w:val="32"/>
          <w:szCs w:val="32"/>
        </w:rPr>
        <w:t>0.67</w:t>
      </w:r>
      <w:r w:rsidR="00F1361C" w:rsidRPr="00A13CC1">
        <w:rPr>
          <w:rFonts w:ascii="仿宋_GB2312" w:eastAsia="仿宋_GB2312" w:hint="eastAsia"/>
          <w:color w:val="000000"/>
          <w:sz w:val="32"/>
          <w:szCs w:val="32"/>
        </w:rPr>
        <w:t>%；住房保障支出</w:t>
      </w:r>
      <w:r w:rsidR="00CB780E">
        <w:rPr>
          <w:rFonts w:ascii="仿宋_GB2312" w:eastAsia="仿宋_GB2312" w:hint="eastAsia"/>
          <w:color w:val="000000"/>
          <w:sz w:val="32"/>
          <w:szCs w:val="32"/>
        </w:rPr>
        <w:t>9.88</w:t>
      </w:r>
      <w:r w:rsidR="00F1361C" w:rsidRPr="00A13CC1">
        <w:rPr>
          <w:rFonts w:ascii="仿宋_GB2312" w:eastAsia="仿宋_GB2312" w:hint="eastAsia"/>
          <w:color w:val="000000"/>
          <w:sz w:val="32"/>
          <w:szCs w:val="32"/>
        </w:rPr>
        <w:t>万元，占</w:t>
      </w:r>
      <w:r w:rsidR="00CB780E">
        <w:rPr>
          <w:rFonts w:ascii="仿宋_GB2312" w:eastAsia="仿宋_GB2312" w:hint="eastAsia"/>
          <w:color w:val="000000"/>
          <w:sz w:val="32"/>
          <w:szCs w:val="32"/>
        </w:rPr>
        <w:t>0.85</w:t>
      </w:r>
      <w:r w:rsidR="00F1361C" w:rsidRPr="00A13CC1">
        <w:rPr>
          <w:rFonts w:ascii="仿宋_GB2312" w:eastAsia="仿宋_GB2312" w:hint="eastAsia"/>
          <w:color w:val="000000"/>
          <w:sz w:val="32"/>
          <w:szCs w:val="32"/>
        </w:rPr>
        <w:t>%</w:t>
      </w:r>
      <w:r w:rsidR="00DC410D" w:rsidRPr="00A13CC1">
        <w:rPr>
          <w:rFonts w:ascii="仿宋_GB2312" w:eastAsia="仿宋_GB2312" w:hint="eastAsia"/>
          <w:color w:val="000000"/>
          <w:sz w:val="32"/>
          <w:szCs w:val="32"/>
        </w:rPr>
        <w:t>。</w:t>
      </w:r>
      <w:r w:rsidR="00202B36" w:rsidRPr="00A13CC1">
        <w:rPr>
          <w:rFonts w:ascii="仿宋_GB2312" w:eastAsia="仿宋_GB2312" w:hint="eastAsia"/>
          <w:b/>
          <w:color w:val="000000"/>
          <w:sz w:val="32"/>
          <w:szCs w:val="32"/>
          <w:highlight w:val="yellow"/>
        </w:rPr>
        <w:t>（罗列全部功能分类科目，至类级</w:t>
      </w:r>
      <w:r w:rsidR="00860645" w:rsidRPr="00A13CC1">
        <w:rPr>
          <w:rFonts w:ascii="仿宋_GB2312" w:eastAsia="仿宋_GB2312" w:hint="eastAsia"/>
          <w:b/>
          <w:color w:val="000000"/>
          <w:sz w:val="32"/>
          <w:szCs w:val="32"/>
          <w:highlight w:val="yellow"/>
        </w:rPr>
        <w:t>。</w:t>
      </w:r>
      <w:r w:rsidR="00202B36" w:rsidRPr="00A13CC1">
        <w:rPr>
          <w:rFonts w:ascii="仿宋_GB2312" w:eastAsia="仿宋_GB2312" w:hint="eastAsia"/>
          <w:b/>
          <w:color w:val="000000"/>
          <w:sz w:val="32"/>
          <w:szCs w:val="32"/>
          <w:highlight w:val="yellow"/>
        </w:rPr>
        <w:t>）</w:t>
      </w:r>
    </w:p>
    <w:p w:rsidR="00DC410D" w:rsidRDefault="005664BB" w:rsidP="00F1361C">
      <w:pPr>
        <w:spacing w:line="600" w:lineRule="exact"/>
        <w:ind w:firstLineChars="200" w:firstLine="640"/>
        <w:rPr>
          <w:rFonts w:ascii="仿宋_GB2312" w:eastAsia="仿宋_GB2312"/>
          <w:color w:val="000000"/>
          <w:sz w:val="32"/>
          <w:szCs w:val="32"/>
          <w:highlight w:val="yellow"/>
        </w:rPr>
      </w:pPr>
      <w:r w:rsidRPr="00A13CC1">
        <w:rPr>
          <w:rFonts w:ascii="仿宋_GB2312" w:eastAsia="仿宋_GB2312" w:hint="eastAsia"/>
          <w:color w:val="000000"/>
          <w:sz w:val="32"/>
          <w:szCs w:val="32"/>
          <w:highlight w:val="yellow"/>
        </w:rPr>
        <w:t>（图5：一般公共预算财政拨款支出决算结构）</w:t>
      </w:r>
      <w:r w:rsidR="00191536" w:rsidRPr="00A13CC1">
        <w:rPr>
          <w:rFonts w:ascii="仿宋_GB2312" w:eastAsia="仿宋_GB2312" w:hint="eastAsia"/>
          <w:color w:val="000000"/>
          <w:sz w:val="32"/>
          <w:szCs w:val="32"/>
          <w:highlight w:val="yellow"/>
        </w:rPr>
        <w:t>（</w:t>
      </w:r>
      <w:r w:rsidR="0066343B" w:rsidRPr="00A13CC1">
        <w:rPr>
          <w:rFonts w:ascii="仿宋_GB2312" w:eastAsia="仿宋_GB2312" w:hint="eastAsia"/>
          <w:color w:val="000000"/>
          <w:sz w:val="32"/>
          <w:szCs w:val="32"/>
          <w:highlight w:val="yellow"/>
        </w:rPr>
        <w:t>饼状</w:t>
      </w:r>
      <w:r w:rsidR="00191536" w:rsidRPr="00A13CC1">
        <w:rPr>
          <w:rFonts w:ascii="仿宋_GB2312" w:eastAsia="仿宋_GB2312" w:hint="eastAsia"/>
          <w:color w:val="000000"/>
          <w:sz w:val="32"/>
          <w:szCs w:val="32"/>
          <w:highlight w:val="yellow"/>
        </w:rPr>
        <w:t>图）</w:t>
      </w:r>
    </w:p>
    <w:p w:rsidR="00A44BEE" w:rsidRPr="00A13CC1" w:rsidRDefault="00A44BEE" w:rsidP="00A44BEE">
      <w:pPr>
        <w:spacing w:line="360" w:lineRule="auto"/>
        <w:ind w:firstLineChars="200" w:firstLine="640"/>
        <w:rPr>
          <w:rFonts w:ascii="仿宋_GB2312" w:eastAsia="仿宋_GB2312"/>
          <w:color w:val="000000"/>
          <w:sz w:val="32"/>
          <w:szCs w:val="32"/>
          <w:highlight w:val="yellow"/>
        </w:rPr>
      </w:pPr>
      <w:r w:rsidRPr="00A44BEE">
        <w:rPr>
          <w:rFonts w:ascii="仿宋_GB2312" w:eastAsia="仿宋_GB2312"/>
          <w:noProof/>
          <w:color w:val="000000"/>
          <w:sz w:val="32"/>
          <w:szCs w:val="32"/>
        </w:rPr>
        <w:lastRenderedPageBreak/>
        <w:drawing>
          <wp:inline distT="0" distB="0" distL="0" distR="0">
            <wp:extent cx="5274310" cy="3076575"/>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361C" w:rsidRPr="00A13CC1" w:rsidRDefault="00F1361C"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（三）一般公共预算财政拨款支出决算具体情况</w:t>
      </w:r>
    </w:p>
    <w:tbl>
      <w:tblPr>
        <w:tblW w:w="5000" w:type="pct"/>
        <w:tblCellSpacing w:w="0" w:type="dxa"/>
        <w:tblCellMar>
          <w:left w:w="0" w:type="dxa"/>
          <w:right w:w="0" w:type="dxa"/>
        </w:tblCellMar>
        <w:tblLook w:val="04A0"/>
      </w:tblPr>
      <w:tblGrid>
        <w:gridCol w:w="8306"/>
      </w:tblGrid>
      <w:tr w:rsidR="00F1361C" w:rsidRPr="00A13CC1" w:rsidTr="00B310B9">
        <w:trPr>
          <w:tblCellSpacing w:w="0" w:type="dxa"/>
        </w:trPr>
        <w:tc>
          <w:tcPr>
            <w:tcW w:w="5000" w:type="pct"/>
            <w:shd w:val="clear" w:color="auto" w:fill="FFFFFF"/>
            <w:hideMark/>
          </w:tcPr>
          <w:tbl>
            <w:tblPr>
              <w:tblW w:w="12000" w:type="dxa"/>
              <w:jc w:val="center"/>
              <w:tblCellSpacing w:w="0" w:type="dxa"/>
              <w:tblCellMar>
                <w:left w:w="0" w:type="dxa"/>
                <w:right w:w="0" w:type="dxa"/>
              </w:tblCellMar>
              <w:tblLook w:val="04A0"/>
            </w:tblPr>
            <w:tblGrid>
              <w:gridCol w:w="12000"/>
            </w:tblGrid>
            <w:tr w:rsidR="00F1361C" w:rsidRPr="00A13CC1" w:rsidTr="00B310B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12000"/>
                  </w:tblGrid>
                  <w:tr w:rsidR="00F1361C" w:rsidRPr="00A13CC1" w:rsidTr="00B310B9">
                    <w:trPr>
                      <w:tblCellSpacing w:w="0" w:type="dxa"/>
                    </w:trPr>
                    <w:tc>
                      <w:tcPr>
                        <w:tcW w:w="0" w:type="auto"/>
                        <w:hideMark/>
                      </w:tcPr>
                      <w:p w:rsidR="00F1361C" w:rsidRPr="00A13CC1" w:rsidRDefault="00F1361C" w:rsidP="00B310B9">
                        <w:pPr>
                          <w:widowControl/>
                          <w:jc w:val="left"/>
                          <w:rPr>
                            <w:rFonts w:ascii="宋体" w:hAnsi="宋体" w:cs="宋体"/>
                            <w:color w:val="000000"/>
                            <w:kern w:val="0"/>
                            <w:szCs w:val="21"/>
                          </w:rPr>
                        </w:pPr>
                      </w:p>
                    </w:tc>
                  </w:tr>
                </w:tbl>
                <w:p w:rsidR="00F1361C" w:rsidRPr="00A13CC1" w:rsidRDefault="00F1361C" w:rsidP="00B310B9">
                  <w:pPr>
                    <w:widowControl/>
                    <w:jc w:val="left"/>
                    <w:rPr>
                      <w:rFonts w:ascii="宋体" w:hAnsi="宋体" w:cs="宋体"/>
                      <w:color w:val="000000"/>
                      <w:kern w:val="0"/>
                      <w:szCs w:val="21"/>
                    </w:rPr>
                  </w:pPr>
                </w:p>
              </w:tc>
            </w:tr>
            <w:tr w:rsidR="00F1361C" w:rsidRPr="00A13CC1" w:rsidTr="00B310B9">
              <w:trPr>
                <w:trHeight w:val="75"/>
                <w:tblCellSpacing w:w="0" w:type="dxa"/>
                <w:jc w:val="center"/>
              </w:trPr>
              <w:tc>
                <w:tcPr>
                  <w:tcW w:w="0" w:type="auto"/>
                  <w:vAlign w:val="center"/>
                  <w:hideMark/>
                </w:tcPr>
                <w:p w:rsidR="00F1361C" w:rsidRPr="00A13CC1" w:rsidRDefault="00F1361C" w:rsidP="00B310B9">
                  <w:pPr>
                    <w:widowControl/>
                    <w:jc w:val="left"/>
                    <w:rPr>
                      <w:rFonts w:ascii="宋体" w:hAnsi="宋体" w:cs="宋体"/>
                      <w:color w:val="000000"/>
                      <w:kern w:val="0"/>
                      <w:sz w:val="8"/>
                      <w:szCs w:val="21"/>
                    </w:rPr>
                  </w:pPr>
                </w:p>
              </w:tc>
            </w:tr>
          </w:tbl>
          <w:p w:rsidR="00F1361C" w:rsidRPr="00A13CC1" w:rsidRDefault="00F1361C" w:rsidP="00B310B9">
            <w:pPr>
              <w:widowControl/>
              <w:jc w:val="center"/>
              <w:rPr>
                <w:rFonts w:ascii="宋体" w:hAnsi="宋体" w:cs="宋体"/>
                <w:color w:val="000000"/>
                <w:kern w:val="0"/>
                <w:szCs w:val="21"/>
              </w:rPr>
            </w:pPr>
          </w:p>
        </w:tc>
      </w:tr>
      <w:tr w:rsidR="00F1361C" w:rsidRPr="00A13CC1" w:rsidTr="00B310B9">
        <w:trPr>
          <w:tblCellSpacing w:w="0" w:type="dxa"/>
        </w:trPr>
        <w:tc>
          <w:tcPr>
            <w:tcW w:w="0" w:type="auto"/>
            <w:shd w:val="clear" w:color="auto" w:fill="FFFFFF"/>
            <w:hideMark/>
          </w:tcPr>
          <w:p w:rsidR="00F1361C" w:rsidRPr="00A13CC1" w:rsidRDefault="00F1361C" w:rsidP="00B310B9">
            <w:pPr>
              <w:widowControl/>
              <w:jc w:val="left"/>
              <w:rPr>
                <w:rFonts w:ascii="宋体" w:hAnsi="宋体" w:cs="宋体"/>
                <w:color w:val="000000"/>
                <w:kern w:val="0"/>
                <w:szCs w:val="21"/>
              </w:rPr>
            </w:pPr>
          </w:p>
        </w:tc>
      </w:tr>
    </w:tbl>
    <w:p w:rsidR="005712A3" w:rsidRDefault="005712A3" w:rsidP="00DD5B24">
      <w:pPr>
        <w:spacing w:line="360" w:lineRule="auto"/>
        <w:ind w:firstLineChars="200" w:firstLine="640"/>
        <w:rPr>
          <w:rFonts w:ascii="仿宋_GB2312" w:eastAsia="仿宋_GB2312"/>
          <w:sz w:val="32"/>
          <w:szCs w:val="32"/>
        </w:rPr>
      </w:pPr>
      <w:r w:rsidRPr="007770C3">
        <w:rPr>
          <w:rStyle w:val="a6"/>
          <w:rFonts w:ascii="仿宋_GB2312" w:eastAsia="仿宋_GB2312" w:hint="eastAsia"/>
          <w:color w:val="000000"/>
          <w:sz w:val="32"/>
          <w:szCs w:val="32"/>
        </w:rPr>
        <w:t>1.</w:t>
      </w:r>
      <w:r w:rsidRPr="003354DC">
        <w:rPr>
          <w:rFonts w:ascii="仿宋_GB2312" w:eastAsia="仿宋_GB2312" w:hint="eastAsia"/>
          <w:sz w:val="32"/>
          <w:szCs w:val="32"/>
        </w:rPr>
        <w:t xml:space="preserve"> </w:t>
      </w:r>
      <w:r w:rsidRPr="003354DC">
        <w:rPr>
          <w:rFonts w:ascii="仿宋_GB2312" w:eastAsia="仿宋_GB2312" w:hint="eastAsia"/>
          <w:b/>
          <w:sz w:val="32"/>
          <w:szCs w:val="32"/>
        </w:rPr>
        <w:t>城乡社区支出</w:t>
      </w:r>
      <w:r w:rsidRPr="007770C3">
        <w:rPr>
          <w:rStyle w:val="a6"/>
          <w:rFonts w:ascii="仿宋_GB2312" w:eastAsia="仿宋_GB2312" w:hint="eastAsia"/>
          <w:color w:val="000000"/>
          <w:sz w:val="32"/>
          <w:szCs w:val="32"/>
        </w:rPr>
        <w:t>（类）</w:t>
      </w:r>
      <w:r w:rsidRPr="003354DC">
        <w:rPr>
          <w:rFonts w:ascii="仿宋_GB2312" w:eastAsia="仿宋_GB2312" w:hint="eastAsia"/>
          <w:b/>
          <w:sz w:val="32"/>
          <w:szCs w:val="32"/>
        </w:rPr>
        <w:t>城乡社区管理事务</w:t>
      </w:r>
      <w:r w:rsidRPr="007770C3">
        <w:rPr>
          <w:rStyle w:val="a6"/>
          <w:rFonts w:ascii="仿宋_GB2312" w:eastAsia="仿宋_GB2312" w:hint="eastAsia"/>
          <w:color w:val="000000"/>
          <w:sz w:val="32"/>
          <w:szCs w:val="32"/>
        </w:rPr>
        <w:t>（款）</w:t>
      </w:r>
      <w:r w:rsidRPr="003354DC">
        <w:rPr>
          <w:rFonts w:ascii="仿宋_GB2312" w:eastAsia="仿宋_GB2312" w:hint="eastAsia"/>
          <w:b/>
          <w:sz w:val="32"/>
          <w:szCs w:val="32"/>
        </w:rPr>
        <w:t>机关服务</w:t>
      </w:r>
      <w:r w:rsidRPr="007770C3">
        <w:rPr>
          <w:rStyle w:val="a6"/>
          <w:rFonts w:ascii="仿宋_GB2312" w:eastAsia="仿宋_GB2312" w:hint="eastAsia"/>
          <w:color w:val="000000"/>
          <w:sz w:val="32"/>
          <w:szCs w:val="32"/>
        </w:rPr>
        <w:t>（项）:</w:t>
      </w:r>
      <w:r>
        <w:rPr>
          <w:rFonts w:ascii="仿宋_GB2312" w:eastAsia="仿宋_GB2312" w:hint="eastAsia"/>
          <w:color w:val="000000"/>
          <w:sz w:val="32"/>
          <w:szCs w:val="32"/>
        </w:rPr>
        <w:t>2017</w:t>
      </w:r>
      <w:r w:rsidRPr="007770C3">
        <w:rPr>
          <w:rFonts w:ascii="仿宋_GB2312" w:eastAsia="仿宋_GB2312" w:hint="eastAsia"/>
          <w:color w:val="000000"/>
          <w:sz w:val="32"/>
          <w:szCs w:val="32"/>
        </w:rPr>
        <w:t>年决算数为</w:t>
      </w:r>
      <w:r>
        <w:rPr>
          <w:rFonts w:ascii="仿宋_GB2312" w:eastAsia="仿宋_GB2312" w:hint="eastAsia"/>
          <w:color w:val="000000"/>
          <w:sz w:val="32"/>
          <w:szCs w:val="32"/>
        </w:rPr>
        <w:t>178.58</w:t>
      </w:r>
      <w:r w:rsidRPr="007770C3">
        <w:rPr>
          <w:rFonts w:ascii="仿宋_GB2312" w:eastAsia="仿宋_GB2312" w:hint="eastAsia"/>
          <w:color w:val="000000"/>
          <w:sz w:val="32"/>
          <w:szCs w:val="32"/>
        </w:rPr>
        <w:t>万元，</w:t>
      </w:r>
      <w:r>
        <w:rPr>
          <w:rFonts w:ascii="仿宋_GB2312" w:eastAsia="仿宋_GB2312" w:hint="eastAsia"/>
          <w:color w:val="000000"/>
          <w:sz w:val="32"/>
          <w:szCs w:val="32"/>
        </w:rPr>
        <w:t>完成预算100%；</w:t>
      </w:r>
      <w:r w:rsidRPr="003354DC">
        <w:rPr>
          <w:rFonts w:ascii="仿宋_GB2312" w:eastAsia="仿宋_GB2312" w:hint="eastAsia"/>
          <w:b/>
          <w:sz w:val="32"/>
          <w:szCs w:val="32"/>
        </w:rPr>
        <w:t>住宅建设与房地产市场监管（项）：</w:t>
      </w:r>
      <w:r>
        <w:rPr>
          <w:rFonts w:ascii="仿宋_GB2312" w:eastAsia="仿宋_GB2312" w:hint="eastAsia"/>
          <w:sz w:val="32"/>
          <w:szCs w:val="32"/>
        </w:rPr>
        <w:t>2017年决算数为77.04万元，完成预算数</w:t>
      </w:r>
      <w:r w:rsidR="00195D81">
        <w:rPr>
          <w:rFonts w:ascii="仿宋_GB2312" w:eastAsia="仿宋_GB2312" w:hint="eastAsia"/>
          <w:sz w:val="32"/>
          <w:szCs w:val="32"/>
        </w:rPr>
        <w:t>65.29</w:t>
      </w:r>
      <w:r>
        <w:rPr>
          <w:rFonts w:ascii="仿宋_GB2312" w:eastAsia="仿宋_GB2312" w:hint="eastAsia"/>
          <w:sz w:val="32"/>
          <w:szCs w:val="32"/>
        </w:rPr>
        <w:t>%，决算数小于预算数的原因是今年印刷有所减少。</w:t>
      </w:r>
      <w:r w:rsidRPr="00195D81">
        <w:rPr>
          <w:rFonts w:ascii="仿宋_GB2312" w:eastAsia="仿宋_GB2312" w:hint="eastAsia"/>
          <w:b/>
          <w:sz w:val="32"/>
          <w:szCs w:val="32"/>
        </w:rPr>
        <w:t>其他城乡社区管理事务支出（项）：</w:t>
      </w:r>
      <w:r>
        <w:rPr>
          <w:rFonts w:ascii="仿宋_GB2312" w:eastAsia="仿宋_GB2312" w:hint="eastAsia"/>
          <w:sz w:val="32"/>
          <w:szCs w:val="32"/>
        </w:rPr>
        <w:t>2017年决算数</w:t>
      </w:r>
      <w:r w:rsidR="00DD5B24">
        <w:rPr>
          <w:rFonts w:ascii="仿宋_GB2312" w:eastAsia="仿宋_GB2312" w:hint="eastAsia"/>
          <w:sz w:val="32"/>
          <w:szCs w:val="32"/>
        </w:rPr>
        <w:t xml:space="preserve">为600万元，完成预算 </w:t>
      </w:r>
      <w:r w:rsidR="00195D81">
        <w:rPr>
          <w:rFonts w:ascii="仿宋_GB2312" w:eastAsia="仿宋_GB2312" w:hint="eastAsia"/>
          <w:sz w:val="32"/>
          <w:szCs w:val="32"/>
        </w:rPr>
        <w:t>100</w:t>
      </w:r>
      <w:r w:rsidR="00DD5B24">
        <w:rPr>
          <w:rFonts w:ascii="仿宋_GB2312" w:eastAsia="仿宋_GB2312" w:hint="eastAsia"/>
          <w:sz w:val="32"/>
          <w:szCs w:val="32"/>
        </w:rPr>
        <w:t>%。</w:t>
      </w:r>
      <w:r w:rsidR="00DD5B24" w:rsidRPr="00195D81">
        <w:rPr>
          <w:rFonts w:ascii="仿宋_GB2312" w:eastAsia="仿宋_GB2312" w:hint="eastAsia"/>
          <w:b/>
          <w:sz w:val="32"/>
          <w:szCs w:val="32"/>
        </w:rPr>
        <w:t>城乡社区公共设施（款）其他城乡社区公共设施（项）：</w:t>
      </w:r>
      <w:r w:rsidR="00DD5B24">
        <w:rPr>
          <w:rFonts w:ascii="仿宋_GB2312" w:eastAsia="仿宋_GB2312" w:hint="eastAsia"/>
          <w:sz w:val="32"/>
          <w:szCs w:val="32"/>
        </w:rPr>
        <w:t>2017年决算数为266.09万元，完成预算</w:t>
      </w:r>
      <w:r w:rsidR="00195D81">
        <w:rPr>
          <w:rFonts w:ascii="仿宋_GB2312" w:eastAsia="仿宋_GB2312" w:hint="eastAsia"/>
          <w:sz w:val="32"/>
          <w:szCs w:val="32"/>
        </w:rPr>
        <w:t>99.76</w:t>
      </w:r>
      <w:r w:rsidR="00DD5B24">
        <w:rPr>
          <w:rFonts w:ascii="仿宋_GB2312" w:eastAsia="仿宋_GB2312" w:hint="eastAsia"/>
          <w:sz w:val="32"/>
          <w:szCs w:val="32"/>
        </w:rPr>
        <w:t xml:space="preserve"> % </w:t>
      </w:r>
    </w:p>
    <w:p w:rsidR="005712A3" w:rsidRDefault="005712A3" w:rsidP="005712A3">
      <w:pPr>
        <w:spacing w:line="580" w:lineRule="exact"/>
        <w:ind w:firstLineChars="200" w:firstLine="640"/>
        <w:rPr>
          <w:rFonts w:ascii="仿宋_GB2312" w:eastAsia="仿宋_GB2312"/>
          <w:sz w:val="32"/>
          <w:szCs w:val="32"/>
        </w:rPr>
      </w:pPr>
      <w:r>
        <w:rPr>
          <w:rStyle w:val="a6"/>
          <w:rFonts w:ascii="仿宋_GB2312" w:eastAsia="仿宋_GB2312" w:hint="eastAsia"/>
          <w:color w:val="000000"/>
          <w:sz w:val="32"/>
          <w:szCs w:val="32"/>
        </w:rPr>
        <w:t>2</w:t>
      </w:r>
      <w:r w:rsidRPr="007770C3">
        <w:rPr>
          <w:rStyle w:val="a6"/>
          <w:rFonts w:ascii="仿宋_GB2312" w:eastAsia="仿宋_GB2312" w:hint="eastAsia"/>
          <w:color w:val="000000"/>
          <w:sz w:val="32"/>
          <w:szCs w:val="32"/>
        </w:rPr>
        <w:t>.社会保障和就业（类）</w:t>
      </w:r>
      <w:r w:rsidRPr="00BB2E60">
        <w:rPr>
          <w:rFonts w:ascii="仿宋_GB2312" w:eastAsia="仿宋_GB2312" w:hint="eastAsia"/>
          <w:b/>
          <w:sz w:val="32"/>
          <w:szCs w:val="32"/>
        </w:rPr>
        <w:t>行政事业单位离退休（款）机关事业单位基本养老保险缴费支出（项）</w:t>
      </w:r>
      <w:r w:rsidRPr="007770C3">
        <w:rPr>
          <w:rStyle w:val="a6"/>
          <w:rFonts w:ascii="仿宋_GB2312" w:eastAsia="仿宋_GB2312" w:hint="eastAsia"/>
          <w:color w:val="000000"/>
          <w:sz w:val="32"/>
          <w:szCs w:val="32"/>
        </w:rPr>
        <w:t>:</w:t>
      </w:r>
      <w:r w:rsidRPr="00BB2E60">
        <w:rPr>
          <w:rFonts w:ascii="仿宋_GB2312" w:eastAsia="仿宋_GB2312" w:hint="eastAsia"/>
          <w:sz w:val="32"/>
          <w:szCs w:val="32"/>
        </w:rPr>
        <w:t xml:space="preserve"> </w:t>
      </w:r>
      <w:r w:rsidR="00DD5B24">
        <w:rPr>
          <w:rFonts w:ascii="仿宋_GB2312" w:eastAsia="仿宋_GB2312" w:hint="eastAsia"/>
          <w:sz w:val="32"/>
          <w:szCs w:val="32"/>
        </w:rPr>
        <w:t>2017</w:t>
      </w:r>
      <w:r>
        <w:rPr>
          <w:rFonts w:ascii="仿宋_GB2312" w:eastAsia="仿宋_GB2312" w:hint="eastAsia"/>
          <w:sz w:val="32"/>
          <w:szCs w:val="32"/>
        </w:rPr>
        <w:t>年决算数为</w:t>
      </w:r>
      <w:r w:rsidR="00DD5B24">
        <w:rPr>
          <w:rFonts w:ascii="仿宋_GB2312" w:eastAsia="仿宋_GB2312" w:hint="eastAsia"/>
          <w:sz w:val="32"/>
          <w:szCs w:val="32"/>
        </w:rPr>
        <w:t>16.18</w:t>
      </w:r>
      <w:r>
        <w:rPr>
          <w:rFonts w:ascii="仿宋_GB2312" w:eastAsia="仿宋_GB2312" w:hint="eastAsia"/>
          <w:sz w:val="32"/>
          <w:szCs w:val="32"/>
        </w:rPr>
        <w:t>万元，完成预算100%；</w:t>
      </w:r>
      <w:r w:rsidRPr="00BB2E60">
        <w:rPr>
          <w:rFonts w:ascii="仿宋_GB2312" w:eastAsia="仿宋_GB2312" w:hint="eastAsia"/>
          <w:b/>
          <w:sz w:val="32"/>
          <w:szCs w:val="32"/>
        </w:rPr>
        <w:t>机关事业单位职业年金缴费支出（项）：</w:t>
      </w:r>
      <w:r w:rsidR="00DD5B24">
        <w:rPr>
          <w:rFonts w:ascii="仿宋_GB2312" w:eastAsia="仿宋_GB2312" w:hint="eastAsia"/>
          <w:sz w:val="32"/>
          <w:szCs w:val="32"/>
        </w:rPr>
        <w:t>2017</w:t>
      </w:r>
      <w:r>
        <w:rPr>
          <w:rFonts w:ascii="仿宋_GB2312" w:eastAsia="仿宋_GB2312" w:hint="eastAsia"/>
          <w:sz w:val="32"/>
          <w:szCs w:val="32"/>
        </w:rPr>
        <w:t>年决算数为</w:t>
      </w:r>
      <w:r w:rsidR="00DD5B24">
        <w:rPr>
          <w:rFonts w:ascii="仿宋_GB2312" w:eastAsia="仿宋_GB2312" w:hint="eastAsia"/>
          <w:sz w:val="32"/>
          <w:szCs w:val="32"/>
        </w:rPr>
        <w:t>6.21</w:t>
      </w:r>
      <w:r>
        <w:rPr>
          <w:rFonts w:ascii="仿宋_GB2312" w:eastAsia="仿宋_GB2312" w:hint="eastAsia"/>
          <w:sz w:val="32"/>
          <w:szCs w:val="32"/>
        </w:rPr>
        <w:t>万元，完成预算100%</w:t>
      </w:r>
      <w:r w:rsidR="00DD5B24">
        <w:rPr>
          <w:rFonts w:ascii="仿宋_GB2312" w:eastAsia="仿宋_GB2312" w:hint="eastAsia"/>
          <w:sz w:val="32"/>
          <w:szCs w:val="32"/>
        </w:rPr>
        <w:t>；</w:t>
      </w:r>
      <w:r w:rsidR="00DD5B24" w:rsidRPr="00DD5B24">
        <w:rPr>
          <w:rFonts w:ascii="仿宋_GB2312" w:eastAsia="仿宋_GB2312" w:hint="eastAsia"/>
          <w:b/>
          <w:sz w:val="32"/>
          <w:szCs w:val="32"/>
        </w:rPr>
        <w:t>事业单位离退休（项）</w:t>
      </w:r>
      <w:r w:rsidR="00DD5B24">
        <w:rPr>
          <w:rFonts w:ascii="仿宋_GB2312" w:eastAsia="仿宋_GB2312" w:hint="eastAsia"/>
          <w:sz w:val="32"/>
          <w:szCs w:val="32"/>
        </w:rPr>
        <w:t>：2017年决算数为0.8万元，完成预</w:t>
      </w:r>
      <w:r w:rsidR="00DD5B24">
        <w:rPr>
          <w:rFonts w:ascii="仿宋_GB2312" w:eastAsia="仿宋_GB2312" w:hint="eastAsia"/>
          <w:sz w:val="32"/>
          <w:szCs w:val="32"/>
        </w:rPr>
        <w:lastRenderedPageBreak/>
        <w:t>算100%。</w:t>
      </w:r>
    </w:p>
    <w:p w:rsidR="005712A3" w:rsidRDefault="005712A3" w:rsidP="005712A3">
      <w:pPr>
        <w:spacing w:line="580" w:lineRule="exact"/>
        <w:ind w:firstLineChars="200" w:firstLine="640"/>
        <w:rPr>
          <w:rFonts w:ascii="仿宋_GB2312" w:eastAsia="仿宋_GB2312"/>
          <w:sz w:val="32"/>
          <w:szCs w:val="32"/>
        </w:rPr>
      </w:pPr>
      <w:r>
        <w:rPr>
          <w:rStyle w:val="a6"/>
          <w:rFonts w:ascii="仿宋_GB2312" w:eastAsia="仿宋_GB2312" w:hint="eastAsia"/>
          <w:color w:val="000000"/>
          <w:sz w:val="32"/>
          <w:szCs w:val="32"/>
        </w:rPr>
        <w:t>3</w:t>
      </w:r>
      <w:r w:rsidRPr="007770C3">
        <w:rPr>
          <w:rStyle w:val="a6"/>
          <w:rFonts w:ascii="仿宋_GB2312" w:eastAsia="仿宋_GB2312" w:hint="eastAsia"/>
          <w:color w:val="000000"/>
          <w:sz w:val="32"/>
          <w:szCs w:val="32"/>
        </w:rPr>
        <w:t>.医疗卫生与计划生育（类）</w:t>
      </w:r>
      <w:r w:rsidR="00F00049">
        <w:rPr>
          <w:rStyle w:val="a6"/>
          <w:rFonts w:ascii="仿宋_GB2312" w:eastAsia="仿宋_GB2312" w:hint="eastAsia"/>
          <w:color w:val="000000"/>
          <w:sz w:val="32"/>
          <w:szCs w:val="32"/>
        </w:rPr>
        <w:t>行政事业单位</w:t>
      </w:r>
      <w:r w:rsidR="00F00049">
        <w:rPr>
          <w:rFonts w:ascii="仿宋_GB2312" w:eastAsia="仿宋_GB2312" w:hint="eastAsia"/>
          <w:b/>
          <w:sz w:val="32"/>
          <w:szCs w:val="32"/>
        </w:rPr>
        <w:t>医疗</w:t>
      </w:r>
      <w:r w:rsidRPr="00BB2E60">
        <w:rPr>
          <w:rFonts w:ascii="仿宋_GB2312" w:eastAsia="仿宋_GB2312" w:hint="eastAsia"/>
          <w:b/>
          <w:sz w:val="32"/>
          <w:szCs w:val="32"/>
        </w:rPr>
        <w:t>（款）事业单位医疗（项）</w:t>
      </w:r>
      <w:r w:rsidRPr="007770C3">
        <w:rPr>
          <w:rStyle w:val="a6"/>
          <w:rFonts w:ascii="仿宋_GB2312" w:eastAsia="仿宋_GB2312" w:hint="eastAsia"/>
          <w:color w:val="000000"/>
          <w:sz w:val="32"/>
          <w:szCs w:val="32"/>
        </w:rPr>
        <w:t>:</w:t>
      </w:r>
      <w:r w:rsidRPr="00BB2E60">
        <w:rPr>
          <w:rFonts w:ascii="仿宋_GB2312" w:eastAsia="仿宋_GB2312" w:hint="eastAsia"/>
          <w:sz w:val="32"/>
          <w:szCs w:val="32"/>
        </w:rPr>
        <w:t xml:space="preserve"> </w:t>
      </w:r>
      <w:r w:rsidR="00F00049">
        <w:rPr>
          <w:rFonts w:ascii="仿宋_GB2312" w:eastAsia="仿宋_GB2312" w:hint="eastAsia"/>
          <w:sz w:val="32"/>
          <w:szCs w:val="32"/>
        </w:rPr>
        <w:t>2017</w:t>
      </w:r>
      <w:r>
        <w:rPr>
          <w:rFonts w:ascii="仿宋_GB2312" w:eastAsia="仿宋_GB2312" w:hint="eastAsia"/>
          <w:sz w:val="32"/>
          <w:szCs w:val="32"/>
        </w:rPr>
        <w:t>年决算数为</w:t>
      </w:r>
      <w:r w:rsidR="00F00049">
        <w:rPr>
          <w:rFonts w:ascii="仿宋_GB2312" w:eastAsia="仿宋_GB2312" w:hint="eastAsia"/>
          <w:sz w:val="32"/>
          <w:szCs w:val="32"/>
        </w:rPr>
        <w:t>5.44</w:t>
      </w:r>
      <w:r>
        <w:rPr>
          <w:rFonts w:ascii="仿宋_GB2312" w:eastAsia="仿宋_GB2312" w:hint="eastAsia"/>
          <w:sz w:val="32"/>
          <w:szCs w:val="32"/>
        </w:rPr>
        <w:t>万元，完成预算100%；</w:t>
      </w:r>
      <w:r w:rsidRPr="00BB2E60">
        <w:rPr>
          <w:rFonts w:ascii="仿宋_GB2312" w:eastAsia="仿宋_GB2312" w:hint="eastAsia"/>
          <w:b/>
          <w:sz w:val="32"/>
          <w:szCs w:val="32"/>
        </w:rPr>
        <w:t>公务员医疗补助（项）：</w:t>
      </w:r>
      <w:r w:rsidR="00F00049">
        <w:rPr>
          <w:rFonts w:ascii="仿宋_GB2312" w:eastAsia="仿宋_GB2312" w:hint="eastAsia"/>
          <w:sz w:val="32"/>
          <w:szCs w:val="32"/>
        </w:rPr>
        <w:t>2017</w:t>
      </w:r>
      <w:r>
        <w:rPr>
          <w:rFonts w:ascii="仿宋_GB2312" w:eastAsia="仿宋_GB2312" w:hint="eastAsia"/>
          <w:sz w:val="32"/>
          <w:szCs w:val="32"/>
        </w:rPr>
        <w:t>年决算数为</w:t>
      </w:r>
      <w:r w:rsidR="00F00049">
        <w:rPr>
          <w:rFonts w:ascii="仿宋_GB2312" w:eastAsia="仿宋_GB2312" w:hint="eastAsia"/>
          <w:sz w:val="32"/>
          <w:szCs w:val="32"/>
        </w:rPr>
        <w:t>1.92</w:t>
      </w:r>
      <w:r>
        <w:rPr>
          <w:rFonts w:ascii="仿宋_GB2312" w:eastAsia="仿宋_GB2312" w:hint="eastAsia"/>
          <w:sz w:val="32"/>
          <w:szCs w:val="32"/>
        </w:rPr>
        <w:t>万元，完成预算100%；</w:t>
      </w:r>
      <w:r w:rsidR="00F00049" w:rsidRPr="00F00049">
        <w:rPr>
          <w:rFonts w:ascii="仿宋_GB2312" w:eastAsia="仿宋_GB2312" w:hint="eastAsia"/>
          <w:b/>
          <w:sz w:val="32"/>
          <w:szCs w:val="32"/>
        </w:rPr>
        <w:t>其他医疗卫生与计划生育支出（款）</w:t>
      </w:r>
      <w:r w:rsidR="00F00049">
        <w:rPr>
          <w:rFonts w:ascii="仿宋_GB2312" w:eastAsia="仿宋_GB2312" w:hint="eastAsia"/>
          <w:b/>
          <w:sz w:val="32"/>
          <w:szCs w:val="32"/>
        </w:rPr>
        <w:t>其他医疗卫生与计划生育</w:t>
      </w:r>
      <w:r w:rsidRPr="00BB2E60">
        <w:rPr>
          <w:rFonts w:ascii="仿宋_GB2312" w:eastAsia="仿宋_GB2312" w:hint="eastAsia"/>
          <w:b/>
          <w:sz w:val="32"/>
          <w:szCs w:val="32"/>
        </w:rPr>
        <w:t>支出（项）：</w:t>
      </w:r>
      <w:r w:rsidR="00F00049">
        <w:rPr>
          <w:rFonts w:ascii="仿宋_GB2312" w:eastAsia="仿宋_GB2312" w:hint="eastAsia"/>
          <w:sz w:val="32"/>
          <w:szCs w:val="32"/>
        </w:rPr>
        <w:t>2017</w:t>
      </w:r>
      <w:r>
        <w:rPr>
          <w:rFonts w:ascii="仿宋_GB2312" w:eastAsia="仿宋_GB2312" w:hint="eastAsia"/>
          <w:sz w:val="32"/>
          <w:szCs w:val="32"/>
        </w:rPr>
        <w:t>年决算数为</w:t>
      </w:r>
      <w:r w:rsidR="00F00049">
        <w:rPr>
          <w:rFonts w:ascii="仿宋_GB2312" w:eastAsia="仿宋_GB2312" w:hint="eastAsia"/>
          <w:sz w:val="32"/>
          <w:szCs w:val="32"/>
        </w:rPr>
        <w:t>0.39</w:t>
      </w:r>
      <w:r>
        <w:rPr>
          <w:rFonts w:ascii="仿宋_GB2312" w:eastAsia="仿宋_GB2312" w:hint="eastAsia"/>
          <w:sz w:val="32"/>
          <w:szCs w:val="32"/>
        </w:rPr>
        <w:t>万元，完成预算100%。</w:t>
      </w:r>
    </w:p>
    <w:p w:rsidR="005712A3" w:rsidRDefault="005712A3" w:rsidP="005712A3">
      <w:pPr>
        <w:spacing w:line="580" w:lineRule="exact"/>
        <w:ind w:firstLineChars="200" w:firstLine="640"/>
        <w:rPr>
          <w:rFonts w:ascii="仿宋_GB2312" w:eastAsia="仿宋_GB2312"/>
          <w:sz w:val="32"/>
          <w:szCs w:val="32"/>
        </w:rPr>
      </w:pPr>
      <w:r w:rsidRPr="00BB2E60">
        <w:rPr>
          <w:rFonts w:ascii="仿宋_GB2312" w:eastAsia="仿宋_GB2312" w:hint="eastAsia"/>
          <w:b/>
          <w:sz w:val="32"/>
          <w:szCs w:val="32"/>
        </w:rPr>
        <w:t>4、住房保障支出（类）住房改革支出（款）住房公积金（项）：</w:t>
      </w:r>
      <w:r w:rsidR="00F00049">
        <w:rPr>
          <w:rFonts w:ascii="仿宋_GB2312" w:eastAsia="仿宋_GB2312" w:hint="eastAsia"/>
          <w:sz w:val="32"/>
          <w:szCs w:val="32"/>
        </w:rPr>
        <w:t>2017</w:t>
      </w:r>
      <w:r>
        <w:rPr>
          <w:rFonts w:ascii="仿宋_GB2312" w:eastAsia="仿宋_GB2312" w:hint="eastAsia"/>
          <w:sz w:val="32"/>
          <w:szCs w:val="32"/>
        </w:rPr>
        <w:t>年决算数为</w:t>
      </w:r>
      <w:r w:rsidR="00F00049">
        <w:rPr>
          <w:rFonts w:ascii="仿宋_GB2312" w:eastAsia="仿宋_GB2312" w:hint="eastAsia"/>
          <w:sz w:val="32"/>
          <w:szCs w:val="32"/>
        </w:rPr>
        <w:t>9.88</w:t>
      </w:r>
      <w:r>
        <w:rPr>
          <w:rFonts w:ascii="仿宋_GB2312" w:eastAsia="仿宋_GB2312" w:hint="eastAsia"/>
          <w:sz w:val="32"/>
          <w:szCs w:val="32"/>
        </w:rPr>
        <w:t>万元，完成预算100%；</w:t>
      </w:r>
    </w:p>
    <w:p w:rsidR="00F1361C" w:rsidRPr="00A13CC1" w:rsidRDefault="00F1361C" w:rsidP="00260C3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（数据来源</w:t>
      </w:r>
      <w:r w:rsidR="00ED1B63" w:rsidRPr="00A13CC1">
        <w:rPr>
          <w:rFonts w:ascii="仿宋_GB2312" w:eastAsia="仿宋_GB2312" w:hint="eastAsia"/>
          <w:b/>
          <w:color w:val="000000"/>
          <w:sz w:val="32"/>
          <w:szCs w:val="32"/>
          <w:highlight w:val="yellow"/>
        </w:rPr>
        <w:t>财决08表</w:t>
      </w:r>
      <w:r w:rsidRPr="00A13CC1">
        <w:rPr>
          <w:rFonts w:ascii="仿宋_GB2312" w:eastAsia="仿宋_GB2312" w:hint="eastAsia"/>
          <w:b/>
          <w:color w:val="000000"/>
          <w:sz w:val="32"/>
          <w:szCs w:val="32"/>
          <w:highlight w:val="yellow"/>
        </w:rPr>
        <w:t>，罗列全部功能分类科目</w:t>
      </w:r>
      <w:r w:rsidR="00DC410D" w:rsidRPr="00A13CC1">
        <w:rPr>
          <w:rFonts w:ascii="仿宋_GB2312" w:eastAsia="仿宋_GB2312" w:hint="eastAsia"/>
          <w:b/>
          <w:color w:val="000000"/>
          <w:sz w:val="32"/>
          <w:szCs w:val="32"/>
          <w:highlight w:val="yellow"/>
        </w:rPr>
        <w:t>至项级</w:t>
      </w:r>
      <w:r w:rsidR="00607E6C" w:rsidRPr="00A13CC1">
        <w:rPr>
          <w:rFonts w:ascii="仿宋_GB2312" w:eastAsia="仿宋_GB2312" w:hint="eastAsia"/>
          <w:b/>
          <w:color w:val="000000"/>
          <w:sz w:val="32"/>
          <w:szCs w:val="32"/>
          <w:highlight w:val="yellow"/>
        </w:rPr>
        <w:t>。上述“预算”口径为调整预算数。</w:t>
      </w:r>
      <w:r w:rsidR="0066343B" w:rsidRPr="00A13CC1">
        <w:rPr>
          <w:rFonts w:ascii="仿宋_GB2312" w:eastAsia="仿宋_GB2312" w:hint="eastAsia"/>
          <w:b/>
          <w:color w:val="000000"/>
          <w:sz w:val="32"/>
          <w:szCs w:val="32"/>
          <w:highlight w:val="yellow"/>
        </w:rPr>
        <w:t>增减变动原因为决算数&lt;项级&gt;和调整预算数&lt;项级&gt;比较，与预算数持平可以不写原因。</w:t>
      </w:r>
      <w:r w:rsidRPr="00A13CC1">
        <w:rPr>
          <w:rFonts w:ascii="仿宋_GB2312" w:eastAsia="仿宋_GB2312" w:hint="eastAsia"/>
          <w:b/>
          <w:color w:val="000000"/>
          <w:sz w:val="32"/>
          <w:szCs w:val="32"/>
          <w:highlight w:val="yellow"/>
        </w:rPr>
        <w:t>）</w:t>
      </w:r>
    </w:p>
    <w:p w:rsidR="00F1361C" w:rsidRPr="00A13CC1" w:rsidRDefault="00F1361C"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六、一般公共预算财政拨款基本支出决算情况</w:t>
      </w:r>
      <w:r w:rsidR="00D51276" w:rsidRPr="00A13CC1">
        <w:rPr>
          <w:rFonts w:ascii="黑体" w:eastAsia="黑体" w:hint="eastAsia"/>
          <w:color w:val="000000"/>
          <w:sz w:val="32"/>
          <w:szCs w:val="32"/>
        </w:rPr>
        <w:t>说明</w:t>
      </w:r>
    </w:p>
    <w:p w:rsidR="00F1361C" w:rsidRPr="00A13CC1" w:rsidRDefault="00F1361C" w:rsidP="00F1361C">
      <w:pPr>
        <w:spacing w:line="600" w:lineRule="exact"/>
        <w:ind w:firstLine="645"/>
        <w:rPr>
          <w:rFonts w:ascii="仿宋_GB2312" w:eastAsia="仿宋_GB2312"/>
          <w:color w:val="000000"/>
          <w:sz w:val="32"/>
          <w:szCs w:val="32"/>
        </w:rPr>
      </w:pPr>
      <w:r w:rsidRPr="00A13CC1">
        <w:rPr>
          <w:rFonts w:ascii="仿宋_GB2312" w:eastAsia="仿宋_GB2312" w:hint="eastAsia"/>
          <w:color w:val="000000"/>
          <w:sz w:val="32"/>
          <w:szCs w:val="32"/>
        </w:rPr>
        <w:t>201</w:t>
      </w:r>
      <w:r w:rsidR="00B44B70" w:rsidRPr="00A13CC1">
        <w:rPr>
          <w:rFonts w:ascii="仿宋_GB2312" w:eastAsia="仿宋_GB2312" w:hint="eastAsia"/>
          <w:color w:val="000000"/>
          <w:sz w:val="32"/>
          <w:szCs w:val="32"/>
        </w:rPr>
        <w:t>7年度</w:t>
      </w:r>
      <w:r w:rsidRPr="00A13CC1">
        <w:rPr>
          <w:rFonts w:ascii="仿宋_GB2312" w:eastAsia="仿宋_GB2312" w:hint="eastAsia"/>
          <w:color w:val="000000"/>
          <w:sz w:val="32"/>
          <w:szCs w:val="32"/>
        </w:rPr>
        <w:t>一般公共预算财政拨款基本支出</w:t>
      </w:r>
      <w:r w:rsidR="00F00049">
        <w:rPr>
          <w:rFonts w:ascii="仿宋_GB2312" w:eastAsia="仿宋_GB2312" w:hint="eastAsia"/>
          <w:color w:val="000000"/>
          <w:sz w:val="32"/>
          <w:szCs w:val="32"/>
        </w:rPr>
        <w:t>296.44</w:t>
      </w:r>
      <w:r w:rsidRPr="00A13CC1">
        <w:rPr>
          <w:rFonts w:ascii="仿宋_GB2312" w:eastAsia="仿宋_GB2312" w:hint="eastAsia"/>
          <w:color w:val="000000"/>
          <w:sz w:val="32"/>
          <w:szCs w:val="32"/>
        </w:rPr>
        <w:t>万元，其中：</w:t>
      </w:r>
    </w:p>
    <w:p w:rsidR="00F1361C" w:rsidRPr="00A13CC1" w:rsidRDefault="00F1361C" w:rsidP="00F1361C">
      <w:pPr>
        <w:spacing w:line="600" w:lineRule="exact"/>
        <w:ind w:firstLine="645"/>
        <w:rPr>
          <w:rFonts w:ascii="仿宋_GB2312" w:eastAsia="仿宋_GB2312"/>
          <w:color w:val="000000"/>
          <w:sz w:val="32"/>
          <w:szCs w:val="32"/>
        </w:rPr>
      </w:pPr>
      <w:r w:rsidRPr="00A13CC1">
        <w:rPr>
          <w:rFonts w:ascii="仿宋_GB2312" w:eastAsia="仿宋_GB2312" w:hint="eastAsia"/>
          <w:color w:val="000000"/>
          <w:sz w:val="32"/>
          <w:szCs w:val="32"/>
        </w:rPr>
        <w:t>人员经费</w:t>
      </w:r>
      <w:r w:rsidR="007E61E3">
        <w:rPr>
          <w:rFonts w:ascii="仿宋_GB2312" w:eastAsia="仿宋_GB2312" w:hint="eastAsia"/>
          <w:color w:val="000000"/>
          <w:sz w:val="32"/>
          <w:szCs w:val="32"/>
        </w:rPr>
        <w:t>200.00</w:t>
      </w:r>
      <w:r w:rsidR="00F00049">
        <w:rPr>
          <w:rFonts w:ascii="仿宋_GB2312" w:eastAsia="仿宋_GB2312" w:hint="eastAsia"/>
          <w:color w:val="000000"/>
          <w:sz w:val="32"/>
          <w:szCs w:val="32"/>
        </w:rPr>
        <w:t>万元，主要包括：基本工资、津贴补贴、奖金、</w:t>
      </w:r>
      <w:r w:rsidRPr="00A13CC1">
        <w:rPr>
          <w:rFonts w:ascii="仿宋_GB2312" w:eastAsia="仿宋_GB2312" w:hint="eastAsia"/>
          <w:color w:val="000000"/>
          <w:sz w:val="32"/>
          <w:szCs w:val="32"/>
        </w:rPr>
        <w:t>绩效工资、机关事业单位基本养老保险缴费、职业年金缴费、其</w:t>
      </w:r>
      <w:r w:rsidR="007E61E3">
        <w:rPr>
          <w:rFonts w:ascii="仿宋_GB2312" w:eastAsia="仿宋_GB2312" w:hint="eastAsia"/>
          <w:color w:val="000000"/>
          <w:sz w:val="32"/>
          <w:szCs w:val="32"/>
        </w:rPr>
        <w:t>他社会保障缴费、其他工资福利支出、</w:t>
      </w:r>
      <w:r w:rsidRPr="00A13CC1">
        <w:rPr>
          <w:rFonts w:ascii="仿宋_GB2312" w:eastAsia="仿宋_GB2312" w:hint="eastAsia"/>
          <w:color w:val="000000"/>
          <w:sz w:val="32"/>
          <w:szCs w:val="32"/>
        </w:rPr>
        <w:t>退休费、医疗费、奖励金、住房公积金、其他对个人和家庭的补助支出</w:t>
      </w:r>
      <w:r w:rsidR="0006487A" w:rsidRPr="00A13CC1">
        <w:rPr>
          <w:rFonts w:ascii="仿宋_GB2312" w:eastAsia="仿宋_GB2312" w:hint="eastAsia"/>
          <w:color w:val="000000"/>
          <w:sz w:val="32"/>
          <w:szCs w:val="32"/>
        </w:rPr>
        <w:t>等</w:t>
      </w:r>
      <w:r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br/>
        <w:t xml:space="preserve">　　公用经费</w:t>
      </w:r>
      <w:r w:rsidR="007E61E3">
        <w:rPr>
          <w:rFonts w:ascii="仿宋_GB2312" w:eastAsia="仿宋_GB2312" w:hint="eastAsia"/>
          <w:color w:val="000000"/>
          <w:sz w:val="32"/>
          <w:szCs w:val="32"/>
        </w:rPr>
        <w:t>96.44万元，主要包括：办公费、印刷费</w:t>
      </w:r>
      <w:r w:rsidRPr="00A13CC1">
        <w:rPr>
          <w:rFonts w:ascii="仿宋_GB2312" w:eastAsia="仿宋_GB2312" w:hint="eastAsia"/>
          <w:color w:val="000000"/>
          <w:sz w:val="32"/>
          <w:szCs w:val="32"/>
        </w:rPr>
        <w:t>、手续费、水费、电费、邮电费、差旅费、</w:t>
      </w:r>
      <w:r w:rsidR="007E61E3">
        <w:rPr>
          <w:rFonts w:ascii="仿宋_GB2312" w:eastAsia="仿宋_GB2312" w:hint="eastAsia"/>
          <w:color w:val="000000"/>
          <w:sz w:val="32"/>
          <w:szCs w:val="32"/>
        </w:rPr>
        <w:t>维修（护）费、</w:t>
      </w:r>
      <w:r w:rsidRPr="00A13CC1">
        <w:rPr>
          <w:rFonts w:ascii="仿宋_GB2312" w:eastAsia="仿宋_GB2312" w:hint="eastAsia"/>
          <w:color w:val="000000"/>
          <w:sz w:val="32"/>
          <w:szCs w:val="32"/>
        </w:rPr>
        <w:t>培训</w:t>
      </w:r>
      <w:r w:rsidRPr="00A13CC1">
        <w:rPr>
          <w:rFonts w:ascii="仿宋_GB2312" w:eastAsia="仿宋_GB2312" w:hint="eastAsia"/>
          <w:color w:val="000000"/>
          <w:sz w:val="32"/>
          <w:szCs w:val="32"/>
        </w:rPr>
        <w:lastRenderedPageBreak/>
        <w:t>费、</w:t>
      </w:r>
      <w:r w:rsidR="007E61E3">
        <w:rPr>
          <w:rFonts w:ascii="仿宋_GB2312" w:eastAsia="仿宋_GB2312" w:hint="eastAsia"/>
          <w:color w:val="000000"/>
          <w:sz w:val="32"/>
          <w:szCs w:val="32"/>
        </w:rPr>
        <w:t>劳务费</w:t>
      </w:r>
      <w:r w:rsidRPr="00A13CC1">
        <w:rPr>
          <w:rFonts w:ascii="仿宋_GB2312" w:eastAsia="仿宋_GB2312" w:hint="eastAsia"/>
          <w:color w:val="000000"/>
          <w:sz w:val="32"/>
          <w:szCs w:val="32"/>
        </w:rPr>
        <w:t>、工</w:t>
      </w:r>
      <w:r w:rsidR="0066343B" w:rsidRPr="00A13CC1">
        <w:rPr>
          <w:rFonts w:ascii="仿宋_GB2312" w:eastAsia="仿宋_GB2312" w:hint="eastAsia"/>
          <w:color w:val="000000"/>
          <w:sz w:val="32"/>
          <w:szCs w:val="32"/>
        </w:rPr>
        <w:t>会经费、福利费、</w:t>
      </w:r>
      <w:r w:rsidR="00487E5D" w:rsidRPr="00A13CC1">
        <w:rPr>
          <w:rFonts w:ascii="仿宋_GB2312" w:eastAsia="仿宋_GB2312" w:hint="eastAsia"/>
          <w:color w:val="000000"/>
          <w:sz w:val="32"/>
          <w:szCs w:val="32"/>
        </w:rPr>
        <w:t>公务用车运行维护费、</w:t>
      </w:r>
      <w:r w:rsidR="0066343B" w:rsidRPr="00A13CC1">
        <w:rPr>
          <w:rFonts w:ascii="仿宋_GB2312" w:eastAsia="仿宋_GB2312" w:hint="eastAsia"/>
          <w:color w:val="000000"/>
          <w:sz w:val="32"/>
          <w:szCs w:val="32"/>
        </w:rPr>
        <w:t>其他交通费、其他商品和服务支出</w:t>
      </w:r>
      <w:r w:rsidR="007E61E3">
        <w:rPr>
          <w:rFonts w:ascii="仿宋_GB2312" w:eastAsia="仿宋_GB2312" w:hint="eastAsia"/>
          <w:color w:val="000000"/>
          <w:sz w:val="32"/>
          <w:szCs w:val="32"/>
        </w:rPr>
        <w:t>、办公设备购置、</w:t>
      </w:r>
      <w:r w:rsidR="00487E5D" w:rsidRPr="00A13CC1">
        <w:rPr>
          <w:rFonts w:ascii="仿宋_GB2312" w:eastAsia="仿宋_GB2312" w:hint="eastAsia"/>
          <w:color w:val="000000"/>
          <w:sz w:val="32"/>
          <w:szCs w:val="32"/>
        </w:rPr>
        <w:t>其他资本性支出</w:t>
      </w:r>
      <w:r w:rsidR="0006487A" w:rsidRPr="00A13CC1">
        <w:rPr>
          <w:rFonts w:ascii="仿宋_GB2312" w:eastAsia="仿宋_GB2312" w:hint="eastAsia"/>
          <w:color w:val="000000"/>
          <w:sz w:val="32"/>
          <w:szCs w:val="32"/>
        </w:rPr>
        <w:t>等</w:t>
      </w:r>
      <w:r w:rsidRPr="00A13CC1">
        <w:rPr>
          <w:rFonts w:ascii="仿宋_GB2312" w:eastAsia="仿宋_GB2312" w:hint="eastAsia"/>
          <w:color w:val="000000"/>
          <w:sz w:val="32"/>
          <w:szCs w:val="32"/>
        </w:rPr>
        <w:t>。</w:t>
      </w:r>
    </w:p>
    <w:p w:rsidR="00F1361C" w:rsidRPr="00A13CC1" w:rsidRDefault="00F1361C" w:rsidP="00260C3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（数据来源</w:t>
      </w:r>
      <w:r w:rsidR="00CC09B6" w:rsidRPr="00A13CC1">
        <w:rPr>
          <w:rFonts w:ascii="仿宋_GB2312" w:eastAsia="仿宋_GB2312" w:hint="eastAsia"/>
          <w:b/>
          <w:color w:val="000000"/>
          <w:sz w:val="32"/>
          <w:szCs w:val="32"/>
          <w:highlight w:val="yellow"/>
        </w:rPr>
        <w:t>数据来源财决08-1表，</w:t>
      </w:r>
      <w:r w:rsidR="00487E5D" w:rsidRPr="00A13CC1">
        <w:rPr>
          <w:rFonts w:ascii="仿宋_GB2312" w:eastAsia="仿宋_GB2312" w:hint="eastAsia"/>
          <w:b/>
          <w:color w:val="000000"/>
          <w:sz w:val="32"/>
          <w:szCs w:val="32"/>
          <w:highlight w:val="yellow"/>
        </w:rPr>
        <w:t>根据本部门实际支出情况</w:t>
      </w:r>
      <w:r w:rsidRPr="00A13CC1">
        <w:rPr>
          <w:rFonts w:ascii="仿宋_GB2312" w:eastAsia="仿宋_GB2312" w:hint="eastAsia"/>
          <w:b/>
          <w:color w:val="000000"/>
          <w:sz w:val="32"/>
          <w:szCs w:val="32"/>
          <w:highlight w:val="yellow"/>
        </w:rPr>
        <w:t>罗列全部经济分类科目</w:t>
      </w:r>
      <w:r w:rsidR="00860645" w:rsidRPr="00A13CC1">
        <w:rPr>
          <w:rFonts w:ascii="仿宋_GB2312" w:eastAsia="仿宋_GB2312" w:hint="eastAsia"/>
          <w:b/>
          <w:color w:val="000000"/>
          <w:sz w:val="32"/>
          <w:szCs w:val="32"/>
          <w:highlight w:val="yellow"/>
        </w:rPr>
        <w:t>。</w:t>
      </w:r>
      <w:r w:rsidRPr="00A13CC1">
        <w:rPr>
          <w:rFonts w:ascii="仿宋_GB2312" w:eastAsia="仿宋_GB2312" w:hint="eastAsia"/>
          <w:b/>
          <w:color w:val="000000"/>
          <w:sz w:val="32"/>
          <w:szCs w:val="32"/>
          <w:highlight w:val="yellow"/>
        </w:rPr>
        <w:t>）</w:t>
      </w:r>
    </w:p>
    <w:p w:rsidR="00F1361C" w:rsidRPr="00A13CC1" w:rsidRDefault="00F1361C"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七、“三公”经费</w:t>
      </w:r>
      <w:r w:rsidR="00FF1E02" w:rsidRPr="00A13CC1">
        <w:rPr>
          <w:rFonts w:ascii="黑体" w:eastAsia="黑体" w:hint="eastAsia"/>
          <w:color w:val="000000"/>
          <w:sz w:val="32"/>
          <w:szCs w:val="32"/>
        </w:rPr>
        <w:t>财政拨款</w:t>
      </w:r>
      <w:r w:rsidRPr="00A13CC1">
        <w:rPr>
          <w:rFonts w:ascii="黑体" w:eastAsia="黑体" w:hint="eastAsia"/>
          <w:color w:val="000000"/>
          <w:sz w:val="32"/>
          <w:szCs w:val="32"/>
        </w:rPr>
        <w:t>支出决算情况</w:t>
      </w:r>
      <w:r w:rsidR="00D51276" w:rsidRPr="00A13CC1">
        <w:rPr>
          <w:rFonts w:ascii="黑体" w:eastAsia="黑体" w:hint="eastAsia"/>
          <w:color w:val="000000"/>
          <w:sz w:val="32"/>
          <w:szCs w:val="32"/>
        </w:rPr>
        <w:t>说明</w:t>
      </w:r>
    </w:p>
    <w:p w:rsidR="00A307CD" w:rsidRPr="00A13CC1" w:rsidRDefault="00A307CD" w:rsidP="00F1361C">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（一）“三公”经费财政拨款支出决算总体情况说明</w:t>
      </w:r>
    </w:p>
    <w:p w:rsidR="00A307CD" w:rsidRPr="00A13CC1" w:rsidRDefault="00D00095" w:rsidP="00F1361C">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602DF" w:rsidRPr="00A13CC1">
        <w:rPr>
          <w:rFonts w:ascii="仿宋_GB2312" w:eastAsia="仿宋_GB2312" w:hint="eastAsia"/>
          <w:color w:val="000000"/>
          <w:sz w:val="32"/>
          <w:szCs w:val="32"/>
        </w:rPr>
        <w:t>年度“三</w:t>
      </w:r>
      <w:r w:rsidR="00A307CD" w:rsidRPr="00A13CC1">
        <w:rPr>
          <w:rFonts w:ascii="仿宋_GB2312" w:eastAsia="仿宋_GB2312" w:hint="eastAsia"/>
          <w:color w:val="000000"/>
          <w:sz w:val="32"/>
          <w:szCs w:val="32"/>
        </w:rPr>
        <w:t>公”经费财政拨款支出决算为</w:t>
      </w:r>
      <w:r w:rsidR="002E4876">
        <w:rPr>
          <w:rFonts w:ascii="仿宋_GB2312" w:eastAsia="仿宋_GB2312" w:hint="eastAsia"/>
          <w:color w:val="000000"/>
          <w:sz w:val="32"/>
          <w:szCs w:val="32"/>
        </w:rPr>
        <w:t>3.68</w:t>
      </w:r>
      <w:r w:rsidR="00A307CD" w:rsidRPr="00A13CC1">
        <w:rPr>
          <w:rFonts w:ascii="仿宋_GB2312" w:eastAsia="仿宋_GB2312" w:hint="eastAsia"/>
          <w:color w:val="000000"/>
          <w:sz w:val="32"/>
          <w:szCs w:val="32"/>
        </w:rPr>
        <w:t>万元，完成预算</w:t>
      </w:r>
      <w:r w:rsidR="002E4876">
        <w:rPr>
          <w:rFonts w:ascii="仿宋_GB2312" w:eastAsia="仿宋_GB2312" w:hint="eastAsia"/>
          <w:color w:val="000000"/>
          <w:sz w:val="32"/>
          <w:szCs w:val="32"/>
        </w:rPr>
        <w:t>61.33</w:t>
      </w:r>
      <w:r w:rsidR="00A307CD" w:rsidRPr="00A13CC1">
        <w:rPr>
          <w:rFonts w:ascii="仿宋_GB2312" w:eastAsia="仿宋_GB2312" w:hint="eastAsia"/>
          <w:color w:val="000000"/>
          <w:sz w:val="32"/>
          <w:szCs w:val="32"/>
        </w:rPr>
        <w:t>%</w:t>
      </w:r>
      <w:r w:rsidR="00F602DF" w:rsidRPr="00A13CC1">
        <w:rPr>
          <w:rFonts w:ascii="仿宋_GB2312" w:eastAsia="仿宋_GB2312" w:hint="eastAsia"/>
          <w:color w:val="000000"/>
          <w:sz w:val="32"/>
          <w:szCs w:val="32"/>
        </w:rPr>
        <w:t>，</w:t>
      </w:r>
      <w:r w:rsidR="00A307CD" w:rsidRPr="00A13CC1">
        <w:rPr>
          <w:rFonts w:ascii="仿宋_GB2312" w:eastAsia="仿宋_GB2312" w:hint="eastAsia"/>
          <w:color w:val="000000"/>
          <w:sz w:val="32"/>
          <w:szCs w:val="32"/>
        </w:rPr>
        <w:t>决算数</w:t>
      </w:r>
      <w:r w:rsidR="00C533CC" w:rsidRPr="00A13CC1">
        <w:rPr>
          <w:rFonts w:ascii="仿宋_GB2312" w:eastAsia="仿宋_GB2312" w:hint="eastAsia"/>
          <w:color w:val="000000"/>
          <w:sz w:val="32"/>
          <w:szCs w:val="32"/>
        </w:rPr>
        <w:t>小于</w:t>
      </w:r>
      <w:r w:rsidR="002E4876">
        <w:rPr>
          <w:rFonts w:ascii="仿宋_GB2312" w:eastAsia="仿宋_GB2312" w:hint="eastAsia"/>
          <w:color w:val="000000"/>
          <w:sz w:val="32"/>
          <w:szCs w:val="32"/>
        </w:rPr>
        <w:t>预算数</w:t>
      </w:r>
      <w:r w:rsidR="00195D81">
        <w:rPr>
          <w:rFonts w:ascii="仿宋_GB2312" w:eastAsia="仿宋_GB2312" w:hint="eastAsia"/>
          <w:color w:val="000000"/>
          <w:sz w:val="32"/>
          <w:szCs w:val="32"/>
        </w:rPr>
        <w:t>的主要原因是加强管理，减少不必要的接待和减少车辆使用率</w:t>
      </w:r>
      <w:r w:rsidR="00A307CD" w:rsidRPr="00A13CC1">
        <w:rPr>
          <w:rFonts w:ascii="仿宋_GB2312" w:eastAsia="仿宋_GB2312" w:hint="eastAsia"/>
          <w:color w:val="000000"/>
          <w:sz w:val="32"/>
          <w:szCs w:val="32"/>
        </w:rPr>
        <w:t>。</w:t>
      </w:r>
    </w:p>
    <w:p w:rsidR="000B5A48" w:rsidRPr="00A13CC1" w:rsidRDefault="000B5A48" w:rsidP="00F1361C">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（上述“预算”口径为调整预算数。）</w:t>
      </w:r>
    </w:p>
    <w:p w:rsidR="00A307CD" w:rsidRPr="00A13CC1" w:rsidRDefault="00A307CD" w:rsidP="00A307CD">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（二）“三公”经费财政拨款支出决算具体情况说明</w:t>
      </w:r>
    </w:p>
    <w:p w:rsidR="00C533CC" w:rsidRPr="00A13CC1" w:rsidRDefault="00F602DF" w:rsidP="00A307CD">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C533CC" w:rsidRPr="00A13CC1">
        <w:rPr>
          <w:rFonts w:ascii="仿宋_GB2312" w:eastAsia="仿宋_GB2312" w:hint="eastAsia"/>
          <w:color w:val="000000"/>
          <w:sz w:val="32"/>
          <w:szCs w:val="32"/>
        </w:rPr>
        <w:t>年度“三公”经费财政拨款支出决算中，因公出国（境）费支出决算</w:t>
      </w:r>
      <w:r w:rsidR="002E4876">
        <w:rPr>
          <w:rFonts w:ascii="仿宋_GB2312" w:eastAsia="仿宋_GB2312" w:hint="eastAsia"/>
          <w:color w:val="000000"/>
          <w:sz w:val="32"/>
          <w:szCs w:val="32"/>
        </w:rPr>
        <w:t>0</w:t>
      </w:r>
      <w:r w:rsidR="00C533CC" w:rsidRPr="00A13CC1">
        <w:rPr>
          <w:rFonts w:ascii="仿宋_GB2312" w:eastAsia="仿宋_GB2312" w:hint="eastAsia"/>
          <w:color w:val="000000"/>
          <w:sz w:val="32"/>
          <w:szCs w:val="32"/>
        </w:rPr>
        <w:t>万元，占</w:t>
      </w:r>
      <w:r w:rsidR="002E4876">
        <w:rPr>
          <w:rFonts w:ascii="仿宋_GB2312" w:eastAsia="仿宋_GB2312" w:hint="eastAsia"/>
          <w:color w:val="000000"/>
          <w:sz w:val="32"/>
          <w:szCs w:val="32"/>
        </w:rPr>
        <w:t>0</w:t>
      </w:r>
      <w:r w:rsidR="00C533CC" w:rsidRPr="00A13CC1">
        <w:rPr>
          <w:rFonts w:ascii="仿宋_GB2312" w:eastAsia="仿宋_GB2312" w:hint="eastAsia"/>
          <w:color w:val="000000"/>
          <w:sz w:val="32"/>
          <w:szCs w:val="32"/>
        </w:rPr>
        <w:t>%；公务用车购置及运行维护费支出决算</w:t>
      </w:r>
      <w:r w:rsidR="002E4876">
        <w:rPr>
          <w:rFonts w:ascii="仿宋_GB2312" w:eastAsia="仿宋_GB2312" w:hint="eastAsia"/>
          <w:color w:val="000000"/>
          <w:sz w:val="32"/>
          <w:szCs w:val="32"/>
        </w:rPr>
        <w:t>3.68</w:t>
      </w:r>
      <w:r w:rsidR="00C533CC" w:rsidRPr="00A13CC1">
        <w:rPr>
          <w:rFonts w:ascii="仿宋_GB2312" w:eastAsia="仿宋_GB2312" w:hint="eastAsia"/>
          <w:color w:val="000000"/>
          <w:sz w:val="32"/>
          <w:szCs w:val="32"/>
        </w:rPr>
        <w:t>万元，占</w:t>
      </w:r>
      <w:r w:rsidR="002E4876">
        <w:rPr>
          <w:rFonts w:ascii="仿宋_GB2312" w:eastAsia="仿宋_GB2312" w:hint="eastAsia"/>
          <w:color w:val="000000"/>
          <w:sz w:val="32"/>
          <w:szCs w:val="32"/>
        </w:rPr>
        <w:t>100</w:t>
      </w:r>
      <w:r w:rsidR="00C533CC" w:rsidRPr="00A13CC1">
        <w:rPr>
          <w:rFonts w:ascii="仿宋_GB2312" w:eastAsia="仿宋_GB2312" w:hint="eastAsia"/>
          <w:color w:val="000000"/>
          <w:sz w:val="32"/>
          <w:szCs w:val="32"/>
        </w:rPr>
        <w:t>%；公务接待费支出决算</w:t>
      </w:r>
      <w:r w:rsidR="002E4876">
        <w:rPr>
          <w:rFonts w:ascii="仿宋_GB2312" w:eastAsia="仿宋_GB2312" w:hint="eastAsia"/>
          <w:color w:val="000000"/>
          <w:sz w:val="32"/>
          <w:szCs w:val="32"/>
        </w:rPr>
        <w:t>0</w:t>
      </w:r>
      <w:r w:rsidR="00C533CC" w:rsidRPr="00A13CC1">
        <w:rPr>
          <w:rFonts w:ascii="仿宋_GB2312" w:eastAsia="仿宋_GB2312" w:hint="eastAsia"/>
          <w:color w:val="000000"/>
          <w:sz w:val="32"/>
          <w:szCs w:val="32"/>
        </w:rPr>
        <w:t>万元，占</w:t>
      </w:r>
      <w:r w:rsidR="002E4876">
        <w:rPr>
          <w:rFonts w:ascii="仿宋_GB2312" w:eastAsia="仿宋_GB2312" w:hint="eastAsia"/>
          <w:color w:val="000000"/>
          <w:sz w:val="32"/>
          <w:szCs w:val="32"/>
        </w:rPr>
        <w:t>0</w:t>
      </w:r>
      <w:r w:rsidR="00C533CC" w:rsidRPr="00A13CC1">
        <w:rPr>
          <w:rFonts w:ascii="仿宋_GB2312" w:eastAsia="仿宋_GB2312" w:hint="eastAsia"/>
          <w:color w:val="000000"/>
          <w:sz w:val="32"/>
          <w:szCs w:val="32"/>
        </w:rPr>
        <w:t>%。具体情况如下：</w:t>
      </w:r>
    </w:p>
    <w:p w:rsidR="00C533CC" w:rsidRDefault="00C533CC" w:rsidP="00A307CD">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highlight w:val="yellow"/>
        </w:rPr>
        <w:t>（</w:t>
      </w:r>
      <w:r w:rsidR="00F602DF" w:rsidRPr="00A13CC1">
        <w:rPr>
          <w:rFonts w:ascii="仿宋_GB2312" w:eastAsia="仿宋_GB2312" w:hint="eastAsia"/>
          <w:color w:val="000000"/>
          <w:sz w:val="32"/>
          <w:szCs w:val="32"/>
          <w:highlight w:val="yellow"/>
        </w:rPr>
        <w:t>图6：“三公”经费财政拨款支出结构）（</w:t>
      </w:r>
      <w:r w:rsidR="00260C38" w:rsidRPr="00A13CC1">
        <w:rPr>
          <w:rFonts w:ascii="仿宋_GB2312" w:eastAsia="仿宋_GB2312" w:hint="eastAsia"/>
          <w:color w:val="000000"/>
          <w:sz w:val="32"/>
          <w:szCs w:val="32"/>
          <w:highlight w:val="yellow"/>
        </w:rPr>
        <w:t>饼状</w:t>
      </w:r>
      <w:r w:rsidRPr="00A13CC1">
        <w:rPr>
          <w:rFonts w:ascii="仿宋_GB2312" w:eastAsia="仿宋_GB2312" w:hint="eastAsia"/>
          <w:color w:val="000000"/>
          <w:sz w:val="32"/>
          <w:szCs w:val="32"/>
          <w:highlight w:val="yellow"/>
        </w:rPr>
        <w:t>图）</w:t>
      </w:r>
    </w:p>
    <w:p w:rsidR="0058466C" w:rsidRPr="00A13CC1" w:rsidRDefault="0058466C" w:rsidP="0058466C">
      <w:pPr>
        <w:spacing w:line="360" w:lineRule="auto"/>
        <w:ind w:firstLine="641"/>
        <w:rPr>
          <w:rFonts w:ascii="仿宋_GB2312" w:eastAsia="仿宋_GB2312"/>
          <w:color w:val="000000"/>
          <w:sz w:val="32"/>
          <w:szCs w:val="32"/>
        </w:rPr>
      </w:pPr>
      <w:r w:rsidRPr="0058466C">
        <w:rPr>
          <w:rFonts w:ascii="仿宋_GB2312" w:eastAsia="仿宋_GB2312"/>
          <w:noProof/>
          <w:color w:val="000000"/>
          <w:sz w:val="32"/>
          <w:szCs w:val="32"/>
        </w:rPr>
        <w:lastRenderedPageBreak/>
        <w:drawing>
          <wp:inline distT="0" distB="0" distL="0" distR="0">
            <wp:extent cx="5274310" cy="3076575"/>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5A47" w:rsidRPr="00A13CC1" w:rsidRDefault="00A307CD" w:rsidP="00F602DF">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1.</w:t>
      </w:r>
      <w:r w:rsidR="00F1361C" w:rsidRPr="00A13CC1">
        <w:rPr>
          <w:rFonts w:ascii="仿宋_GB2312" w:eastAsia="仿宋_GB2312" w:hint="eastAsia"/>
          <w:b/>
          <w:color w:val="000000"/>
          <w:sz w:val="32"/>
          <w:szCs w:val="32"/>
        </w:rPr>
        <w:t>因公出国（境）经费</w:t>
      </w:r>
      <w:r w:rsidR="00F602DF" w:rsidRPr="00A13CC1">
        <w:rPr>
          <w:rFonts w:ascii="仿宋_GB2312" w:eastAsia="仿宋_GB2312" w:hint="eastAsia"/>
          <w:b/>
          <w:color w:val="000000"/>
          <w:sz w:val="32"/>
          <w:szCs w:val="32"/>
        </w:rPr>
        <w:t>支出</w:t>
      </w:r>
      <w:r w:rsidR="002A19D8">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w:t>
      </w:r>
      <w:r w:rsidR="000B5A48" w:rsidRPr="00A13CC1">
        <w:rPr>
          <w:rFonts w:ascii="仿宋_GB2312" w:eastAsia="仿宋_GB2312" w:hint="eastAsia"/>
          <w:color w:val="000000"/>
          <w:sz w:val="32"/>
          <w:szCs w:val="32"/>
        </w:rPr>
        <w:t>。</w:t>
      </w:r>
    </w:p>
    <w:p w:rsidR="00946945" w:rsidRPr="00A13CC1" w:rsidRDefault="00C533CC" w:rsidP="000337CA">
      <w:pPr>
        <w:spacing w:line="600" w:lineRule="exact"/>
        <w:ind w:firstLineChars="200" w:firstLine="640"/>
        <w:rPr>
          <w:rFonts w:ascii="仿宋_GB2312" w:eastAsia="仿宋_GB2312"/>
          <w:color w:val="000000"/>
          <w:sz w:val="32"/>
          <w:szCs w:val="32"/>
        </w:rPr>
      </w:pPr>
      <w:r w:rsidRPr="00A13CC1">
        <w:rPr>
          <w:rFonts w:ascii="仿宋_GB2312" w:eastAsia="仿宋_GB2312" w:hint="eastAsia"/>
          <w:b/>
          <w:color w:val="000000"/>
          <w:sz w:val="32"/>
          <w:szCs w:val="32"/>
        </w:rPr>
        <w:t>2.公务用车购置及运行维护费</w:t>
      </w:r>
      <w:r w:rsidR="00AD5620" w:rsidRPr="00A13CC1">
        <w:rPr>
          <w:rFonts w:ascii="仿宋_GB2312" w:eastAsia="仿宋_GB2312" w:hint="eastAsia"/>
          <w:b/>
          <w:color w:val="000000"/>
          <w:sz w:val="32"/>
          <w:szCs w:val="32"/>
        </w:rPr>
        <w:t>支出</w:t>
      </w:r>
      <w:r w:rsidR="002E4876">
        <w:rPr>
          <w:rFonts w:ascii="仿宋_GB2312" w:eastAsia="仿宋_GB2312" w:hint="eastAsia"/>
          <w:color w:val="000000"/>
          <w:sz w:val="32"/>
          <w:szCs w:val="32"/>
        </w:rPr>
        <w:t>3.68</w:t>
      </w:r>
      <w:r w:rsidRPr="00A13CC1">
        <w:rPr>
          <w:rFonts w:ascii="仿宋_GB2312" w:eastAsia="仿宋_GB2312" w:hint="eastAsia"/>
          <w:color w:val="000000"/>
          <w:sz w:val="32"/>
          <w:szCs w:val="32"/>
        </w:rPr>
        <w:t>万元</w:t>
      </w:r>
      <w:r w:rsidR="00946945" w:rsidRPr="00A13CC1">
        <w:rPr>
          <w:rFonts w:ascii="仿宋_GB2312" w:eastAsia="仿宋_GB2312" w:hint="eastAsia"/>
          <w:color w:val="000000"/>
          <w:sz w:val="32"/>
          <w:szCs w:val="32"/>
        </w:rPr>
        <w:t>。</w:t>
      </w:r>
      <w:r w:rsidR="000B5A48" w:rsidRPr="00A13CC1">
        <w:rPr>
          <w:rFonts w:ascii="仿宋_GB2312" w:eastAsia="仿宋_GB2312" w:hint="eastAsia"/>
          <w:color w:val="000000"/>
          <w:sz w:val="32"/>
          <w:szCs w:val="32"/>
        </w:rPr>
        <w:t>其中：</w:t>
      </w:r>
    </w:p>
    <w:p w:rsidR="000B5A48" w:rsidRPr="00A13CC1" w:rsidRDefault="000B5A48" w:rsidP="000337CA">
      <w:pPr>
        <w:spacing w:line="600" w:lineRule="exact"/>
        <w:ind w:firstLineChars="200" w:firstLine="640"/>
        <w:rPr>
          <w:rFonts w:ascii="仿宋_GB2312" w:eastAsia="仿宋_GB2312"/>
          <w:b/>
          <w:color w:val="000000"/>
          <w:sz w:val="32"/>
          <w:szCs w:val="32"/>
        </w:rPr>
      </w:pPr>
      <w:r w:rsidRPr="00A13CC1">
        <w:rPr>
          <w:rFonts w:ascii="仿宋_GB2312" w:eastAsia="仿宋_GB2312" w:hint="eastAsia"/>
          <w:b/>
          <w:color w:val="000000"/>
          <w:sz w:val="32"/>
          <w:szCs w:val="32"/>
        </w:rPr>
        <w:t>公务用车购置支出</w:t>
      </w:r>
      <w:r w:rsidR="002E4876">
        <w:rPr>
          <w:rFonts w:ascii="仿宋_GB2312" w:eastAsia="仿宋_GB2312" w:hint="eastAsia"/>
          <w:color w:val="000000"/>
          <w:sz w:val="32"/>
          <w:szCs w:val="32"/>
        </w:rPr>
        <w:t>0</w:t>
      </w:r>
      <w:r w:rsidRPr="00A13CC1">
        <w:rPr>
          <w:rFonts w:ascii="仿宋_GB2312" w:eastAsia="仿宋_GB2312" w:hint="eastAsia"/>
          <w:color w:val="000000"/>
          <w:sz w:val="32"/>
          <w:szCs w:val="32"/>
        </w:rPr>
        <w:t>万元。</w:t>
      </w:r>
    </w:p>
    <w:p w:rsidR="00C533CC" w:rsidRPr="00A13CC1" w:rsidRDefault="000B5A48" w:rsidP="000B5A48">
      <w:pPr>
        <w:spacing w:line="600" w:lineRule="exact"/>
        <w:ind w:firstLine="640"/>
        <w:rPr>
          <w:rFonts w:ascii="仿宋_GB2312" w:eastAsia="仿宋_GB2312"/>
          <w:color w:val="000000"/>
          <w:sz w:val="32"/>
          <w:szCs w:val="32"/>
        </w:rPr>
      </w:pPr>
      <w:r w:rsidRPr="00A13CC1">
        <w:rPr>
          <w:rFonts w:ascii="仿宋_GB2312" w:eastAsia="仿宋_GB2312" w:hint="eastAsia"/>
          <w:b/>
          <w:color w:val="000000"/>
          <w:sz w:val="32"/>
          <w:szCs w:val="32"/>
        </w:rPr>
        <w:t>公务用车运行维护费支出</w:t>
      </w:r>
      <w:r w:rsidR="002E4876">
        <w:rPr>
          <w:rFonts w:ascii="仿宋_GB2312" w:eastAsia="仿宋_GB2312" w:hint="eastAsia"/>
          <w:color w:val="000000"/>
          <w:sz w:val="32"/>
          <w:szCs w:val="32"/>
        </w:rPr>
        <w:t>3.68</w:t>
      </w:r>
      <w:r w:rsidRPr="00A13CC1">
        <w:rPr>
          <w:rFonts w:ascii="仿宋_GB2312" w:eastAsia="仿宋_GB2312" w:hint="eastAsia"/>
          <w:color w:val="000000"/>
          <w:sz w:val="32"/>
          <w:szCs w:val="32"/>
        </w:rPr>
        <w:t>万元。主要</w:t>
      </w:r>
      <w:r w:rsidR="00C533CC" w:rsidRPr="00A13CC1">
        <w:rPr>
          <w:rFonts w:ascii="仿宋_GB2312" w:eastAsia="仿宋_GB2312" w:hint="eastAsia"/>
          <w:color w:val="000000"/>
          <w:sz w:val="32"/>
          <w:szCs w:val="32"/>
        </w:rPr>
        <w:t>用于</w:t>
      </w:r>
      <w:r w:rsidR="002E4876">
        <w:rPr>
          <w:rFonts w:ascii="仿宋_GB2312" w:eastAsia="仿宋_GB2312" w:hint="eastAsia"/>
          <w:color w:val="000000"/>
          <w:sz w:val="32"/>
          <w:szCs w:val="32"/>
        </w:rPr>
        <w:t>外出公务</w:t>
      </w:r>
      <w:r w:rsidR="00C533CC" w:rsidRPr="00A13CC1">
        <w:rPr>
          <w:rFonts w:ascii="仿宋_GB2312" w:eastAsia="仿宋_GB2312" w:hint="eastAsia"/>
          <w:color w:val="000000"/>
          <w:sz w:val="32"/>
          <w:szCs w:val="32"/>
        </w:rPr>
        <w:t>等所需的公务用车燃料费、维修费、过路过桥费、保险费等支出。</w:t>
      </w:r>
    </w:p>
    <w:p w:rsidR="00F417B1" w:rsidRPr="00A13CC1" w:rsidRDefault="00F417B1" w:rsidP="000B5A48">
      <w:pPr>
        <w:spacing w:line="600" w:lineRule="exact"/>
        <w:ind w:firstLine="640"/>
        <w:rPr>
          <w:rFonts w:ascii="仿宋_GB2312" w:eastAsia="仿宋_GB2312"/>
          <w:b/>
          <w:color w:val="000000"/>
          <w:sz w:val="32"/>
          <w:szCs w:val="32"/>
        </w:rPr>
      </w:pPr>
      <w:r w:rsidRPr="00A13CC1">
        <w:rPr>
          <w:rFonts w:ascii="仿宋_GB2312" w:eastAsia="仿宋_GB2312" w:hint="eastAsia"/>
          <w:color w:val="000000"/>
          <w:sz w:val="32"/>
          <w:szCs w:val="32"/>
        </w:rPr>
        <w:t>公务用车购置及运行维护费支出决算比2016年增加</w:t>
      </w:r>
      <w:r w:rsidR="002A19D8">
        <w:rPr>
          <w:rFonts w:ascii="仿宋_GB2312" w:eastAsia="仿宋_GB2312" w:hint="eastAsia"/>
          <w:color w:val="000000"/>
          <w:sz w:val="32"/>
          <w:szCs w:val="32"/>
        </w:rPr>
        <w:t>0.18</w:t>
      </w:r>
      <w:r w:rsidRPr="00A13CC1">
        <w:rPr>
          <w:rFonts w:ascii="仿宋_GB2312" w:eastAsia="仿宋_GB2312" w:hint="eastAsia"/>
          <w:color w:val="000000"/>
          <w:sz w:val="32"/>
          <w:szCs w:val="32"/>
        </w:rPr>
        <w:t>万元，增长</w:t>
      </w:r>
      <w:r w:rsidR="002A19D8">
        <w:rPr>
          <w:rFonts w:ascii="仿宋_GB2312" w:eastAsia="仿宋_GB2312" w:hint="eastAsia"/>
          <w:color w:val="000000"/>
          <w:sz w:val="32"/>
          <w:szCs w:val="32"/>
        </w:rPr>
        <w:t>5.14</w:t>
      </w:r>
      <w:r w:rsidRPr="00A13CC1">
        <w:rPr>
          <w:rFonts w:ascii="仿宋_GB2312" w:eastAsia="仿宋_GB2312" w:hint="eastAsia"/>
          <w:color w:val="000000"/>
          <w:sz w:val="32"/>
          <w:szCs w:val="32"/>
        </w:rPr>
        <w:t>%</w:t>
      </w:r>
      <w:r w:rsidR="00E67D64">
        <w:rPr>
          <w:rFonts w:ascii="仿宋_GB2312" w:eastAsia="仿宋_GB2312" w:hint="eastAsia"/>
          <w:color w:val="000000"/>
          <w:sz w:val="32"/>
          <w:szCs w:val="32"/>
        </w:rPr>
        <w:t>。主要原因是维修率偏高</w:t>
      </w:r>
      <w:r w:rsidRPr="00A13CC1">
        <w:rPr>
          <w:rFonts w:ascii="仿宋_GB2312" w:eastAsia="仿宋_GB2312" w:hint="eastAsia"/>
          <w:color w:val="000000"/>
          <w:sz w:val="32"/>
          <w:szCs w:val="32"/>
        </w:rPr>
        <w:t>。</w:t>
      </w:r>
    </w:p>
    <w:p w:rsidR="00F1361C" w:rsidRPr="00A13CC1" w:rsidRDefault="00C533CC" w:rsidP="000337CA">
      <w:pPr>
        <w:spacing w:line="600" w:lineRule="exact"/>
        <w:ind w:firstLineChars="200" w:firstLine="640"/>
        <w:rPr>
          <w:rFonts w:ascii="仿宋_GB2312" w:eastAsia="仿宋_GB2312"/>
          <w:color w:val="000000"/>
          <w:sz w:val="32"/>
          <w:szCs w:val="32"/>
        </w:rPr>
      </w:pPr>
      <w:r w:rsidRPr="00A13CC1">
        <w:rPr>
          <w:rFonts w:ascii="仿宋_GB2312" w:eastAsia="仿宋_GB2312" w:hint="eastAsia"/>
          <w:b/>
          <w:color w:val="000000"/>
          <w:sz w:val="32"/>
          <w:szCs w:val="32"/>
        </w:rPr>
        <w:t>3</w:t>
      </w:r>
      <w:r w:rsidR="00A307CD" w:rsidRPr="00A13CC1">
        <w:rPr>
          <w:rFonts w:ascii="仿宋_GB2312" w:eastAsia="仿宋_GB2312" w:hint="eastAsia"/>
          <w:b/>
          <w:color w:val="000000"/>
          <w:sz w:val="32"/>
          <w:szCs w:val="32"/>
        </w:rPr>
        <w:t>.</w:t>
      </w:r>
      <w:r w:rsidR="00F1361C" w:rsidRPr="00A13CC1">
        <w:rPr>
          <w:rFonts w:ascii="仿宋_GB2312" w:eastAsia="仿宋_GB2312" w:hint="eastAsia"/>
          <w:b/>
          <w:color w:val="000000"/>
          <w:sz w:val="32"/>
          <w:szCs w:val="32"/>
        </w:rPr>
        <w:t>公务接待费</w:t>
      </w:r>
      <w:r w:rsidR="00946945" w:rsidRPr="00A13CC1">
        <w:rPr>
          <w:rFonts w:ascii="仿宋_GB2312" w:eastAsia="仿宋_GB2312" w:hint="eastAsia"/>
          <w:b/>
          <w:color w:val="000000"/>
          <w:sz w:val="32"/>
          <w:szCs w:val="32"/>
        </w:rPr>
        <w:t>支出</w:t>
      </w:r>
      <w:r w:rsidR="002A19D8">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w:t>
      </w:r>
      <w:r w:rsidR="000B5A48" w:rsidRPr="00A13CC1">
        <w:rPr>
          <w:rFonts w:ascii="仿宋_GB2312" w:eastAsia="仿宋_GB2312" w:hint="eastAsia"/>
          <w:color w:val="000000"/>
          <w:sz w:val="32"/>
          <w:szCs w:val="32"/>
        </w:rPr>
        <w:t>。</w:t>
      </w:r>
    </w:p>
    <w:p w:rsidR="00F1361C" w:rsidRPr="00A13CC1" w:rsidRDefault="00F1361C"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八、政府性基金预算支出决算情况</w:t>
      </w:r>
      <w:r w:rsidR="00D51276" w:rsidRPr="00A13CC1">
        <w:rPr>
          <w:rFonts w:ascii="黑体" w:eastAsia="黑体" w:hint="eastAsia"/>
          <w:color w:val="000000"/>
          <w:sz w:val="32"/>
          <w:szCs w:val="32"/>
        </w:rPr>
        <w:t>说明</w:t>
      </w:r>
    </w:p>
    <w:p w:rsidR="00F1361C" w:rsidRPr="00A13CC1" w:rsidRDefault="00D51276" w:rsidP="00F1361C">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w:t>
      </w:r>
      <w:r w:rsidR="00F1361C" w:rsidRPr="00A13CC1">
        <w:rPr>
          <w:rFonts w:ascii="仿宋_GB2312" w:eastAsia="仿宋_GB2312" w:hint="eastAsia"/>
          <w:color w:val="000000"/>
          <w:sz w:val="32"/>
          <w:szCs w:val="32"/>
        </w:rPr>
        <w:t>政府性基金预算</w:t>
      </w:r>
      <w:r w:rsidR="00BC5460" w:rsidRPr="00A13CC1">
        <w:rPr>
          <w:rFonts w:ascii="仿宋_GB2312" w:eastAsia="仿宋_GB2312" w:hint="eastAsia"/>
          <w:color w:val="000000"/>
          <w:sz w:val="32"/>
          <w:szCs w:val="32"/>
        </w:rPr>
        <w:t>拨款</w:t>
      </w:r>
      <w:r w:rsidR="00F1361C" w:rsidRPr="00A13CC1">
        <w:rPr>
          <w:rFonts w:ascii="仿宋_GB2312" w:eastAsia="仿宋_GB2312" w:hint="eastAsia"/>
          <w:color w:val="000000"/>
          <w:sz w:val="32"/>
          <w:szCs w:val="32"/>
        </w:rPr>
        <w:t>支出</w:t>
      </w:r>
      <w:r w:rsidR="001533AF">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w:t>
      </w:r>
    </w:p>
    <w:p w:rsidR="00D51276" w:rsidRPr="00A13CC1" w:rsidRDefault="00D51276" w:rsidP="00F1361C">
      <w:pPr>
        <w:spacing w:line="600" w:lineRule="exact"/>
        <w:ind w:firstLine="640"/>
        <w:rPr>
          <w:rFonts w:ascii="黑体" w:eastAsia="黑体"/>
          <w:color w:val="000000"/>
          <w:sz w:val="32"/>
          <w:szCs w:val="32"/>
        </w:rPr>
      </w:pPr>
      <w:r w:rsidRPr="00A13CC1">
        <w:rPr>
          <w:rFonts w:ascii="黑体" w:eastAsia="黑体" w:hint="eastAsia"/>
          <w:color w:val="000000"/>
          <w:sz w:val="32"/>
          <w:szCs w:val="32"/>
        </w:rPr>
        <w:t>九、国有资本经营预算支出决算情况说明</w:t>
      </w:r>
    </w:p>
    <w:p w:rsidR="00BC5460" w:rsidRPr="00A13CC1" w:rsidRDefault="00BC5460" w:rsidP="00F1361C">
      <w:pPr>
        <w:spacing w:line="600" w:lineRule="exact"/>
        <w:ind w:firstLine="640"/>
        <w:rPr>
          <w:rFonts w:ascii="仿宋_GB2312" w:eastAsia="仿宋_GB2312"/>
          <w:color w:val="000000"/>
          <w:sz w:val="32"/>
          <w:szCs w:val="32"/>
        </w:rPr>
      </w:pPr>
      <w:r w:rsidRPr="00A13CC1">
        <w:rPr>
          <w:rFonts w:ascii="仿宋_GB2312" w:eastAsia="仿宋_GB2312" w:hint="eastAsia"/>
          <w:color w:val="000000"/>
          <w:sz w:val="32"/>
          <w:szCs w:val="32"/>
        </w:rPr>
        <w:t>2017年度国有资本经营预算拨款支出</w:t>
      </w:r>
      <w:r w:rsidR="001533AF">
        <w:rPr>
          <w:rFonts w:ascii="仿宋_GB2312" w:eastAsia="仿宋_GB2312" w:hint="eastAsia"/>
          <w:color w:val="000000"/>
          <w:sz w:val="32"/>
          <w:szCs w:val="32"/>
        </w:rPr>
        <w:t>0</w:t>
      </w:r>
      <w:r w:rsidRPr="00A13CC1">
        <w:rPr>
          <w:rFonts w:ascii="仿宋_GB2312" w:eastAsia="仿宋_GB2312" w:hint="eastAsia"/>
          <w:color w:val="000000"/>
          <w:sz w:val="32"/>
          <w:szCs w:val="32"/>
        </w:rPr>
        <w:t>万元。</w:t>
      </w:r>
    </w:p>
    <w:p w:rsidR="00F1361C" w:rsidRPr="00A13CC1" w:rsidRDefault="00BC5460" w:rsidP="00F1361C">
      <w:pPr>
        <w:spacing w:line="600" w:lineRule="exact"/>
        <w:ind w:firstLineChars="200" w:firstLine="640"/>
        <w:rPr>
          <w:rFonts w:ascii="黑体" w:eastAsia="黑体"/>
          <w:color w:val="000000"/>
          <w:sz w:val="32"/>
          <w:szCs w:val="32"/>
        </w:rPr>
      </w:pPr>
      <w:r w:rsidRPr="00A13CC1">
        <w:rPr>
          <w:rFonts w:ascii="黑体" w:eastAsia="黑体" w:hint="eastAsia"/>
          <w:color w:val="000000"/>
          <w:sz w:val="32"/>
          <w:szCs w:val="32"/>
        </w:rPr>
        <w:t>十</w:t>
      </w:r>
      <w:r w:rsidR="00F1361C" w:rsidRPr="00A13CC1">
        <w:rPr>
          <w:rFonts w:ascii="黑体" w:eastAsia="黑体" w:hint="eastAsia"/>
          <w:color w:val="000000"/>
          <w:sz w:val="32"/>
          <w:szCs w:val="32"/>
        </w:rPr>
        <w:t>、其他重要事项的情况说明</w:t>
      </w:r>
    </w:p>
    <w:p w:rsidR="00F1361C" w:rsidRPr="00A13CC1" w:rsidRDefault="00F1361C" w:rsidP="000337CA">
      <w:pPr>
        <w:spacing w:line="600" w:lineRule="exact"/>
        <w:ind w:firstLineChars="200" w:firstLine="640"/>
        <w:rPr>
          <w:rFonts w:ascii="仿宋_GB2312" w:eastAsia="仿宋_GB2312"/>
          <w:color w:val="000000"/>
          <w:sz w:val="32"/>
          <w:szCs w:val="32"/>
        </w:rPr>
      </w:pPr>
      <w:r w:rsidRPr="00A13CC1">
        <w:rPr>
          <w:rFonts w:ascii="仿宋_GB2312" w:eastAsia="仿宋_GB2312" w:hint="eastAsia"/>
          <w:b/>
          <w:color w:val="000000"/>
          <w:sz w:val="32"/>
          <w:szCs w:val="32"/>
        </w:rPr>
        <w:lastRenderedPageBreak/>
        <w:t>（一）机关运行经费支出情况</w:t>
      </w:r>
    </w:p>
    <w:p w:rsidR="00C35554" w:rsidRPr="00A13CC1" w:rsidRDefault="00BC5460" w:rsidP="00F1361C">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年度，</w:t>
      </w:r>
      <w:r w:rsidR="002A19D8">
        <w:rPr>
          <w:rFonts w:ascii="仿宋_GB2312" w:eastAsia="仿宋_GB2312" w:hint="eastAsia"/>
          <w:color w:val="000000"/>
          <w:sz w:val="32"/>
          <w:szCs w:val="32"/>
        </w:rPr>
        <w:t>房地产交易所</w:t>
      </w:r>
      <w:r w:rsidR="00F1361C" w:rsidRPr="00A13CC1">
        <w:rPr>
          <w:rFonts w:ascii="仿宋_GB2312" w:eastAsia="仿宋_GB2312" w:hint="eastAsia"/>
          <w:color w:val="000000"/>
          <w:sz w:val="32"/>
          <w:szCs w:val="32"/>
        </w:rPr>
        <w:t>机关运行经费支出</w:t>
      </w:r>
      <w:r w:rsidR="002A19D8">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万元，比</w:t>
      </w:r>
      <w:r w:rsidRPr="00A13CC1">
        <w:rPr>
          <w:rFonts w:ascii="仿宋_GB2312" w:eastAsia="仿宋_GB2312" w:hint="eastAsia"/>
          <w:color w:val="000000"/>
          <w:sz w:val="32"/>
          <w:szCs w:val="32"/>
        </w:rPr>
        <w:t>2016</w:t>
      </w:r>
      <w:r w:rsidR="00F1361C" w:rsidRPr="00A13CC1">
        <w:rPr>
          <w:rFonts w:ascii="仿宋_GB2312" w:eastAsia="仿宋_GB2312" w:hint="eastAsia"/>
          <w:color w:val="000000"/>
          <w:sz w:val="32"/>
          <w:szCs w:val="32"/>
        </w:rPr>
        <w:t>年增加/减少</w:t>
      </w:r>
      <w:r w:rsidR="002A19D8">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万元，增长/下降</w:t>
      </w:r>
      <w:r w:rsidR="002A19D8">
        <w:rPr>
          <w:rFonts w:ascii="仿宋_GB2312" w:eastAsia="仿宋_GB2312" w:hint="eastAsia"/>
          <w:color w:val="000000"/>
          <w:sz w:val="32"/>
          <w:szCs w:val="32"/>
        </w:rPr>
        <w:t>0</w:t>
      </w:r>
      <w:r w:rsidR="00F1361C" w:rsidRPr="00A13CC1">
        <w:rPr>
          <w:rFonts w:ascii="仿宋_GB2312" w:eastAsia="仿宋_GB2312" w:hint="eastAsia"/>
          <w:color w:val="000000"/>
          <w:sz w:val="32"/>
          <w:szCs w:val="32"/>
        </w:rPr>
        <w:t>%</w:t>
      </w:r>
      <w:r w:rsidR="002A19D8">
        <w:rPr>
          <w:rFonts w:ascii="仿宋_GB2312" w:eastAsia="仿宋_GB2312" w:hint="eastAsia"/>
          <w:color w:val="000000"/>
          <w:sz w:val="32"/>
          <w:szCs w:val="32"/>
        </w:rPr>
        <w:t>。</w:t>
      </w:r>
    </w:p>
    <w:p w:rsidR="00F1361C" w:rsidRPr="00A13CC1" w:rsidRDefault="00F1361C" w:rsidP="00260C3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w:t>
      </w:r>
      <w:r w:rsidR="00971FFC" w:rsidRPr="00A13CC1">
        <w:rPr>
          <w:rFonts w:ascii="仿宋_GB2312" w:eastAsia="仿宋_GB2312" w:hint="eastAsia"/>
          <w:b/>
          <w:color w:val="000000"/>
          <w:sz w:val="32"/>
          <w:szCs w:val="32"/>
          <w:highlight w:val="yellow"/>
        </w:rPr>
        <w:t>数据来源</w:t>
      </w:r>
      <w:r w:rsidRPr="00A13CC1">
        <w:rPr>
          <w:rFonts w:ascii="仿宋_GB2312" w:eastAsia="仿宋_GB2312" w:hint="eastAsia"/>
          <w:b/>
          <w:color w:val="000000"/>
          <w:sz w:val="32"/>
          <w:szCs w:val="32"/>
          <w:highlight w:val="yellow"/>
        </w:rPr>
        <w:t>财决CS05表）</w:t>
      </w:r>
    </w:p>
    <w:p w:rsidR="00F1361C" w:rsidRPr="00A13CC1" w:rsidRDefault="00F1361C" w:rsidP="000337CA">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（二）政府采购</w:t>
      </w:r>
      <w:r w:rsidR="00FF1E02" w:rsidRPr="00A13CC1">
        <w:rPr>
          <w:rFonts w:ascii="仿宋_GB2312" w:eastAsia="仿宋_GB2312" w:hint="eastAsia"/>
          <w:b/>
          <w:color w:val="000000"/>
          <w:sz w:val="32"/>
          <w:szCs w:val="32"/>
        </w:rPr>
        <w:t>支出</w:t>
      </w:r>
      <w:r w:rsidRPr="00A13CC1">
        <w:rPr>
          <w:rFonts w:ascii="仿宋_GB2312" w:eastAsia="仿宋_GB2312" w:hint="eastAsia"/>
          <w:b/>
          <w:color w:val="000000"/>
          <w:sz w:val="32"/>
          <w:szCs w:val="32"/>
        </w:rPr>
        <w:t>情况</w:t>
      </w:r>
    </w:p>
    <w:p w:rsidR="00C35554" w:rsidRPr="00A13CC1" w:rsidRDefault="00BC5460" w:rsidP="00C35554">
      <w:pPr>
        <w:spacing w:line="600" w:lineRule="exac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2017</w:t>
      </w:r>
      <w:r w:rsidR="00F1361C" w:rsidRPr="00A13CC1">
        <w:rPr>
          <w:rFonts w:ascii="仿宋_GB2312" w:eastAsia="仿宋_GB2312" w:hint="eastAsia"/>
          <w:color w:val="000000"/>
          <w:sz w:val="32"/>
          <w:szCs w:val="32"/>
        </w:rPr>
        <w:t>年度，</w:t>
      </w:r>
      <w:r w:rsidR="002A19D8">
        <w:rPr>
          <w:rFonts w:ascii="仿宋_GB2312" w:eastAsia="仿宋_GB2312" w:hint="eastAsia"/>
          <w:color w:val="000000"/>
          <w:sz w:val="32"/>
          <w:szCs w:val="32"/>
        </w:rPr>
        <w:t>广汉市房地产交易所</w:t>
      </w:r>
      <w:r w:rsidR="00F1361C" w:rsidRPr="00A13CC1">
        <w:rPr>
          <w:rFonts w:ascii="仿宋_GB2312" w:eastAsia="仿宋_GB2312" w:hint="eastAsia"/>
          <w:color w:val="000000"/>
          <w:sz w:val="32"/>
          <w:szCs w:val="32"/>
        </w:rPr>
        <w:t>政府采购支出总额</w:t>
      </w:r>
      <w:r w:rsidR="002A19D8">
        <w:rPr>
          <w:rFonts w:ascii="仿宋_GB2312" w:eastAsia="仿宋_GB2312" w:hint="eastAsia"/>
          <w:color w:val="000000"/>
          <w:sz w:val="32"/>
          <w:szCs w:val="32"/>
        </w:rPr>
        <w:t>0万元。</w:t>
      </w:r>
    </w:p>
    <w:p w:rsidR="00C03E31" w:rsidRPr="00A13CC1" w:rsidRDefault="00C03E31" w:rsidP="00260C3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（数据来源财决CS06表）</w:t>
      </w:r>
    </w:p>
    <w:p w:rsidR="00F1361C" w:rsidRPr="00A13CC1" w:rsidRDefault="00F1361C" w:rsidP="000337CA">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（三）国有资产占有使用情况</w:t>
      </w:r>
    </w:p>
    <w:p w:rsidR="00C35554" w:rsidRPr="00A13CC1" w:rsidRDefault="00F1361C" w:rsidP="00F1361C">
      <w:pPr>
        <w:autoSpaceDE w:val="0"/>
        <w:autoSpaceDN w:val="0"/>
        <w:adjustRightInd w:val="0"/>
        <w:spacing w:line="600" w:lineRule="exact"/>
        <w:ind w:firstLineChars="200" w:firstLine="640"/>
        <w:jc w:val="left"/>
        <w:rPr>
          <w:rFonts w:ascii="仿宋_GB2312" w:eastAsia="仿宋_GB2312"/>
          <w:color w:val="000000"/>
          <w:sz w:val="32"/>
          <w:szCs w:val="32"/>
        </w:rPr>
      </w:pPr>
      <w:r w:rsidRPr="00A13CC1">
        <w:rPr>
          <w:rFonts w:ascii="仿宋_GB2312" w:eastAsia="仿宋_GB2312" w:hint="eastAsia"/>
          <w:color w:val="000000"/>
          <w:sz w:val="32"/>
          <w:szCs w:val="32"/>
        </w:rPr>
        <w:t>截至</w:t>
      </w:r>
      <w:r w:rsidR="006325F8" w:rsidRPr="00A13CC1">
        <w:rPr>
          <w:rFonts w:ascii="仿宋_GB2312" w:eastAsia="仿宋_GB2312" w:hint="eastAsia"/>
          <w:color w:val="000000"/>
          <w:sz w:val="32"/>
          <w:szCs w:val="32"/>
        </w:rPr>
        <w:t>2017</w:t>
      </w:r>
      <w:r w:rsidRPr="00A13CC1">
        <w:rPr>
          <w:rFonts w:ascii="仿宋_GB2312" w:eastAsia="仿宋_GB2312" w:hint="eastAsia"/>
          <w:color w:val="000000"/>
          <w:sz w:val="32"/>
          <w:szCs w:val="32"/>
        </w:rPr>
        <w:t>年12月31日，</w:t>
      </w:r>
      <w:r w:rsidR="000C6975">
        <w:rPr>
          <w:rFonts w:ascii="仿宋_GB2312" w:eastAsia="仿宋_GB2312" w:hint="eastAsia"/>
          <w:color w:val="000000"/>
          <w:sz w:val="32"/>
          <w:szCs w:val="32"/>
        </w:rPr>
        <w:t>广汉市房地产交易所</w:t>
      </w:r>
      <w:r w:rsidR="006325F8" w:rsidRPr="00A13CC1">
        <w:rPr>
          <w:rFonts w:ascii="仿宋_GB2312" w:eastAsia="仿宋_GB2312" w:hint="eastAsia"/>
          <w:color w:val="000000"/>
          <w:sz w:val="32"/>
          <w:szCs w:val="32"/>
        </w:rPr>
        <w:t>共</w:t>
      </w:r>
      <w:r w:rsidRPr="00A13CC1">
        <w:rPr>
          <w:rFonts w:ascii="仿宋_GB2312" w:eastAsia="仿宋_GB2312" w:hint="eastAsia"/>
          <w:color w:val="000000"/>
          <w:sz w:val="32"/>
          <w:szCs w:val="32"/>
        </w:rPr>
        <w:t>有车辆</w:t>
      </w:r>
      <w:r w:rsidR="000C6975">
        <w:rPr>
          <w:rFonts w:ascii="仿宋_GB2312" w:eastAsia="仿宋_GB2312" w:hint="eastAsia"/>
          <w:color w:val="000000"/>
          <w:sz w:val="32"/>
          <w:szCs w:val="32"/>
        </w:rPr>
        <w:t>3</w:t>
      </w:r>
      <w:r w:rsidR="00786E4A" w:rsidRPr="00A13CC1">
        <w:rPr>
          <w:rFonts w:ascii="仿宋_GB2312" w:eastAsia="仿宋_GB2312" w:hint="eastAsia"/>
          <w:color w:val="000000"/>
          <w:sz w:val="32"/>
          <w:szCs w:val="32"/>
        </w:rPr>
        <w:t>辆，其中：</w:t>
      </w:r>
      <w:r w:rsidRPr="00A13CC1">
        <w:rPr>
          <w:rFonts w:ascii="仿宋_GB2312" w:eastAsia="仿宋_GB2312" w:hint="eastAsia"/>
          <w:color w:val="000000"/>
          <w:sz w:val="32"/>
          <w:szCs w:val="32"/>
        </w:rPr>
        <w:t>部级领导干部用车</w:t>
      </w:r>
      <w:r w:rsidR="000C6975">
        <w:rPr>
          <w:rFonts w:ascii="仿宋_GB2312" w:eastAsia="仿宋_GB2312" w:hint="eastAsia"/>
          <w:color w:val="000000"/>
          <w:sz w:val="32"/>
          <w:szCs w:val="32"/>
        </w:rPr>
        <w:t>0</w:t>
      </w:r>
      <w:r w:rsidRPr="00A13CC1">
        <w:rPr>
          <w:rFonts w:ascii="仿宋_GB2312" w:eastAsia="仿宋_GB2312" w:hint="eastAsia"/>
          <w:color w:val="000000"/>
          <w:sz w:val="32"/>
          <w:szCs w:val="32"/>
        </w:rPr>
        <w:t>辆、一般公务用车</w:t>
      </w:r>
      <w:r w:rsidR="000C6975">
        <w:rPr>
          <w:rFonts w:ascii="仿宋_GB2312" w:eastAsia="仿宋_GB2312" w:hint="eastAsia"/>
          <w:color w:val="000000"/>
          <w:sz w:val="32"/>
          <w:szCs w:val="32"/>
        </w:rPr>
        <w:t>3</w:t>
      </w:r>
      <w:r w:rsidRPr="00A13CC1">
        <w:rPr>
          <w:rFonts w:ascii="仿宋_GB2312" w:eastAsia="仿宋_GB2312" w:hint="eastAsia"/>
          <w:color w:val="000000"/>
          <w:sz w:val="32"/>
          <w:szCs w:val="32"/>
        </w:rPr>
        <w:t>辆</w:t>
      </w:r>
      <w:r w:rsidR="00786E4A" w:rsidRPr="00A13CC1">
        <w:rPr>
          <w:rFonts w:ascii="仿宋_GB2312" w:eastAsia="仿宋_GB2312" w:hint="eastAsia"/>
          <w:color w:val="000000"/>
          <w:sz w:val="32"/>
          <w:szCs w:val="32"/>
        </w:rPr>
        <w:t>、一般执法执勤用车</w:t>
      </w:r>
      <w:r w:rsidR="000C6975">
        <w:rPr>
          <w:rFonts w:ascii="仿宋_GB2312" w:eastAsia="仿宋_GB2312" w:hint="eastAsia"/>
          <w:color w:val="000000"/>
          <w:sz w:val="32"/>
          <w:szCs w:val="32"/>
        </w:rPr>
        <w:t>0</w:t>
      </w:r>
      <w:r w:rsidR="00786E4A" w:rsidRPr="00A13CC1">
        <w:rPr>
          <w:rFonts w:ascii="仿宋_GB2312" w:eastAsia="仿宋_GB2312" w:hint="eastAsia"/>
          <w:color w:val="000000"/>
          <w:sz w:val="32"/>
          <w:szCs w:val="32"/>
        </w:rPr>
        <w:t>辆、特种专业技术用车</w:t>
      </w:r>
      <w:r w:rsidR="000C6975">
        <w:rPr>
          <w:rFonts w:ascii="仿宋_GB2312" w:eastAsia="仿宋_GB2312" w:hint="eastAsia"/>
          <w:color w:val="000000"/>
          <w:sz w:val="32"/>
          <w:szCs w:val="32"/>
        </w:rPr>
        <w:t>0</w:t>
      </w:r>
      <w:r w:rsidR="00786E4A" w:rsidRPr="00A13CC1">
        <w:rPr>
          <w:rFonts w:ascii="仿宋_GB2312" w:eastAsia="仿宋_GB2312" w:hint="eastAsia"/>
          <w:color w:val="000000"/>
          <w:sz w:val="32"/>
          <w:szCs w:val="32"/>
        </w:rPr>
        <w:t>辆、其他用车</w:t>
      </w:r>
      <w:r w:rsidR="000C6975">
        <w:rPr>
          <w:rFonts w:ascii="仿宋_GB2312" w:eastAsia="仿宋_GB2312" w:hint="eastAsia"/>
          <w:color w:val="000000"/>
          <w:sz w:val="32"/>
          <w:szCs w:val="32"/>
        </w:rPr>
        <w:t>0</w:t>
      </w:r>
      <w:r w:rsidR="00786E4A" w:rsidRPr="00A13CC1">
        <w:rPr>
          <w:rFonts w:ascii="仿宋_GB2312" w:eastAsia="仿宋_GB2312" w:hint="eastAsia"/>
          <w:color w:val="000000"/>
          <w:sz w:val="32"/>
          <w:szCs w:val="32"/>
        </w:rPr>
        <w:t>辆；</w:t>
      </w:r>
      <w:r w:rsidRPr="00A13CC1">
        <w:rPr>
          <w:rFonts w:ascii="仿宋_GB2312" w:eastAsia="仿宋_GB2312" w:hint="eastAsia"/>
          <w:color w:val="000000"/>
          <w:sz w:val="32"/>
          <w:szCs w:val="32"/>
        </w:rPr>
        <w:t>单价50万元以上通用设备</w:t>
      </w:r>
      <w:r w:rsidR="000C6975">
        <w:rPr>
          <w:rFonts w:ascii="仿宋_GB2312" w:eastAsia="仿宋_GB2312" w:hint="eastAsia"/>
          <w:color w:val="000000"/>
          <w:sz w:val="32"/>
          <w:szCs w:val="32"/>
        </w:rPr>
        <w:t>0</w:t>
      </w:r>
      <w:r w:rsidRPr="00A13CC1">
        <w:rPr>
          <w:rFonts w:ascii="仿宋_GB2312" w:eastAsia="仿宋_GB2312" w:hint="eastAsia"/>
          <w:color w:val="000000"/>
          <w:sz w:val="32"/>
          <w:szCs w:val="32"/>
        </w:rPr>
        <w:t>台（套），单价100万元以上专用设备</w:t>
      </w:r>
      <w:r w:rsidR="000C6975">
        <w:rPr>
          <w:rFonts w:ascii="仿宋_GB2312" w:eastAsia="仿宋_GB2312" w:hint="eastAsia"/>
          <w:color w:val="000000"/>
          <w:sz w:val="32"/>
          <w:szCs w:val="32"/>
        </w:rPr>
        <w:t>0</w:t>
      </w:r>
      <w:r w:rsidRPr="00A13CC1">
        <w:rPr>
          <w:rFonts w:ascii="仿宋_GB2312" w:eastAsia="仿宋_GB2312" w:hint="eastAsia"/>
          <w:color w:val="000000"/>
          <w:sz w:val="32"/>
          <w:szCs w:val="32"/>
        </w:rPr>
        <w:t>台（套）</w:t>
      </w:r>
      <w:r w:rsidR="00C35554" w:rsidRPr="00A13CC1">
        <w:rPr>
          <w:rFonts w:ascii="仿宋_GB2312" w:eastAsia="仿宋_GB2312" w:hint="eastAsia"/>
          <w:color w:val="000000"/>
          <w:sz w:val="32"/>
          <w:szCs w:val="32"/>
        </w:rPr>
        <w:t>。</w:t>
      </w:r>
    </w:p>
    <w:p w:rsidR="00F1361C" w:rsidRPr="00A13CC1" w:rsidRDefault="00F1361C" w:rsidP="00260C3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w:t>
      </w:r>
      <w:r w:rsidR="00971FFC" w:rsidRPr="00A13CC1">
        <w:rPr>
          <w:rFonts w:ascii="仿宋_GB2312" w:eastAsia="仿宋_GB2312" w:hint="eastAsia"/>
          <w:b/>
          <w:color w:val="000000"/>
          <w:sz w:val="32"/>
          <w:szCs w:val="32"/>
          <w:highlight w:val="yellow"/>
        </w:rPr>
        <w:t>数据来源</w:t>
      </w:r>
      <w:r w:rsidRPr="00A13CC1">
        <w:rPr>
          <w:rFonts w:ascii="仿宋_GB2312" w:eastAsia="仿宋_GB2312" w:hint="eastAsia"/>
          <w:b/>
          <w:color w:val="000000"/>
          <w:sz w:val="32"/>
          <w:szCs w:val="32"/>
          <w:highlight w:val="yellow"/>
        </w:rPr>
        <w:t>财决CS05表</w:t>
      </w:r>
      <w:r w:rsidR="001F7506" w:rsidRPr="00A13CC1">
        <w:rPr>
          <w:rFonts w:ascii="仿宋_GB2312" w:eastAsia="仿宋_GB2312" w:hint="eastAsia"/>
          <w:b/>
          <w:color w:val="000000"/>
          <w:sz w:val="32"/>
          <w:szCs w:val="32"/>
          <w:highlight w:val="yellow"/>
        </w:rPr>
        <w:t>，按部门决算报表填报数据罗列车辆情况</w:t>
      </w:r>
      <w:r w:rsidR="00860645" w:rsidRPr="00A13CC1">
        <w:rPr>
          <w:rFonts w:ascii="仿宋_GB2312" w:eastAsia="仿宋_GB2312" w:hint="eastAsia"/>
          <w:b/>
          <w:color w:val="000000"/>
          <w:sz w:val="32"/>
          <w:szCs w:val="32"/>
          <w:highlight w:val="yellow"/>
        </w:rPr>
        <w:t>。</w:t>
      </w:r>
      <w:r w:rsidRPr="00A13CC1">
        <w:rPr>
          <w:rFonts w:ascii="仿宋_GB2312" w:eastAsia="仿宋_GB2312" w:hint="eastAsia"/>
          <w:b/>
          <w:color w:val="000000"/>
          <w:sz w:val="32"/>
          <w:szCs w:val="32"/>
          <w:highlight w:val="yellow"/>
        </w:rPr>
        <w:t>）</w:t>
      </w:r>
    </w:p>
    <w:p w:rsidR="00F1361C" w:rsidRPr="00A13CC1" w:rsidRDefault="00F1361C" w:rsidP="000337CA">
      <w:pPr>
        <w:autoSpaceDE w:val="0"/>
        <w:autoSpaceDN w:val="0"/>
        <w:adjustRightInd w:val="0"/>
        <w:spacing w:line="600" w:lineRule="exact"/>
        <w:ind w:firstLineChars="200" w:firstLine="640"/>
        <w:jc w:val="left"/>
        <w:rPr>
          <w:rFonts w:ascii="仿宋_GB2312" w:eastAsia="仿宋_GB2312"/>
          <w:b/>
          <w:color w:val="000000"/>
          <w:sz w:val="32"/>
          <w:szCs w:val="32"/>
        </w:rPr>
      </w:pPr>
      <w:r w:rsidRPr="00A13CC1">
        <w:rPr>
          <w:rFonts w:ascii="仿宋_GB2312" w:eastAsia="仿宋_GB2312" w:hint="eastAsia"/>
          <w:b/>
          <w:color w:val="000000"/>
          <w:sz w:val="32"/>
          <w:szCs w:val="32"/>
        </w:rPr>
        <w:t>（四）预算绩效情况</w:t>
      </w: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1.绩效目标管理情况。</w:t>
      </w: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w:t>
      </w:r>
      <w:r w:rsidR="00A6276B">
        <w:rPr>
          <w:rFonts w:ascii="仿宋_GB2312" w:eastAsia="仿宋_GB2312" w:hint="eastAsia"/>
          <w:color w:val="000000"/>
          <w:sz w:val="32"/>
          <w:szCs w:val="32"/>
        </w:rPr>
        <w:t>广汉市房地产交易所</w:t>
      </w:r>
      <w:r w:rsidRPr="00A13CC1">
        <w:rPr>
          <w:rFonts w:ascii="仿宋_GB2312" w:eastAsia="仿宋_GB2312" w:hint="eastAsia"/>
          <w:color w:val="000000"/>
          <w:sz w:val="32"/>
          <w:szCs w:val="32"/>
        </w:rPr>
        <w:t>对2017年一般公共预算项目支出开展了绩效目标管理，共编制绩效目标</w:t>
      </w:r>
      <w:r w:rsidR="00A6276B">
        <w:rPr>
          <w:rFonts w:ascii="仿宋_GB2312" w:eastAsia="仿宋_GB2312" w:hint="eastAsia"/>
          <w:color w:val="000000"/>
          <w:sz w:val="32"/>
          <w:szCs w:val="32"/>
        </w:rPr>
        <w:t>1</w:t>
      </w:r>
      <w:r w:rsidRPr="00A13CC1">
        <w:rPr>
          <w:rFonts w:ascii="仿宋_GB2312" w:eastAsia="仿宋_GB2312" w:hint="eastAsia"/>
          <w:color w:val="000000"/>
          <w:sz w:val="32"/>
          <w:szCs w:val="32"/>
        </w:rPr>
        <w:t>个，涉及财政资金</w:t>
      </w:r>
      <w:r w:rsidR="00A6276B">
        <w:rPr>
          <w:rFonts w:ascii="仿宋_GB2312" w:eastAsia="仿宋_GB2312" w:hint="eastAsia"/>
          <w:color w:val="000000"/>
          <w:sz w:val="32"/>
          <w:szCs w:val="32"/>
        </w:rPr>
        <w:t>866.09</w:t>
      </w:r>
      <w:r w:rsidRPr="00A13CC1">
        <w:rPr>
          <w:rFonts w:ascii="仿宋_GB2312" w:eastAsia="仿宋_GB2312" w:hint="eastAsia"/>
          <w:color w:val="000000"/>
          <w:sz w:val="32"/>
          <w:szCs w:val="32"/>
        </w:rPr>
        <w:t>万元，覆盖率达到</w:t>
      </w:r>
      <w:r w:rsidR="00A6276B">
        <w:rPr>
          <w:rFonts w:ascii="仿宋_GB2312" w:eastAsia="仿宋_GB2312" w:hint="eastAsia"/>
          <w:color w:val="000000"/>
          <w:sz w:val="32"/>
          <w:szCs w:val="32"/>
        </w:rPr>
        <w:t>100</w:t>
      </w:r>
      <w:r w:rsidRPr="00A13CC1">
        <w:rPr>
          <w:rFonts w:ascii="仿宋_GB2312" w:eastAsia="仿宋_GB2312" w:hint="eastAsia"/>
          <w:color w:val="000000"/>
          <w:sz w:val="32"/>
          <w:szCs w:val="32"/>
        </w:rPr>
        <w:t>%。</w:t>
      </w:r>
    </w:p>
    <w:p w:rsidR="00B2048C" w:rsidRPr="00A13CC1" w:rsidRDefault="00B2048C" w:rsidP="00B2048C">
      <w:pPr>
        <w:spacing w:line="600" w:lineRule="exact"/>
        <w:ind w:firstLine="640"/>
        <w:rPr>
          <w:rFonts w:ascii="仿宋_GB2312" w:eastAsia="仿宋_GB2312"/>
          <w:b/>
          <w:color w:val="000000"/>
          <w:sz w:val="32"/>
          <w:szCs w:val="32"/>
          <w:highlight w:val="yellow"/>
        </w:rPr>
      </w:pPr>
      <w:r w:rsidRPr="00A13CC1">
        <w:rPr>
          <w:rFonts w:ascii="仿宋_GB2312" w:eastAsia="仿宋_GB2312" w:hint="eastAsia"/>
          <w:b/>
          <w:color w:val="000000"/>
          <w:sz w:val="32"/>
          <w:szCs w:val="32"/>
          <w:highlight w:val="yellow"/>
        </w:rPr>
        <w:t>（说明编制绩效目标的项目个数、资金量和</w:t>
      </w:r>
      <w:r w:rsidR="00860645" w:rsidRPr="00A13CC1">
        <w:rPr>
          <w:rFonts w:ascii="仿宋_GB2312" w:eastAsia="仿宋_GB2312" w:hint="eastAsia"/>
          <w:b/>
          <w:color w:val="000000"/>
          <w:sz w:val="32"/>
          <w:szCs w:val="32"/>
          <w:highlight w:val="yellow"/>
        </w:rPr>
        <w:t>覆盖率。</w:t>
      </w:r>
      <w:r w:rsidRPr="00A13CC1">
        <w:rPr>
          <w:rFonts w:ascii="仿宋_GB2312" w:eastAsia="仿宋_GB2312" w:hint="eastAsia"/>
          <w:b/>
          <w:color w:val="000000"/>
          <w:sz w:val="32"/>
          <w:szCs w:val="32"/>
          <w:highlight w:val="yellow"/>
        </w:rPr>
        <w:t>）</w:t>
      </w: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2.部门整体支出绩效自评开展情况。</w:t>
      </w:r>
    </w:p>
    <w:p w:rsidR="00A6276B" w:rsidRPr="00E710BF" w:rsidRDefault="003C0291" w:rsidP="00A6276B">
      <w:pPr>
        <w:ind w:firstLineChars="225" w:firstLine="720"/>
        <w:rPr>
          <w:rFonts w:ascii="仿宋_GB2312" w:eastAsia="仿宋_GB2312" w:hAnsi="Calibri"/>
          <w:sz w:val="32"/>
          <w:szCs w:val="32"/>
        </w:rPr>
      </w:pPr>
      <w:r w:rsidRPr="00A13CC1">
        <w:rPr>
          <w:rFonts w:ascii="仿宋_GB2312" w:eastAsia="仿宋_GB2312" w:hint="eastAsia"/>
          <w:color w:val="000000"/>
          <w:sz w:val="32"/>
          <w:szCs w:val="32"/>
        </w:rPr>
        <w:lastRenderedPageBreak/>
        <w:t>按照预算绩效管理要求，</w:t>
      </w:r>
      <w:r w:rsidR="00A6276B">
        <w:rPr>
          <w:rFonts w:ascii="仿宋_GB2312" w:eastAsia="仿宋_GB2312" w:hint="eastAsia"/>
          <w:color w:val="000000"/>
          <w:sz w:val="32"/>
          <w:szCs w:val="32"/>
        </w:rPr>
        <w:t>广汉市房地产交易所</w:t>
      </w:r>
      <w:r w:rsidRPr="00A13CC1">
        <w:rPr>
          <w:rFonts w:ascii="仿宋_GB2312" w:eastAsia="仿宋_GB2312" w:hint="eastAsia"/>
          <w:color w:val="000000"/>
          <w:sz w:val="32"/>
          <w:szCs w:val="32"/>
        </w:rPr>
        <w:t>对2017年整体支出开展绩效自评，自评得分</w:t>
      </w:r>
      <w:r w:rsidR="00E710BF">
        <w:rPr>
          <w:rFonts w:ascii="仿宋_GB2312" w:eastAsia="仿宋_GB2312" w:hint="eastAsia"/>
          <w:color w:val="000000"/>
          <w:sz w:val="32"/>
          <w:szCs w:val="32"/>
        </w:rPr>
        <w:t>98</w:t>
      </w:r>
      <w:r w:rsidRPr="00A13CC1">
        <w:rPr>
          <w:rFonts w:ascii="仿宋_GB2312" w:eastAsia="仿宋_GB2312" w:hint="eastAsia"/>
          <w:color w:val="000000"/>
          <w:sz w:val="32"/>
          <w:szCs w:val="32"/>
        </w:rPr>
        <w:t>分，存在的问题：一是…</w:t>
      </w:r>
      <w:r w:rsidR="002616C0"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，二是…</w:t>
      </w:r>
      <w:r w:rsidR="002616C0"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，三是…</w:t>
      </w:r>
      <w:r w:rsidR="002616C0" w:rsidRPr="00A13CC1">
        <w:rPr>
          <w:rFonts w:ascii="仿宋_GB2312" w:eastAsia="仿宋_GB2312" w:hint="eastAsia"/>
          <w:color w:val="000000"/>
          <w:sz w:val="32"/>
          <w:szCs w:val="32"/>
        </w:rPr>
        <w:t>…</w:t>
      </w:r>
      <w:r w:rsidR="00A6276B">
        <w:rPr>
          <w:rFonts w:ascii="仿宋_GB2312" w:eastAsia="仿宋_GB2312" w:hint="eastAsia"/>
          <w:color w:val="000000"/>
          <w:sz w:val="32"/>
          <w:szCs w:val="32"/>
        </w:rPr>
        <w:t>。下一步改进措施：</w:t>
      </w:r>
      <w:r w:rsidR="00A6276B" w:rsidRPr="00E710BF">
        <w:rPr>
          <w:rFonts w:ascii="仿宋_GB2312" w:eastAsia="仿宋_GB2312" w:hint="eastAsia"/>
          <w:color w:val="000000"/>
          <w:sz w:val="32"/>
          <w:szCs w:val="32"/>
        </w:rPr>
        <w:t>一是</w:t>
      </w:r>
      <w:r w:rsidR="00A6276B" w:rsidRPr="00E710BF">
        <w:rPr>
          <w:rFonts w:ascii="仿宋_GB2312" w:eastAsia="仿宋_GB2312" w:hAnsi="仿宋" w:hint="eastAsia"/>
          <w:bCs/>
          <w:sz w:val="32"/>
          <w:szCs w:val="32"/>
        </w:rPr>
        <w:t>细化整体预算编制工作。</w:t>
      </w:r>
      <w:r w:rsidR="00A6276B" w:rsidRPr="00E710BF">
        <w:rPr>
          <w:rFonts w:ascii="仿宋_GB2312" w:eastAsia="仿宋_GB2312" w:hAnsi="仿宋" w:hint="eastAsia"/>
          <w:sz w:val="32"/>
          <w:szCs w:val="32"/>
        </w:rPr>
        <w:t>加强预算管理意识，严格按照预算编制的相关制度和要求，</w:t>
      </w:r>
      <w:r w:rsidR="00A6276B" w:rsidRPr="00E710BF">
        <w:rPr>
          <w:rFonts w:ascii="仿宋_GB2312" w:eastAsia="仿宋_GB2312" w:hAnsi="仿宋" w:hint="eastAsia"/>
          <w:bCs/>
          <w:sz w:val="32"/>
          <w:szCs w:val="32"/>
        </w:rPr>
        <w:t>科学、合理</w:t>
      </w:r>
      <w:r w:rsidR="00A6276B" w:rsidRPr="00E710BF">
        <w:rPr>
          <w:rFonts w:ascii="仿宋_GB2312" w:eastAsia="仿宋_GB2312" w:hAnsi="仿宋" w:hint="eastAsia"/>
          <w:sz w:val="32"/>
          <w:szCs w:val="32"/>
        </w:rPr>
        <w:t>进行预算编制。</w:t>
      </w:r>
      <w:r w:rsidR="00A6276B" w:rsidRPr="00E710BF">
        <w:rPr>
          <w:rFonts w:ascii="仿宋_GB2312" w:eastAsia="仿宋_GB2312" w:hAnsi="仿宋" w:hint="eastAsia"/>
          <w:bCs/>
          <w:sz w:val="32"/>
          <w:szCs w:val="32"/>
        </w:rPr>
        <w:t>避免预算支出与实际执行出现较大偏差的情况，</w:t>
      </w:r>
      <w:r w:rsidR="00A6276B" w:rsidRPr="00E710BF">
        <w:rPr>
          <w:rFonts w:ascii="仿宋_GB2312" w:eastAsia="仿宋_GB2312" w:hAnsi="仿宋" w:hint="eastAsia"/>
          <w:sz w:val="32"/>
          <w:szCs w:val="32"/>
        </w:rPr>
        <w:t>优先保障固定性的、相对刚性的费用支出项目，尽量压缩变动性的、有控制空间的费用项目，提高预算编制的科学性、严谨性和可控性。</w:t>
      </w:r>
      <w:r w:rsidR="00A6276B" w:rsidRPr="00E710BF">
        <w:rPr>
          <w:rFonts w:ascii="仿宋_GB2312" w:eastAsia="仿宋_GB2312" w:hAnsi="Calibri" w:hint="eastAsia"/>
          <w:color w:val="000000"/>
          <w:sz w:val="32"/>
          <w:szCs w:val="32"/>
        </w:rPr>
        <w:t>二是</w:t>
      </w:r>
      <w:r w:rsidR="00A6276B" w:rsidRPr="00E710BF">
        <w:rPr>
          <w:rFonts w:ascii="仿宋_GB2312" w:eastAsia="仿宋_GB2312" w:hAnsi="Calibri" w:hint="eastAsia"/>
          <w:bCs/>
          <w:sz w:val="32"/>
          <w:szCs w:val="32"/>
        </w:rPr>
        <w:t>严格财务管理监督。</w:t>
      </w:r>
      <w:r w:rsidR="00A6276B" w:rsidRPr="00E710BF">
        <w:rPr>
          <w:rFonts w:ascii="仿宋_GB2312" w:eastAsia="仿宋_GB2312" w:hAnsi="Calibri" w:hint="eastAsia"/>
          <w:sz w:val="32"/>
          <w:szCs w:val="32"/>
        </w:rPr>
        <w:t>按照预算规定的费用项目和用途进行资金使用审核、列报支付、财务核算；严格控制“三公”经费的规模和比例，杜绝挪用和挤占其他预算资金行为，严把“三公”经费支出审核、审批关口，细化“三公”经费的管理，合理压缩“三公”经费支出。</w:t>
      </w:r>
    </w:p>
    <w:p w:rsidR="00A6276B" w:rsidRPr="00E710BF" w:rsidRDefault="00A6276B" w:rsidP="00A6276B">
      <w:pPr>
        <w:ind w:firstLineChars="225" w:firstLine="720"/>
        <w:rPr>
          <w:rFonts w:ascii="仿宋_GB2312" w:eastAsia="仿宋_GB2312"/>
          <w:sz w:val="32"/>
          <w:szCs w:val="32"/>
        </w:rPr>
      </w:pPr>
    </w:p>
    <w:p w:rsidR="003C0291" w:rsidRPr="00A13CC1" w:rsidRDefault="003C0291" w:rsidP="003C0291">
      <w:pPr>
        <w:spacing w:line="600" w:lineRule="atLeast"/>
        <w:ind w:firstLineChars="200" w:firstLine="640"/>
        <w:rPr>
          <w:rFonts w:ascii="仿宋_GB2312" w:eastAsia="仿宋_GB2312"/>
          <w:color w:val="000000"/>
          <w:sz w:val="32"/>
          <w:szCs w:val="32"/>
        </w:rPr>
      </w:pPr>
    </w:p>
    <w:p w:rsidR="00B2048C" w:rsidRPr="00A13CC1" w:rsidRDefault="00B2048C" w:rsidP="000337CA">
      <w:pPr>
        <w:ind w:firstLineChars="200" w:firstLine="640"/>
        <w:jc w:val="left"/>
        <w:rPr>
          <w:rFonts w:ascii="仿宋_GB2312" w:eastAsia="仿宋_GB2312"/>
          <w:b/>
          <w:color w:val="000000"/>
          <w:sz w:val="32"/>
          <w:szCs w:val="32"/>
          <w:highlight w:val="yellow"/>
        </w:rPr>
      </w:pPr>
      <w:r w:rsidRPr="00A13CC1">
        <w:rPr>
          <w:rFonts w:ascii="仿宋_GB2312" w:eastAsia="仿宋_GB2312" w:hint="eastAsia"/>
          <w:b/>
          <w:color w:val="000000"/>
          <w:sz w:val="32"/>
          <w:szCs w:val="32"/>
          <w:highlight w:val="yellow"/>
        </w:rPr>
        <w:t>（说明部门整体支出绩效自评开展总体情况、得分、总体绩效、</w:t>
      </w:r>
      <w:r w:rsidR="00860645" w:rsidRPr="00A13CC1">
        <w:rPr>
          <w:rFonts w:ascii="仿宋_GB2312" w:eastAsia="仿宋_GB2312" w:hint="eastAsia"/>
          <w:b/>
          <w:color w:val="000000"/>
          <w:sz w:val="32"/>
          <w:szCs w:val="32"/>
          <w:highlight w:val="yellow"/>
        </w:rPr>
        <w:t>存在问题及下一步措施。</w:t>
      </w:r>
      <w:r w:rsidR="002616C0" w:rsidRPr="00A13CC1">
        <w:rPr>
          <w:rFonts w:ascii="仿宋_GB2312" w:eastAsia="仿宋_GB2312" w:hint="eastAsia"/>
          <w:b/>
          <w:color w:val="000000"/>
          <w:sz w:val="32"/>
          <w:szCs w:val="32"/>
          <w:highlight w:val="yellow"/>
        </w:rPr>
        <w:t>得分情况请于2017年部门整体支出绩效评价得分表中填列</w:t>
      </w:r>
      <w:r w:rsidR="00860645" w:rsidRPr="00A13CC1">
        <w:rPr>
          <w:rFonts w:ascii="仿宋_GB2312" w:eastAsia="仿宋_GB2312" w:hint="eastAsia"/>
          <w:b/>
          <w:color w:val="000000"/>
          <w:sz w:val="32"/>
          <w:szCs w:val="32"/>
          <w:highlight w:val="yellow"/>
        </w:rPr>
        <w:t>）</w:t>
      </w:r>
    </w:p>
    <w:p w:rsidR="002616C0" w:rsidRPr="00A13CC1" w:rsidRDefault="002616C0" w:rsidP="000337CA">
      <w:pPr>
        <w:spacing w:line="600" w:lineRule="atLeast"/>
        <w:ind w:firstLineChars="200" w:firstLine="640"/>
        <w:rPr>
          <w:rFonts w:ascii="仿宋_GB2312" w:eastAsia="仿宋_GB2312"/>
          <w:b/>
          <w:color w:val="000000"/>
          <w:sz w:val="32"/>
          <w:szCs w:val="32"/>
        </w:rPr>
      </w:pPr>
    </w:p>
    <w:p w:rsidR="002616C0" w:rsidRPr="00A13CC1" w:rsidRDefault="002616C0" w:rsidP="000337CA">
      <w:pPr>
        <w:spacing w:line="600" w:lineRule="atLeast"/>
        <w:ind w:firstLineChars="200" w:firstLine="640"/>
        <w:rPr>
          <w:rFonts w:ascii="仿宋_GB2312" w:eastAsia="仿宋_GB2312"/>
          <w:b/>
          <w:color w:val="000000"/>
          <w:sz w:val="32"/>
          <w:szCs w:val="32"/>
        </w:rPr>
      </w:pPr>
    </w:p>
    <w:p w:rsidR="002616C0" w:rsidRPr="00A13CC1" w:rsidRDefault="002616C0" w:rsidP="000337CA">
      <w:pPr>
        <w:spacing w:line="600" w:lineRule="atLeast"/>
        <w:ind w:firstLineChars="200" w:firstLine="640"/>
        <w:rPr>
          <w:rFonts w:ascii="仿宋_GB2312" w:eastAsia="仿宋_GB2312"/>
          <w:b/>
          <w:color w:val="000000"/>
          <w:sz w:val="32"/>
          <w:szCs w:val="32"/>
        </w:rPr>
      </w:pPr>
    </w:p>
    <w:p w:rsidR="002616C0" w:rsidRPr="00A13CC1" w:rsidRDefault="002616C0" w:rsidP="000337CA">
      <w:pPr>
        <w:spacing w:line="600" w:lineRule="atLeast"/>
        <w:ind w:firstLineChars="200" w:firstLine="640"/>
        <w:rPr>
          <w:rFonts w:ascii="仿宋_GB2312" w:eastAsia="仿宋_GB2312"/>
          <w:b/>
          <w:color w:val="000000"/>
          <w:sz w:val="32"/>
          <w:szCs w:val="32"/>
        </w:rPr>
      </w:pPr>
    </w:p>
    <w:p w:rsidR="002616C0" w:rsidRPr="00A13CC1" w:rsidRDefault="002616C0" w:rsidP="000337CA">
      <w:pPr>
        <w:spacing w:line="600" w:lineRule="atLeast"/>
        <w:ind w:firstLineChars="200" w:firstLine="640"/>
        <w:rPr>
          <w:rFonts w:ascii="仿宋_GB2312" w:eastAsia="仿宋_GB2312"/>
          <w:b/>
          <w:color w:val="000000"/>
          <w:sz w:val="32"/>
          <w:szCs w:val="32"/>
        </w:rPr>
      </w:pPr>
    </w:p>
    <w:p w:rsidR="002616C0" w:rsidRPr="00A13CC1" w:rsidRDefault="002616C0" w:rsidP="002616C0">
      <w:pPr>
        <w:jc w:val="center"/>
        <w:rPr>
          <w:rFonts w:ascii="黑体" w:eastAsia="黑体" w:hAnsi="黑体"/>
          <w:color w:val="000000"/>
          <w:sz w:val="32"/>
          <w:szCs w:val="32"/>
        </w:rPr>
      </w:pPr>
      <w:r w:rsidRPr="00A13CC1">
        <w:rPr>
          <w:rFonts w:ascii="黑体" w:eastAsia="黑体" w:hAnsi="黑体" w:hint="eastAsia"/>
          <w:color w:val="000000"/>
          <w:sz w:val="32"/>
          <w:szCs w:val="32"/>
        </w:rPr>
        <w:t>2017年部门整体支出绩效评价得分表</w:t>
      </w:r>
    </w:p>
    <w:tbl>
      <w:tblPr>
        <w:tblW w:w="0" w:type="auto"/>
        <w:tblInd w:w="-176" w:type="dxa"/>
        <w:tblLayout w:type="fixed"/>
        <w:tblLook w:val="04A0"/>
      </w:tblPr>
      <w:tblGrid>
        <w:gridCol w:w="1702"/>
        <w:gridCol w:w="2268"/>
        <w:gridCol w:w="3402"/>
        <w:gridCol w:w="2126"/>
      </w:tblGrid>
      <w:tr w:rsidR="002616C0" w:rsidRPr="00A13CC1" w:rsidTr="00A13CC1">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2616C0" w:rsidRPr="00A13CC1" w:rsidRDefault="002616C0" w:rsidP="00A13CC1">
            <w:pPr>
              <w:widowControl/>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得分</w:t>
            </w:r>
          </w:p>
        </w:tc>
      </w:tr>
      <w:tr w:rsidR="002616C0" w:rsidRPr="00A13CC1" w:rsidTr="00A13CC1">
        <w:trPr>
          <w:trHeight w:val="520"/>
        </w:trPr>
        <w:tc>
          <w:tcPr>
            <w:tcW w:w="1702" w:type="dxa"/>
            <w:vMerge w:val="restart"/>
            <w:tcBorders>
              <w:top w:val="nil"/>
              <w:left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部门决策（25分）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目标任务（15分）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相关性（5分）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413"/>
        </w:trPr>
        <w:tc>
          <w:tcPr>
            <w:tcW w:w="1702" w:type="dxa"/>
            <w:vMerge/>
            <w:tcBorders>
              <w:left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明确性（5分）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420"/>
        </w:trPr>
        <w:tc>
          <w:tcPr>
            <w:tcW w:w="1702" w:type="dxa"/>
            <w:vMerge/>
            <w:tcBorders>
              <w:left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合理性（5分）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269"/>
        </w:trPr>
        <w:tc>
          <w:tcPr>
            <w:tcW w:w="1702" w:type="dxa"/>
            <w:vMerge/>
            <w:tcBorders>
              <w:left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预算编制（10分）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测算依据（5分）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231"/>
        </w:trPr>
        <w:tc>
          <w:tcPr>
            <w:tcW w:w="1702" w:type="dxa"/>
            <w:vMerge/>
            <w:tcBorders>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目标管理（5分）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477"/>
        </w:trPr>
        <w:tc>
          <w:tcPr>
            <w:tcW w:w="1702" w:type="dxa"/>
            <w:vMerge w:val="restart"/>
            <w:tcBorders>
              <w:top w:val="nil"/>
              <w:left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综合管理（30分）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专项资金分配时限（2分）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省级财力专项预算分配时限（1分）</w:t>
            </w:r>
          </w:p>
        </w:tc>
        <w:tc>
          <w:tcPr>
            <w:tcW w:w="2126" w:type="dxa"/>
            <w:tcBorders>
              <w:top w:val="nil"/>
              <w:left w:val="nil"/>
              <w:bottom w:val="single" w:sz="4" w:space="0" w:color="auto"/>
              <w:right w:val="single" w:sz="4" w:space="0" w:color="auto"/>
            </w:tcBorders>
          </w:tcPr>
          <w:p w:rsidR="002616C0" w:rsidRPr="00A13CC1" w:rsidRDefault="002616C0" w:rsidP="00A13CC1">
            <w:pPr>
              <w:widowControl/>
              <w:jc w:val="left"/>
              <w:rPr>
                <w:rFonts w:ascii="宋体" w:hAnsi="宋体" w:cs="宋体"/>
                <w:color w:val="000000"/>
                <w:kern w:val="0"/>
                <w:sz w:val="20"/>
                <w:szCs w:val="20"/>
              </w:rPr>
            </w:pPr>
          </w:p>
        </w:tc>
      </w:tr>
      <w:tr w:rsidR="002616C0" w:rsidRPr="00A13CC1" w:rsidTr="00A13CC1">
        <w:trPr>
          <w:trHeight w:val="413"/>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中央专款分配合规率（1分）</w:t>
            </w:r>
          </w:p>
        </w:tc>
        <w:tc>
          <w:tcPr>
            <w:tcW w:w="2126" w:type="dxa"/>
            <w:tcBorders>
              <w:top w:val="nil"/>
              <w:left w:val="nil"/>
              <w:bottom w:val="single" w:sz="4" w:space="0" w:color="auto"/>
              <w:right w:val="single" w:sz="4" w:space="0" w:color="auto"/>
            </w:tcBorders>
          </w:tcPr>
          <w:p w:rsidR="002616C0" w:rsidRPr="00A13CC1" w:rsidRDefault="002616C0" w:rsidP="00A13CC1">
            <w:pPr>
              <w:widowControl/>
              <w:jc w:val="left"/>
              <w:rPr>
                <w:rFonts w:ascii="宋体" w:hAnsi="宋体" w:cs="宋体"/>
                <w:color w:val="000000"/>
                <w:kern w:val="0"/>
                <w:sz w:val="20"/>
                <w:szCs w:val="20"/>
              </w:rPr>
            </w:pPr>
          </w:p>
        </w:tc>
      </w:tr>
      <w:tr w:rsidR="002616C0" w:rsidRPr="00A13CC1" w:rsidTr="00A13CC1">
        <w:trPr>
          <w:trHeight w:val="277"/>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中期评估（2分）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执行中期评估（2分）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381"/>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绩效监控（5分）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预算执行进度监控（2分）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73"/>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绩效目标动态监控（3分）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2616C0" w:rsidRPr="00A13CC1" w:rsidTr="00A13CC1">
        <w:trPr>
          <w:trHeight w:val="235"/>
        </w:trPr>
        <w:tc>
          <w:tcPr>
            <w:tcW w:w="1702" w:type="dxa"/>
            <w:vMerge/>
            <w:tcBorders>
              <w:left w:val="single" w:sz="4" w:space="0" w:color="auto"/>
              <w:right w:val="single" w:sz="4" w:space="0" w:color="auto"/>
            </w:tcBorders>
            <w:shd w:val="clear" w:color="auto" w:fill="auto"/>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非税收入执收情况（2分）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非税收入征收情况（1分）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325"/>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非税收入上缴情况（1分）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r>
      <w:tr w:rsidR="002616C0" w:rsidRPr="00A13CC1" w:rsidTr="00A13CC1">
        <w:trPr>
          <w:trHeight w:val="287"/>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资产管理（6分）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资产管理信息化情况（2分）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35"/>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行政事业单位资产报告情况（2分）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353"/>
        </w:trPr>
        <w:tc>
          <w:tcPr>
            <w:tcW w:w="1702" w:type="dxa"/>
            <w:vMerge/>
            <w:tcBorders>
              <w:left w:val="single" w:sz="4" w:space="0" w:color="auto"/>
              <w:right w:val="single" w:sz="4" w:space="0" w:color="auto"/>
            </w:tcBorders>
            <w:vAlign w:val="center"/>
            <w:hideMark/>
          </w:tcPr>
          <w:p w:rsidR="002616C0" w:rsidRPr="00A13CC1" w:rsidRDefault="002616C0" w:rsidP="00A13CC1">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资产管理与预算管理相结合（2分）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72"/>
        </w:trPr>
        <w:tc>
          <w:tcPr>
            <w:tcW w:w="1702" w:type="dxa"/>
            <w:vMerge/>
            <w:tcBorders>
              <w:left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内控制度管理（2分）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内部控制度健全完整（2分）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21"/>
        </w:trPr>
        <w:tc>
          <w:tcPr>
            <w:tcW w:w="1702" w:type="dxa"/>
            <w:vMerge/>
            <w:tcBorders>
              <w:left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信息公开（6分）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预算公开（2分）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197"/>
        </w:trPr>
        <w:tc>
          <w:tcPr>
            <w:tcW w:w="1702" w:type="dxa"/>
            <w:vMerge/>
            <w:tcBorders>
              <w:left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决算公开（2分）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287"/>
        </w:trPr>
        <w:tc>
          <w:tcPr>
            <w:tcW w:w="1702" w:type="dxa"/>
            <w:vMerge/>
            <w:tcBorders>
              <w:left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绩效信息公开（2分）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405"/>
        </w:trPr>
        <w:tc>
          <w:tcPr>
            <w:tcW w:w="1702" w:type="dxa"/>
            <w:vMerge/>
            <w:tcBorders>
              <w:left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绩效评价（5分）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绩效评价开展（2分）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r>
      <w:tr w:rsidR="002616C0" w:rsidRPr="00A13CC1" w:rsidTr="00A13CC1">
        <w:trPr>
          <w:trHeight w:val="127"/>
        </w:trPr>
        <w:tc>
          <w:tcPr>
            <w:tcW w:w="1702" w:type="dxa"/>
            <w:vMerge/>
            <w:tcBorders>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评价结果应用（3分）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left"/>
              <w:rPr>
                <w:rFonts w:ascii="宋体" w:hAnsi="宋体" w:cs="宋体"/>
                <w:color w:val="000000"/>
                <w:kern w:val="0"/>
                <w:sz w:val="20"/>
                <w:szCs w:val="20"/>
              </w:rPr>
            </w:pPr>
            <w:r>
              <w:rPr>
                <w:rFonts w:ascii="宋体" w:hAnsi="宋体" w:cs="宋体" w:hint="eastAsia"/>
                <w:color w:val="000000"/>
                <w:kern w:val="0"/>
                <w:sz w:val="20"/>
                <w:szCs w:val="20"/>
              </w:rPr>
              <w:t>3</w:t>
            </w:r>
          </w:p>
        </w:tc>
      </w:tr>
      <w:tr w:rsidR="002616C0" w:rsidRPr="00A13CC1" w:rsidTr="00A13CC1">
        <w:trPr>
          <w:trHeight w:val="231"/>
        </w:trPr>
        <w:tc>
          <w:tcPr>
            <w:tcW w:w="1702" w:type="dxa"/>
            <w:vMerge w:val="restart"/>
            <w:tcBorders>
              <w:top w:val="nil"/>
              <w:left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部门绩效情况（45分）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履职成效（20分）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r>
      <w:tr w:rsidR="002616C0" w:rsidRPr="00A13CC1" w:rsidTr="00A13CC1">
        <w:trPr>
          <w:trHeight w:val="180"/>
        </w:trPr>
        <w:tc>
          <w:tcPr>
            <w:tcW w:w="1702"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2616C0" w:rsidRPr="00A13CC1" w:rsidRDefault="002616C0" w:rsidP="00A13CC1">
            <w:pPr>
              <w:widowControl/>
              <w:jc w:val="center"/>
              <w:rPr>
                <w:rFonts w:ascii="宋体" w:hAnsi="宋体" w:cs="宋体"/>
                <w:color w:val="000000"/>
                <w:kern w:val="0"/>
                <w:sz w:val="20"/>
                <w:szCs w:val="20"/>
              </w:rPr>
            </w:pPr>
          </w:p>
        </w:tc>
      </w:tr>
      <w:tr w:rsidR="002616C0" w:rsidRPr="00A13CC1" w:rsidTr="00A13CC1">
        <w:trPr>
          <w:trHeight w:val="240"/>
        </w:trPr>
        <w:tc>
          <w:tcPr>
            <w:tcW w:w="1702"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2616C0" w:rsidRPr="00A13CC1" w:rsidRDefault="002616C0" w:rsidP="00A13CC1">
            <w:pPr>
              <w:widowControl/>
              <w:jc w:val="center"/>
              <w:rPr>
                <w:rFonts w:ascii="宋体" w:hAnsi="宋体" w:cs="宋体"/>
                <w:color w:val="000000"/>
                <w:kern w:val="0"/>
                <w:sz w:val="20"/>
                <w:szCs w:val="20"/>
              </w:rPr>
            </w:pPr>
          </w:p>
        </w:tc>
      </w:tr>
      <w:tr w:rsidR="002616C0" w:rsidRPr="00A13CC1" w:rsidTr="00A13CC1">
        <w:trPr>
          <w:trHeight w:val="240"/>
        </w:trPr>
        <w:tc>
          <w:tcPr>
            <w:tcW w:w="1702"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p>
        </w:tc>
        <w:tc>
          <w:tcPr>
            <w:tcW w:w="2126" w:type="dxa"/>
            <w:tcBorders>
              <w:top w:val="nil"/>
              <w:left w:val="nil"/>
              <w:bottom w:val="single" w:sz="4" w:space="0" w:color="auto"/>
              <w:right w:val="single" w:sz="4" w:space="0" w:color="auto"/>
            </w:tcBorders>
          </w:tcPr>
          <w:p w:rsidR="002616C0" w:rsidRPr="00A13CC1" w:rsidRDefault="002616C0" w:rsidP="00A13CC1">
            <w:pPr>
              <w:widowControl/>
              <w:jc w:val="center"/>
              <w:rPr>
                <w:rFonts w:ascii="宋体" w:hAnsi="宋体" w:cs="宋体"/>
                <w:color w:val="000000"/>
                <w:kern w:val="0"/>
                <w:sz w:val="20"/>
                <w:szCs w:val="20"/>
              </w:rPr>
            </w:pPr>
          </w:p>
        </w:tc>
      </w:tr>
      <w:tr w:rsidR="002616C0" w:rsidRPr="00A13CC1" w:rsidTr="00A13CC1">
        <w:trPr>
          <w:trHeight w:val="157"/>
        </w:trPr>
        <w:tc>
          <w:tcPr>
            <w:tcW w:w="1702" w:type="dxa"/>
            <w:vMerge/>
            <w:tcBorders>
              <w:left w:val="single" w:sz="4" w:space="0" w:color="auto"/>
              <w:right w:val="single" w:sz="4" w:space="0" w:color="auto"/>
            </w:tcBorders>
            <w:shd w:val="clear" w:color="auto" w:fill="auto"/>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r w:rsidRPr="00A13CC1">
              <w:rPr>
                <w:rFonts w:ascii="宋体" w:hAnsi="宋体" w:cs="宋体" w:hint="eastAsia"/>
                <w:color w:val="000000"/>
                <w:kern w:val="0"/>
                <w:sz w:val="20"/>
                <w:szCs w:val="20"/>
              </w:rPr>
              <w:t>可持续发展能力（15分）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重点改革（重点工作）完成情况（5分）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320"/>
        </w:trPr>
        <w:tc>
          <w:tcPr>
            <w:tcW w:w="1702"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科技（制度、方法、机制等）创新（5分）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385"/>
        </w:trPr>
        <w:tc>
          <w:tcPr>
            <w:tcW w:w="1702"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人才培养（5分）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2616C0" w:rsidRPr="00A13CC1" w:rsidTr="00A13CC1">
        <w:trPr>
          <w:trHeight w:val="432"/>
        </w:trPr>
        <w:tc>
          <w:tcPr>
            <w:tcW w:w="1702"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val="restart"/>
            <w:tcBorders>
              <w:top w:val="nil"/>
              <w:left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满意度（10分）</w:t>
            </w: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协作部门满意度（3分）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2616C0" w:rsidRPr="00A13CC1" w:rsidTr="00A13CC1">
        <w:trPr>
          <w:trHeight w:val="396"/>
        </w:trPr>
        <w:tc>
          <w:tcPr>
            <w:tcW w:w="1702"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2268" w:type="dxa"/>
            <w:vMerge/>
            <w:tcBorders>
              <w:left w:val="single" w:sz="4" w:space="0" w:color="auto"/>
              <w:right w:val="single" w:sz="4" w:space="0" w:color="auto"/>
            </w:tcBorders>
            <w:vAlign w:val="center"/>
            <w:hideMark/>
          </w:tcPr>
          <w:p w:rsidR="002616C0" w:rsidRPr="00A13CC1" w:rsidRDefault="002616C0" w:rsidP="00A13CC1">
            <w:pPr>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管理对象满意度（3分）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2616C0" w:rsidRPr="00A13CC1" w:rsidTr="00A13CC1">
        <w:trPr>
          <w:trHeight w:val="411"/>
        </w:trPr>
        <w:tc>
          <w:tcPr>
            <w:tcW w:w="1702" w:type="dxa"/>
            <w:vMerge/>
            <w:tcBorders>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2616C0" w:rsidRPr="00A13CC1" w:rsidRDefault="002616C0" w:rsidP="00A13CC1">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2616C0" w:rsidRPr="00A13CC1" w:rsidRDefault="002616C0" w:rsidP="00A13CC1">
            <w:pPr>
              <w:widowControl/>
              <w:jc w:val="center"/>
              <w:rPr>
                <w:rFonts w:ascii="宋体" w:hAnsi="宋体" w:cs="宋体"/>
                <w:color w:val="000000"/>
                <w:kern w:val="0"/>
                <w:sz w:val="20"/>
                <w:szCs w:val="20"/>
              </w:rPr>
            </w:pPr>
            <w:r w:rsidRPr="00A13CC1">
              <w:rPr>
                <w:rFonts w:ascii="宋体" w:hAnsi="宋体" w:cs="宋体" w:hint="eastAsia"/>
                <w:color w:val="000000"/>
                <w:kern w:val="0"/>
                <w:sz w:val="20"/>
                <w:szCs w:val="20"/>
              </w:rPr>
              <w:t>社会公众满意度（4分）</w:t>
            </w:r>
          </w:p>
        </w:tc>
        <w:tc>
          <w:tcPr>
            <w:tcW w:w="2126" w:type="dxa"/>
            <w:tcBorders>
              <w:top w:val="nil"/>
              <w:left w:val="nil"/>
              <w:bottom w:val="single" w:sz="4" w:space="0" w:color="auto"/>
              <w:right w:val="single" w:sz="4" w:space="0" w:color="auto"/>
            </w:tcBorders>
          </w:tcPr>
          <w:p w:rsidR="002616C0" w:rsidRPr="00A13CC1" w:rsidRDefault="00E710BF" w:rsidP="00A13CC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bl>
    <w:p w:rsidR="002616C0" w:rsidRPr="00A13CC1" w:rsidRDefault="002616C0" w:rsidP="002616C0">
      <w:pPr>
        <w:rPr>
          <w:color w:val="000000"/>
        </w:rPr>
      </w:pPr>
    </w:p>
    <w:p w:rsidR="002616C0" w:rsidRPr="00A13CC1" w:rsidRDefault="002616C0" w:rsidP="000337CA">
      <w:pPr>
        <w:spacing w:line="600" w:lineRule="atLeast"/>
        <w:ind w:firstLineChars="200" w:firstLine="640"/>
        <w:rPr>
          <w:rFonts w:ascii="仿宋_GB2312" w:eastAsia="仿宋_GB2312"/>
          <w:b/>
          <w:color w:val="000000"/>
          <w:sz w:val="32"/>
          <w:szCs w:val="32"/>
        </w:rPr>
      </w:pPr>
    </w:p>
    <w:p w:rsidR="003C0291" w:rsidRPr="00A13CC1" w:rsidRDefault="003C0291" w:rsidP="003C0291">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3.部门自行组织绩效评价开展情况。</w:t>
      </w:r>
    </w:p>
    <w:p w:rsidR="003C0291" w:rsidRPr="00A13CC1" w:rsidRDefault="003C0291" w:rsidP="00860645">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本部门对下属单位***开展了整体支出绩效评价，得分为**分，存在的问题：一是…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，二是…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，三是…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。下一步改进措施：一是…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，二是…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w:t>
      </w:r>
      <w:r w:rsidR="002616C0" w:rsidRPr="00A13CC1">
        <w:rPr>
          <w:rFonts w:ascii="仿宋_GB2312" w:eastAsia="仿宋_GB2312" w:hint="eastAsia"/>
          <w:b/>
          <w:color w:val="000000"/>
          <w:sz w:val="32"/>
          <w:szCs w:val="32"/>
        </w:rPr>
        <w:t>/</w:t>
      </w:r>
      <w:r w:rsidRPr="00A13CC1">
        <w:rPr>
          <w:rFonts w:ascii="仿宋_GB2312" w:eastAsia="仿宋_GB2312" w:hint="eastAsia"/>
          <w:color w:val="000000"/>
          <w:sz w:val="32"/>
          <w:szCs w:val="32"/>
        </w:rPr>
        <w:t>本部门对***项目开展了绩效评价，得分为**分，存在的问题：一是…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，二是…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，三是…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。下一步改进措施：一是…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，二是…</w:t>
      </w:r>
      <w:r w:rsidR="00EE2F57" w:rsidRPr="00A13CC1">
        <w:rPr>
          <w:rFonts w:ascii="仿宋_GB2312" w:eastAsia="仿宋_GB2312" w:hint="eastAsia"/>
          <w:color w:val="000000"/>
          <w:sz w:val="32"/>
          <w:szCs w:val="32"/>
        </w:rPr>
        <w:t>…</w:t>
      </w:r>
      <w:r w:rsidRPr="00A13CC1">
        <w:rPr>
          <w:rFonts w:ascii="仿宋_GB2312" w:eastAsia="仿宋_GB2312" w:hint="eastAsia"/>
          <w:color w:val="000000"/>
          <w:sz w:val="32"/>
          <w:szCs w:val="32"/>
        </w:rPr>
        <w:t>。</w:t>
      </w:r>
    </w:p>
    <w:p w:rsidR="00860645" w:rsidRPr="00A13CC1" w:rsidRDefault="002616C0" w:rsidP="000337CA">
      <w:pPr>
        <w:ind w:firstLineChars="200" w:firstLine="640"/>
        <w:jc w:val="left"/>
        <w:rPr>
          <w:rFonts w:ascii="仿宋_GB2312" w:eastAsia="仿宋_GB2312"/>
          <w:b/>
          <w:color w:val="000000"/>
          <w:sz w:val="32"/>
          <w:szCs w:val="32"/>
          <w:highlight w:val="yellow"/>
        </w:rPr>
      </w:pPr>
      <w:r w:rsidRPr="00A13CC1">
        <w:rPr>
          <w:rFonts w:ascii="仿宋_GB2312" w:eastAsia="仿宋_GB2312" w:hint="eastAsia"/>
          <w:b/>
          <w:color w:val="000000"/>
          <w:sz w:val="32"/>
          <w:szCs w:val="32"/>
          <w:highlight w:val="yellow"/>
        </w:rPr>
        <w:t>（说明部门对下属单位或重点项目开展自评的总体情况、得分、总体绩效、存在问题及下一步措施，请各部门选择开展自评的下属单位或一至两个重点项目进行说明。得分情况请于2017年项目支出绩效评价得分表中填列）</w:t>
      </w: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2616C0">
      <w:pPr>
        <w:spacing w:line="600" w:lineRule="atLeast"/>
        <w:ind w:firstLineChars="200" w:firstLine="640"/>
        <w:rPr>
          <w:rFonts w:ascii="仿宋_GB2312" w:eastAsia="仿宋_GB2312"/>
          <w:color w:val="000000"/>
          <w:sz w:val="32"/>
          <w:szCs w:val="32"/>
        </w:rPr>
      </w:pPr>
    </w:p>
    <w:p w:rsidR="002616C0" w:rsidRPr="00A13CC1" w:rsidRDefault="002616C0" w:rsidP="000337CA">
      <w:pPr>
        <w:spacing w:line="600" w:lineRule="atLeast"/>
        <w:ind w:firstLineChars="200" w:firstLine="640"/>
        <w:rPr>
          <w:rFonts w:ascii="仿宋_GB2312" w:eastAsia="仿宋_GB2312"/>
          <w:b/>
          <w:color w:val="000000"/>
          <w:sz w:val="32"/>
          <w:szCs w:val="32"/>
        </w:rPr>
      </w:pPr>
    </w:p>
    <w:p w:rsidR="003C0291" w:rsidRPr="00A13CC1" w:rsidRDefault="003C0291" w:rsidP="003C0291">
      <w:pPr>
        <w:jc w:val="center"/>
        <w:rPr>
          <w:rFonts w:ascii="黑体" w:eastAsia="黑体" w:hAnsi="黑体"/>
          <w:color w:val="000000"/>
          <w:sz w:val="32"/>
          <w:szCs w:val="32"/>
        </w:rPr>
      </w:pPr>
      <w:r w:rsidRPr="00A13CC1">
        <w:rPr>
          <w:rFonts w:ascii="黑体" w:eastAsia="黑体" w:hAnsi="黑体" w:hint="eastAsia"/>
          <w:color w:val="000000"/>
          <w:sz w:val="32"/>
          <w:szCs w:val="32"/>
        </w:rPr>
        <w:t>2017年项目支出绩效评价得分表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2113"/>
        <w:gridCol w:w="3535"/>
        <w:gridCol w:w="1311"/>
        <w:gridCol w:w="1311"/>
      </w:tblGrid>
      <w:tr w:rsidR="002616C0" w:rsidRPr="00A13CC1" w:rsidTr="002616C0">
        <w:trPr>
          <w:trHeight w:val="639"/>
          <w:jc w:val="center"/>
        </w:trPr>
        <w:tc>
          <w:tcPr>
            <w:tcW w:w="1618" w:type="dxa"/>
            <w:shd w:val="clear" w:color="auto" w:fill="auto"/>
            <w:vAlign w:val="center"/>
          </w:tcPr>
          <w:p w:rsidR="002616C0" w:rsidRPr="00A13CC1" w:rsidRDefault="002616C0"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p>
          <w:p w:rsidR="002616C0" w:rsidRPr="00A13CC1" w:rsidRDefault="002616C0"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8270" w:type="dxa"/>
            <w:gridSpan w:val="4"/>
            <w:shd w:val="clear" w:color="auto" w:fill="auto"/>
            <w:vAlign w:val="center"/>
          </w:tcPr>
          <w:p w:rsidR="002616C0" w:rsidRPr="00A13CC1" w:rsidRDefault="002616C0" w:rsidP="00683E73">
            <w:pPr>
              <w:widowControl/>
              <w:spacing w:line="260" w:lineRule="exact"/>
              <w:jc w:val="center"/>
              <w:rPr>
                <w:rFonts w:ascii="宋体" w:hAnsi="宋体" w:cs="宋体"/>
                <w:b/>
                <w:bCs/>
                <w:color w:val="000000"/>
                <w:kern w:val="0"/>
                <w:sz w:val="18"/>
                <w:szCs w:val="18"/>
              </w:rPr>
            </w:pPr>
          </w:p>
        </w:tc>
      </w:tr>
      <w:tr w:rsidR="003C0291" w:rsidRPr="00A13CC1" w:rsidTr="003C0291">
        <w:trPr>
          <w:trHeight w:val="920"/>
          <w:jc w:val="center"/>
        </w:trPr>
        <w:tc>
          <w:tcPr>
            <w:tcW w:w="1618" w:type="dxa"/>
            <w:shd w:val="clear" w:color="auto" w:fill="auto"/>
            <w:vAlign w:val="center"/>
          </w:tcPr>
          <w:p w:rsidR="003C0291" w:rsidRPr="00A13CC1" w:rsidRDefault="003C0291"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一级</w:t>
            </w:r>
          </w:p>
          <w:p w:rsidR="003C0291" w:rsidRPr="00A13CC1" w:rsidRDefault="003C0291"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2113" w:type="dxa"/>
            <w:shd w:val="clear" w:color="auto" w:fill="auto"/>
            <w:vAlign w:val="center"/>
          </w:tcPr>
          <w:p w:rsidR="003C0291" w:rsidRPr="00A13CC1" w:rsidRDefault="003C0291"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二级</w:t>
            </w:r>
          </w:p>
          <w:p w:rsidR="003C0291" w:rsidRPr="00A13CC1" w:rsidRDefault="003C0291"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分值</w:t>
            </w:r>
          </w:p>
        </w:tc>
        <w:tc>
          <w:tcPr>
            <w:tcW w:w="1311" w:type="dxa"/>
            <w:vAlign w:val="center"/>
          </w:tcPr>
          <w:p w:rsidR="003C0291" w:rsidRPr="00A13CC1" w:rsidRDefault="003C0291" w:rsidP="00683E73">
            <w:pPr>
              <w:widowControl/>
              <w:spacing w:line="260" w:lineRule="exact"/>
              <w:jc w:val="center"/>
              <w:rPr>
                <w:rFonts w:ascii="宋体" w:hAnsi="宋体" w:cs="宋体"/>
                <w:b/>
                <w:bCs/>
                <w:color w:val="000000"/>
                <w:kern w:val="0"/>
                <w:sz w:val="18"/>
                <w:szCs w:val="18"/>
              </w:rPr>
            </w:pPr>
            <w:r w:rsidRPr="00A13CC1">
              <w:rPr>
                <w:rFonts w:ascii="宋体" w:hAnsi="宋体" w:cs="宋体" w:hint="eastAsia"/>
                <w:b/>
                <w:bCs/>
                <w:color w:val="000000"/>
                <w:kern w:val="0"/>
                <w:sz w:val="18"/>
                <w:szCs w:val="18"/>
              </w:rPr>
              <w:t>得分</w:t>
            </w:r>
          </w:p>
        </w:tc>
      </w:tr>
      <w:tr w:rsidR="003C0291" w:rsidRPr="00A13CC1" w:rsidTr="003C0291">
        <w:trPr>
          <w:trHeight w:val="20"/>
          <w:jc w:val="center"/>
        </w:trPr>
        <w:tc>
          <w:tcPr>
            <w:tcW w:w="1618"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（20分）</w:t>
            </w:r>
            <w:r w:rsidRPr="00A13CC1">
              <w:rPr>
                <w:rFonts w:ascii="宋体" w:hAnsi="宋体" w:cs="宋体" w:hint="eastAsia"/>
                <w:color w:val="000000"/>
                <w:kern w:val="0"/>
                <w:sz w:val="20"/>
                <w:szCs w:val="20"/>
              </w:rPr>
              <w:br/>
              <w:t>项目决策</w:t>
            </w:r>
          </w:p>
        </w:tc>
        <w:tc>
          <w:tcPr>
            <w:tcW w:w="2113"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科学决策</w:t>
            </w: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hAnsi="宋体" w:cs="宋体" w:hint="eastAsia"/>
                <w:color w:val="000000"/>
                <w:kern w:val="0"/>
                <w:sz w:val="20"/>
                <w:szCs w:val="20"/>
              </w:rPr>
              <w:br/>
              <w:t>（政策依据)</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20"/>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hAnsi="宋体" w:cs="宋体" w:hint="eastAsia"/>
                <w:color w:val="000000"/>
                <w:kern w:val="0"/>
                <w:sz w:val="20"/>
                <w:szCs w:val="20"/>
              </w:rPr>
              <w:br/>
              <w:t>（政策完善）</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684"/>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r w:rsidRPr="00A13CC1">
              <w:rPr>
                <w:rFonts w:ascii="宋体" w:hAnsi="宋体" w:cs="宋体" w:hint="eastAsia"/>
                <w:color w:val="000000"/>
                <w:kern w:val="0"/>
                <w:sz w:val="20"/>
                <w:szCs w:val="20"/>
              </w:rPr>
              <w:br/>
              <w:t xml:space="preserve">绩效目标    </w:t>
            </w: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375"/>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691"/>
          <w:jc w:val="center"/>
        </w:trPr>
        <w:tc>
          <w:tcPr>
            <w:tcW w:w="1618"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（10分）</w:t>
            </w:r>
            <w:r w:rsidRPr="00A13CC1">
              <w:rPr>
                <w:rFonts w:ascii="宋体" w:hAnsi="宋体" w:cs="宋体" w:hint="eastAsia"/>
                <w:color w:val="000000"/>
                <w:kern w:val="0"/>
                <w:sz w:val="20"/>
                <w:szCs w:val="20"/>
              </w:rPr>
              <w:br/>
              <w:t>项目管理</w:t>
            </w:r>
          </w:p>
        </w:tc>
        <w:tc>
          <w:tcPr>
            <w:tcW w:w="2113"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（7分）</w:t>
            </w:r>
            <w:r w:rsidRPr="00A13CC1">
              <w:rPr>
                <w:rFonts w:ascii="宋体" w:hAnsi="宋体" w:cs="宋体" w:hint="eastAsia"/>
                <w:color w:val="000000"/>
                <w:kern w:val="0"/>
                <w:sz w:val="20"/>
                <w:szCs w:val="20"/>
              </w:rPr>
              <w:br/>
              <w:t>资金管理</w:t>
            </w: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3C0291" w:rsidRPr="00A13CC1" w:rsidTr="003C0291">
        <w:trPr>
          <w:trHeight w:val="702"/>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r>
      <w:tr w:rsidR="003C0291" w:rsidRPr="00A13CC1" w:rsidTr="00860645">
        <w:trPr>
          <w:trHeight w:val="960"/>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（3分）</w:t>
            </w:r>
            <w:r w:rsidRPr="00A13CC1">
              <w:rPr>
                <w:rFonts w:ascii="宋体" w:hAnsi="宋体" w:cs="宋体" w:hint="eastAsia"/>
                <w:color w:val="000000"/>
                <w:kern w:val="0"/>
                <w:sz w:val="20"/>
                <w:szCs w:val="20"/>
              </w:rPr>
              <w:br/>
              <w:t>项目执行</w:t>
            </w: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3</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r>
      <w:tr w:rsidR="003C0291" w:rsidRPr="00A13CC1" w:rsidTr="003C0291">
        <w:trPr>
          <w:trHeight w:val="616"/>
          <w:jc w:val="center"/>
        </w:trPr>
        <w:tc>
          <w:tcPr>
            <w:tcW w:w="1618"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（特性指标70分）</w:t>
            </w:r>
            <w:r w:rsidRPr="00A13CC1">
              <w:rPr>
                <w:rFonts w:ascii="宋体" w:hAnsi="宋体" w:cs="宋体" w:hint="eastAsia"/>
                <w:color w:val="000000"/>
                <w:kern w:val="0"/>
                <w:sz w:val="20"/>
                <w:szCs w:val="20"/>
              </w:rPr>
              <w:br/>
              <w:t xml:space="preserve">项目绩效  </w:t>
            </w:r>
          </w:p>
        </w:tc>
        <w:tc>
          <w:tcPr>
            <w:tcW w:w="2113"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（20）</w:t>
            </w:r>
            <w:r w:rsidRPr="00A13CC1">
              <w:rPr>
                <w:rFonts w:ascii="宋体" w:hAnsi="宋体" w:cs="宋体" w:hint="eastAsia"/>
                <w:color w:val="000000"/>
                <w:kern w:val="0"/>
                <w:sz w:val="20"/>
                <w:szCs w:val="20"/>
              </w:rPr>
              <w:br/>
              <w:t>项目完成</w:t>
            </w: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554"/>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5 </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690"/>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558"/>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5</w:t>
            </w:r>
          </w:p>
        </w:tc>
      </w:tr>
      <w:tr w:rsidR="003C0291" w:rsidRPr="00A13CC1" w:rsidTr="003C0291">
        <w:trPr>
          <w:trHeight w:val="566"/>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（50分）</w:t>
            </w:r>
            <w:r w:rsidRPr="00A13CC1">
              <w:rPr>
                <w:rFonts w:ascii="宋体" w:hAnsi="宋体" w:cs="宋体" w:hint="eastAsia"/>
                <w:color w:val="000000"/>
                <w:kern w:val="0"/>
                <w:sz w:val="20"/>
                <w:szCs w:val="20"/>
              </w:rPr>
              <w:br/>
              <w:t>项目效益</w:t>
            </w: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40</w:t>
            </w:r>
          </w:p>
        </w:tc>
        <w:tc>
          <w:tcPr>
            <w:tcW w:w="1311" w:type="dxa"/>
          </w:tcPr>
          <w:p w:rsidR="003C0291" w:rsidRPr="00A13CC1" w:rsidRDefault="003C0291" w:rsidP="00683E73">
            <w:pPr>
              <w:widowControl/>
              <w:spacing w:line="260" w:lineRule="exact"/>
              <w:jc w:val="center"/>
              <w:rPr>
                <w:rFonts w:ascii="宋体" w:hAnsi="宋体" w:cs="宋体"/>
                <w:color w:val="000000"/>
                <w:kern w:val="0"/>
                <w:sz w:val="15"/>
                <w:szCs w:val="15"/>
              </w:rPr>
            </w:pPr>
          </w:p>
        </w:tc>
      </w:tr>
      <w:tr w:rsidR="003C0291" w:rsidRPr="00A13CC1" w:rsidTr="003C0291">
        <w:trPr>
          <w:trHeight w:val="688"/>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1311" w:type="dxa"/>
          </w:tcPr>
          <w:p w:rsidR="003C0291" w:rsidRPr="00A13CC1" w:rsidRDefault="00E710BF" w:rsidP="00683E73">
            <w:pPr>
              <w:widowControl/>
              <w:spacing w:line="260" w:lineRule="exact"/>
              <w:jc w:val="left"/>
              <w:rPr>
                <w:rFonts w:ascii="宋体" w:hAnsi="宋体" w:cs="宋体"/>
                <w:color w:val="000000"/>
                <w:kern w:val="0"/>
                <w:sz w:val="15"/>
                <w:szCs w:val="15"/>
              </w:rPr>
            </w:pPr>
            <w:r>
              <w:rPr>
                <w:rFonts w:ascii="宋体" w:hAnsi="宋体" w:cs="宋体" w:hint="eastAsia"/>
                <w:color w:val="000000"/>
                <w:kern w:val="0"/>
                <w:sz w:val="15"/>
                <w:szCs w:val="15"/>
              </w:rPr>
              <w:t>40</w:t>
            </w:r>
          </w:p>
        </w:tc>
      </w:tr>
      <w:tr w:rsidR="003C0291" w:rsidRPr="00A13CC1" w:rsidTr="003C0291">
        <w:trPr>
          <w:trHeight w:val="557"/>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1311" w:type="dxa"/>
          </w:tcPr>
          <w:p w:rsidR="003C0291" w:rsidRPr="00A13CC1" w:rsidRDefault="003C0291" w:rsidP="00683E73">
            <w:pPr>
              <w:widowControl/>
              <w:spacing w:line="260" w:lineRule="exact"/>
              <w:jc w:val="left"/>
              <w:rPr>
                <w:rFonts w:ascii="宋体" w:hAnsi="宋体" w:cs="宋体"/>
                <w:color w:val="000000"/>
                <w:kern w:val="0"/>
                <w:sz w:val="15"/>
                <w:szCs w:val="15"/>
              </w:rPr>
            </w:pPr>
          </w:p>
        </w:tc>
      </w:tr>
      <w:tr w:rsidR="003C0291" w:rsidRPr="00A13CC1" w:rsidTr="003C0291">
        <w:trPr>
          <w:trHeight w:val="707"/>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1311" w:type="dxa"/>
          </w:tcPr>
          <w:p w:rsidR="003C0291" w:rsidRPr="00A13CC1" w:rsidRDefault="003C0291" w:rsidP="00683E73">
            <w:pPr>
              <w:widowControl/>
              <w:spacing w:line="260" w:lineRule="exact"/>
              <w:jc w:val="left"/>
              <w:rPr>
                <w:rFonts w:ascii="宋体" w:hAnsi="宋体" w:cs="宋体"/>
                <w:color w:val="000000"/>
                <w:kern w:val="0"/>
                <w:sz w:val="15"/>
                <w:szCs w:val="15"/>
              </w:rPr>
            </w:pPr>
          </w:p>
        </w:tc>
      </w:tr>
      <w:tr w:rsidR="003C0291" w:rsidRPr="00A13CC1" w:rsidTr="003C0291">
        <w:trPr>
          <w:trHeight w:val="688"/>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1311" w:type="dxa"/>
          </w:tcPr>
          <w:p w:rsidR="003C0291" w:rsidRPr="00A13CC1" w:rsidRDefault="003C0291" w:rsidP="00683E73">
            <w:pPr>
              <w:widowControl/>
              <w:spacing w:line="260" w:lineRule="exact"/>
              <w:jc w:val="left"/>
              <w:rPr>
                <w:rFonts w:ascii="宋体" w:hAnsi="宋体" w:cs="宋体"/>
                <w:color w:val="000000"/>
                <w:kern w:val="0"/>
                <w:sz w:val="15"/>
                <w:szCs w:val="15"/>
              </w:rPr>
            </w:pPr>
          </w:p>
        </w:tc>
      </w:tr>
      <w:tr w:rsidR="003C0291" w:rsidRPr="00A13CC1" w:rsidTr="003C0291">
        <w:trPr>
          <w:trHeight w:val="570"/>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1311" w:type="dxa"/>
          </w:tcPr>
          <w:p w:rsidR="003C0291" w:rsidRPr="00A13CC1" w:rsidRDefault="003C0291" w:rsidP="00683E73">
            <w:pPr>
              <w:widowControl/>
              <w:spacing w:line="260" w:lineRule="exact"/>
              <w:jc w:val="left"/>
              <w:rPr>
                <w:rFonts w:ascii="宋体" w:hAnsi="宋体" w:cs="宋体"/>
                <w:color w:val="000000"/>
                <w:kern w:val="0"/>
                <w:sz w:val="15"/>
                <w:szCs w:val="15"/>
              </w:rPr>
            </w:pPr>
          </w:p>
        </w:tc>
      </w:tr>
      <w:tr w:rsidR="003C0291" w:rsidRPr="00A13CC1" w:rsidTr="003C0291">
        <w:trPr>
          <w:trHeight w:val="502"/>
          <w:jc w:val="center"/>
        </w:trPr>
        <w:tc>
          <w:tcPr>
            <w:tcW w:w="1618"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 xml:space="preserve">服务对象满意度    </w:t>
            </w:r>
          </w:p>
        </w:tc>
        <w:tc>
          <w:tcPr>
            <w:tcW w:w="1311" w:type="dxa"/>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20"/>
                <w:szCs w:val="20"/>
              </w:rPr>
            </w:pPr>
            <w:r w:rsidRPr="00A13CC1">
              <w:rPr>
                <w:rFonts w:ascii="宋体" w:hAnsi="宋体" w:cs="宋体" w:hint="eastAsia"/>
                <w:color w:val="000000"/>
                <w:kern w:val="0"/>
                <w:sz w:val="20"/>
                <w:szCs w:val="20"/>
              </w:rPr>
              <w:t>10</w:t>
            </w:r>
          </w:p>
        </w:tc>
        <w:tc>
          <w:tcPr>
            <w:tcW w:w="1311" w:type="dxa"/>
          </w:tcPr>
          <w:p w:rsidR="003C0291" w:rsidRPr="00A13CC1" w:rsidRDefault="00E710BF" w:rsidP="00683E73">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w:t>
            </w:r>
          </w:p>
        </w:tc>
      </w:tr>
      <w:tr w:rsidR="003C0291" w:rsidRPr="00A13CC1" w:rsidTr="003C0291">
        <w:trPr>
          <w:trHeight w:val="396"/>
          <w:jc w:val="center"/>
        </w:trPr>
        <w:tc>
          <w:tcPr>
            <w:tcW w:w="1618" w:type="dxa"/>
            <w:shd w:val="clear" w:color="auto" w:fill="auto"/>
            <w:vAlign w:val="center"/>
          </w:tcPr>
          <w:p w:rsidR="003C0291" w:rsidRPr="00A13CC1" w:rsidRDefault="003C0291" w:rsidP="00683E73">
            <w:pPr>
              <w:widowControl/>
              <w:spacing w:line="260" w:lineRule="exact"/>
              <w:jc w:val="left"/>
              <w:rPr>
                <w:rFonts w:ascii="宋体" w:hAnsi="宋体" w:cs="宋体"/>
                <w:color w:val="000000"/>
                <w:kern w:val="0"/>
                <w:sz w:val="20"/>
                <w:szCs w:val="20"/>
              </w:rPr>
            </w:pPr>
            <w:r w:rsidRPr="00A13CC1">
              <w:rPr>
                <w:rFonts w:ascii="宋体" w:hAnsi="宋体" w:cs="宋体" w:hint="eastAsia"/>
                <w:color w:val="000000"/>
                <w:kern w:val="0"/>
                <w:sz w:val="20"/>
                <w:szCs w:val="20"/>
              </w:rPr>
              <w:t>总分</w:t>
            </w:r>
          </w:p>
        </w:tc>
        <w:tc>
          <w:tcPr>
            <w:tcW w:w="8270" w:type="dxa"/>
            <w:gridSpan w:val="4"/>
            <w:shd w:val="clear" w:color="auto" w:fill="auto"/>
            <w:vAlign w:val="center"/>
          </w:tcPr>
          <w:p w:rsidR="003C0291" w:rsidRPr="00A13CC1" w:rsidRDefault="003C0291" w:rsidP="00683E73">
            <w:pPr>
              <w:widowControl/>
              <w:spacing w:line="260" w:lineRule="exact"/>
              <w:jc w:val="center"/>
              <w:rPr>
                <w:rFonts w:ascii="宋体" w:hAnsi="宋体" w:cs="宋体"/>
                <w:color w:val="000000"/>
                <w:kern w:val="0"/>
                <w:sz w:val="15"/>
                <w:szCs w:val="15"/>
              </w:rPr>
            </w:pPr>
          </w:p>
        </w:tc>
      </w:tr>
    </w:tbl>
    <w:p w:rsidR="003C0291" w:rsidRPr="00A13CC1" w:rsidRDefault="003C0291" w:rsidP="003C0291">
      <w:pPr>
        <w:rPr>
          <w:color w:val="000000"/>
        </w:rPr>
      </w:pPr>
    </w:p>
    <w:p w:rsidR="00F1361C" w:rsidRPr="00A13CC1" w:rsidRDefault="00F1361C" w:rsidP="003B0C1B">
      <w:pPr>
        <w:autoSpaceDE w:val="0"/>
        <w:autoSpaceDN w:val="0"/>
        <w:adjustRightInd w:val="0"/>
        <w:spacing w:line="600" w:lineRule="exact"/>
        <w:ind w:firstLineChars="200" w:firstLine="640"/>
        <w:jc w:val="left"/>
        <w:rPr>
          <w:rFonts w:ascii="黑体" w:eastAsia="黑体"/>
          <w:color w:val="000000"/>
          <w:sz w:val="32"/>
          <w:szCs w:val="32"/>
        </w:rPr>
      </w:pPr>
      <w:r w:rsidRPr="00A13CC1">
        <w:rPr>
          <w:rFonts w:ascii="黑体" w:eastAsia="黑体" w:hint="eastAsia"/>
          <w:color w:val="000000"/>
          <w:sz w:val="32"/>
          <w:szCs w:val="32"/>
        </w:rPr>
        <w:t>十</w:t>
      </w:r>
      <w:r w:rsidR="003C0291" w:rsidRPr="00A13CC1">
        <w:rPr>
          <w:rFonts w:ascii="黑体" w:eastAsia="黑体" w:hint="eastAsia"/>
          <w:color w:val="000000"/>
          <w:sz w:val="32"/>
          <w:szCs w:val="32"/>
        </w:rPr>
        <w:t>一</w:t>
      </w:r>
      <w:r w:rsidRPr="00A13CC1">
        <w:rPr>
          <w:rFonts w:ascii="黑体" w:eastAsia="黑体" w:hint="eastAsia"/>
          <w:color w:val="000000"/>
          <w:sz w:val="32"/>
          <w:szCs w:val="32"/>
        </w:rPr>
        <w:t>、名词解释</w:t>
      </w:r>
    </w:p>
    <w:p w:rsidR="00F1361C" w:rsidRPr="00A13CC1" w:rsidRDefault="00971FFC"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1.</w:t>
      </w:r>
      <w:r w:rsidR="00F1361C" w:rsidRPr="00A13CC1">
        <w:rPr>
          <w:rFonts w:ascii="仿宋_GB2312" w:eastAsia="仿宋_GB2312" w:hint="eastAsia"/>
          <w:sz w:val="32"/>
          <w:szCs w:val="32"/>
        </w:rPr>
        <w:t>财政拨款收入：指</w:t>
      </w:r>
      <w:r w:rsidR="00C354B2" w:rsidRPr="00A13CC1">
        <w:rPr>
          <w:rFonts w:ascii="仿宋_GB2312" w:eastAsia="仿宋_GB2312" w:hint="eastAsia"/>
          <w:sz w:val="32"/>
          <w:szCs w:val="32"/>
        </w:rPr>
        <w:t>单位从同级财政部门取得的财政预算资金。</w:t>
      </w:r>
    </w:p>
    <w:p w:rsidR="00F1361C" w:rsidRPr="00A13CC1" w:rsidRDefault="00971FFC"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2.</w:t>
      </w:r>
      <w:r w:rsidR="00C354B2" w:rsidRPr="00A13CC1">
        <w:rPr>
          <w:rFonts w:ascii="仿宋_GB2312" w:eastAsia="仿宋_GB2312" w:hint="eastAsia"/>
          <w:sz w:val="32"/>
          <w:szCs w:val="32"/>
        </w:rPr>
        <w:t>事业收入：指事业单位开展专业业务活动及辅助活动</w:t>
      </w:r>
      <w:r w:rsidR="00F1361C" w:rsidRPr="00A13CC1">
        <w:rPr>
          <w:rFonts w:ascii="仿宋_GB2312" w:eastAsia="仿宋_GB2312" w:hint="eastAsia"/>
          <w:sz w:val="32"/>
          <w:szCs w:val="32"/>
        </w:rPr>
        <w:t>取得的收入。如</w:t>
      </w:r>
      <w:r w:rsidR="009B7573" w:rsidRPr="00A13CC1">
        <w:rPr>
          <w:rFonts w:ascii="仿宋_GB2312" w:eastAsia="仿宋_GB2312" w:hint="eastAsia"/>
          <w:sz w:val="32"/>
          <w:szCs w:val="32"/>
        </w:rPr>
        <w:t>…（二级预算单位事业收入情况）</w:t>
      </w:r>
      <w:r w:rsidR="00F1361C" w:rsidRPr="00A13CC1">
        <w:rPr>
          <w:rFonts w:ascii="仿宋_GB2312" w:eastAsia="仿宋_GB2312" w:hint="eastAsia"/>
          <w:sz w:val="32"/>
          <w:szCs w:val="32"/>
        </w:rPr>
        <w:t>等。</w:t>
      </w:r>
    </w:p>
    <w:p w:rsidR="00F1361C" w:rsidRPr="00A13CC1" w:rsidRDefault="00971FFC"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3.</w:t>
      </w:r>
      <w:r w:rsidR="00F1361C" w:rsidRPr="00A13CC1">
        <w:rPr>
          <w:rFonts w:ascii="仿宋_GB2312" w:eastAsia="仿宋_GB2312" w:hint="eastAsia"/>
          <w:sz w:val="32"/>
          <w:szCs w:val="32"/>
        </w:rPr>
        <w:t>经营收入：指事业单位在专业业务活动及其辅助活动之外开展非独立核算经营活动取得的收入。</w:t>
      </w:r>
      <w:r w:rsidR="009B7573" w:rsidRPr="00A13CC1">
        <w:rPr>
          <w:rFonts w:ascii="仿宋_GB2312" w:eastAsia="仿宋_GB2312" w:hint="eastAsia"/>
          <w:sz w:val="32"/>
          <w:szCs w:val="32"/>
        </w:rPr>
        <w:t>如…（二级预算单位经营收入情况）等。</w:t>
      </w:r>
    </w:p>
    <w:p w:rsidR="00F1361C" w:rsidRPr="00A13CC1" w:rsidRDefault="00971FFC"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4.</w:t>
      </w:r>
      <w:r w:rsidR="00F1361C" w:rsidRPr="00A13CC1">
        <w:rPr>
          <w:rFonts w:ascii="仿宋_GB2312" w:eastAsia="仿宋_GB2312" w:hint="eastAsia"/>
          <w:sz w:val="32"/>
          <w:szCs w:val="32"/>
        </w:rPr>
        <w:t>其他收入：指</w:t>
      </w:r>
      <w:r w:rsidR="00C354B2" w:rsidRPr="00A13CC1">
        <w:rPr>
          <w:rFonts w:ascii="仿宋_GB2312" w:eastAsia="仿宋_GB2312" w:hint="eastAsia"/>
          <w:sz w:val="32"/>
          <w:szCs w:val="32"/>
        </w:rPr>
        <w:t>单位取得的除上述收入以外的各项收入</w:t>
      </w:r>
      <w:r w:rsidR="00F1361C" w:rsidRPr="00A13CC1">
        <w:rPr>
          <w:rFonts w:ascii="仿宋_GB2312" w:eastAsia="仿宋_GB2312" w:hint="eastAsia"/>
          <w:sz w:val="32"/>
          <w:szCs w:val="32"/>
        </w:rPr>
        <w:t>。主要是</w:t>
      </w:r>
      <w:r w:rsidR="009B7573" w:rsidRPr="00A13CC1">
        <w:rPr>
          <w:rFonts w:ascii="仿宋_GB2312" w:eastAsia="仿宋_GB2312" w:hint="eastAsia"/>
          <w:sz w:val="32"/>
          <w:szCs w:val="32"/>
        </w:rPr>
        <w:t>…（收入类型）</w:t>
      </w:r>
      <w:r w:rsidR="00F1361C" w:rsidRPr="00A13CC1">
        <w:rPr>
          <w:rFonts w:ascii="仿宋_GB2312" w:eastAsia="仿宋_GB2312" w:hint="eastAsia"/>
          <w:sz w:val="32"/>
          <w:szCs w:val="32"/>
        </w:rPr>
        <w:t xml:space="preserve">等。 </w:t>
      </w:r>
    </w:p>
    <w:p w:rsidR="009B7573" w:rsidRPr="00A13CC1" w:rsidRDefault="00971FFC"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5.</w:t>
      </w:r>
      <w:r w:rsidR="00C354B2" w:rsidRPr="00A13CC1">
        <w:rPr>
          <w:rFonts w:ascii="仿宋_GB2312" w:eastAsia="仿宋_GB2312" w:hint="eastAsia"/>
          <w:sz w:val="32"/>
          <w:szCs w:val="32"/>
        </w:rPr>
        <w:t>用事业基金弥补收支差额：指事业单位在当年的财政拨款收入、事业收入、</w:t>
      </w:r>
      <w:r w:rsidR="00F1361C" w:rsidRPr="00A13CC1">
        <w:rPr>
          <w:rFonts w:ascii="仿宋_GB2312" w:eastAsia="仿宋_GB2312" w:hint="eastAsia"/>
          <w:sz w:val="32"/>
          <w:szCs w:val="32"/>
        </w:rPr>
        <w:t>经营收入</w:t>
      </w:r>
      <w:r w:rsidR="00C354B2" w:rsidRPr="00A13CC1">
        <w:rPr>
          <w:rFonts w:ascii="仿宋_GB2312" w:eastAsia="仿宋_GB2312" w:hint="eastAsia"/>
          <w:sz w:val="32"/>
          <w:szCs w:val="32"/>
        </w:rPr>
        <w:t>、其他收入</w:t>
      </w:r>
      <w:r w:rsidR="00F1361C" w:rsidRPr="00A13CC1">
        <w:rPr>
          <w:rFonts w:ascii="仿宋_GB2312" w:eastAsia="仿宋_GB2312" w:hint="eastAsia"/>
          <w:sz w:val="32"/>
          <w:szCs w:val="32"/>
        </w:rPr>
        <w:t xml:space="preserve">不足以安排当年支出的情况下，使用以前年度积累的事业基金（事业单位当年收支相抵后按国家规定提取、用于弥补以后年度收支差额的基金）弥补本年度收支缺口的资金。 </w:t>
      </w:r>
    </w:p>
    <w:p w:rsidR="00F1361C" w:rsidRPr="00A13CC1" w:rsidRDefault="00971FFC"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6.</w:t>
      </w:r>
      <w:r w:rsidR="00F1361C" w:rsidRPr="00A13CC1">
        <w:rPr>
          <w:rFonts w:ascii="仿宋_GB2312" w:eastAsia="仿宋_GB2312" w:hint="eastAsia"/>
          <w:sz w:val="32"/>
          <w:szCs w:val="32"/>
        </w:rPr>
        <w:t xml:space="preserve">年初结转和结余：指以前年度尚未完成、结转到本年按有关规定继续使用的资金。 </w:t>
      </w:r>
    </w:p>
    <w:p w:rsidR="00B77EA6" w:rsidRPr="00A13CC1" w:rsidRDefault="00B77EA6"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7.结余分配：指事业单位按照事业单位会计制度的规定从非财政补助结余中分配的事业基金和职工福利基金等。</w:t>
      </w:r>
    </w:p>
    <w:p w:rsidR="00B77EA6" w:rsidRPr="00A13CC1" w:rsidRDefault="00B77EA6"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8、年末结转和结余：指单位按有关规定结转到下年或以后年度继续使用的资金</w:t>
      </w:r>
      <w:r w:rsidR="009B2C43" w:rsidRPr="00A13CC1">
        <w:rPr>
          <w:rFonts w:ascii="仿宋_GB2312" w:eastAsia="仿宋_GB2312" w:hint="eastAsia"/>
          <w:sz w:val="32"/>
          <w:szCs w:val="32"/>
        </w:rPr>
        <w:t>。</w:t>
      </w:r>
    </w:p>
    <w:p w:rsidR="0076182A" w:rsidRPr="00A13CC1" w:rsidRDefault="00B77EA6"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9</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一般公共服务</w:t>
      </w:r>
      <w:r w:rsidR="00F1361C" w:rsidRPr="00A13CC1">
        <w:rPr>
          <w:rFonts w:ascii="仿宋_GB2312" w:eastAsia="仿宋_GB2312" w:hint="eastAsia"/>
          <w:color w:val="000000"/>
          <w:sz w:val="32"/>
          <w:szCs w:val="32"/>
        </w:rPr>
        <w:t>（类）</w:t>
      </w:r>
      <w:r w:rsidR="00767B7E" w:rsidRPr="00A13CC1">
        <w:rPr>
          <w:rFonts w:ascii="仿宋_GB2312" w:eastAsia="仿宋_GB2312" w:hint="eastAsia"/>
          <w:color w:val="000000"/>
          <w:sz w:val="32"/>
          <w:szCs w:val="32"/>
        </w:rPr>
        <w:t>…</w:t>
      </w:r>
      <w:r w:rsidR="00F1361C" w:rsidRPr="00A13CC1">
        <w:rPr>
          <w:rFonts w:ascii="仿宋_GB2312" w:eastAsia="仿宋_GB2312" w:hint="eastAsia"/>
          <w:color w:val="000000"/>
          <w:sz w:val="32"/>
          <w:szCs w:val="32"/>
        </w:rPr>
        <w:t>（款）</w:t>
      </w:r>
      <w:r w:rsidR="00767B7E" w:rsidRPr="00A13CC1">
        <w:rPr>
          <w:rFonts w:ascii="仿宋_GB2312" w:eastAsia="仿宋_GB2312" w:hint="eastAsia"/>
          <w:color w:val="000000"/>
          <w:sz w:val="32"/>
          <w:szCs w:val="32"/>
        </w:rPr>
        <w:t>…</w:t>
      </w:r>
      <w:r w:rsidR="00F1361C" w:rsidRPr="00A13CC1">
        <w:rPr>
          <w:rFonts w:ascii="仿宋_GB2312" w:eastAsia="仿宋_GB2312" w:hint="eastAsia"/>
          <w:color w:val="000000"/>
          <w:sz w:val="32"/>
          <w:szCs w:val="32"/>
        </w:rPr>
        <w:t>（项）：</w:t>
      </w:r>
      <w:r w:rsidR="009B7573" w:rsidRPr="00A13CC1">
        <w:rPr>
          <w:rFonts w:ascii="仿宋_GB2312" w:eastAsia="仿宋_GB2312" w:hint="eastAsia"/>
          <w:color w:val="000000"/>
          <w:sz w:val="32"/>
          <w:szCs w:val="32"/>
        </w:rPr>
        <w:t>指……。</w:t>
      </w:r>
    </w:p>
    <w:p w:rsidR="00B77EA6" w:rsidRPr="00A13CC1" w:rsidRDefault="00B77EA6"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lastRenderedPageBreak/>
        <w:t>10.外交（类）…（款）…（项）：指……。</w:t>
      </w:r>
    </w:p>
    <w:p w:rsidR="009B2C43" w:rsidRPr="00A13CC1" w:rsidRDefault="00B841F1"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11.公共安全（类）…（款）…（项）：指……。</w:t>
      </w:r>
    </w:p>
    <w:p w:rsidR="009B757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12</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教育</w:t>
      </w:r>
      <w:r w:rsidR="009B7573" w:rsidRPr="00A13CC1">
        <w:rPr>
          <w:rFonts w:ascii="仿宋_GB2312" w:eastAsia="仿宋_GB2312" w:hint="eastAsia"/>
          <w:color w:val="000000"/>
          <w:sz w:val="32"/>
          <w:szCs w:val="32"/>
        </w:rPr>
        <w:t>（类）…（款）…（项）：指……。</w:t>
      </w:r>
    </w:p>
    <w:p w:rsidR="009B757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13</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科学技术</w:t>
      </w:r>
      <w:r w:rsidR="009B7573" w:rsidRPr="00A13CC1">
        <w:rPr>
          <w:rFonts w:ascii="仿宋_GB2312" w:eastAsia="仿宋_GB2312" w:hint="eastAsia"/>
          <w:color w:val="000000"/>
          <w:sz w:val="32"/>
          <w:szCs w:val="32"/>
        </w:rPr>
        <w:t>（类）…（款）…（项）：指……。</w:t>
      </w:r>
    </w:p>
    <w:p w:rsidR="00767B7E" w:rsidRPr="00A13CC1" w:rsidRDefault="00971FFC"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w:t>
      </w:r>
      <w:r w:rsidR="009B2C43" w:rsidRPr="00A13CC1">
        <w:rPr>
          <w:rFonts w:ascii="仿宋_GB2312" w:eastAsia="仿宋_GB2312" w:hint="eastAsia"/>
          <w:color w:val="000000"/>
          <w:sz w:val="32"/>
          <w:szCs w:val="32"/>
        </w:rPr>
        <w:t>4</w:t>
      </w:r>
      <w:r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文化体育与传媒（类）…（款）…（项）：指……。</w:t>
      </w:r>
    </w:p>
    <w:p w:rsidR="00767B7E" w:rsidRPr="00A13CC1" w:rsidRDefault="00971FFC"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w:t>
      </w:r>
      <w:r w:rsidR="009B2C43" w:rsidRPr="00A13CC1">
        <w:rPr>
          <w:rFonts w:ascii="仿宋_GB2312" w:eastAsia="仿宋_GB2312" w:hint="eastAsia"/>
          <w:color w:val="000000"/>
          <w:sz w:val="32"/>
          <w:szCs w:val="32"/>
        </w:rPr>
        <w:t>5</w:t>
      </w:r>
      <w:r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社会保障和就业（类）…（款）…（项）：指……。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16.医疗卫生与计划生育（类）…（款）…（项）：指……。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17.节能环保（类）…（款）…（项）：指……。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18.城乡社区（类）…（款）…（项）：指……。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19.农林水（类）…（款）…（项）：指……。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20.交通运输（类）…（款）…（项）：指……。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21.资源勘探信息等（类）…（款）…（项）：指……。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22.商业服务业（类）…（款）…（项）：指……。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23.金融（类）…（款）…（项）：指……。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24.国土海洋气象等（类）…（款）…（项）：指……。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25.住房保障（类）…（款）…（项）：指……。</w:t>
      </w:r>
    </w:p>
    <w:p w:rsidR="009B2C43" w:rsidRPr="00A13CC1" w:rsidRDefault="009B2C43"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26.粮油物资储备（类）…（款）…（项）：指……。</w:t>
      </w:r>
    </w:p>
    <w:p w:rsidR="00DC410D" w:rsidRPr="00A13CC1" w:rsidRDefault="00DC410D"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w:t>
      </w:r>
    </w:p>
    <w:p w:rsidR="00DC410D" w:rsidRPr="00A13CC1" w:rsidRDefault="00DC410D"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w:t>
      </w:r>
    </w:p>
    <w:p w:rsidR="00DC410D" w:rsidRPr="00A13CC1" w:rsidRDefault="00DC410D"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w:t>
      </w:r>
    </w:p>
    <w:p w:rsidR="00767B7E" w:rsidRPr="00A13CC1" w:rsidRDefault="0014729F" w:rsidP="00260C3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（解释</w:t>
      </w:r>
      <w:r w:rsidR="009B7573" w:rsidRPr="00A13CC1">
        <w:rPr>
          <w:rFonts w:ascii="仿宋_GB2312" w:eastAsia="仿宋_GB2312" w:hint="eastAsia"/>
          <w:b/>
          <w:color w:val="000000"/>
          <w:sz w:val="32"/>
          <w:szCs w:val="32"/>
          <w:highlight w:val="yellow"/>
        </w:rPr>
        <w:t>本</w:t>
      </w:r>
      <w:r w:rsidRPr="00A13CC1">
        <w:rPr>
          <w:rFonts w:ascii="仿宋_GB2312" w:eastAsia="仿宋_GB2312" w:hint="eastAsia"/>
          <w:b/>
          <w:color w:val="000000"/>
          <w:sz w:val="32"/>
          <w:szCs w:val="32"/>
          <w:highlight w:val="yellow"/>
        </w:rPr>
        <w:t>部门决算报表中</w:t>
      </w:r>
      <w:r w:rsidR="009B7573" w:rsidRPr="00A13CC1">
        <w:rPr>
          <w:rFonts w:ascii="仿宋_GB2312" w:eastAsia="仿宋_GB2312" w:hint="eastAsia"/>
          <w:b/>
          <w:color w:val="000000"/>
          <w:sz w:val="32"/>
          <w:szCs w:val="32"/>
          <w:highlight w:val="yellow"/>
        </w:rPr>
        <w:t>全部功能分类科目</w:t>
      </w:r>
      <w:r w:rsidR="00767B7E" w:rsidRPr="00A13CC1">
        <w:rPr>
          <w:rFonts w:ascii="仿宋_GB2312" w:eastAsia="仿宋_GB2312" w:hint="eastAsia"/>
          <w:b/>
          <w:color w:val="000000"/>
          <w:sz w:val="32"/>
          <w:szCs w:val="32"/>
          <w:highlight w:val="yellow"/>
        </w:rPr>
        <w:t>至项级</w:t>
      </w:r>
      <w:r w:rsidR="00260C38" w:rsidRPr="00A13CC1">
        <w:rPr>
          <w:rFonts w:ascii="仿宋_GB2312" w:eastAsia="仿宋_GB2312" w:hint="eastAsia"/>
          <w:b/>
          <w:color w:val="000000"/>
          <w:sz w:val="32"/>
          <w:szCs w:val="32"/>
          <w:highlight w:val="yellow"/>
        </w:rPr>
        <w:t>，</w:t>
      </w:r>
      <w:r w:rsidR="00A13CC1" w:rsidRPr="00A13CC1">
        <w:rPr>
          <w:rFonts w:ascii="仿宋_GB2312" w:eastAsia="仿宋_GB2312" w:hint="eastAsia"/>
          <w:b/>
          <w:color w:val="000000"/>
          <w:sz w:val="32"/>
          <w:szCs w:val="32"/>
          <w:highlight w:val="yellow"/>
        </w:rPr>
        <w:t>请</w:t>
      </w:r>
      <w:r w:rsidR="00260C38" w:rsidRPr="00A13CC1">
        <w:rPr>
          <w:rFonts w:ascii="仿宋_GB2312" w:eastAsia="仿宋_GB2312" w:hint="eastAsia"/>
          <w:b/>
          <w:color w:val="000000"/>
          <w:sz w:val="32"/>
          <w:szCs w:val="32"/>
          <w:highlight w:val="yellow"/>
        </w:rPr>
        <w:t>参照《</w:t>
      </w:r>
      <w:r w:rsidR="009B2C43" w:rsidRPr="00A13CC1">
        <w:rPr>
          <w:rFonts w:ascii="仿宋_GB2312" w:eastAsia="仿宋_GB2312" w:hint="eastAsia"/>
          <w:b/>
          <w:color w:val="000000"/>
          <w:sz w:val="32"/>
          <w:szCs w:val="32"/>
          <w:highlight w:val="yellow"/>
        </w:rPr>
        <w:t>2017</w:t>
      </w:r>
      <w:r w:rsidR="00260C38" w:rsidRPr="00A13CC1">
        <w:rPr>
          <w:rFonts w:ascii="仿宋_GB2312" w:eastAsia="仿宋_GB2312" w:hint="eastAsia"/>
          <w:b/>
          <w:color w:val="000000"/>
          <w:sz w:val="32"/>
          <w:szCs w:val="32"/>
          <w:highlight w:val="yellow"/>
        </w:rPr>
        <w:t>年政府收支分类科目》</w:t>
      </w:r>
      <w:r w:rsidR="00A13CC1" w:rsidRPr="00A13CC1">
        <w:rPr>
          <w:rFonts w:ascii="仿宋_GB2312" w:eastAsia="仿宋_GB2312" w:hint="eastAsia"/>
          <w:b/>
          <w:color w:val="000000"/>
          <w:sz w:val="32"/>
          <w:szCs w:val="32"/>
          <w:highlight w:val="yellow"/>
        </w:rPr>
        <w:t>增减内容。</w:t>
      </w:r>
      <w:r w:rsidR="00767B7E" w:rsidRPr="00A13CC1">
        <w:rPr>
          <w:rFonts w:ascii="仿宋_GB2312" w:eastAsia="仿宋_GB2312" w:hint="eastAsia"/>
          <w:b/>
          <w:color w:val="000000"/>
          <w:sz w:val="32"/>
          <w:szCs w:val="32"/>
          <w:highlight w:val="yellow"/>
        </w:rPr>
        <w:t>）</w:t>
      </w:r>
    </w:p>
    <w:p w:rsidR="00767B7E" w:rsidRPr="00A13CC1" w:rsidRDefault="00202B36"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lastRenderedPageBreak/>
        <w:t>27</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基本支出：指为保障机构正常运转、完成日常工作任务而发生的人员支出和公用支出。</w:t>
      </w:r>
    </w:p>
    <w:p w:rsidR="00767B7E" w:rsidRPr="00A13CC1" w:rsidRDefault="00202B36"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28</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 xml:space="preserve">项目支出：指在基本支出之外为完成特定行政任务和事业发展目标所发生的支出。 </w:t>
      </w:r>
    </w:p>
    <w:p w:rsidR="00767B7E" w:rsidRPr="00A13CC1" w:rsidRDefault="00202B36" w:rsidP="00971FFC">
      <w:pPr>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29</w:t>
      </w:r>
      <w:r w:rsidR="00971FFC" w:rsidRPr="00A13CC1">
        <w:rPr>
          <w:rFonts w:ascii="仿宋_GB2312" w:eastAsia="仿宋_GB2312" w:hint="eastAsia"/>
          <w:color w:val="000000"/>
          <w:sz w:val="32"/>
          <w:szCs w:val="32"/>
        </w:rPr>
        <w:t>.</w:t>
      </w:r>
      <w:r w:rsidR="00767B7E" w:rsidRPr="00A13CC1">
        <w:rPr>
          <w:rFonts w:ascii="仿宋_GB2312" w:eastAsia="仿宋_GB2312" w:hint="eastAsia"/>
          <w:color w:val="000000"/>
          <w:sz w:val="32"/>
          <w:szCs w:val="32"/>
        </w:rPr>
        <w:t>经营支出：指事业单位在专业业务活动及其辅助活动之外开展非独立核算经营活动发生的支出。</w:t>
      </w:r>
    </w:p>
    <w:p w:rsidR="00767B7E" w:rsidRPr="00A13CC1" w:rsidRDefault="00202B36"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30</w:t>
      </w:r>
      <w:r w:rsidR="00971FFC" w:rsidRPr="00A13CC1">
        <w:rPr>
          <w:rFonts w:ascii="仿宋_GB2312" w:eastAsia="仿宋_GB2312" w:hint="eastAsia"/>
          <w:sz w:val="32"/>
          <w:szCs w:val="32"/>
        </w:rPr>
        <w:t>.</w:t>
      </w:r>
      <w:r w:rsidR="00767B7E" w:rsidRPr="00A13CC1">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67B7E" w:rsidRPr="00A13CC1" w:rsidRDefault="00202B36"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31</w:t>
      </w:r>
      <w:r w:rsidR="00971FFC" w:rsidRPr="00A13CC1">
        <w:rPr>
          <w:rFonts w:ascii="仿宋_GB2312" w:eastAsia="仿宋_GB2312" w:hint="eastAsia"/>
          <w:sz w:val="32"/>
          <w:szCs w:val="32"/>
        </w:rPr>
        <w:t>.</w:t>
      </w:r>
      <w:r w:rsidR="00767B7E" w:rsidRPr="00A13CC1">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F1E02" w:rsidRPr="00A13CC1" w:rsidRDefault="00202B36" w:rsidP="00971FFC">
      <w:pPr>
        <w:pStyle w:val="Default"/>
        <w:spacing w:line="560" w:lineRule="exact"/>
        <w:ind w:firstLineChars="200" w:firstLine="640"/>
        <w:rPr>
          <w:rFonts w:ascii="仿宋_GB2312" w:eastAsia="仿宋_GB2312"/>
          <w:sz w:val="32"/>
          <w:szCs w:val="32"/>
        </w:rPr>
      </w:pPr>
      <w:r w:rsidRPr="00A13CC1">
        <w:rPr>
          <w:rFonts w:ascii="仿宋_GB2312" w:eastAsia="仿宋_GB2312" w:hint="eastAsia"/>
          <w:sz w:val="32"/>
          <w:szCs w:val="32"/>
        </w:rPr>
        <w:t>32</w:t>
      </w:r>
      <w:r w:rsidR="00FF1E02" w:rsidRPr="00A13CC1">
        <w:rPr>
          <w:rFonts w:ascii="仿宋_GB2312" w:eastAsia="仿宋_GB2312" w:hint="eastAsia"/>
          <w:sz w:val="32"/>
          <w:szCs w:val="32"/>
        </w:rPr>
        <w:t>.……。</w:t>
      </w:r>
    </w:p>
    <w:p w:rsidR="00202B36" w:rsidRPr="00A13CC1" w:rsidRDefault="00202B36" w:rsidP="00971FFC">
      <w:pPr>
        <w:pStyle w:val="Default"/>
        <w:spacing w:line="560" w:lineRule="exact"/>
        <w:ind w:firstLineChars="200" w:firstLine="640"/>
        <w:rPr>
          <w:rFonts w:ascii="仿宋_GB2312" w:eastAsia="仿宋_GB2312" w:cs="黑体"/>
          <w:sz w:val="32"/>
          <w:szCs w:val="32"/>
        </w:rPr>
      </w:pPr>
    </w:p>
    <w:p w:rsidR="00767B7E" w:rsidRPr="00A13CC1" w:rsidRDefault="00202B36" w:rsidP="000337CA">
      <w:pPr>
        <w:ind w:firstLineChars="200" w:firstLine="640"/>
        <w:rPr>
          <w:rFonts w:ascii="仿宋_GB2312" w:eastAsia="仿宋_GB2312"/>
          <w:b/>
          <w:color w:val="000000"/>
          <w:sz w:val="32"/>
          <w:szCs w:val="32"/>
        </w:rPr>
      </w:pPr>
      <w:r w:rsidRPr="00A13CC1">
        <w:rPr>
          <w:rFonts w:ascii="仿宋_GB2312" w:eastAsia="仿宋_GB2312" w:hint="eastAsia"/>
          <w:b/>
          <w:color w:val="000000"/>
          <w:sz w:val="32"/>
          <w:szCs w:val="32"/>
          <w:highlight w:val="yellow"/>
        </w:rPr>
        <w:t>（名词解释部分请根据各部门实际列支情况罗列，并根据本部门职责职能增减名词解释内容。）</w:t>
      </w:r>
    </w:p>
    <w:sectPr w:rsidR="00767B7E" w:rsidRPr="00A13CC1" w:rsidSect="0076182A">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3A" w:rsidRDefault="0031453A" w:rsidP="00F1361C">
      <w:r>
        <w:separator/>
      </w:r>
    </w:p>
  </w:endnote>
  <w:endnote w:type="continuationSeparator" w:id="0">
    <w:p w:rsidR="0031453A" w:rsidRDefault="0031453A" w:rsidP="00F13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1" w:rsidRDefault="004F517F">
    <w:pPr>
      <w:pStyle w:val="a4"/>
      <w:jc w:val="center"/>
    </w:pPr>
    <w:fldSimple w:instr=" PAGE   \* MERGEFORMAT ">
      <w:r w:rsidR="000E3676" w:rsidRPr="000E3676">
        <w:rPr>
          <w:noProof/>
          <w:lang w:val="zh-CN"/>
        </w:rPr>
        <w:t>1</w:t>
      </w:r>
    </w:fldSimple>
  </w:p>
  <w:p w:rsidR="00A13CC1" w:rsidRDefault="00A13C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3A" w:rsidRDefault="0031453A" w:rsidP="00F1361C">
      <w:r>
        <w:separator/>
      </w:r>
    </w:p>
  </w:footnote>
  <w:footnote w:type="continuationSeparator" w:id="0">
    <w:p w:rsidR="0031453A" w:rsidRDefault="0031453A" w:rsidP="00F13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C1" w:rsidRDefault="00A13CC1" w:rsidP="002616C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32471"/>
    <w:rsid w:val="000337CA"/>
    <w:rsid w:val="0006487A"/>
    <w:rsid w:val="000B047F"/>
    <w:rsid w:val="000B5A48"/>
    <w:rsid w:val="000C3CA6"/>
    <w:rsid w:val="000C6975"/>
    <w:rsid w:val="000D5782"/>
    <w:rsid w:val="000E3676"/>
    <w:rsid w:val="0014729F"/>
    <w:rsid w:val="001533AF"/>
    <w:rsid w:val="001877A7"/>
    <w:rsid w:val="00191536"/>
    <w:rsid w:val="00195D81"/>
    <w:rsid w:val="00196687"/>
    <w:rsid w:val="001C7B78"/>
    <w:rsid w:val="001E737D"/>
    <w:rsid w:val="001F7506"/>
    <w:rsid w:val="00202B36"/>
    <w:rsid w:val="00235629"/>
    <w:rsid w:val="00260C38"/>
    <w:rsid w:val="002616C0"/>
    <w:rsid w:val="0026412E"/>
    <w:rsid w:val="002662AA"/>
    <w:rsid w:val="002A19D8"/>
    <w:rsid w:val="002E4876"/>
    <w:rsid w:val="0031453A"/>
    <w:rsid w:val="0037013F"/>
    <w:rsid w:val="003A484F"/>
    <w:rsid w:val="003B0C1B"/>
    <w:rsid w:val="003C0291"/>
    <w:rsid w:val="00443880"/>
    <w:rsid w:val="00487E5D"/>
    <w:rsid w:val="004B4690"/>
    <w:rsid w:val="004E206B"/>
    <w:rsid w:val="004F517F"/>
    <w:rsid w:val="00505A47"/>
    <w:rsid w:val="00512FDA"/>
    <w:rsid w:val="005664BB"/>
    <w:rsid w:val="005712A3"/>
    <w:rsid w:val="0058466C"/>
    <w:rsid w:val="0058486E"/>
    <w:rsid w:val="005D5CED"/>
    <w:rsid w:val="00607CC0"/>
    <w:rsid w:val="00607E6C"/>
    <w:rsid w:val="006325F8"/>
    <w:rsid w:val="0066343B"/>
    <w:rsid w:val="00683E73"/>
    <w:rsid w:val="00725B8B"/>
    <w:rsid w:val="007305BA"/>
    <w:rsid w:val="0075404D"/>
    <w:rsid w:val="0076182A"/>
    <w:rsid w:val="00767B7E"/>
    <w:rsid w:val="007770C3"/>
    <w:rsid w:val="00786E4A"/>
    <w:rsid w:val="007E51B7"/>
    <w:rsid w:val="007E61E3"/>
    <w:rsid w:val="007F2C2F"/>
    <w:rsid w:val="00800112"/>
    <w:rsid w:val="00860645"/>
    <w:rsid w:val="00871F71"/>
    <w:rsid w:val="008F3CB8"/>
    <w:rsid w:val="0092392E"/>
    <w:rsid w:val="00946945"/>
    <w:rsid w:val="00951248"/>
    <w:rsid w:val="0095152F"/>
    <w:rsid w:val="00961209"/>
    <w:rsid w:val="00971FFC"/>
    <w:rsid w:val="009B2C43"/>
    <w:rsid w:val="009B4EAE"/>
    <w:rsid w:val="009B7573"/>
    <w:rsid w:val="009D3447"/>
    <w:rsid w:val="009F517D"/>
    <w:rsid w:val="00A13CC1"/>
    <w:rsid w:val="00A307CD"/>
    <w:rsid w:val="00A40A00"/>
    <w:rsid w:val="00A44BEE"/>
    <w:rsid w:val="00A6276B"/>
    <w:rsid w:val="00AD5620"/>
    <w:rsid w:val="00AD7C1B"/>
    <w:rsid w:val="00B03C9D"/>
    <w:rsid w:val="00B10517"/>
    <w:rsid w:val="00B13766"/>
    <w:rsid w:val="00B14E76"/>
    <w:rsid w:val="00B2048C"/>
    <w:rsid w:val="00B310B9"/>
    <w:rsid w:val="00B44B70"/>
    <w:rsid w:val="00B77EA6"/>
    <w:rsid w:val="00B841F1"/>
    <w:rsid w:val="00BC5460"/>
    <w:rsid w:val="00C03E31"/>
    <w:rsid w:val="00C354B2"/>
    <w:rsid w:val="00C35554"/>
    <w:rsid w:val="00C533CC"/>
    <w:rsid w:val="00C62B85"/>
    <w:rsid w:val="00CB780E"/>
    <w:rsid w:val="00CC09B6"/>
    <w:rsid w:val="00CE7B61"/>
    <w:rsid w:val="00D00095"/>
    <w:rsid w:val="00D51276"/>
    <w:rsid w:val="00DB1913"/>
    <w:rsid w:val="00DC410D"/>
    <w:rsid w:val="00DC68CA"/>
    <w:rsid w:val="00DD5B24"/>
    <w:rsid w:val="00E67D64"/>
    <w:rsid w:val="00E710BF"/>
    <w:rsid w:val="00E82267"/>
    <w:rsid w:val="00ED1B63"/>
    <w:rsid w:val="00ED7B75"/>
    <w:rsid w:val="00EE2F57"/>
    <w:rsid w:val="00EF4C34"/>
    <w:rsid w:val="00F00049"/>
    <w:rsid w:val="00F1361C"/>
    <w:rsid w:val="00F160C7"/>
    <w:rsid w:val="00F417B1"/>
    <w:rsid w:val="00F602DF"/>
    <w:rsid w:val="00F94DC6"/>
    <w:rsid w:val="00FF1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61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61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semiHidden/>
    <w:rsid w:val="00F1361C"/>
    <w:rPr>
      <w:sz w:val="18"/>
      <w:szCs w:val="18"/>
    </w:rPr>
  </w:style>
  <w:style w:type="paragraph" w:styleId="a4">
    <w:name w:val="footer"/>
    <w:basedOn w:val="a"/>
    <w:link w:val="Char0"/>
    <w:uiPriority w:val="99"/>
    <w:unhideWhenUsed/>
    <w:rsid w:val="00F1361C"/>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F1361C"/>
    <w:rPr>
      <w:sz w:val="18"/>
      <w:szCs w:val="18"/>
    </w:rPr>
  </w:style>
  <w:style w:type="paragraph" w:styleId="a5">
    <w:name w:val="Body Text"/>
    <w:basedOn w:val="a"/>
    <w:link w:val="Char1"/>
    <w:rsid w:val="00F1361C"/>
    <w:pPr>
      <w:spacing w:beforeLines="30"/>
    </w:pPr>
    <w:rPr>
      <w:rFonts w:ascii="仿宋_GB2312" w:eastAsia="仿宋_GB2312"/>
      <w:kern w:val="0"/>
      <w:sz w:val="30"/>
    </w:rPr>
  </w:style>
  <w:style w:type="character" w:customStyle="1" w:styleId="Char1">
    <w:name w:val="正文文本 Char"/>
    <w:link w:val="a5"/>
    <w:rsid w:val="00F1361C"/>
    <w:rPr>
      <w:rFonts w:ascii="仿宋_GB2312" w:eastAsia="仿宋_GB2312" w:hAnsi="Times New Roman" w:cs="Times New Roman"/>
      <w:sz w:val="30"/>
      <w:szCs w:val="24"/>
    </w:rPr>
  </w:style>
  <w:style w:type="character" w:styleId="a6">
    <w:name w:val="Strong"/>
    <w:uiPriority w:val="22"/>
    <w:qFormat/>
    <w:rsid w:val="00F1361C"/>
    <w:rPr>
      <w:b/>
      <w:bCs/>
    </w:rPr>
  </w:style>
  <w:style w:type="paragraph" w:customStyle="1" w:styleId="Default">
    <w:name w:val="Default"/>
    <w:rsid w:val="00F1361C"/>
    <w:pPr>
      <w:widowControl w:val="0"/>
      <w:autoSpaceDE w:val="0"/>
      <w:autoSpaceDN w:val="0"/>
      <w:adjustRightInd w:val="0"/>
    </w:pPr>
    <w:rPr>
      <w:rFonts w:ascii="仿宋" w:eastAsia="仿宋" w:cs="仿宋"/>
      <w:color w:val="000000"/>
      <w:sz w:val="24"/>
      <w:szCs w:val="24"/>
    </w:rPr>
  </w:style>
  <w:style w:type="paragraph" w:styleId="a7">
    <w:name w:val="Balloon Text"/>
    <w:basedOn w:val="a"/>
    <w:link w:val="Char2"/>
    <w:uiPriority w:val="99"/>
    <w:semiHidden/>
    <w:unhideWhenUsed/>
    <w:rsid w:val="00A44BEE"/>
    <w:rPr>
      <w:sz w:val="18"/>
      <w:szCs w:val="18"/>
    </w:rPr>
  </w:style>
  <w:style w:type="character" w:customStyle="1" w:styleId="Char2">
    <w:name w:val="批注框文本 Char"/>
    <w:basedOn w:val="a0"/>
    <w:link w:val="a7"/>
    <w:uiPriority w:val="99"/>
    <w:semiHidden/>
    <w:rsid w:val="00A44BE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023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4"/>
  <c:chart>
    <c:autoTitleDeleted val="1"/>
    <c:plotArea>
      <c:layout/>
      <c:pieChart>
        <c:varyColors val="1"/>
        <c:ser>
          <c:idx val="0"/>
          <c:order val="0"/>
          <c:dLbls>
            <c:dLbl>
              <c:idx val="0"/>
              <c:layout>
                <c:manualLayout>
                  <c:x val="-4.8157958102576009E-3"/>
                  <c:y val="-0.18575851393188855"/>
                </c:manualLayout>
              </c:layout>
              <c:dLblPos val="ctr"/>
              <c:showPercent val="1"/>
            </c:dLbl>
            <c:txPr>
              <a:bodyPr/>
              <a:lstStyle/>
              <a:p>
                <a:pPr>
                  <a:defRPr sz="2000"/>
                </a:pPr>
                <a:endParaRPr lang="zh-CN"/>
              </a:p>
            </c:txPr>
            <c:showPercent val="1"/>
          </c:dLbls>
          <c:cat>
            <c:strLit>
              <c:ptCount val="1"/>
              <c:pt idx="0">
                <c:v>财政拨款收入</c:v>
              </c:pt>
            </c:strLit>
          </c:cat>
          <c:val>
            <c:numRef>
              <c:f>Sheet1!$A$6</c:f>
              <c:numCache>
                <c:formatCode>General</c:formatCode>
                <c:ptCount val="1"/>
                <c:pt idx="0">
                  <c:v>708.26</c:v>
                </c:pt>
              </c:numCache>
            </c:numRef>
          </c:val>
        </c:ser>
        <c:ser>
          <c:idx val="1"/>
          <c:order val="1"/>
          <c:cat>
            <c:strLit>
              <c:ptCount val="1"/>
              <c:pt idx="0">
                <c:v>财政拨款收入</c:v>
              </c:pt>
            </c:strLit>
          </c:cat>
          <c:val>
            <c:numRef>
              <c:f>Sheet1!$B$6</c:f>
              <c:numCache>
                <c:formatCode>0%</c:formatCode>
                <c:ptCount val="1"/>
                <c:pt idx="0">
                  <c:v>1</c:v>
                </c:pt>
              </c:numCache>
            </c:numRef>
          </c:val>
        </c:ser>
        <c:dLbls>
          <c:showPercent val="1"/>
        </c:dLbls>
        <c:firstSliceAng val="0"/>
      </c:pieChart>
    </c:plotArea>
    <c:legend>
      <c:legendPos val="r"/>
      <c:txPr>
        <a:bodyPr/>
        <a:lstStyle/>
        <a:p>
          <a:pPr>
            <a:defRPr sz="1600"/>
          </a:pPr>
          <a:endParaRPr lang="zh-CN"/>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数据</c:v>
                </c:pt>
              </c:strCache>
            </c:strRef>
          </c:tx>
          <c:dLbls>
            <c:dLbl>
              <c:idx val="0"/>
              <c:dLblPos val="inEnd"/>
              <c:showPercent val="1"/>
            </c:dLbl>
            <c:numFmt formatCode="0.00%" sourceLinked="0"/>
            <c:txPr>
              <a:bodyPr/>
              <a:lstStyle/>
              <a:p>
                <a:pPr>
                  <a:defRPr sz="2000"/>
                </a:pPr>
                <a:endParaRPr lang="zh-CN"/>
              </a:p>
            </c:txPr>
            <c:showPercent val="1"/>
            <c:showLeaderLines val="1"/>
          </c:dLbls>
          <c:cat>
            <c:strRef>
              <c:f>Sheet1!$A$2:$A$3</c:f>
              <c:strCache>
                <c:ptCount val="2"/>
                <c:pt idx="0">
                  <c:v>基本支出</c:v>
                </c:pt>
                <c:pt idx="1">
                  <c:v>项目支出</c:v>
                </c:pt>
              </c:strCache>
            </c:strRef>
          </c:cat>
          <c:val>
            <c:numRef>
              <c:f>Sheet1!$B$2:$B$3</c:f>
              <c:numCache>
                <c:formatCode>0.00_ </c:formatCode>
                <c:ptCount val="2"/>
                <c:pt idx="0">
                  <c:v>296.44</c:v>
                </c:pt>
                <c:pt idx="1">
                  <c:v>866.09</c:v>
                </c:pt>
              </c:numCache>
            </c:numRef>
          </c:val>
        </c:ser>
        <c:firstSliceAng val="0"/>
      </c:pieChart>
    </c:plotArea>
    <c:legend>
      <c:legendPos val="r"/>
      <c:layout>
        <c:manualLayout>
          <c:xMode val="edge"/>
          <c:yMode val="edge"/>
          <c:x val="0.70630035018798676"/>
          <c:y val="0.44232888845550705"/>
          <c:w val="0.21087649379729345"/>
          <c:h val="0.20916116135637844"/>
        </c:manualLayout>
      </c:layout>
      <c:txPr>
        <a:bodyPr/>
        <a:lstStyle/>
        <a:p>
          <a:pPr>
            <a:defRPr sz="1600"/>
          </a:pPr>
          <a:endParaRPr lang="zh-CN"/>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2227154993783691"/>
          <c:y val="9.4798504169280054E-2"/>
          <c:w val="0.51724392181240397"/>
          <c:h val="0.74363505446775024"/>
        </c:manualLayout>
      </c:layout>
      <c:barChart>
        <c:barDir val="col"/>
        <c:grouping val="clustered"/>
        <c:ser>
          <c:idx val="0"/>
          <c:order val="0"/>
          <c:tx>
            <c:strRef>
              <c:f>Sheet1!$B$1</c:f>
              <c:strCache>
                <c:ptCount val="1"/>
                <c:pt idx="0">
                  <c:v>财政拨款收支总决算</c:v>
                </c:pt>
              </c:strCache>
            </c:strRef>
          </c:tx>
          <c:cat>
            <c:numRef>
              <c:f>Sheet1!$A$2:$A$5</c:f>
              <c:numCache>
                <c:formatCode>General</c:formatCode>
                <c:ptCount val="4"/>
                <c:pt idx="1">
                  <c:v>2016</c:v>
                </c:pt>
                <c:pt idx="2">
                  <c:v>2017</c:v>
                </c:pt>
              </c:numCache>
            </c:numRef>
          </c:cat>
          <c:val>
            <c:numRef>
              <c:f>Sheet1!$B$2:$B$5</c:f>
              <c:numCache>
                <c:formatCode>General</c:formatCode>
                <c:ptCount val="4"/>
                <c:pt idx="1">
                  <c:v>816.43</c:v>
                </c:pt>
                <c:pt idx="2">
                  <c:v>1316.6699999999998</c:v>
                </c:pt>
              </c:numCache>
            </c:numRef>
          </c:val>
        </c:ser>
        <c:ser>
          <c:idx val="1"/>
          <c:order val="1"/>
          <c:tx>
            <c:strRef>
              <c:f>Sheet1!$C$1</c:f>
              <c:strCache>
                <c:ptCount val="1"/>
                <c:pt idx="0">
                  <c:v>列1</c:v>
                </c:pt>
              </c:strCache>
            </c:strRef>
          </c:tx>
          <c:cat>
            <c:numRef>
              <c:f>Sheet1!$A$2:$A$5</c:f>
              <c:numCache>
                <c:formatCode>General</c:formatCode>
                <c:ptCount val="4"/>
                <c:pt idx="1">
                  <c:v>2016</c:v>
                </c:pt>
                <c:pt idx="2">
                  <c:v>2017</c:v>
                </c:pt>
              </c:numCache>
            </c:numRef>
          </c:cat>
          <c:val>
            <c:numRef>
              <c:f>Sheet1!$C$2:$C$5</c:f>
              <c:numCache>
                <c:formatCode>General</c:formatCode>
                <c:ptCount val="4"/>
              </c:numCache>
            </c:numRef>
          </c:val>
        </c:ser>
        <c:ser>
          <c:idx val="2"/>
          <c:order val="2"/>
          <c:tx>
            <c:strRef>
              <c:f>Sheet1!$D$1</c:f>
              <c:strCache>
                <c:ptCount val="1"/>
                <c:pt idx="0">
                  <c:v>列2</c:v>
                </c:pt>
              </c:strCache>
            </c:strRef>
          </c:tx>
          <c:cat>
            <c:numRef>
              <c:f>Sheet1!$A$2:$A$5</c:f>
              <c:numCache>
                <c:formatCode>General</c:formatCode>
                <c:ptCount val="4"/>
                <c:pt idx="1">
                  <c:v>2016</c:v>
                </c:pt>
                <c:pt idx="2">
                  <c:v>2017</c:v>
                </c:pt>
              </c:numCache>
            </c:numRef>
          </c:cat>
          <c:val>
            <c:numRef>
              <c:f>Sheet1!$D$2:$D$5</c:f>
              <c:numCache>
                <c:formatCode>General</c:formatCode>
                <c:ptCount val="4"/>
              </c:numCache>
            </c:numRef>
          </c:val>
        </c:ser>
        <c:axId val="48910720"/>
        <c:axId val="48912640"/>
      </c:barChart>
      <c:catAx>
        <c:axId val="48910720"/>
        <c:scaling>
          <c:orientation val="minMax"/>
        </c:scaling>
        <c:axPos val="b"/>
        <c:title>
          <c:tx>
            <c:rich>
              <a:bodyPr/>
              <a:lstStyle/>
              <a:p>
                <a:pPr>
                  <a:defRPr/>
                </a:pPr>
                <a:r>
                  <a:rPr lang="zh-CN" altLang="en-US"/>
                  <a:t>年份</a:t>
                </a:r>
              </a:p>
            </c:rich>
          </c:tx>
          <c:layout>
            <c:manualLayout>
              <c:xMode val="edge"/>
              <c:yMode val="edge"/>
              <c:x val="0.61874430169913153"/>
              <c:y val="0.89773844641101275"/>
            </c:manualLayout>
          </c:layout>
        </c:title>
        <c:numFmt formatCode="General" sourceLinked="1"/>
        <c:tickLblPos val="nextTo"/>
        <c:txPr>
          <a:bodyPr/>
          <a:lstStyle/>
          <a:p>
            <a:pPr>
              <a:defRPr sz="1400"/>
            </a:pPr>
            <a:endParaRPr lang="zh-CN"/>
          </a:p>
        </c:txPr>
        <c:crossAx val="48912640"/>
        <c:crosses val="autoZero"/>
        <c:auto val="1"/>
        <c:lblAlgn val="ctr"/>
        <c:lblOffset val="100"/>
      </c:catAx>
      <c:valAx>
        <c:axId val="48912640"/>
        <c:scaling>
          <c:orientation val="minMax"/>
        </c:scaling>
        <c:axPos val="l"/>
        <c:majorGridlines/>
        <c:title>
          <c:tx>
            <c:rich>
              <a:bodyPr rot="0" vert="horz"/>
              <a:lstStyle/>
              <a:p>
                <a:pPr>
                  <a:defRPr/>
                </a:pPr>
                <a:r>
                  <a:rPr lang="zh-CN" altLang="en-US"/>
                  <a:t>单位：万元</a:t>
                </a:r>
              </a:p>
            </c:rich>
          </c:tx>
          <c:layout>
            <c:manualLayout>
              <c:xMode val="edge"/>
              <c:yMode val="edge"/>
              <c:x val="8.5526315789474117E-2"/>
              <c:y val="5.3918039006186323E-4"/>
            </c:manualLayout>
          </c:layout>
        </c:title>
        <c:numFmt formatCode="General" sourceLinked="1"/>
        <c:tickLblPos val="nextTo"/>
        <c:crossAx val="48910720"/>
        <c:crosses val="autoZero"/>
        <c:crossBetween val="between"/>
      </c:valAx>
    </c:plotArea>
    <c:legend>
      <c:legendPos val="r"/>
      <c:legendEntry>
        <c:idx val="1"/>
        <c:delete val="1"/>
      </c:legendEntry>
      <c:legendEntry>
        <c:idx val="2"/>
        <c:delete val="1"/>
      </c:legendEntry>
      <c:layout>
        <c:manualLayout>
          <c:xMode val="edge"/>
          <c:yMode val="edge"/>
          <c:x val="0.67625949411190955"/>
          <c:y val="0.59163435386286656"/>
          <c:w val="0.32320382649537233"/>
          <c:h val="9.0143466579951842E-2"/>
        </c:manualLayout>
      </c:layout>
      <c:txPr>
        <a:bodyPr/>
        <a:lstStyle/>
        <a:p>
          <a:pPr>
            <a:defRPr sz="1400"/>
          </a:pPr>
          <a:endParaRPr lang="zh-CN"/>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4388593010270567"/>
          <c:y val="0.12013424018592128"/>
          <c:w val="0.58069643232953816"/>
          <c:h val="0.7457858170205528"/>
        </c:manualLayout>
      </c:layout>
      <c:barChart>
        <c:barDir val="col"/>
        <c:grouping val="clustered"/>
        <c:ser>
          <c:idx val="0"/>
          <c:order val="0"/>
          <c:tx>
            <c:strRef>
              <c:f>Sheet1!$B$1</c:f>
              <c:strCache>
                <c:ptCount val="1"/>
                <c:pt idx="0">
                  <c:v>财政拨款支出</c:v>
                </c:pt>
              </c:strCache>
            </c:strRef>
          </c:tx>
          <c:cat>
            <c:numRef>
              <c:f>Sheet1!$A$2:$A$5</c:f>
              <c:numCache>
                <c:formatCode>General</c:formatCode>
                <c:ptCount val="4"/>
                <c:pt idx="1">
                  <c:v>2016</c:v>
                </c:pt>
                <c:pt idx="2">
                  <c:v>2017</c:v>
                </c:pt>
              </c:numCache>
            </c:numRef>
          </c:cat>
          <c:val>
            <c:numRef>
              <c:f>Sheet1!$B$2:$B$5</c:f>
              <c:numCache>
                <c:formatCode>General</c:formatCode>
                <c:ptCount val="4"/>
                <c:pt idx="1">
                  <c:v>703.98</c:v>
                </c:pt>
                <c:pt idx="2">
                  <c:v>1162.53</c:v>
                </c:pt>
              </c:numCache>
            </c:numRef>
          </c:val>
        </c:ser>
        <c:ser>
          <c:idx val="1"/>
          <c:order val="1"/>
          <c:tx>
            <c:strRef>
              <c:f>Sheet1!$C$1</c:f>
              <c:strCache>
                <c:ptCount val="1"/>
                <c:pt idx="0">
                  <c:v>系列 2</c:v>
                </c:pt>
              </c:strCache>
            </c:strRef>
          </c:tx>
          <c:cat>
            <c:numRef>
              <c:f>Sheet1!$A$2:$A$5</c:f>
              <c:numCache>
                <c:formatCode>General</c:formatCode>
                <c:ptCount val="4"/>
                <c:pt idx="1">
                  <c:v>2016</c:v>
                </c:pt>
                <c:pt idx="2">
                  <c:v>2017</c:v>
                </c:pt>
              </c:numCache>
            </c:numRef>
          </c:cat>
          <c:val>
            <c:numRef>
              <c:f>Sheet1!$C$2:$C$5</c:f>
              <c:numCache>
                <c:formatCode>General</c:formatCode>
                <c:ptCount val="4"/>
              </c:numCache>
            </c:numRef>
          </c:val>
        </c:ser>
        <c:ser>
          <c:idx val="2"/>
          <c:order val="2"/>
          <c:tx>
            <c:strRef>
              <c:f>Sheet1!$D$1</c:f>
              <c:strCache>
                <c:ptCount val="1"/>
                <c:pt idx="0">
                  <c:v>系列 3</c:v>
                </c:pt>
              </c:strCache>
            </c:strRef>
          </c:tx>
          <c:cat>
            <c:numRef>
              <c:f>Sheet1!$A$2:$A$5</c:f>
              <c:numCache>
                <c:formatCode>General</c:formatCode>
                <c:ptCount val="4"/>
                <c:pt idx="1">
                  <c:v>2016</c:v>
                </c:pt>
                <c:pt idx="2">
                  <c:v>2017</c:v>
                </c:pt>
              </c:numCache>
            </c:numRef>
          </c:cat>
          <c:val>
            <c:numRef>
              <c:f>Sheet1!$D$2:$D$5</c:f>
              <c:numCache>
                <c:formatCode>General</c:formatCode>
                <c:ptCount val="4"/>
              </c:numCache>
            </c:numRef>
          </c:val>
        </c:ser>
        <c:axId val="48660864"/>
        <c:axId val="48662784"/>
      </c:barChart>
      <c:catAx>
        <c:axId val="48660864"/>
        <c:scaling>
          <c:orientation val="minMax"/>
        </c:scaling>
        <c:axPos val="b"/>
        <c:title>
          <c:tx>
            <c:rich>
              <a:bodyPr/>
              <a:lstStyle/>
              <a:p>
                <a:pPr>
                  <a:defRPr/>
                </a:pPr>
                <a:r>
                  <a:rPr lang="zh-CN" altLang="en-US"/>
                  <a:t>年份</a:t>
                </a:r>
              </a:p>
            </c:rich>
          </c:tx>
          <c:layout>
            <c:manualLayout>
              <c:xMode val="edge"/>
              <c:yMode val="edge"/>
              <c:x val="0.71465784149964662"/>
              <c:y val="0.87616099071207432"/>
            </c:manualLayout>
          </c:layout>
        </c:title>
        <c:numFmt formatCode="General" sourceLinked="1"/>
        <c:tickLblPos val="nextTo"/>
        <c:crossAx val="48662784"/>
        <c:crosses val="autoZero"/>
        <c:auto val="1"/>
        <c:lblAlgn val="ctr"/>
        <c:lblOffset val="100"/>
      </c:catAx>
      <c:valAx>
        <c:axId val="48662784"/>
        <c:scaling>
          <c:orientation val="minMax"/>
        </c:scaling>
        <c:axPos val="l"/>
        <c:majorGridlines/>
        <c:title>
          <c:tx>
            <c:rich>
              <a:bodyPr rot="0" vert="horz"/>
              <a:lstStyle/>
              <a:p>
                <a:pPr>
                  <a:defRPr/>
                </a:pPr>
                <a:r>
                  <a:rPr lang="zh-CN" altLang="en-US"/>
                  <a:t>单位：万元</a:t>
                </a:r>
              </a:p>
            </c:rich>
          </c:tx>
          <c:layout>
            <c:manualLayout>
              <c:xMode val="edge"/>
              <c:yMode val="edge"/>
              <c:x val="0.11798699735131232"/>
              <c:y val="1.7990785207577017E-3"/>
            </c:manualLayout>
          </c:layout>
        </c:title>
        <c:numFmt formatCode="General" sourceLinked="1"/>
        <c:tickLblPos val="nextTo"/>
        <c:crossAx val="48660864"/>
        <c:crosses val="autoZero"/>
        <c:crossBetween val="between"/>
      </c:valAx>
    </c:plotArea>
    <c:legend>
      <c:legendPos val="r"/>
      <c:legendEntry>
        <c:idx val="1"/>
        <c:delete val="1"/>
      </c:legendEntry>
      <c:legendEntry>
        <c:idx val="2"/>
        <c:delete val="1"/>
      </c:legendEntry>
      <c:txPr>
        <a:bodyPr/>
        <a:lstStyle/>
        <a:p>
          <a:pPr>
            <a:defRPr sz="1400"/>
          </a:pPr>
          <a:endParaRPr lang="zh-CN"/>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财政拨款支出</c:v>
                </c:pt>
              </c:strCache>
            </c:strRef>
          </c:tx>
          <c:dLbls>
            <c:dLbl>
              <c:idx val="1"/>
              <c:layout>
                <c:manualLayout>
                  <c:x val="-7.9303833108027438E-2"/>
                  <c:y val="1.762284358418046E-2"/>
                </c:manualLayout>
              </c:layout>
              <c:showPercent val="1"/>
            </c:dLbl>
            <c:dLbl>
              <c:idx val="2"/>
              <c:layout>
                <c:manualLayout>
                  <c:x val="2.1324400727298926E-2"/>
                  <c:y val="-1.0418728618674994E-2"/>
                </c:manualLayout>
              </c:layout>
              <c:showPercent val="1"/>
            </c:dLbl>
            <c:dLbl>
              <c:idx val="3"/>
              <c:layout>
                <c:manualLayout>
                  <c:x val="0.17286829936048517"/>
                  <c:y val="-9.4377676474651246E-3"/>
                </c:manualLayout>
              </c:layout>
              <c:tx>
                <c:rich>
                  <a:bodyPr/>
                  <a:lstStyle/>
                  <a:p>
                    <a:r>
                      <a:rPr lang="en-US" altLang="en-US" sz="1400"/>
                      <a:t> </a:t>
                    </a:r>
                    <a:r>
                      <a:rPr lang="en-US" altLang="zh-CN" sz="1400"/>
                      <a:t>0.85</a:t>
                    </a:r>
                    <a:r>
                      <a:rPr lang="en-US" altLang="en-US" sz="1400"/>
                      <a:t>%</a:t>
                    </a:r>
                  </a:p>
                </c:rich>
              </c:tx>
              <c:showVal val="1"/>
              <c:showPercent val="1"/>
            </c:dLbl>
            <c:numFmt formatCode="0.00%" sourceLinked="0"/>
            <c:txPr>
              <a:bodyPr/>
              <a:lstStyle/>
              <a:p>
                <a:pPr>
                  <a:defRPr sz="1400"/>
                </a:pPr>
                <a:endParaRPr lang="zh-CN"/>
              </a:p>
            </c:txPr>
            <c:showPercent val="1"/>
            <c:showLeaderLines val="1"/>
          </c:dLbls>
          <c:cat>
            <c:strRef>
              <c:f>Sheet1!$A$2:$A$5</c:f>
              <c:strCache>
                <c:ptCount val="4"/>
                <c:pt idx="0">
                  <c:v>城乡社区支出</c:v>
                </c:pt>
                <c:pt idx="1">
                  <c:v>社会保障和就业支出</c:v>
                </c:pt>
                <c:pt idx="2">
                  <c:v>医疗卫生支出</c:v>
                </c:pt>
                <c:pt idx="3">
                  <c:v>住房保障支出</c:v>
                </c:pt>
              </c:strCache>
            </c:strRef>
          </c:cat>
          <c:val>
            <c:numRef>
              <c:f>Sheet1!$B$2:$B$5</c:f>
              <c:numCache>
                <c:formatCode>General</c:formatCode>
                <c:ptCount val="4"/>
                <c:pt idx="0">
                  <c:v>1121.71</c:v>
                </c:pt>
                <c:pt idx="1">
                  <c:v>23.19</c:v>
                </c:pt>
                <c:pt idx="2">
                  <c:v>7.75</c:v>
                </c:pt>
                <c:pt idx="3">
                  <c:v>9.8800000000000008</c:v>
                </c:pt>
              </c:numCache>
            </c:numRef>
          </c:val>
        </c:ser>
        <c:firstSliceAng val="0"/>
      </c:pieChart>
    </c:plotArea>
    <c:legend>
      <c:legendPos val="r"/>
      <c:layout>
        <c:manualLayout>
          <c:xMode val="edge"/>
          <c:yMode val="edge"/>
          <c:x val="0.61622695670144534"/>
          <c:y val="0.23797339574039364"/>
          <c:w val="0.36932565586778265"/>
          <c:h val="0.65779901351340753"/>
        </c:manualLayout>
      </c:layout>
      <c:txPr>
        <a:bodyPr/>
        <a:lstStyle/>
        <a:p>
          <a:pPr>
            <a:defRPr sz="1400"/>
          </a:pPr>
          <a:endParaRPr lang="zh-CN"/>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Lbls>
            <c:dLbl>
              <c:idx val="0"/>
              <c:delete val="1"/>
            </c:dLbl>
            <c:dLbl>
              <c:idx val="1"/>
              <c:layout>
                <c:manualLayout>
                  <c:x val="3.833297625660992E-3"/>
                  <c:y val="-0.38868384485995078"/>
                </c:manualLayout>
              </c:layout>
              <c:numFmt formatCode="0.00%" sourceLinked="0"/>
              <c:spPr/>
              <c:txPr>
                <a:bodyPr/>
                <a:lstStyle/>
                <a:p>
                  <a:pPr>
                    <a:defRPr sz="1600"/>
                  </a:pPr>
                  <a:endParaRPr lang="zh-CN"/>
                </a:p>
              </c:txPr>
              <c:showPercent val="1"/>
            </c:dLbl>
            <c:dLbl>
              <c:idx val="2"/>
              <c:delete val="1"/>
            </c:dLbl>
            <c:showVal val="1"/>
            <c:showLeaderLines val="1"/>
          </c:dLbls>
          <c:cat>
            <c:strRef>
              <c:f>Sheet1!$A$2:$A$5</c:f>
              <c:strCache>
                <c:ptCount val="3"/>
                <c:pt idx="0">
                  <c:v>因公出国（境）费支出</c:v>
                </c:pt>
                <c:pt idx="1">
                  <c:v>公务用车购置及运行维护费支出</c:v>
                </c:pt>
                <c:pt idx="2">
                  <c:v>公务接待费支出</c:v>
                </c:pt>
              </c:strCache>
            </c:strRef>
          </c:cat>
          <c:val>
            <c:numRef>
              <c:f>Sheet1!$B$2:$B$5</c:f>
              <c:numCache>
                <c:formatCode>General</c:formatCode>
                <c:ptCount val="4"/>
                <c:pt idx="0">
                  <c:v>0</c:v>
                </c:pt>
                <c:pt idx="1">
                  <c:v>3.68</c:v>
                </c:pt>
                <c:pt idx="2">
                  <c:v>0</c:v>
                </c:pt>
              </c:numCache>
            </c:numRef>
          </c:val>
        </c:ser>
        <c:firstSliceAng val="0"/>
      </c:pieChart>
    </c:plotArea>
    <c:legend>
      <c:legendPos val="r"/>
      <c:legendEntry>
        <c:idx val="3"/>
        <c:delete val="1"/>
      </c:legendEntry>
      <c:txPr>
        <a:bodyPr/>
        <a:lstStyle/>
        <a:p>
          <a:pPr>
            <a:defRPr sz="1400"/>
          </a:pPr>
          <a:endParaRPr lang="zh-CN"/>
        </a:p>
      </c:txPr>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60EE-795D-4758-983C-91551FF9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964</Words>
  <Characters>5496</Characters>
  <Application>Microsoft Office Word</Application>
  <DocSecurity>0</DocSecurity>
  <Lines>45</Lines>
  <Paragraphs>12</Paragraphs>
  <ScaleCrop>false</ScaleCrop>
  <Company>四川省财政厅</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Administrator</cp:lastModifiedBy>
  <cp:revision>5</cp:revision>
  <cp:lastPrinted>2018-07-30T03:50:00Z</cp:lastPrinted>
  <dcterms:created xsi:type="dcterms:W3CDTF">2018-09-19T08:58:00Z</dcterms:created>
  <dcterms:modified xsi:type="dcterms:W3CDTF">2018-09-19T09:45:00Z</dcterms:modified>
</cp:coreProperties>
</file>