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仿宋_GB2312" w:hAnsi="仿宋_GB2312" w:eastAsia="仿宋_GB2312" w:cs="仿宋_GB2312"/>
          <w:b/>
          <w:bCs/>
          <w:sz w:val="44"/>
          <w:szCs w:val="44"/>
          <w:lang w:val="en-US" w:eastAsia="zh-CN"/>
        </w:rPr>
      </w:pPr>
      <w:bookmarkStart w:id="0" w:name="一、部门决算填报说明（部门用）"/>
      <w:r>
        <w:rPr>
          <w:rFonts w:hint="eastAsia" w:ascii="仿宋_GB2312" w:hAnsi="仿宋_GB2312" w:eastAsia="仿宋_GB2312" w:cs="仿宋_GB2312"/>
          <w:b/>
          <w:bCs/>
          <w:sz w:val="44"/>
          <w:szCs w:val="44"/>
          <w:lang w:val="en-US" w:eastAsia="zh-CN"/>
        </w:rPr>
        <w:t>四川省广汉市交通运输局</w:t>
      </w:r>
    </w:p>
    <w:p>
      <w:pPr>
        <w:snapToGrid w:val="0"/>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lang w:val="en-US" w:eastAsia="zh-CN"/>
        </w:rPr>
        <w:t>2017年</w:t>
      </w:r>
      <w:r>
        <w:rPr>
          <w:rFonts w:hint="eastAsia" w:ascii="仿宋_GB2312" w:hAnsi="仿宋_GB2312" w:eastAsia="仿宋_GB2312" w:cs="仿宋_GB2312"/>
          <w:b/>
          <w:bCs/>
          <w:sz w:val="44"/>
          <w:szCs w:val="44"/>
        </w:rPr>
        <w:t>部门决算</w:t>
      </w:r>
      <w:r>
        <w:rPr>
          <w:rFonts w:hint="eastAsia" w:ascii="仿宋_GB2312" w:hAnsi="仿宋_GB2312" w:eastAsia="仿宋_GB2312" w:cs="仿宋_GB2312"/>
          <w:b/>
          <w:bCs/>
          <w:sz w:val="44"/>
          <w:szCs w:val="44"/>
          <w:lang w:eastAsia="zh-CN"/>
        </w:rPr>
        <w:t>汇总编制</w:t>
      </w:r>
      <w:r>
        <w:rPr>
          <w:rFonts w:hint="eastAsia" w:ascii="仿宋_GB2312" w:hAnsi="仿宋_GB2312" w:eastAsia="仿宋_GB2312" w:cs="仿宋_GB2312"/>
          <w:b/>
          <w:bCs/>
          <w:sz w:val="44"/>
          <w:szCs w:val="44"/>
        </w:rPr>
        <w:t>说明</w:t>
      </w:r>
    </w:p>
    <w:bookmarkEnd w:id="0"/>
    <w:p>
      <w:pPr>
        <w:pStyle w:val="5"/>
        <w:numPr>
          <w:ilvl w:val="0"/>
          <w:numId w:val="0"/>
        </w:numPr>
        <w:spacing w:before="0" w:beforeLines="0" w:beforeAutospacing="0" w:after="0" w:afterLines="0" w:afterAutospacing="0" w:line="560" w:lineRule="exact"/>
        <w:rPr>
          <w:rFonts w:hint="eastAsia" w:ascii="仿宋_GB2312" w:hAnsi="仿宋_GB2312" w:eastAsia="仿宋_GB2312" w:cs="仿宋_GB2312"/>
          <w:b/>
          <w:bCs/>
          <w:sz w:val="32"/>
        </w:rPr>
      </w:pPr>
    </w:p>
    <w:p>
      <w:pPr>
        <w:pStyle w:val="5"/>
        <w:numPr>
          <w:ilvl w:val="0"/>
          <w:numId w:val="0"/>
        </w:numPr>
        <w:spacing w:before="0" w:beforeLines="0" w:beforeAutospacing="0" w:after="0" w:afterLines="0" w:afterAutospacing="0" w:line="560" w:lineRule="exact"/>
        <w:rPr>
          <w:rFonts w:hint="eastAsia" w:ascii="仿宋_GB2312" w:hAnsi="仿宋_GB2312" w:eastAsia="仿宋_GB2312" w:cs="仿宋_GB2312"/>
          <w:b/>
          <w:bCs/>
          <w:sz w:val="32"/>
          <w:lang w:eastAsia="zh-CN"/>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b/>
          <w:bCs/>
          <w:sz w:val="32"/>
          <w:lang w:eastAsia="zh-CN"/>
        </w:rPr>
        <w:t>一、</w:t>
      </w:r>
      <w:r>
        <w:rPr>
          <w:rFonts w:hint="eastAsia" w:ascii="仿宋_GB2312" w:hAnsi="仿宋_GB2312" w:eastAsia="仿宋_GB2312" w:cs="仿宋_GB2312"/>
          <w:b/>
          <w:bCs/>
          <w:sz w:val="32"/>
        </w:rPr>
        <w:t>主要职</w:t>
      </w:r>
      <w:r>
        <w:rPr>
          <w:rFonts w:hint="eastAsia" w:ascii="仿宋_GB2312" w:hAnsi="仿宋_GB2312" w:eastAsia="仿宋_GB2312" w:cs="仿宋_GB2312"/>
          <w:b/>
          <w:bCs/>
          <w:sz w:val="32"/>
          <w:lang w:eastAsia="zh-CN"/>
        </w:rPr>
        <w:t>能及主要工作</w:t>
      </w:r>
    </w:p>
    <w:p>
      <w:pPr>
        <w:pStyle w:val="5"/>
        <w:numPr>
          <w:ilvl w:val="0"/>
          <w:numId w:val="0"/>
        </w:numPr>
        <w:spacing w:before="0" w:beforeLines="0" w:beforeAutospacing="0" w:after="0" w:afterLines="0" w:afterAutospacing="0" w:line="560" w:lineRule="exact"/>
        <w:rPr>
          <w:rFonts w:hint="eastAsia" w:ascii="仿宋_GB2312" w:hAnsi="仿宋_GB2312" w:eastAsia="仿宋_GB2312" w:cs="仿宋_GB2312"/>
          <w:b/>
          <w:bCs/>
          <w:sz w:val="32"/>
        </w:rPr>
      </w:pPr>
      <w:r>
        <w:rPr>
          <w:rFonts w:hint="eastAsia" w:ascii="仿宋_GB2312" w:hAnsi="仿宋_GB2312" w:eastAsia="仿宋_GB2312" w:cs="仿宋_GB2312"/>
          <w:b/>
          <w:bCs/>
          <w:sz w:val="32"/>
          <w:lang w:val="en-US" w:eastAsia="zh-CN"/>
        </w:rPr>
        <w:t xml:space="preserve">    （一）</w:t>
      </w:r>
      <w:r>
        <w:rPr>
          <w:rFonts w:hint="eastAsia" w:ascii="仿宋_GB2312" w:hAnsi="仿宋_GB2312" w:eastAsia="仿宋_GB2312" w:cs="仿宋_GB2312"/>
          <w:b/>
          <w:bCs/>
          <w:sz w:val="32"/>
          <w:lang w:eastAsia="zh-CN"/>
        </w:rPr>
        <w:t>主要职能</w:t>
      </w:r>
    </w:p>
    <w:p>
      <w:pPr>
        <w:pStyle w:val="5"/>
        <w:spacing w:before="0" w:beforeLines="0" w:beforeAutospacing="0" w:after="0" w:afterLines="0" w:afterAutospacing="0" w:line="560" w:lineRule="exact"/>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1</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贯彻执行国家和省有关交通运输行业的方针、政策和法律法规；拟订全市公路和水路交通行业发展规划、政策和标准并监督实施。</w:t>
      </w:r>
    </w:p>
    <w:p>
      <w:pPr>
        <w:pStyle w:val="5"/>
        <w:spacing w:before="0" w:beforeLines="0" w:beforeAutospacing="0" w:after="0" w:afterLines="0" w:afterAutospacing="0" w:line="560" w:lineRule="exact"/>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2</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负责全市交通行业统计和信息引导工作。</w:t>
      </w:r>
    </w:p>
    <w:p>
      <w:pPr>
        <w:pStyle w:val="5"/>
        <w:spacing w:before="0" w:beforeLines="0" w:beforeAutospacing="0" w:after="0" w:afterLines="0" w:afterAutospacing="0" w:line="560" w:lineRule="exact"/>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3</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负责交通行业普法和维稳工作。</w:t>
      </w:r>
    </w:p>
    <w:p>
      <w:pPr>
        <w:pStyle w:val="5"/>
        <w:spacing w:before="0" w:beforeLines="0" w:beforeAutospacing="0" w:after="0" w:afterLines="0" w:afterAutospacing="0" w:line="560" w:lineRule="exact"/>
        <w:ind w:firstLine="643" w:firstLineChars="200"/>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4</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负责全市交通运输市场监管职责，包括客货运输市场、出租汽车和城市公交车、汽车综合性能检测、汽车维修市场、运输服务市场、搬运装卸市场、汽车驾驶学校和驾驶员培训、运输场点建设工作的监管；维护交通运输行业平等竞争秩序；指导城乡客、货运输的管理协调工作；指导本市交通运输行业优化结构、协调发展；对关系救灾、抢险、战备等紧急客货运输进行必要调控。</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5</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负责组织实施国家和省、市重点公路、水路工程建设；负责我市城乡公路基础设施的规划、建设、管理、养护；按规定负责渡改桥规划、督促工作；监督我市地方交通建设项目实施。</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6</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负责全市公路、水路设施的维护和公路产权及路政管理。</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b/>
          <w:bCs/>
          <w:sz w:val="32"/>
          <w:lang w:val="en-US" w:eastAsia="zh-CN"/>
        </w:rPr>
        <w:t>7</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负责全市公路、水路交通安全生产和应急管理工作，管理和指导交通建设施工安全作业；负责船舶及水上设施检验、救助打捞的管理；负责船员培训和发证的归口管理。</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8</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贯彻执行国家和省有关交通科技政策；指导实施交通行业计量、质量、技术标准和规范工作；组织落实全市交通科技政策、技术标准；推广新的科技项目，加强行业科技创新和进步。</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9</w:t>
      </w:r>
      <w:r>
        <w:rPr>
          <w:rFonts w:hint="eastAsia" w:ascii="仿宋_GB2312" w:hAnsi="仿宋_GB2312" w:eastAsia="仿宋_GB2312" w:cs="仿宋_GB2312"/>
          <w:sz w:val="32"/>
          <w:lang w:val="en-US" w:eastAsia="zh-CN"/>
        </w:rPr>
        <w:t>.</w:t>
      </w:r>
      <w:r>
        <w:rPr>
          <w:rFonts w:hint="eastAsia" w:ascii="仿宋_GB2312" w:hAnsi="仿宋_GB2312" w:eastAsia="仿宋_GB2312" w:cs="仿宋_GB2312"/>
          <w:sz w:val="32"/>
        </w:rPr>
        <w:t>指导交通行业的体制改革和交通特许经营企业的管理；建立健全规范的交通行业财务管理与会计核算体系；监督管理全市交通行业国有资产。</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10.</w:t>
      </w:r>
      <w:r>
        <w:rPr>
          <w:rFonts w:hint="eastAsia" w:ascii="仿宋_GB2312" w:hAnsi="仿宋_GB2312" w:eastAsia="仿宋_GB2312" w:cs="仿宋_GB2312"/>
          <w:sz w:val="32"/>
        </w:rPr>
        <w:t>负责交通行业人才预测和教育培训工作。</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11.</w:t>
      </w:r>
      <w:r>
        <w:rPr>
          <w:rFonts w:hint="eastAsia" w:ascii="仿宋_GB2312" w:hAnsi="仿宋_GB2312" w:eastAsia="仿宋_GB2312" w:cs="仿宋_GB2312"/>
          <w:sz w:val="32"/>
        </w:rPr>
        <w:t>负责有关交通运输涉外工作，指导交通运输行业利用外资工作；开展交通经济技术合作与交流工作。</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 xml:space="preserve">    </w:t>
      </w:r>
      <w:r>
        <w:rPr>
          <w:rFonts w:hint="eastAsia" w:ascii="仿宋_GB2312" w:hAnsi="仿宋_GB2312" w:eastAsia="仿宋_GB2312" w:cs="仿宋_GB2312"/>
          <w:b/>
          <w:bCs/>
          <w:sz w:val="32"/>
          <w:lang w:val="en-US" w:eastAsia="zh-CN"/>
        </w:rPr>
        <w:t>12.</w:t>
      </w:r>
      <w:r>
        <w:rPr>
          <w:rFonts w:hint="eastAsia" w:ascii="仿宋_GB2312" w:hAnsi="仿宋_GB2312" w:eastAsia="仿宋_GB2312" w:cs="仿宋_GB2312"/>
          <w:sz w:val="32"/>
        </w:rPr>
        <w:t>负责对辖区内的公路、桥梁等建设项目依法开展环境影响评价，指导全市公路、水路行业环境保护和节能减排工作。</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13.</w:t>
      </w:r>
      <w:r>
        <w:rPr>
          <w:rFonts w:hint="eastAsia" w:ascii="仿宋_GB2312" w:hAnsi="仿宋_GB2312" w:eastAsia="仿宋_GB2312" w:cs="仿宋_GB2312"/>
          <w:sz w:val="32"/>
        </w:rPr>
        <w:t>负责全市交通战备工作。</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14.</w:t>
      </w:r>
      <w:r>
        <w:rPr>
          <w:rFonts w:hint="eastAsia" w:ascii="仿宋_GB2312" w:hAnsi="仿宋_GB2312" w:eastAsia="仿宋_GB2312" w:cs="仿宋_GB2312"/>
          <w:sz w:val="32"/>
        </w:rPr>
        <w:t>承办市政府批准保留的行政审批事项。</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3" w:firstLineChars="200"/>
        <w:jc w:val="left"/>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b/>
          <w:bCs/>
          <w:sz w:val="32"/>
          <w:lang w:val="en-US" w:eastAsia="zh-CN"/>
        </w:rPr>
        <w:t>15.</w:t>
      </w:r>
      <w:r>
        <w:rPr>
          <w:rFonts w:hint="eastAsia" w:ascii="仿宋_GB2312" w:hAnsi="仿宋_GB2312" w:eastAsia="仿宋_GB2312" w:cs="仿宋_GB2312"/>
          <w:sz w:val="32"/>
        </w:rPr>
        <w:t>承办市政府交办的其他事项。</w:t>
      </w:r>
    </w:p>
    <w:p>
      <w:pPr>
        <w:pStyle w:val="5"/>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60" w:lineRule="exact"/>
        <w:ind w:right="0" w:rightChars="0"/>
        <w:jc w:val="left"/>
        <w:textAlignment w:val="auto"/>
        <w:outlineLvl w:val="9"/>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b/>
          <w:bCs/>
          <w:sz w:val="32"/>
          <w:lang w:val="en-US" w:eastAsia="zh-CN"/>
        </w:rPr>
        <w:t xml:space="preserve">   </w:t>
      </w:r>
      <w:r>
        <w:rPr>
          <w:rFonts w:hint="eastAsia" w:ascii="仿宋_GB2312" w:hAnsi="仿宋_GB2312" w:eastAsia="仿宋_GB2312" w:cs="仿宋_GB2312"/>
          <w:b/>
          <w:bCs/>
          <w:sz w:val="32"/>
          <w:lang w:eastAsia="zh-CN"/>
        </w:rPr>
        <w:t>（二）</w:t>
      </w:r>
      <w:r>
        <w:rPr>
          <w:rFonts w:hint="eastAsia" w:ascii="仿宋_GB2312" w:hAnsi="仿宋_GB2312" w:eastAsia="仿宋_GB2312" w:cs="仿宋_GB2312"/>
          <w:b/>
          <w:bCs/>
          <w:sz w:val="32"/>
          <w:lang w:val="en-US" w:eastAsia="zh-CN"/>
        </w:rPr>
        <w:t>2017年</w:t>
      </w:r>
      <w:r>
        <w:rPr>
          <w:rFonts w:hint="eastAsia" w:ascii="黑体" w:hAnsi="黑体" w:eastAsia="黑体"/>
          <w:b w:val="0"/>
          <w:i w:val="0"/>
          <w:snapToGrid/>
          <w:color w:val="auto"/>
          <w:sz w:val="32"/>
          <w:lang w:val="en-US" w:eastAsia="zh-CN"/>
        </w:rPr>
        <w:t>主要</w:t>
      </w:r>
      <w:r>
        <w:rPr>
          <w:rFonts w:hint="eastAsia" w:ascii="仿宋_GB2312" w:hAnsi="仿宋_GB2312" w:eastAsia="仿宋_GB2312" w:cs="仿宋_GB2312"/>
          <w:b/>
          <w:bCs/>
          <w:sz w:val="32"/>
          <w:lang w:val="en-US" w:eastAsia="zh-CN"/>
        </w:rPr>
        <w:t>工作完成情况</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0"/>
        </w:rPr>
      </w:pPr>
      <w:r>
        <w:rPr>
          <w:rFonts w:hint="eastAsia" w:ascii="方正楷体简体" w:hAnsi="方正楷体简体" w:eastAsia="方正楷体简体" w:cs="方正楷体简体"/>
          <w:b w:val="0"/>
          <w:i w:val="0"/>
          <w:snapToGrid/>
          <w:color w:val="auto"/>
          <w:sz w:val="32"/>
          <w:lang w:val="en-US" w:eastAsia="zh-CN"/>
        </w:rPr>
        <w:t>（一）全力以赴，超额完成目标任务。</w:t>
      </w:r>
      <w:r>
        <w:rPr>
          <w:rFonts w:hint="eastAsia" w:ascii="方正仿宋_GBK" w:hAnsi="方正仿宋_GBK" w:eastAsia="方正仿宋_GBK" w:cs="方正仿宋_GBK"/>
          <w:color w:val="auto"/>
          <w:kern w:val="0"/>
          <w:sz w:val="32"/>
          <w:szCs w:val="32"/>
          <w:lang w:val="en-US" w:eastAsia="zh-CN"/>
        </w:rPr>
        <w:t>全年完成固定资产投资3.79亿元，完成目标105%。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方正仿宋_GBK" w:hAnsi="方正仿宋_GBK" w:eastAsia="方正仿宋_GBK" w:cs="方正仿宋_GBK"/>
          <w:color w:val="auto"/>
          <w:kern w:val="0"/>
          <w:sz w:val="32"/>
          <w:szCs w:val="32"/>
          <w:lang w:val="zh-CN" w:eastAsia="zh-CN" w:bidi="ar-SA"/>
        </w:rPr>
      </w:pPr>
      <w:r>
        <w:rPr>
          <w:rFonts w:hint="eastAsia" w:ascii="方正黑体简体" w:hAnsi="方正黑体简体" w:eastAsia="方正黑体简体" w:cs="方正黑体简体"/>
          <w:b w:val="0"/>
          <w:i w:val="0"/>
          <w:snapToGrid/>
          <w:color w:val="auto"/>
          <w:kern w:val="0"/>
          <w:sz w:val="32"/>
          <w:szCs w:val="22"/>
          <w:lang w:val="en-US" w:eastAsia="zh-CN" w:bidi="ar-SA"/>
        </w:rPr>
        <w:t>（</w:t>
      </w:r>
      <w:r>
        <w:rPr>
          <w:rFonts w:hint="eastAsia" w:ascii="方正楷体简体" w:hAnsi="方正楷体简体" w:eastAsia="方正楷体简体" w:cs="方正楷体简体"/>
          <w:b w:val="0"/>
          <w:i w:val="0"/>
          <w:snapToGrid/>
          <w:color w:val="auto"/>
          <w:kern w:val="0"/>
          <w:sz w:val="32"/>
          <w:szCs w:val="22"/>
          <w:lang w:val="en-US" w:eastAsia="zh-CN" w:bidi="ar-SA"/>
        </w:rPr>
        <w:t>二）超前谋划，畅通外联路网</w:t>
      </w:r>
      <w:r>
        <w:rPr>
          <w:rFonts w:hint="eastAsia" w:ascii="方正黑体简体" w:hAnsi="方正黑体简体" w:eastAsia="方正黑体简体" w:cs="方正黑体简体"/>
          <w:b w:val="0"/>
          <w:i w:val="0"/>
          <w:snapToGrid/>
          <w:color w:val="auto"/>
          <w:kern w:val="0"/>
          <w:sz w:val="32"/>
          <w:szCs w:val="22"/>
          <w:lang w:val="en-US" w:eastAsia="zh-CN" w:bidi="ar-SA"/>
        </w:rPr>
        <w:t>。</w:t>
      </w:r>
      <w:r>
        <w:rPr>
          <w:rFonts w:hint="eastAsia" w:ascii="方正仿宋_GBK" w:hAnsi="方正仿宋_GBK" w:eastAsia="方正仿宋_GBK" w:cs="方正仿宋_GBK"/>
          <w:color w:val="auto"/>
          <w:kern w:val="0"/>
          <w:sz w:val="32"/>
          <w:szCs w:val="32"/>
          <w:lang w:val="zh-CN" w:eastAsia="zh-CN" w:bidi="ar-SA"/>
        </w:rPr>
        <w:t>把握我市区位优势及机遇，着力构建“七纵七横多轨”干线交通网络。</w:t>
      </w:r>
      <w:r>
        <w:rPr>
          <w:rFonts w:hint="eastAsia" w:ascii="方正仿宋_GBK" w:hAnsi="方正仿宋_GBK" w:eastAsia="方正仿宋_GBK" w:cs="方正仿宋_GBK"/>
          <w:color w:val="auto"/>
          <w:kern w:val="0"/>
          <w:sz w:val="32"/>
          <w:szCs w:val="32"/>
          <w:lang w:val="en-US" w:eastAsia="zh-CN" w:bidi="ar-SA"/>
        </w:rPr>
        <w:t>主动对接省、市，落实好涉及广汉的重点交通项目。天府大道北延线广汉段已完成初设放线，正开展征拆工作。天府机场快速路完成初设，正在优化线形方案。S401正在进行方案设计和工可。推进成绵高速扩容、天府大道北延线什邡连接线、G108大件路、成德大道、旌江大道改造等项目前期工作。同时，</w:t>
      </w:r>
      <w:r>
        <w:rPr>
          <w:rFonts w:hint="eastAsia" w:ascii="方正仿宋_GBK" w:hAnsi="方正仿宋_GBK" w:eastAsia="方正仿宋_GBK" w:cs="方正仿宋_GBK"/>
          <w:color w:val="auto"/>
          <w:kern w:val="0"/>
          <w:sz w:val="32"/>
          <w:szCs w:val="32"/>
          <w:lang w:val="zh-CN" w:eastAsia="zh-CN" w:bidi="ar-SA"/>
        </w:rPr>
        <w:t>加强与成都周边区县的规划对接，与新都、青白江、金堂、简阳等区县交通部门定期召开联席会议，做好外联道路延伸对接。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0"/>
        <w:jc w:val="left"/>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楷体简体" w:hAnsi="方正楷体简体" w:eastAsia="方正楷体简体" w:cs="方正楷体简体"/>
          <w:b w:val="0"/>
          <w:i w:val="0"/>
          <w:snapToGrid/>
          <w:color w:val="auto"/>
          <w:kern w:val="0"/>
          <w:sz w:val="32"/>
          <w:szCs w:val="22"/>
          <w:lang w:val="en-US" w:eastAsia="zh-CN" w:bidi="ar-SA"/>
        </w:rPr>
        <w:t>（三）补齐短板，完善区域内交通网络。</w:t>
      </w:r>
      <w:r>
        <w:rPr>
          <w:rFonts w:hint="eastAsia" w:ascii="方正仿宋_GBK" w:hAnsi="方正仿宋_GBK" w:eastAsia="方正仿宋_GBK" w:cs="方正仿宋_GBK"/>
          <w:color w:val="auto"/>
          <w:kern w:val="0"/>
          <w:sz w:val="32"/>
          <w:szCs w:val="32"/>
          <w:lang w:val="en-US" w:eastAsia="zh-CN" w:bidi="ar-SA"/>
        </w:rPr>
        <w:t>完成S422广汉段、连三路、金汉路铁路下穿等14个项目。和兴大桥主体完工；平西路、南和路、三星堆大桥等项目进展顺利。大力推进“四好农村路”建设，</w:t>
      </w:r>
      <w:r>
        <w:rPr>
          <w:rFonts w:hint="eastAsia" w:ascii="方正仿宋_GBK" w:hAnsi="方正仿宋_GBK" w:eastAsia="方正仿宋_GBK" w:cs="方正仿宋_GBK"/>
          <w:color w:val="auto"/>
          <w:kern w:val="0"/>
          <w:sz w:val="32"/>
          <w:szCs w:val="32"/>
          <w:lang w:val="zh-CN" w:eastAsia="zh-CN" w:bidi="ar-SA"/>
        </w:rPr>
        <w:t>脱贫攻坚工作取得良好成效。</w:t>
      </w:r>
      <w:r>
        <w:rPr>
          <w:rFonts w:hint="eastAsia" w:ascii="方正仿宋_GBK" w:hAnsi="方正仿宋_GBK" w:eastAsia="方正仿宋_GBK" w:cs="方正仿宋_GBK"/>
          <w:color w:val="auto"/>
          <w:kern w:val="0"/>
          <w:sz w:val="32"/>
          <w:szCs w:val="32"/>
          <w:lang w:val="en-US" w:eastAsia="zh-CN" w:bidi="ar-SA"/>
        </w:rPr>
        <w:t>全年共完成道路建设107.6公里（重点道路44.9公里，村道62.7公里）、互通工程1个、桥梁2座、安保工程8公里，完成乡镇客运站1个。</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楷体简体" w:hAnsi="方正楷体简体" w:eastAsia="方正楷体简体" w:cs="方正楷体简体"/>
          <w:b w:val="0"/>
          <w:i w:val="0"/>
          <w:snapToGrid/>
          <w:color w:val="auto"/>
          <w:kern w:val="0"/>
          <w:sz w:val="32"/>
          <w:szCs w:val="22"/>
          <w:lang w:val="en-US" w:eastAsia="zh-CN" w:bidi="ar-SA"/>
        </w:rPr>
        <w:t xml:space="preserve">   （四）规范管理，大力推进公共交通发展。</w:t>
      </w:r>
      <w:r>
        <w:rPr>
          <w:rFonts w:hint="eastAsia" w:ascii="方正仿宋_GBK" w:hAnsi="方正仿宋_GBK" w:eastAsia="方正仿宋_GBK" w:cs="方正仿宋_GBK"/>
          <w:color w:val="auto"/>
          <w:kern w:val="0"/>
          <w:sz w:val="32"/>
          <w:szCs w:val="32"/>
          <w:lang w:val="en-US" w:eastAsia="zh-CN" w:bidi="ar-SA"/>
        </w:rPr>
        <w:t>推进建设城际列车客运站项目。完成公交体制改革工作，将原来个体挂靠经营的公交车41辆全部由公司回购，实行公司化经营管理。在德阳各县市区中率先投入10台纯电动公交车运行，计划2年内全部实现新能源公交车。做好航展、重点节假日等各项道路运输保障工作。全年共运送旅客2479万人次，运送货物1920万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0"/>
        <w:jc w:val="both"/>
        <w:textAlignment w:val="auto"/>
        <w:outlineLvl w:val="9"/>
        <w:rPr>
          <w:rFonts w:hint="eastAsia" w:ascii="方正仿宋_GBK" w:hAnsi="方正仿宋_GBK" w:eastAsia="方正仿宋_GBK" w:cs="方正仿宋_GBK"/>
          <w:color w:val="auto"/>
          <w:kern w:val="0"/>
          <w:sz w:val="32"/>
          <w:szCs w:val="32"/>
          <w:lang w:val="en-US" w:eastAsia="zh-CN" w:bidi="ar-SA"/>
        </w:rPr>
      </w:pPr>
      <w:r>
        <w:rPr>
          <w:rFonts w:hint="eastAsia" w:ascii="方正楷体简体" w:hAnsi="方正楷体简体" w:eastAsia="方正楷体简体" w:cs="方正楷体简体"/>
          <w:b w:val="0"/>
          <w:i w:val="0"/>
          <w:snapToGrid/>
          <w:color w:val="auto"/>
          <w:kern w:val="0"/>
          <w:sz w:val="32"/>
          <w:szCs w:val="22"/>
          <w:lang w:val="zh-CN" w:eastAsia="zh-CN" w:bidi="ar-SA"/>
        </w:rPr>
        <w:t>（五）管养并重</w:t>
      </w:r>
      <w:r>
        <w:rPr>
          <w:rFonts w:hint="eastAsia" w:ascii="方正楷体简体" w:hAnsi="方正楷体简体" w:eastAsia="方正楷体简体" w:cs="方正楷体简体"/>
          <w:b w:val="0"/>
          <w:i w:val="0"/>
          <w:snapToGrid/>
          <w:color w:val="auto"/>
          <w:kern w:val="0"/>
          <w:sz w:val="32"/>
          <w:szCs w:val="22"/>
          <w:lang w:val="en-US" w:eastAsia="zh-CN" w:bidi="ar-SA"/>
        </w:rPr>
        <w:t>，扎实</w:t>
      </w:r>
      <w:r>
        <w:rPr>
          <w:rFonts w:hint="eastAsia" w:ascii="方正楷体简体" w:hAnsi="方正楷体简体" w:eastAsia="方正楷体简体" w:cs="方正楷体简体"/>
          <w:b w:val="0"/>
          <w:i w:val="0"/>
          <w:snapToGrid/>
          <w:color w:val="auto"/>
          <w:kern w:val="0"/>
          <w:sz w:val="32"/>
          <w:szCs w:val="22"/>
          <w:lang w:val="zh-CN" w:eastAsia="zh-CN" w:bidi="ar-SA"/>
        </w:rPr>
        <w:t>开展交通环保治理。</w:t>
      </w:r>
      <w:r>
        <w:rPr>
          <w:rFonts w:hint="eastAsia" w:ascii="方正仿宋_GBK" w:hAnsi="方正仿宋_GBK" w:eastAsia="方正仿宋_GBK" w:cs="方正仿宋_GBK"/>
          <w:color w:val="auto"/>
          <w:kern w:val="0"/>
          <w:sz w:val="32"/>
          <w:szCs w:val="32"/>
          <w:lang w:val="en-US" w:eastAsia="zh-CN" w:bidi="ar-SA"/>
        </w:rPr>
        <w:t>推进公路养护市场化经营，有序展开公路养护向社会购买服务工作，完成旌江大道、北京大道、九高路等道路病害处置及预防性养护。扎实开展交通环保治理，</w:t>
      </w:r>
      <w:r>
        <w:rPr>
          <w:rFonts w:hint="eastAsia" w:ascii="方正仿宋_GBK" w:hAnsi="方正仿宋_GBK" w:eastAsia="方正仿宋_GBK" w:cs="方正仿宋_GBK"/>
          <w:color w:val="auto"/>
          <w:kern w:val="0"/>
          <w:sz w:val="32"/>
          <w:szCs w:val="32"/>
          <w:lang w:val="zh-CN" w:eastAsia="zh-CN" w:bidi="ar-SA"/>
        </w:rPr>
        <w:t>加强扬尘治理和大气污染防治。</w:t>
      </w:r>
      <w:r>
        <w:rPr>
          <w:rFonts w:hint="eastAsia" w:ascii="方正仿宋_GBK" w:hAnsi="方正仿宋_GBK" w:eastAsia="方正仿宋_GBK" w:cs="方正仿宋_GBK"/>
          <w:color w:val="auto"/>
          <w:kern w:val="0"/>
          <w:sz w:val="32"/>
          <w:szCs w:val="32"/>
          <w:lang w:val="en-US" w:eastAsia="zh-CN" w:bidi="ar-SA"/>
        </w:rPr>
        <w:t>加大路政管理和超限车辆查处力度，最大限度保护好已建成道路成果。</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kern w:val="0"/>
          <w:sz w:val="32"/>
          <w:szCs w:val="32"/>
          <w:lang w:val="en-US" w:eastAsia="zh-CN"/>
        </w:rPr>
      </w:pPr>
      <w:r>
        <w:rPr>
          <w:rFonts w:hint="eastAsia" w:ascii="方正楷体简体" w:hAnsi="方正楷体简体" w:eastAsia="方正楷体简体" w:cs="方正楷体简体"/>
          <w:b w:val="0"/>
          <w:i w:val="0"/>
          <w:snapToGrid/>
          <w:color w:val="auto"/>
          <w:sz w:val="32"/>
          <w:lang w:val="en-US" w:eastAsia="zh-CN"/>
        </w:rPr>
        <w:t>（六）夯实基础，</w:t>
      </w:r>
      <w:r>
        <w:rPr>
          <w:rFonts w:hint="default" w:ascii="方正楷体简体" w:hAnsi="方正楷体简体" w:eastAsia="方正楷体简体" w:cs="方正楷体简体"/>
          <w:b w:val="0"/>
          <w:i w:val="0"/>
          <w:snapToGrid/>
          <w:color w:val="auto"/>
          <w:sz w:val="32"/>
          <w:lang w:val="zh-CN" w:eastAsia="zh-CN"/>
        </w:rPr>
        <w:t>安全稳定</w:t>
      </w:r>
      <w:r>
        <w:rPr>
          <w:rFonts w:hint="eastAsia" w:ascii="方正楷体简体" w:hAnsi="方正楷体简体" w:eastAsia="方正楷体简体" w:cs="方正楷体简体"/>
          <w:b w:val="0"/>
          <w:i w:val="0"/>
          <w:snapToGrid/>
          <w:color w:val="auto"/>
          <w:sz w:val="32"/>
          <w:lang w:val="zh-CN" w:eastAsia="zh-CN"/>
        </w:rPr>
        <w:t>形势持续向好</w:t>
      </w:r>
      <w:r>
        <w:rPr>
          <w:rFonts w:hint="eastAsia" w:ascii="方正黑体简体" w:hAnsi="方正黑体简体" w:eastAsia="方正黑体简体" w:cs="方正黑体简体"/>
          <w:b w:val="0"/>
          <w:i w:val="0"/>
          <w:snapToGrid/>
          <w:color w:val="auto"/>
          <w:sz w:val="32"/>
          <w:lang w:val="zh-CN" w:eastAsia="zh-CN"/>
        </w:rPr>
        <w:t>。</w:t>
      </w:r>
      <w:r>
        <w:rPr>
          <w:rFonts w:hint="eastAsia" w:ascii="方正仿宋_GBK" w:hAnsi="方正仿宋_GBK" w:eastAsia="方正仿宋_GBK" w:cs="方正仿宋_GBK"/>
          <w:color w:val="auto"/>
          <w:kern w:val="0"/>
          <w:sz w:val="32"/>
          <w:szCs w:val="32"/>
          <w:lang w:val="zh-CN" w:eastAsia="zh-CN"/>
        </w:rPr>
        <w:t>严格落实安全稳定“一岗双责”制度，紧紧围绕</w:t>
      </w:r>
      <w:r>
        <w:rPr>
          <w:rFonts w:hint="eastAsia" w:ascii="方正仿宋_GBK" w:hAnsi="方正仿宋_GBK" w:eastAsia="方正仿宋_GBK" w:cs="方正仿宋_GBK"/>
          <w:color w:val="auto"/>
          <w:kern w:val="0"/>
          <w:sz w:val="32"/>
          <w:szCs w:val="32"/>
          <w:lang w:val="en-US" w:eastAsia="zh-CN"/>
        </w:rPr>
        <w:t>客货运输、项目施工、汛期安全、寄递物流安全等重点</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开展安全隐患排查整治。完成安全生产迎国检工作，全年</w:t>
      </w:r>
      <w:r>
        <w:rPr>
          <w:rFonts w:hint="eastAsia" w:ascii="方正仿宋_GBK" w:hAnsi="方正仿宋_GBK" w:eastAsia="方正仿宋_GBK" w:cs="方正仿宋_GBK"/>
          <w:color w:val="auto"/>
          <w:kern w:val="0"/>
          <w:sz w:val="32"/>
          <w:szCs w:val="32"/>
          <w:lang w:val="zh-CN" w:eastAsia="zh-CN"/>
        </w:rPr>
        <w:t>安全工作形势平稳。</w:t>
      </w:r>
      <w:r>
        <w:rPr>
          <w:rFonts w:hint="eastAsia" w:ascii="方正仿宋_GBK" w:hAnsi="方正仿宋_GBK" w:eastAsia="方正仿宋_GBK" w:cs="方正仿宋_GBK"/>
          <w:color w:val="auto"/>
          <w:kern w:val="0"/>
          <w:sz w:val="32"/>
          <w:szCs w:val="32"/>
          <w:lang w:val="en-US" w:eastAsia="zh-CN"/>
        </w:rPr>
        <w:t>稳妥处理城市公交、出租车行业不稳定因素，积极处理运输企业改制遗留问题，行</w:t>
      </w:r>
      <w:r>
        <w:rPr>
          <w:rFonts w:hint="default" w:ascii="方正仿宋_GBK" w:hAnsi="方正仿宋_GBK" w:eastAsia="方正仿宋_GBK" w:cs="方正仿宋_GBK"/>
          <w:color w:val="auto"/>
          <w:kern w:val="0"/>
          <w:sz w:val="32"/>
          <w:szCs w:val="32"/>
          <w:lang w:val="en-US" w:eastAsia="zh-CN"/>
        </w:rPr>
        <w:t>业</w:t>
      </w:r>
      <w:r>
        <w:rPr>
          <w:rFonts w:hint="eastAsia" w:ascii="方正仿宋_GBK" w:hAnsi="方正仿宋_GBK" w:eastAsia="方正仿宋_GBK" w:cs="方正仿宋_GBK"/>
          <w:color w:val="auto"/>
          <w:kern w:val="0"/>
          <w:sz w:val="32"/>
          <w:szCs w:val="32"/>
          <w:lang w:val="en-US" w:eastAsia="zh-CN"/>
        </w:rPr>
        <w:t>总体平</w:t>
      </w:r>
      <w:r>
        <w:rPr>
          <w:rFonts w:hint="default" w:ascii="方正仿宋_GBK" w:hAnsi="方正仿宋_GBK" w:eastAsia="方正仿宋_GBK" w:cs="方正仿宋_GBK"/>
          <w:color w:val="auto"/>
          <w:kern w:val="0"/>
          <w:sz w:val="32"/>
          <w:szCs w:val="32"/>
          <w:lang w:val="en-US" w:eastAsia="zh-CN"/>
        </w:rPr>
        <w:t>稳</w:t>
      </w:r>
      <w:r>
        <w:rPr>
          <w:rFonts w:hint="eastAsia" w:ascii="方正仿宋_GBK" w:hAnsi="方正仿宋_GBK" w:eastAsia="方正仿宋_GBK" w:cs="方正仿宋_GBK"/>
          <w:color w:val="auto"/>
          <w:kern w:val="0"/>
          <w:sz w:val="32"/>
          <w:szCs w:val="32"/>
          <w:lang w:val="en-US" w:eastAsia="zh-CN"/>
        </w:rPr>
        <w:t>可控</w:t>
      </w:r>
      <w:r>
        <w:rPr>
          <w:rFonts w:hint="default" w:ascii="方正仿宋_GBK" w:hAnsi="方正仿宋_GBK" w:eastAsia="方正仿宋_GBK" w:cs="方正仿宋_GBK"/>
          <w:color w:val="auto"/>
          <w:kern w:val="0"/>
          <w:sz w:val="32"/>
          <w:szCs w:val="32"/>
          <w:lang w:val="en-US" w:eastAsia="zh-CN"/>
        </w:rPr>
        <w:t>。</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楷体简体" w:hAnsi="方正楷体简体" w:eastAsia="方正楷体简体" w:cs="方正楷体简体"/>
          <w:b w:val="0"/>
          <w:i w:val="0"/>
          <w:snapToGrid/>
          <w:color w:val="auto"/>
          <w:sz w:val="32"/>
          <w:lang w:val="en-US" w:eastAsia="zh-CN"/>
        </w:rPr>
        <w:t>（七）崇廉尚实，切实加强党的建设。</w:t>
      </w:r>
      <w:r>
        <w:rPr>
          <w:rFonts w:hint="eastAsia" w:ascii="方正仿宋_GBK" w:hAnsi="方正仿宋_GBK" w:eastAsia="方正仿宋_GBK" w:cs="方正仿宋_GBK"/>
          <w:color w:val="auto"/>
          <w:kern w:val="0"/>
          <w:sz w:val="32"/>
          <w:szCs w:val="32"/>
          <w:lang w:val="en-US" w:eastAsia="zh-CN"/>
        </w:rPr>
        <w:t>严格落实“两个责任”，以工程建设、行政许可、行政执法和资金管理为重点，全面推进廉政风险防控。</w:t>
      </w:r>
      <w:r>
        <w:rPr>
          <w:rFonts w:hint="eastAsia" w:ascii="方正仿宋_GBK" w:hAnsi="方正仿宋_GBK" w:eastAsia="方正仿宋_GBK" w:cs="方正仿宋_GBK"/>
          <w:color w:val="auto"/>
          <w:kern w:val="0"/>
          <w:sz w:val="32"/>
          <w:szCs w:val="32"/>
          <w:lang w:val="zh-CN" w:eastAsia="zh-CN"/>
        </w:rPr>
        <w:t>开展“五大行动”惩治“微腐败”提升群众获得感专项整治活动，政风行风持续好转，</w:t>
      </w:r>
      <w:r>
        <w:rPr>
          <w:rFonts w:hint="eastAsia" w:ascii="方正仿宋_GBK" w:hAnsi="方正仿宋_GBK" w:eastAsia="方正仿宋_GBK" w:cs="方正仿宋_GBK"/>
          <w:color w:val="auto"/>
          <w:kern w:val="0"/>
          <w:sz w:val="32"/>
          <w:szCs w:val="32"/>
          <w:lang w:val="en-US" w:eastAsia="zh-CN"/>
        </w:rPr>
        <w:t>形成风清气正的干事氛围。</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0"/>
          <w:sz w:val="32"/>
          <w:szCs w:val="30"/>
          <w:lang w:val="en-US" w:eastAsia="zh-CN"/>
        </w:rPr>
      </w:pPr>
    </w:p>
    <w:p>
      <w:pPr>
        <w:adjustRightInd w:val="0"/>
        <w:snapToGrid w:val="0"/>
        <w:spacing w:line="6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部门</w:t>
      </w:r>
      <w:r>
        <w:rPr>
          <w:rFonts w:hint="eastAsia" w:ascii="仿宋_GB2312" w:hAnsi="仿宋_GB2312" w:eastAsia="仿宋_GB2312" w:cs="仿宋_GB2312"/>
          <w:b/>
          <w:bCs/>
          <w:sz w:val="32"/>
          <w:szCs w:val="32"/>
          <w:lang w:eastAsia="zh-CN"/>
        </w:rPr>
        <w:t>概</w:t>
      </w:r>
      <w:r>
        <w:rPr>
          <w:rFonts w:hint="eastAsia" w:ascii="仿宋_GB2312" w:hAnsi="仿宋_GB2312" w:eastAsia="仿宋_GB2312" w:cs="仿宋_GB2312"/>
          <w:b/>
          <w:bCs/>
          <w:sz w:val="32"/>
          <w:szCs w:val="32"/>
        </w:rPr>
        <w:t>况</w:t>
      </w:r>
    </w:p>
    <w:p>
      <w:pPr>
        <w:pStyle w:val="2"/>
        <w:adjustRightInd w:val="0"/>
        <w:snapToGrid w:val="0"/>
        <w:spacing w:before="0" w:beforeLines="0" w:line="620" w:lineRule="exact"/>
        <w:ind w:firstLine="566" w:firstLineChars="177"/>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广汉市交通运输局</w:t>
      </w:r>
      <w:r>
        <w:rPr>
          <w:rFonts w:hint="eastAsia" w:ascii="仿宋_GB2312" w:hAnsi="仿宋_GB2312" w:eastAsia="仿宋_GB2312" w:cs="仿宋_GB2312"/>
          <w:color w:val="333333"/>
          <w:sz w:val="32"/>
          <w:szCs w:val="32"/>
        </w:rPr>
        <w:t>一级预算单位</w:t>
      </w:r>
      <w:r>
        <w:rPr>
          <w:rFonts w:hint="eastAsia" w:ascii="仿宋_GB2312" w:hAnsi="仿宋_GB2312" w:eastAsia="仿宋_GB2312" w:cs="仿宋_GB2312"/>
          <w:sz w:val="32"/>
          <w:szCs w:val="32"/>
        </w:rPr>
        <w:t>1个（广汉市交通运输局机关）</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二级预算单位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个，其中参照公务员法管理的事业单位</w:t>
      </w: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rPr>
        <w:t>个（广汉市公路路政管理所和广汉市地方海事处），其他事业单位1个（广汉市公路管理所）。</w:t>
      </w:r>
    </w:p>
    <w:p>
      <w:pPr>
        <w:pStyle w:val="2"/>
        <w:adjustRightInd w:val="0"/>
        <w:snapToGrid w:val="0"/>
        <w:spacing w:before="0" w:beforeLines="0" w:line="620" w:lineRule="exact"/>
        <w:jc w:val="lef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三、收支决算总体情况</w:t>
      </w:r>
    </w:p>
    <w:p>
      <w:pPr>
        <w:numPr>
          <w:ilvl w:val="0"/>
          <w:numId w:val="0"/>
        </w:numPr>
        <w:adjustRightInd w:val="0"/>
        <w:snapToGrid w:val="0"/>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2017年广汉市交通运输局部门汇总本年收入合计24528.58万元，其中：</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val="en-US" w:eastAsia="zh-CN"/>
        </w:rPr>
        <w:t>13679.92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，占总收入的</w:t>
      </w:r>
      <w:r>
        <w:rPr>
          <w:rFonts w:hint="eastAsia" w:ascii="仿宋_GB2312" w:hAnsi="仿宋_GB2312" w:eastAsia="仿宋_GB2312" w:cs="仿宋_GB2312"/>
          <w:sz w:val="32"/>
          <w:szCs w:val="32"/>
          <w:lang w:val="en-US" w:eastAsia="zh-CN"/>
        </w:rPr>
        <w:t>55.77%；其他收入10848.66万元，占总收入的44.23%。</w:t>
      </w:r>
    </w:p>
    <w:p>
      <w:pPr>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drawing>
          <wp:anchor distT="0" distB="0" distL="114300" distR="114300" simplePos="0" relativeHeight="251666432" behindDoc="0" locked="0" layoutInCell="1" allowOverlap="1">
            <wp:simplePos x="0" y="0"/>
            <wp:positionH relativeFrom="column">
              <wp:posOffset>457200</wp:posOffset>
            </wp:positionH>
            <wp:positionV relativeFrom="paragraph">
              <wp:posOffset>168910</wp:posOffset>
            </wp:positionV>
            <wp:extent cx="4109720" cy="2400935"/>
            <wp:effectExtent l="4445" t="4445" r="19685" b="13970"/>
            <wp:wrapSquare wrapText="bothSides"/>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rPr>
          <w:rFonts w:hint="eastAsia" w:ascii="仿宋_GB2312" w:hAnsi="仿宋_GB2312" w:eastAsia="仿宋_GB2312" w:cs="仿宋_GB2312"/>
        </w:rPr>
      </w:pPr>
    </w:p>
    <w:p>
      <w:pPr>
        <w:numPr>
          <w:ilvl w:val="0"/>
          <w:numId w:val="0"/>
        </w:numPr>
        <w:adjustRightInd w:val="0"/>
        <w:snapToGrid w:val="0"/>
        <w:spacing w:line="600" w:lineRule="exact"/>
        <w:ind w:firstLine="640"/>
        <w:rPr>
          <w:rFonts w:hint="eastAsia" w:ascii="仿宋_GB2312" w:hAnsi="仿宋_GB2312" w:eastAsia="仿宋_GB2312" w:cs="仿宋_GB2312"/>
          <w:sz w:val="32"/>
          <w:szCs w:val="32"/>
          <w:lang w:val="en-US" w:eastAsia="zh-CN"/>
        </w:rPr>
      </w:pPr>
    </w:p>
    <w:p>
      <w:pPr>
        <w:numPr>
          <w:ilvl w:val="0"/>
          <w:numId w:val="0"/>
        </w:numPr>
        <w:adjustRightInd w:val="0"/>
        <w:snapToGrid w:val="0"/>
        <w:spacing w:line="600" w:lineRule="exact"/>
        <w:ind w:firstLine="640"/>
        <w:rPr>
          <w:rFonts w:hint="eastAsia" w:ascii="仿宋_GB2312" w:hAnsi="仿宋_GB2312" w:eastAsia="仿宋_GB2312" w:cs="仿宋_GB2312"/>
          <w:sz w:val="32"/>
          <w:szCs w:val="32"/>
          <w:lang w:val="en-US" w:eastAsia="zh-CN"/>
        </w:rPr>
      </w:pPr>
    </w:p>
    <w:p>
      <w:pPr>
        <w:numPr>
          <w:ilvl w:val="0"/>
          <w:numId w:val="0"/>
        </w:numPr>
        <w:adjustRightInd w:val="0"/>
        <w:snapToGrid w:val="0"/>
        <w:spacing w:line="60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rPr>
        <mc:AlternateContent>
          <mc:Choice Requires="wps">
            <w:drawing>
              <wp:anchor distT="0" distB="0" distL="114300" distR="114300" simplePos="0" relativeHeight="251661312" behindDoc="0" locked="0" layoutInCell="1" allowOverlap="1">
                <wp:simplePos x="0" y="0"/>
                <wp:positionH relativeFrom="column">
                  <wp:posOffset>1216660</wp:posOffset>
                </wp:positionH>
                <wp:positionV relativeFrom="paragraph">
                  <wp:posOffset>10894695</wp:posOffset>
                </wp:positionV>
                <wp:extent cx="556895" cy="555625"/>
                <wp:effectExtent l="3175" t="3175" r="11430" b="12700"/>
                <wp:wrapNone/>
                <wp:docPr id="4" name="直接连接符 4"/>
                <wp:cNvGraphicFramePr/>
                <a:graphic xmlns:a="http://schemas.openxmlformats.org/drawingml/2006/main">
                  <a:graphicData uri="http://schemas.microsoft.com/office/word/2010/wordprocessingShape">
                    <wps:wsp>
                      <wps:cNvCnPr/>
                      <wps:spPr>
                        <a:xfrm>
                          <a:off x="2256155" y="4347845"/>
                          <a:ext cx="556895" cy="555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95.8pt;margin-top:857.85pt;height:43.75pt;width:43.85pt;z-index:251661312;mso-width-relative:page;mso-height-relative:page;" filled="f" stroked="t" coordsize="21600,21600" o:gfxdata="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M2ZDNoAAAANAQAADwAAAAAA&#10;AAABACAAAAAiAAAAZHJzL2Rvd25yZXYueG1sUEsBAhQAFAAAAAgAh07iQEXn3rPYAQAAcwMAAA4A&#10;AAAAAAAAAQAgAAAAKQEAAGRycy9lMm9Eb2MueG1sUEsFBgAAAAAGAAYAWQEAAHMFAAAAAA==&#10;">
                <v:fill on="f" focussize="0,0"/>
                <v:stroke weight="0.5pt" color="#000000 [3200]" miterlimit="8" joinstyle="miter"/>
                <v:imagedata o:title=""/>
                <o:lock v:ext="edit" aspectratio="f"/>
              </v:line>
            </w:pict>
          </mc:Fallback>
        </mc:AlternateContent>
      </w:r>
    </w:p>
    <w:p>
      <w:pPr>
        <w:numPr>
          <w:ilvl w:val="0"/>
          <w:numId w:val="0"/>
        </w:numPr>
        <w:adjustRightInd w:val="0"/>
        <w:snapToGrid w:val="0"/>
        <w:spacing w:line="600" w:lineRule="exact"/>
        <w:ind w:firstLine="640"/>
        <w:rPr>
          <w:rFonts w:hint="eastAsia" w:ascii="仿宋_GB2312" w:hAnsi="仿宋_GB2312" w:eastAsia="仿宋_GB2312" w:cs="仿宋_GB2312"/>
          <w:color w:val="FFFFFF" w:themeColor="background1"/>
          <w:sz w:val="32"/>
          <w:szCs w:val="32"/>
          <w:lang w:val="en-US" w:eastAsia="zh-CN"/>
          <w14:textFill>
            <w14:solidFill>
              <w14:schemeClr w14:val="bg1"/>
            </w14:solidFill>
          </w14:textFill>
        </w:rPr>
      </w:pPr>
    </w:p>
    <w:p>
      <w:pPr>
        <w:numPr>
          <w:ilvl w:val="0"/>
          <w:numId w:val="0"/>
        </w:numPr>
        <w:adjustRightInd w:val="0"/>
        <w:snapToGrid w:val="0"/>
        <w:spacing w:line="600" w:lineRule="exact"/>
        <w:ind w:firstLine="640"/>
        <w:rPr>
          <w:rFonts w:hint="eastAsia" w:ascii="仿宋_GB2312" w:hAnsi="仿宋_GB2312" w:eastAsia="仿宋_GB2312" w:cs="仿宋_GB2312"/>
          <w:sz w:val="32"/>
          <w:szCs w:val="32"/>
          <w:lang w:val="en-US" w:eastAsia="zh-CN"/>
        </w:rPr>
      </w:pPr>
    </w:p>
    <w:p>
      <w:pPr>
        <w:numPr>
          <w:ilvl w:val="0"/>
          <w:numId w:val="0"/>
        </w:numPr>
        <w:adjustRightInd w:val="0"/>
        <w:snapToGrid w:val="0"/>
        <w:spacing w:line="600" w:lineRule="exact"/>
        <w:rPr>
          <w:rFonts w:hint="eastAsia" w:ascii="仿宋_GB2312" w:hAnsi="仿宋_GB2312" w:eastAsia="仿宋_GB2312" w:cs="仿宋_GB2312"/>
          <w:sz w:val="32"/>
          <w:szCs w:val="32"/>
          <w:lang w:val="en-US" w:eastAsia="zh-CN"/>
        </w:rPr>
      </w:pPr>
    </w:p>
    <w:p>
      <w:pPr>
        <w:numPr>
          <w:ilvl w:val="0"/>
          <w:numId w:val="0"/>
        </w:numPr>
        <w:adjustRightInd w:val="0"/>
        <w:snapToGrid w:val="0"/>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2017年广汉市交通运输局部门汇总本年支出合计13933.25万元，其中：基本支出2349.66元，占全年总支出的16.86%；项目支出11583.59万元，占全年总支出的83.14%。</w:t>
      </w:r>
    </w:p>
    <w:p>
      <w:pPr>
        <w:autoSpaceDE w:val="0"/>
        <w:autoSpaceDN w:val="0"/>
        <w:adjustRightInd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drawing>
          <wp:inline distT="0" distB="0" distL="114300" distR="114300">
            <wp:extent cx="3348355" cy="2207260"/>
            <wp:effectExtent l="4445" t="4445" r="19050" b="1714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utoSpaceDE w:val="0"/>
        <w:autoSpaceDN w:val="0"/>
        <w:adjustRightInd w:val="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财政</w:t>
      </w:r>
      <w:r>
        <w:rPr>
          <w:rFonts w:hint="eastAsia" w:ascii="仿宋_GB2312" w:hAnsi="仿宋_GB2312" w:eastAsia="仿宋_GB2312" w:cs="仿宋_GB2312"/>
          <w:b/>
          <w:bCs/>
          <w:sz w:val="32"/>
          <w:szCs w:val="32"/>
          <w:lang w:eastAsia="zh-CN"/>
        </w:rPr>
        <w:t>拨款收支决算</w:t>
      </w:r>
      <w:r>
        <w:rPr>
          <w:rFonts w:hint="eastAsia" w:ascii="仿宋_GB2312" w:hAnsi="仿宋_GB2312" w:eastAsia="仿宋_GB2312" w:cs="仿宋_GB2312"/>
          <w:b/>
          <w:bCs/>
          <w:sz w:val="32"/>
          <w:szCs w:val="32"/>
        </w:rPr>
        <w:t>情况</w:t>
      </w:r>
    </w:p>
    <w:p>
      <w:pPr>
        <w:autoSpaceDE w:val="0"/>
        <w:autoSpaceDN w:val="0"/>
        <w:adjustRightInd w:val="0"/>
        <w:ind w:firstLine="640" w:firstLineChars="200"/>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lang w:val="en-US" w:eastAsia="zh-CN"/>
        </w:rPr>
        <w:t>广汉市交通运输局部门汇总2017年度财政拨款</w:t>
      </w:r>
      <w:r>
        <w:rPr>
          <w:rFonts w:hint="eastAsia" w:ascii="仿宋_GB2312" w:hAnsi="仿宋_GB2312" w:eastAsia="仿宋_GB2312" w:cs="仿宋_GB2312"/>
          <w:sz w:val="32"/>
          <w:szCs w:val="32"/>
        </w:rPr>
        <w:t>拨款收入</w:t>
      </w:r>
      <w:r>
        <w:rPr>
          <w:rFonts w:hint="eastAsia" w:ascii="仿宋_GB2312" w:hAnsi="仿宋_GB2312" w:eastAsia="仿宋_GB2312" w:cs="仿宋_GB2312"/>
          <w:sz w:val="32"/>
          <w:szCs w:val="32"/>
          <w:lang w:eastAsia="zh-CN"/>
        </w:rPr>
        <w:t>决算</w:t>
      </w:r>
      <w:r>
        <w:rPr>
          <w:rFonts w:hint="eastAsia" w:ascii="仿宋_GB2312" w:hAnsi="仿宋_GB2312" w:eastAsia="仿宋_GB2312" w:cs="仿宋_GB2312"/>
          <w:color w:val="000000"/>
          <w:kern w:val="0"/>
          <w:sz w:val="32"/>
          <w:szCs w:val="32"/>
          <w:lang w:val="en-US" w:eastAsia="zh-CN"/>
        </w:rPr>
        <w:t>13679.92</w:t>
      </w:r>
      <w:r>
        <w:rPr>
          <w:rFonts w:hint="eastAsia" w:ascii="仿宋_GB2312" w:hAnsi="仿宋_GB2312" w:eastAsia="仿宋_GB2312" w:cs="仿宋_GB2312"/>
          <w:sz w:val="32"/>
          <w:szCs w:val="32"/>
          <w:lang w:val="en-US" w:eastAsia="zh-CN"/>
        </w:rPr>
        <w:t xml:space="preserve"> 万元，财政拨款支出决算6541.93万元。与2016年相比，财政拨款收入增加4522.59万元，增长49%(主要原因是建设项目的增加</w:t>
      </w:r>
      <w:bookmarkStart w:id="1" w:name="_GoBack"/>
      <w:bookmarkEnd w:id="1"/>
      <w:r>
        <w:rPr>
          <w:rFonts w:hint="eastAsia" w:ascii="仿宋_GB2312" w:hAnsi="仿宋_GB2312" w:eastAsia="仿宋_GB2312" w:cs="仿宋_GB2312"/>
          <w:sz w:val="32"/>
          <w:szCs w:val="32"/>
          <w:lang w:val="en-US" w:eastAsia="zh-CN"/>
        </w:rPr>
        <w:t>)；支出减少1331.65万元，下降17%（减少原因人员退休及基本设施建设项目</w:t>
      </w:r>
      <w:r>
        <w:rPr>
          <w:rFonts w:hint="eastAsia" w:ascii="宋体" w:hAnsi="宋体" w:cs="宋体"/>
          <w:color w:val="000000"/>
          <w:sz w:val="32"/>
          <w:szCs w:val="32"/>
        </w:rPr>
        <w:t>减少</w:t>
      </w:r>
      <w:r>
        <w:rPr>
          <w:rFonts w:hint="eastAsia" w:ascii="仿宋_GB2312" w:hAnsi="仿宋_GB2312" w:eastAsia="仿宋_GB2312" w:cs="仿宋_GB2312"/>
          <w:sz w:val="32"/>
          <w:szCs w:val="32"/>
          <w:lang w:val="en-US" w:eastAsia="zh-CN"/>
        </w:rPr>
        <w:t>）。</w:t>
      </w:r>
    </w:p>
    <w:p>
      <w:pPr>
        <w:spacing w:line="60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五、一般公共预算财政拨款支出决算情况</w:t>
      </w:r>
    </w:p>
    <w:p>
      <w:pPr>
        <w:spacing w:line="60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rPr>
        <w:t>（一）一般公共预算财政拨款支出决算总体情况</w:t>
      </w:r>
    </w:p>
    <w:p>
      <w:pPr>
        <w:spacing w:line="60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sz w:val="32"/>
          <w:szCs w:val="32"/>
          <w:lang w:val="en-US" w:eastAsia="zh-CN"/>
        </w:rPr>
        <w:t>广汉市交通运输局部门汇总</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年度一般公共预算财政拨款支出</w:t>
      </w:r>
      <w:r>
        <w:rPr>
          <w:rFonts w:hint="eastAsia" w:ascii="仿宋_GB2312" w:hAnsi="仿宋_GB2312" w:eastAsia="仿宋_GB2312" w:cs="仿宋_GB2312"/>
          <w:color w:val="000000"/>
          <w:sz w:val="32"/>
          <w:szCs w:val="32"/>
          <w:lang w:val="en-US" w:eastAsia="zh-CN"/>
        </w:rPr>
        <w:t>6541.93</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46.95</w:t>
      </w:r>
      <w:r>
        <w:rPr>
          <w:rFonts w:hint="eastAsia" w:ascii="仿宋_GB2312" w:hAnsi="仿宋_GB2312" w:eastAsia="仿宋_GB2312" w:cs="仿宋_GB2312"/>
          <w:color w:val="000000"/>
          <w:sz w:val="32"/>
          <w:szCs w:val="32"/>
        </w:rPr>
        <w:t>%。</w:t>
      </w:r>
    </w:p>
    <w:p>
      <w:pPr>
        <w:spacing w:line="600" w:lineRule="exact"/>
        <w:rPr>
          <w:rFonts w:hint="eastAsia" w:ascii="仿宋_GB2312" w:eastAsia="仿宋_GB2312"/>
          <w:b/>
          <w:bCs/>
          <w:color w:val="000000"/>
          <w:sz w:val="32"/>
          <w:szCs w:val="32"/>
        </w:rPr>
      </w:pPr>
      <w:r>
        <w:rPr>
          <w:rFonts w:hint="eastAsia" w:ascii="仿宋_GB2312" w:eastAsia="仿宋_GB2312"/>
          <w:color w:val="000000"/>
          <w:sz w:val="32"/>
          <w:szCs w:val="32"/>
          <w:lang w:val="en-US" w:eastAsia="zh-CN"/>
        </w:rPr>
        <w:t xml:space="preserve">   </w:t>
      </w:r>
      <w:r>
        <w:rPr>
          <w:rFonts w:hint="eastAsia" w:ascii="仿宋_GB2312" w:eastAsia="仿宋_GB2312"/>
          <w:b/>
          <w:bCs/>
          <w:color w:val="000000"/>
          <w:sz w:val="32"/>
          <w:szCs w:val="32"/>
        </w:rPr>
        <w:t>（二）一般公共预算财政拨款支出决算结构情况</w:t>
      </w:r>
    </w:p>
    <w:p>
      <w:pPr>
        <w:spacing w:line="600" w:lineRule="exact"/>
        <w:ind w:firstLine="640" w:firstLineChars="200"/>
        <w:rPr>
          <w:rFonts w:hint="eastAsia" w:ascii="仿宋_GB2312" w:eastAsia="仿宋_GB2312"/>
          <w:color w:val="000000"/>
          <w:sz w:val="32"/>
          <w:szCs w:val="32"/>
        </w:rPr>
      </w:pPr>
      <w:r>
        <w:rPr>
          <w:rFonts w:hint="eastAsia" w:ascii="仿宋_GB2312" w:hAnsi="仿宋_GB2312" w:eastAsia="仿宋_GB2312" w:cs="仿宋_GB2312"/>
          <w:sz w:val="32"/>
          <w:szCs w:val="32"/>
          <w:lang w:val="en-US" w:eastAsia="zh-CN"/>
        </w:rPr>
        <w:t>广汉市交通运输局部门汇总</w:t>
      </w: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年一般公共预算财政拨款支出</w:t>
      </w:r>
      <w:r>
        <w:rPr>
          <w:rFonts w:hint="eastAsia" w:ascii="仿宋_GB2312" w:eastAsia="仿宋_GB2312"/>
          <w:color w:val="000000"/>
          <w:sz w:val="32"/>
          <w:szCs w:val="32"/>
          <w:lang w:val="en-US" w:eastAsia="zh-CN"/>
        </w:rPr>
        <w:t>6541.93</w:t>
      </w:r>
      <w:r>
        <w:rPr>
          <w:rFonts w:hint="eastAsia" w:ascii="仿宋_GB2312" w:eastAsia="仿宋_GB2312"/>
          <w:color w:val="000000"/>
          <w:sz w:val="32"/>
          <w:szCs w:val="32"/>
        </w:rPr>
        <w:t>万元，主要用于以下方面:</w:t>
      </w:r>
      <w:r>
        <w:rPr>
          <w:rFonts w:hint="eastAsia" w:ascii="仿宋_GB2312" w:eastAsia="仿宋_GB2312"/>
          <w:color w:val="000000"/>
          <w:sz w:val="32"/>
          <w:szCs w:val="32"/>
          <w:lang w:eastAsia="zh-CN"/>
        </w:rPr>
        <w:t>交通运输</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6261.87</w:t>
      </w:r>
      <w:r>
        <w:rPr>
          <w:rFonts w:hint="eastAsia" w:ascii="仿宋_GB2312" w:eastAsia="仿宋_GB2312"/>
          <w:color w:val="000000"/>
          <w:sz w:val="32"/>
          <w:szCs w:val="32"/>
        </w:rPr>
        <w:t>万元，占一般公共预算财政拨款支出</w:t>
      </w:r>
      <w:r>
        <w:rPr>
          <w:rFonts w:hint="eastAsia" w:ascii="仿宋_GB2312" w:eastAsia="仿宋_GB2312"/>
          <w:color w:val="000000"/>
          <w:sz w:val="32"/>
          <w:szCs w:val="32"/>
          <w:lang w:val="en-US" w:eastAsia="zh-CN"/>
        </w:rPr>
        <w:t>95.72</w:t>
      </w:r>
      <w:r>
        <w:rPr>
          <w:rFonts w:hint="eastAsia" w:ascii="仿宋_GB2312" w:eastAsia="仿宋_GB2312"/>
          <w:color w:val="000000"/>
          <w:sz w:val="32"/>
          <w:szCs w:val="32"/>
        </w:rPr>
        <w:t>%；社会保障和就业支出</w:t>
      </w:r>
      <w:r>
        <w:rPr>
          <w:rFonts w:hint="eastAsia" w:ascii="仿宋_GB2312" w:eastAsia="仿宋_GB2312"/>
          <w:color w:val="000000"/>
          <w:sz w:val="32"/>
          <w:szCs w:val="32"/>
          <w:lang w:val="en-US" w:eastAsia="zh-CN"/>
        </w:rPr>
        <w:t>172.37</w:t>
      </w:r>
      <w:r>
        <w:rPr>
          <w:rFonts w:hint="eastAsia" w:ascii="仿宋_GB2312" w:eastAsia="仿宋_GB2312"/>
          <w:color w:val="000000"/>
          <w:sz w:val="32"/>
          <w:szCs w:val="32"/>
        </w:rPr>
        <w:t>万元，占一般公共预算财政拨款支出</w:t>
      </w:r>
      <w:r>
        <w:rPr>
          <w:rFonts w:hint="eastAsia" w:ascii="仿宋_GB2312" w:eastAsia="仿宋_GB2312"/>
          <w:color w:val="000000"/>
          <w:sz w:val="32"/>
          <w:szCs w:val="32"/>
          <w:lang w:val="en-US" w:eastAsia="zh-CN"/>
        </w:rPr>
        <w:t>2.63</w:t>
      </w:r>
      <w:r>
        <w:rPr>
          <w:rFonts w:hint="eastAsia" w:ascii="仿宋_GB2312" w:eastAsia="仿宋_GB2312"/>
          <w:color w:val="000000"/>
          <w:sz w:val="32"/>
          <w:szCs w:val="32"/>
        </w:rPr>
        <w:t>%；医疗卫生</w:t>
      </w:r>
      <w:r>
        <w:rPr>
          <w:rFonts w:hint="eastAsia" w:ascii="仿宋_GB2312" w:eastAsia="仿宋_GB2312"/>
          <w:color w:val="000000"/>
          <w:sz w:val="32"/>
          <w:szCs w:val="32"/>
          <w:lang w:eastAsia="zh-CN"/>
        </w:rPr>
        <w:t>与计划生育</w:t>
      </w:r>
      <w:r>
        <w:rPr>
          <w:rFonts w:hint="eastAsia" w:ascii="仿宋_GB2312" w:eastAsia="仿宋_GB2312"/>
          <w:color w:val="000000"/>
          <w:sz w:val="32"/>
          <w:szCs w:val="32"/>
        </w:rPr>
        <w:t>支出</w:t>
      </w:r>
      <w:r>
        <w:rPr>
          <w:rFonts w:hint="eastAsia" w:ascii="仿宋_GB2312" w:eastAsia="仿宋_GB2312"/>
          <w:color w:val="000000"/>
          <w:sz w:val="32"/>
          <w:szCs w:val="32"/>
          <w:lang w:val="en-US" w:eastAsia="zh-CN"/>
        </w:rPr>
        <w:t>55.57</w:t>
      </w:r>
      <w:r>
        <w:rPr>
          <w:rFonts w:hint="eastAsia" w:ascii="仿宋_GB2312" w:eastAsia="仿宋_GB2312"/>
          <w:color w:val="000000"/>
          <w:sz w:val="32"/>
          <w:szCs w:val="32"/>
        </w:rPr>
        <w:t>万元，占一般公共预算财政拨款支出</w:t>
      </w:r>
      <w:r>
        <w:rPr>
          <w:rFonts w:hint="eastAsia" w:ascii="仿宋_GB2312" w:eastAsia="仿宋_GB2312"/>
          <w:color w:val="000000"/>
          <w:sz w:val="32"/>
          <w:szCs w:val="32"/>
          <w:lang w:val="en-US" w:eastAsia="zh-CN"/>
        </w:rPr>
        <w:t>0.85</w:t>
      </w:r>
      <w:r>
        <w:rPr>
          <w:rFonts w:hint="eastAsia" w:ascii="仿宋_GB2312" w:eastAsia="仿宋_GB2312"/>
          <w:color w:val="000000"/>
          <w:sz w:val="32"/>
          <w:szCs w:val="32"/>
        </w:rPr>
        <w:t>%；住房保障支出</w:t>
      </w:r>
      <w:r>
        <w:rPr>
          <w:rFonts w:hint="eastAsia" w:ascii="仿宋_GB2312" w:eastAsia="仿宋_GB2312"/>
          <w:color w:val="000000"/>
          <w:sz w:val="32"/>
          <w:szCs w:val="32"/>
          <w:lang w:val="en-US" w:eastAsia="zh-CN"/>
        </w:rPr>
        <w:t>52.12</w:t>
      </w:r>
      <w:r>
        <w:rPr>
          <w:rFonts w:hint="eastAsia" w:ascii="仿宋_GB2312" w:eastAsia="仿宋_GB2312"/>
          <w:color w:val="000000"/>
          <w:sz w:val="32"/>
          <w:szCs w:val="32"/>
        </w:rPr>
        <w:t>万元，占一般公共预算财政拨款支出</w:t>
      </w:r>
      <w:r>
        <w:rPr>
          <w:rFonts w:hint="eastAsia" w:ascii="仿宋_GB2312" w:eastAsia="仿宋_GB2312"/>
          <w:color w:val="000000"/>
          <w:sz w:val="32"/>
          <w:szCs w:val="32"/>
          <w:lang w:val="en-US" w:eastAsia="zh-CN"/>
        </w:rPr>
        <w:t>0.80</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drawing>
          <wp:anchor distT="0" distB="0" distL="114300" distR="114300" simplePos="0" relativeHeight="251668480" behindDoc="0" locked="0" layoutInCell="1" allowOverlap="1">
            <wp:simplePos x="0" y="0"/>
            <wp:positionH relativeFrom="column">
              <wp:posOffset>149225</wp:posOffset>
            </wp:positionH>
            <wp:positionV relativeFrom="paragraph">
              <wp:posOffset>190500</wp:posOffset>
            </wp:positionV>
            <wp:extent cx="4571365" cy="2515870"/>
            <wp:effectExtent l="4445" t="4445" r="15240" b="13335"/>
            <wp:wrapSquare wrapText="bothSides"/>
            <wp:docPr id="30" name="图表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rPr>
          <w:rFonts w:hint="eastAsia" w:ascii="仿宋_GB2312" w:hAnsi="仿宋_GB2312" w:eastAsia="仿宋_GB2312" w:cs="仿宋_GB2312"/>
          <w:b/>
          <w:bCs/>
          <w:color w:val="000000"/>
          <w:sz w:val="32"/>
          <w:szCs w:val="32"/>
        </w:rPr>
      </w:pPr>
    </w:p>
    <w:p>
      <w:pPr>
        <w:spacing w:line="60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六、一般公共预算财政拨款基本支出决算情况</w:t>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广汉市交通运输局部门汇总</w:t>
      </w: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年一般公共预算财政拨款基本支出</w:t>
      </w:r>
      <w:r>
        <w:rPr>
          <w:rFonts w:hint="eastAsia" w:ascii="仿宋_GB2312" w:hAnsi="仿宋_GB2312" w:eastAsia="仿宋_GB2312" w:cs="仿宋_GB2312"/>
          <w:color w:val="000000"/>
          <w:sz w:val="32"/>
          <w:szCs w:val="32"/>
          <w:lang w:val="en-US" w:eastAsia="zh-CN"/>
        </w:rPr>
        <w:t>2115.45</w:t>
      </w:r>
      <w:r>
        <w:rPr>
          <w:rFonts w:hint="eastAsia" w:ascii="仿宋_GB2312" w:hAnsi="仿宋_GB2312" w:eastAsia="仿宋_GB2312" w:cs="仿宋_GB2312"/>
          <w:color w:val="000000"/>
          <w:sz w:val="32"/>
          <w:szCs w:val="32"/>
        </w:rPr>
        <w:t>万元，</w:t>
      </w:r>
    </w:p>
    <w:p>
      <w:pPr>
        <w:spacing w:line="600" w:lineRule="exact"/>
        <w:ind w:firstLine="64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其中：人员经费</w:t>
      </w:r>
      <w:r>
        <w:rPr>
          <w:rFonts w:hint="eastAsia" w:ascii="仿宋_GB2312" w:hAnsi="仿宋_GB2312" w:eastAsia="仿宋_GB2312" w:cs="仿宋_GB2312"/>
          <w:color w:val="000000"/>
          <w:sz w:val="32"/>
          <w:szCs w:val="32"/>
          <w:lang w:val="en-US" w:eastAsia="zh-CN"/>
        </w:rPr>
        <w:t>1471.28</w:t>
      </w:r>
      <w:r>
        <w:rPr>
          <w:rFonts w:hint="eastAsia" w:ascii="仿宋_GB2312" w:hAnsi="仿宋_GB2312" w:eastAsia="仿宋_GB2312" w:cs="仿宋_GB2312"/>
          <w:color w:val="000000"/>
          <w:sz w:val="32"/>
          <w:szCs w:val="32"/>
        </w:rPr>
        <w:t>万元，主要包括：基本工资、津贴补贴、奖金、</w:t>
      </w:r>
      <w:r>
        <w:rPr>
          <w:rFonts w:hint="eastAsia" w:ascii="仿宋_GB2312" w:hAnsi="仿宋_GB2312" w:eastAsia="仿宋_GB2312" w:cs="仿宋_GB2312"/>
          <w:color w:val="000000"/>
          <w:sz w:val="32"/>
          <w:szCs w:val="32"/>
          <w:lang w:eastAsia="zh-CN"/>
        </w:rPr>
        <w:t>其他社会保障缴费、</w:t>
      </w:r>
      <w:r>
        <w:rPr>
          <w:rFonts w:hint="eastAsia" w:ascii="仿宋_GB2312" w:hAnsi="仿宋_GB2312" w:eastAsia="仿宋_GB2312" w:cs="仿宋_GB2312"/>
          <w:color w:val="000000"/>
          <w:sz w:val="32"/>
          <w:szCs w:val="32"/>
        </w:rPr>
        <w:t>绩效工资、机关事业单位基本养老保险缴费、职业年金缴费、其他工资福利支出、退休费</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医疗费、奖励金、住房公积金、其他对个人和家庭的补助支出。</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公用经费</w:t>
      </w:r>
      <w:r>
        <w:rPr>
          <w:rFonts w:hint="eastAsia" w:ascii="仿宋_GB2312" w:hAnsi="仿宋_GB2312" w:eastAsia="仿宋_GB2312" w:cs="仿宋_GB2312"/>
          <w:color w:val="000000"/>
          <w:sz w:val="32"/>
          <w:szCs w:val="32"/>
          <w:lang w:val="en-US" w:eastAsia="zh-CN"/>
        </w:rPr>
        <w:t>577.33</w:t>
      </w:r>
      <w:r>
        <w:rPr>
          <w:rFonts w:hint="eastAsia" w:ascii="仿宋_GB2312" w:hAnsi="仿宋_GB2312" w:eastAsia="仿宋_GB2312" w:cs="仿宋_GB2312"/>
          <w:color w:val="000000"/>
          <w:sz w:val="32"/>
          <w:szCs w:val="32"/>
        </w:rPr>
        <w:t>万元，主要包括：办公费、手续费、电费、邮电费、物业管理费、差旅费、因公出国（境）费用、维修（护）费、会议费、培训费、公务接待费、劳务费、工会经费、其他交通费、</w:t>
      </w:r>
      <w:r>
        <w:rPr>
          <w:rFonts w:hint="eastAsia" w:ascii="仿宋_GB2312" w:hAnsi="仿宋_GB2312" w:eastAsia="仿宋_GB2312" w:cs="仿宋_GB2312"/>
          <w:color w:val="000000"/>
          <w:sz w:val="32"/>
          <w:szCs w:val="32"/>
          <w:lang w:eastAsia="zh-CN"/>
        </w:rPr>
        <w:t>公务用车运行维护</w:t>
      </w:r>
      <w:r>
        <w:rPr>
          <w:rFonts w:hint="eastAsia" w:ascii="仿宋_GB2312" w:hAnsi="仿宋_GB2312" w:eastAsia="仿宋_GB2312" w:cs="仿宋_GB2312"/>
          <w:color w:val="000000"/>
          <w:sz w:val="32"/>
          <w:szCs w:val="32"/>
        </w:rPr>
        <w:t>费、其他商品和服务支出。</w:t>
      </w:r>
    </w:p>
    <w:p>
      <w:pPr>
        <w:spacing w:line="600" w:lineRule="exact"/>
        <w:ind w:firstLine="645"/>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其他资本性支出</w:t>
      </w:r>
      <w:r>
        <w:rPr>
          <w:rFonts w:hint="eastAsia" w:ascii="仿宋_GB2312" w:hAnsi="仿宋_GB2312" w:eastAsia="仿宋_GB2312" w:cs="仿宋_GB2312"/>
          <w:color w:val="000000"/>
          <w:sz w:val="32"/>
          <w:szCs w:val="32"/>
          <w:lang w:val="en-US" w:eastAsia="zh-CN"/>
        </w:rPr>
        <w:t>3.42万元，</w:t>
      </w:r>
      <w:r>
        <w:rPr>
          <w:rFonts w:hint="eastAsia" w:ascii="仿宋_GB2312" w:hAnsi="仿宋_GB2312" w:eastAsia="仿宋_GB2312" w:cs="仿宋_GB2312"/>
          <w:color w:val="000000"/>
          <w:sz w:val="32"/>
          <w:szCs w:val="32"/>
        </w:rPr>
        <w:t>主要包括：</w:t>
      </w:r>
      <w:r>
        <w:rPr>
          <w:rFonts w:hint="eastAsia" w:ascii="仿宋_GB2312" w:hAnsi="仿宋_GB2312" w:eastAsia="仿宋_GB2312" w:cs="仿宋_GB2312"/>
          <w:color w:val="000000"/>
          <w:sz w:val="32"/>
          <w:szCs w:val="32"/>
          <w:lang w:eastAsia="zh-CN"/>
        </w:rPr>
        <w:t>办公设备购置、专用设备购置。</w:t>
      </w:r>
    </w:p>
    <w:p>
      <w:pPr>
        <w:spacing w:line="600" w:lineRule="exact"/>
        <w:ind w:firstLine="645"/>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对企事业单位的补贴支出</w:t>
      </w:r>
      <w:r>
        <w:rPr>
          <w:rFonts w:hint="eastAsia" w:ascii="仿宋_GB2312" w:hAnsi="仿宋_GB2312" w:eastAsia="仿宋_GB2312" w:cs="仿宋_GB2312"/>
          <w:color w:val="000000"/>
          <w:sz w:val="32"/>
          <w:szCs w:val="32"/>
          <w:lang w:val="en-US" w:eastAsia="zh-CN"/>
        </w:rPr>
        <w:t>63.42万元，</w:t>
      </w:r>
      <w:r>
        <w:rPr>
          <w:rFonts w:hint="eastAsia" w:ascii="仿宋_GB2312" w:hAnsi="仿宋_GB2312" w:eastAsia="仿宋_GB2312" w:cs="仿宋_GB2312"/>
          <w:color w:val="000000"/>
          <w:sz w:val="32"/>
          <w:szCs w:val="32"/>
        </w:rPr>
        <w:t>主要包括：</w:t>
      </w:r>
      <w:r>
        <w:rPr>
          <w:rFonts w:hint="eastAsia" w:ascii="仿宋_GB2312" w:hAnsi="仿宋_GB2312" w:eastAsia="仿宋_GB2312" w:cs="仿宋_GB2312"/>
          <w:color w:val="000000"/>
          <w:sz w:val="32"/>
          <w:szCs w:val="32"/>
          <w:lang w:val="en-US" w:eastAsia="zh-CN"/>
        </w:rPr>
        <w:t>其他对企事业单位的补贴。</w:t>
      </w:r>
    </w:p>
    <w:p>
      <w:pPr>
        <w:spacing w:line="600" w:lineRule="exac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七、“三公”经费财政拨款支出决算情况</w:t>
      </w:r>
    </w:p>
    <w:p>
      <w:pPr>
        <w:spacing w:line="6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（一）“三公”经费财政拨款支出决算总体情况说明</w:t>
      </w:r>
    </w:p>
    <w:p>
      <w:pPr>
        <w:spacing w:line="600" w:lineRule="exact"/>
        <w:ind w:firstLine="640"/>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lang w:val="en-US" w:eastAsia="zh-CN"/>
        </w:rPr>
        <w:t>广汉市交通运输局部门汇总</w:t>
      </w:r>
      <w:r>
        <w:rPr>
          <w:rFonts w:hint="eastAsia" w:ascii="仿宋_GB2312" w:hAnsi="仿宋_GB2312" w:eastAsia="仿宋_GB2312" w:cs="仿宋_GB2312"/>
          <w:color w:val="333333"/>
          <w:sz w:val="32"/>
          <w:szCs w:val="32"/>
        </w:rPr>
        <w:t>201</w:t>
      </w:r>
      <w:r>
        <w:rPr>
          <w:rFonts w:hint="eastAsia" w:ascii="仿宋_GB2312" w:hAnsi="仿宋_GB2312" w:eastAsia="仿宋_GB2312" w:cs="仿宋_GB2312"/>
          <w:color w:val="333333"/>
          <w:sz w:val="32"/>
          <w:szCs w:val="32"/>
          <w:lang w:val="en-US" w:eastAsia="zh-CN"/>
        </w:rPr>
        <w:t>7</w:t>
      </w:r>
      <w:r>
        <w:rPr>
          <w:rFonts w:hint="eastAsia" w:ascii="仿宋_GB2312" w:hAnsi="仿宋_GB2312" w:eastAsia="仿宋_GB2312" w:cs="仿宋_GB2312"/>
          <w:color w:val="333333"/>
          <w:sz w:val="32"/>
          <w:szCs w:val="32"/>
        </w:rPr>
        <w:t>年度“三公”经费财政拨款支出决算为</w:t>
      </w:r>
      <w:r>
        <w:rPr>
          <w:rFonts w:hint="eastAsia" w:ascii="仿宋_GB2312" w:hAnsi="仿宋_GB2312" w:eastAsia="仿宋_GB2312" w:cs="仿宋_GB2312"/>
          <w:color w:val="333333"/>
          <w:sz w:val="32"/>
          <w:szCs w:val="32"/>
          <w:lang w:val="en-US" w:eastAsia="zh-CN"/>
        </w:rPr>
        <w:t>27.47</w:t>
      </w:r>
      <w:r>
        <w:rPr>
          <w:rFonts w:hint="eastAsia" w:ascii="仿宋_GB2312" w:hAnsi="仿宋_GB2312" w:eastAsia="仿宋_GB2312" w:cs="仿宋_GB2312"/>
          <w:color w:val="333333"/>
          <w:sz w:val="32"/>
          <w:szCs w:val="32"/>
        </w:rPr>
        <w:t>万元，完成预算</w:t>
      </w:r>
      <w:r>
        <w:rPr>
          <w:rFonts w:hint="eastAsia" w:ascii="仿宋_GB2312" w:hAnsi="仿宋_GB2312" w:eastAsia="仿宋_GB2312" w:cs="仿宋_GB2312"/>
          <w:color w:val="333333"/>
          <w:sz w:val="32"/>
          <w:szCs w:val="32"/>
          <w:lang w:val="en-US" w:eastAsia="zh-CN"/>
        </w:rPr>
        <w:t>100</w:t>
      </w:r>
      <w:r>
        <w:rPr>
          <w:rFonts w:hint="eastAsia" w:ascii="仿宋_GB2312" w:hAnsi="仿宋_GB2312" w:eastAsia="仿宋_GB2312" w:cs="仿宋_GB2312"/>
          <w:color w:val="333333"/>
          <w:sz w:val="32"/>
          <w:szCs w:val="32"/>
        </w:rPr>
        <w:t>%，其中：公务用车购置及运行维护费支出决算为</w:t>
      </w:r>
      <w:r>
        <w:rPr>
          <w:rFonts w:hint="eastAsia" w:ascii="仿宋_GB2312" w:hAnsi="仿宋_GB2312" w:eastAsia="仿宋_GB2312" w:cs="仿宋_GB2312"/>
          <w:color w:val="333333"/>
          <w:sz w:val="32"/>
          <w:szCs w:val="32"/>
          <w:lang w:val="en-US" w:eastAsia="zh-CN"/>
        </w:rPr>
        <w:t>26.29</w:t>
      </w:r>
      <w:r>
        <w:rPr>
          <w:rFonts w:hint="eastAsia" w:ascii="仿宋_GB2312" w:hAnsi="仿宋_GB2312" w:eastAsia="仿宋_GB2312" w:cs="仿宋_GB2312"/>
          <w:color w:val="333333"/>
          <w:sz w:val="32"/>
          <w:szCs w:val="32"/>
        </w:rPr>
        <w:t>万元，完成预算</w:t>
      </w:r>
      <w:r>
        <w:rPr>
          <w:rFonts w:hint="eastAsia" w:ascii="仿宋_GB2312" w:hAnsi="仿宋_GB2312" w:eastAsia="仿宋_GB2312" w:cs="仿宋_GB2312"/>
          <w:color w:val="333333"/>
          <w:sz w:val="32"/>
          <w:szCs w:val="32"/>
          <w:lang w:val="en-US" w:eastAsia="zh-CN"/>
        </w:rPr>
        <w:t>100</w:t>
      </w:r>
      <w:r>
        <w:rPr>
          <w:rFonts w:hint="eastAsia" w:ascii="仿宋_GB2312" w:hAnsi="仿宋_GB2312" w:eastAsia="仿宋_GB2312" w:cs="仿宋_GB2312"/>
          <w:color w:val="333333"/>
          <w:sz w:val="32"/>
          <w:szCs w:val="32"/>
        </w:rPr>
        <w:t>%；公务接待费支出决算为</w:t>
      </w:r>
      <w:r>
        <w:rPr>
          <w:rFonts w:hint="eastAsia" w:ascii="仿宋_GB2312" w:hAnsi="仿宋_GB2312" w:eastAsia="仿宋_GB2312" w:cs="仿宋_GB2312"/>
          <w:color w:val="333333"/>
          <w:sz w:val="32"/>
          <w:szCs w:val="32"/>
          <w:lang w:val="en-US" w:eastAsia="zh-CN"/>
        </w:rPr>
        <w:t>1.18</w:t>
      </w:r>
      <w:r>
        <w:rPr>
          <w:rFonts w:hint="eastAsia" w:ascii="仿宋_GB2312" w:hAnsi="仿宋_GB2312" w:eastAsia="仿宋_GB2312" w:cs="仿宋_GB2312"/>
          <w:color w:val="333333"/>
          <w:sz w:val="32"/>
          <w:szCs w:val="32"/>
        </w:rPr>
        <w:t>万元，完成预算</w:t>
      </w:r>
      <w:r>
        <w:rPr>
          <w:rFonts w:hint="eastAsia" w:ascii="仿宋_GB2312" w:hAnsi="仿宋_GB2312" w:eastAsia="仿宋_GB2312" w:cs="仿宋_GB2312"/>
          <w:color w:val="333333"/>
          <w:sz w:val="32"/>
          <w:szCs w:val="32"/>
          <w:lang w:val="en-US" w:eastAsia="zh-CN"/>
        </w:rPr>
        <w:t>100</w:t>
      </w:r>
      <w:r>
        <w:rPr>
          <w:rFonts w:hint="eastAsia" w:ascii="仿宋_GB2312" w:hAnsi="仿宋_GB2312" w:eastAsia="仿宋_GB2312" w:cs="仿宋_GB2312"/>
          <w:color w:val="333333"/>
          <w:sz w:val="32"/>
          <w:szCs w:val="32"/>
        </w:rPr>
        <w:t>%。</w:t>
      </w:r>
    </w:p>
    <w:p>
      <w:pPr>
        <w:spacing w:line="600" w:lineRule="exact"/>
        <w:ind w:firstLine="640"/>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（二）“三公”经费财政拨款支出决算具体情况说明</w:t>
      </w:r>
    </w:p>
    <w:p>
      <w:pPr>
        <w:spacing w:line="600" w:lineRule="exact"/>
        <w:ind w:firstLine="640"/>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201</w:t>
      </w:r>
      <w:r>
        <w:rPr>
          <w:rFonts w:hint="eastAsia" w:ascii="仿宋_GB2312" w:hAnsi="仿宋_GB2312" w:eastAsia="仿宋_GB2312" w:cs="仿宋_GB2312"/>
          <w:color w:val="333333"/>
          <w:sz w:val="32"/>
          <w:szCs w:val="32"/>
          <w:lang w:val="en-US" w:eastAsia="zh-CN"/>
        </w:rPr>
        <w:t>7</w:t>
      </w:r>
      <w:r>
        <w:rPr>
          <w:rFonts w:hint="eastAsia" w:ascii="仿宋_GB2312" w:hAnsi="仿宋_GB2312" w:eastAsia="仿宋_GB2312" w:cs="仿宋_GB2312"/>
          <w:color w:val="333333"/>
          <w:sz w:val="32"/>
          <w:szCs w:val="32"/>
        </w:rPr>
        <w:t>年度</w:t>
      </w:r>
      <w:r>
        <w:rPr>
          <w:rFonts w:hint="eastAsia" w:ascii="仿宋_GB2312" w:hAnsi="仿宋_GB2312" w:eastAsia="仿宋_GB2312" w:cs="仿宋_GB2312"/>
          <w:color w:val="333333"/>
          <w:sz w:val="32"/>
          <w:szCs w:val="32"/>
          <w:lang w:eastAsia="zh-CN"/>
        </w:rPr>
        <w:t>汇总</w:t>
      </w:r>
      <w:r>
        <w:rPr>
          <w:rFonts w:hint="eastAsia" w:ascii="仿宋_GB2312" w:hAnsi="仿宋_GB2312" w:eastAsia="仿宋_GB2312" w:cs="仿宋_GB2312"/>
          <w:color w:val="333333"/>
          <w:sz w:val="32"/>
          <w:szCs w:val="32"/>
        </w:rPr>
        <w:t>“三公”经费财政拨款支出决算中，公务用车购置及运行维护费支出决算</w:t>
      </w:r>
      <w:r>
        <w:rPr>
          <w:rFonts w:hint="eastAsia" w:ascii="仿宋_GB2312" w:hAnsi="仿宋_GB2312" w:eastAsia="仿宋_GB2312" w:cs="仿宋_GB2312"/>
          <w:color w:val="333333"/>
          <w:sz w:val="32"/>
          <w:szCs w:val="32"/>
          <w:lang w:val="en-US" w:eastAsia="zh-CN"/>
        </w:rPr>
        <w:t>26.29</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val="en-US" w:eastAsia="zh-CN"/>
        </w:rPr>
        <w:t>0.40</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333333"/>
          <w:sz w:val="32"/>
          <w:szCs w:val="32"/>
        </w:rPr>
        <w:t>；公务接待费支出决算</w:t>
      </w:r>
      <w:r>
        <w:rPr>
          <w:rFonts w:hint="eastAsia" w:ascii="仿宋_GB2312" w:hAnsi="仿宋_GB2312" w:eastAsia="仿宋_GB2312" w:cs="仿宋_GB2312"/>
          <w:color w:val="333333"/>
          <w:sz w:val="32"/>
          <w:szCs w:val="32"/>
          <w:lang w:val="en-US" w:eastAsia="zh-CN"/>
        </w:rPr>
        <w:t>1.18</w:t>
      </w:r>
      <w:r>
        <w:rPr>
          <w:rFonts w:hint="eastAsia" w:ascii="仿宋_GB2312" w:hAnsi="仿宋_GB2312" w:eastAsia="仿宋_GB2312" w:cs="仿宋_GB2312"/>
          <w:color w:val="333333"/>
          <w:sz w:val="32"/>
          <w:szCs w:val="32"/>
        </w:rPr>
        <w:t>万元，</w:t>
      </w:r>
      <w:r>
        <w:rPr>
          <w:rFonts w:hint="eastAsia" w:ascii="仿宋_GB2312" w:hAnsi="仿宋_GB2312" w:eastAsia="仿宋_GB2312" w:cs="仿宋_GB2312"/>
          <w:color w:val="000000"/>
          <w:sz w:val="32"/>
          <w:szCs w:val="32"/>
        </w:rPr>
        <w:t>占</w:t>
      </w:r>
      <w:r>
        <w:rPr>
          <w:rFonts w:hint="eastAsia" w:ascii="仿宋_GB2312" w:hAnsi="仿宋_GB2312" w:eastAsia="仿宋_GB2312" w:cs="仿宋_GB2312"/>
          <w:color w:val="000000"/>
          <w:sz w:val="32"/>
          <w:szCs w:val="32"/>
          <w:lang w:val="en-US" w:eastAsia="zh-CN"/>
        </w:rPr>
        <w:t>0.02</w:t>
      </w:r>
      <w:r>
        <w:rPr>
          <w:rFonts w:hint="eastAsia" w:ascii="仿宋_GB2312" w:hAnsi="仿宋_GB2312" w:eastAsia="仿宋_GB2312" w:cs="仿宋_GB2312"/>
          <w:color w:val="000000"/>
          <w:sz w:val="32"/>
          <w:szCs w:val="32"/>
        </w:rPr>
        <w:t>%。具体情况如下：</w:t>
      </w:r>
    </w:p>
    <w:p>
      <w:pPr>
        <w:spacing w:line="6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drawing>
          <wp:anchor distT="0" distB="0" distL="114300" distR="114300" simplePos="0" relativeHeight="251669504" behindDoc="1" locked="0" layoutInCell="1" allowOverlap="1">
            <wp:simplePos x="0" y="0"/>
            <wp:positionH relativeFrom="column">
              <wp:posOffset>92075</wp:posOffset>
            </wp:positionH>
            <wp:positionV relativeFrom="paragraph">
              <wp:posOffset>100965</wp:posOffset>
            </wp:positionV>
            <wp:extent cx="5087620" cy="2395220"/>
            <wp:effectExtent l="4445" t="4445" r="13335" b="1968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hint="eastAsia" w:ascii="仿宋_GB2312" w:hAnsi="仿宋_GB2312" w:eastAsia="仿宋_GB2312" w:cs="仿宋_GB2312"/>
          <w:color w:val="000000"/>
          <w:sz w:val="32"/>
          <w:szCs w:val="32"/>
        </w:rPr>
      </w:pPr>
    </w:p>
    <w:p>
      <w:pPr>
        <w:spacing w:line="600" w:lineRule="exact"/>
        <w:ind w:firstLine="640"/>
        <w:rPr>
          <w:rFonts w:hint="eastAsia" w:ascii="仿宋_GB2312" w:hAnsi="仿宋_GB2312" w:eastAsia="仿宋_GB2312" w:cs="仿宋_GB2312"/>
          <w:color w:val="000000"/>
          <w:sz w:val="32"/>
          <w:szCs w:val="32"/>
          <w:lang w:eastAsia="zh-CN"/>
        </w:rPr>
      </w:pPr>
    </w:p>
    <w:p>
      <w:pPr>
        <w:spacing w:line="600" w:lineRule="exact"/>
        <w:ind w:firstLine="640"/>
        <w:rPr>
          <w:rFonts w:hint="eastAsia" w:ascii="仿宋_GB2312" w:hAnsi="仿宋_GB2312" w:eastAsia="仿宋_GB2312" w:cs="仿宋_GB2312"/>
          <w:color w:val="000000"/>
          <w:sz w:val="32"/>
          <w:szCs w:val="32"/>
        </w:rPr>
      </w:pPr>
    </w:p>
    <w:p>
      <w:pPr>
        <w:spacing w:line="600" w:lineRule="exact"/>
        <w:ind w:firstLine="640"/>
        <w:rPr>
          <w:rFonts w:hint="eastAsia" w:ascii="仿宋_GB2312" w:hAnsi="仿宋_GB2312" w:eastAsia="仿宋_GB2312" w:cs="仿宋_GB2312"/>
          <w:color w:val="000000"/>
          <w:sz w:val="32"/>
          <w:szCs w:val="32"/>
        </w:rPr>
      </w:pPr>
    </w:p>
    <w:p>
      <w:pPr>
        <w:spacing w:line="600" w:lineRule="exact"/>
        <w:ind w:firstLine="640"/>
        <w:rPr>
          <w:rFonts w:hint="eastAsia" w:ascii="仿宋_GB2312" w:hAnsi="仿宋_GB2312" w:eastAsia="仿宋_GB2312" w:cs="仿宋_GB2312"/>
          <w:b/>
          <w:color w:val="000000"/>
          <w:sz w:val="32"/>
          <w:szCs w:val="32"/>
        </w:rPr>
      </w:pPr>
    </w:p>
    <w:p>
      <w:pPr>
        <w:spacing w:line="600" w:lineRule="exact"/>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lang w:val="en-US" w:eastAsia="zh-CN"/>
        </w:rPr>
        <w:t xml:space="preserve">   </w:t>
      </w:r>
    </w:p>
    <w:p>
      <w:pPr>
        <w:spacing w:line="6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1.因公出国（境）经费</w:t>
      </w:r>
    </w:p>
    <w:p>
      <w:pPr>
        <w:spacing w:line="600" w:lineRule="exact"/>
        <w:ind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无</w:t>
      </w:r>
      <w:r>
        <w:rPr>
          <w:rFonts w:hint="eastAsia" w:ascii="仿宋_GB2312" w:hAnsi="仿宋_GB2312" w:eastAsia="仿宋_GB2312" w:cs="仿宋_GB2312"/>
          <w:color w:val="000000"/>
          <w:sz w:val="32"/>
          <w:szCs w:val="32"/>
        </w:rPr>
        <w:t>因公出国（境）费</w:t>
      </w:r>
      <w:r>
        <w:rPr>
          <w:rFonts w:hint="eastAsia" w:ascii="仿宋_GB2312" w:hAnsi="仿宋_GB2312" w:eastAsia="仿宋_GB2312" w:cs="仿宋_GB2312"/>
          <w:color w:val="000000"/>
          <w:sz w:val="32"/>
          <w:szCs w:val="32"/>
          <w:lang w:eastAsia="zh-CN"/>
        </w:rPr>
        <w:t>。</w:t>
      </w:r>
    </w:p>
    <w:p>
      <w:pPr>
        <w:spacing w:line="60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2.公务用车运行维护费</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年公务用车运行维护费支出</w:t>
      </w:r>
      <w:r>
        <w:rPr>
          <w:rFonts w:hint="eastAsia" w:ascii="仿宋_GB2312" w:hAnsi="仿宋_GB2312" w:eastAsia="仿宋_GB2312" w:cs="仿宋_GB2312"/>
          <w:color w:val="000000"/>
          <w:sz w:val="32"/>
          <w:szCs w:val="32"/>
          <w:lang w:val="en-US" w:eastAsia="zh-CN"/>
        </w:rPr>
        <w:t>26.29</w:t>
      </w:r>
      <w:r>
        <w:rPr>
          <w:rFonts w:hint="eastAsia" w:ascii="仿宋_GB2312" w:hAnsi="仿宋_GB2312" w:eastAsia="仿宋_GB2312" w:cs="仿宋_GB2312"/>
          <w:color w:val="000000"/>
          <w:sz w:val="32"/>
          <w:szCs w:val="32"/>
        </w:rPr>
        <w:t>万元。主要用于工作所需的公务用车燃料费、维修费、过路过桥费、保险费等支出。</w:t>
      </w:r>
    </w:p>
    <w:p>
      <w:pPr>
        <w:spacing w:line="600" w:lineRule="exact"/>
        <w:ind w:firstLine="643" w:firstLineChars="200"/>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3.公务接待费</w:t>
      </w:r>
    </w:p>
    <w:p>
      <w:pPr>
        <w:spacing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201</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年公务接待费</w:t>
      </w:r>
      <w:r>
        <w:rPr>
          <w:rFonts w:hint="eastAsia" w:ascii="仿宋_GB2312" w:hAnsi="仿宋_GB2312" w:eastAsia="仿宋_GB2312" w:cs="仿宋_GB2312"/>
          <w:color w:val="000000"/>
          <w:sz w:val="32"/>
          <w:szCs w:val="32"/>
          <w:lang w:val="en-US" w:eastAsia="zh-CN"/>
        </w:rPr>
        <w:t>1.18</w:t>
      </w:r>
      <w:r>
        <w:rPr>
          <w:rFonts w:hint="eastAsia" w:ascii="仿宋_GB2312" w:hAnsi="仿宋_GB2312" w:eastAsia="仿宋_GB2312" w:cs="仿宋_GB2312"/>
          <w:color w:val="000000"/>
          <w:sz w:val="32"/>
          <w:szCs w:val="32"/>
        </w:rPr>
        <w:t>万元。主要用于执行公务、开展业务活动开支的餐费等。国内公务接待</w:t>
      </w:r>
      <w:r>
        <w:rPr>
          <w:rFonts w:hint="eastAsia" w:ascii="仿宋_GB2312" w:hAnsi="仿宋_GB2312" w:eastAsia="仿宋_GB2312" w:cs="仿宋_GB2312"/>
          <w:color w:val="000000"/>
          <w:sz w:val="32"/>
          <w:szCs w:val="32"/>
          <w:lang w:val="en-US" w:eastAsia="zh-CN"/>
        </w:rPr>
        <w:t>14</w:t>
      </w:r>
      <w:r>
        <w:rPr>
          <w:rFonts w:hint="eastAsia" w:ascii="仿宋_GB2312" w:hAnsi="仿宋_GB2312" w:eastAsia="仿宋_GB2312" w:cs="仿宋_GB2312"/>
          <w:color w:val="000000"/>
          <w:sz w:val="32"/>
          <w:szCs w:val="32"/>
        </w:rPr>
        <w:t>批次，</w:t>
      </w:r>
      <w:r>
        <w:rPr>
          <w:rFonts w:hint="eastAsia" w:ascii="仿宋_GB2312" w:hAnsi="仿宋_GB2312" w:eastAsia="仿宋_GB2312" w:cs="仿宋_GB2312"/>
          <w:color w:val="000000"/>
          <w:sz w:val="32"/>
          <w:szCs w:val="32"/>
          <w:lang w:val="en-US" w:eastAsia="zh-CN"/>
        </w:rPr>
        <w:t>162</w:t>
      </w:r>
      <w:r>
        <w:rPr>
          <w:rFonts w:hint="eastAsia" w:ascii="仿宋_GB2312" w:hAnsi="仿宋_GB2312" w:eastAsia="仿宋_GB2312" w:cs="仿宋_GB2312"/>
          <w:color w:val="000000"/>
          <w:sz w:val="32"/>
          <w:szCs w:val="32"/>
        </w:rPr>
        <w:t>人，具体内容包括：</w:t>
      </w:r>
      <w:r>
        <w:rPr>
          <w:rFonts w:hint="eastAsia" w:ascii="仿宋_GB2312" w:hAnsi="仿宋_GB2312" w:eastAsia="仿宋_GB2312" w:cs="仿宋_GB2312"/>
          <w:color w:val="000000"/>
          <w:sz w:val="32"/>
          <w:szCs w:val="32"/>
          <w:lang w:eastAsia="zh-CN"/>
        </w:rPr>
        <w:t>省内各相关单位相互交流工作用餐费</w:t>
      </w:r>
      <w:r>
        <w:rPr>
          <w:rFonts w:hint="eastAsia" w:ascii="仿宋_GB2312" w:hAnsi="仿宋_GB2312" w:eastAsia="仿宋_GB2312" w:cs="仿宋_GB2312"/>
          <w:color w:val="000000"/>
          <w:sz w:val="32"/>
          <w:szCs w:val="32"/>
        </w:rPr>
        <w:t>。</w:t>
      </w:r>
    </w:p>
    <w:p>
      <w:pPr>
        <w:numPr>
          <w:ilvl w:val="0"/>
          <w:numId w:val="0"/>
        </w:numPr>
        <w:spacing w:line="600" w:lineRule="exact"/>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八、其他重要事项的情况说明</w:t>
      </w:r>
    </w:p>
    <w:p>
      <w:pPr>
        <w:spacing w:line="60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（一）机关运行经费支出情况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w:t>
      </w:r>
      <w:r>
        <w:rPr>
          <w:rFonts w:hint="eastAsia" w:ascii="仿宋_GB2312" w:eastAsia="仿宋_GB2312"/>
          <w:color w:val="000000"/>
          <w:sz w:val="32"/>
          <w:szCs w:val="32"/>
          <w:lang w:eastAsia="zh-CN"/>
        </w:rPr>
        <w:t>部门汇总</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644.17</w:t>
      </w:r>
      <w:r>
        <w:rPr>
          <w:rFonts w:hint="eastAsia" w:ascii="仿宋_GB2312" w:eastAsia="仿宋_GB2312"/>
          <w:color w:val="000000"/>
          <w:sz w:val="32"/>
          <w:szCs w:val="32"/>
        </w:rPr>
        <w:t>万元，比201</w:t>
      </w: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年</w:t>
      </w:r>
      <w:r>
        <w:rPr>
          <w:rFonts w:hint="eastAsia" w:ascii="仿宋_GB2312" w:eastAsia="仿宋_GB2312"/>
          <w:color w:val="000000"/>
          <w:sz w:val="32"/>
          <w:szCs w:val="32"/>
          <w:lang w:eastAsia="zh-CN"/>
        </w:rPr>
        <w:t>增加</w:t>
      </w:r>
      <w:r>
        <w:rPr>
          <w:rFonts w:hint="eastAsia" w:ascii="仿宋_GB2312" w:eastAsia="仿宋_GB2312"/>
          <w:color w:val="000000"/>
          <w:sz w:val="32"/>
          <w:szCs w:val="32"/>
          <w:lang w:val="en-US" w:eastAsia="zh-CN"/>
        </w:rPr>
        <w:t>395.78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上升</w:t>
      </w:r>
      <w:r>
        <w:rPr>
          <w:rFonts w:hint="eastAsia" w:ascii="仿宋_GB2312" w:eastAsia="仿宋_GB2312"/>
          <w:color w:val="000000"/>
          <w:sz w:val="32"/>
          <w:szCs w:val="32"/>
          <w:lang w:val="en-US" w:eastAsia="zh-CN"/>
        </w:rPr>
        <w:t>159.34</w:t>
      </w:r>
      <w:r>
        <w:rPr>
          <w:rFonts w:hint="eastAsia" w:ascii="仿宋_GB2312" w:eastAsia="仿宋_GB2312"/>
          <w:color w:val="000000"/>
          <w:sz w:val="32"/>
          <w:szCs w:val="32"/>
        </w:rPr>
        <w:t>%</w:t>
      </w:r>
      <w:r>
        <w:rPr>
          <w:rFonts w:hint="eastAsia" w:ascii="仿宋_GB2312" w:eastAsia="仿宋_GB2312"/>
          <w:color w:val="000000"/>
          <w:sz w:val="32"/>
          <w:szCs w:val="32"/>
          <w:lang w:eastAsia="zh-CN"/>
        </w:rPr>
        <w:t>，增加的</w:t>
      </w:r>
      <w:r>
        <w:rPr>
          <w:rFonts w:hint="eastAsia" w:ascii="仿宋_GB2312" w:hAnsi="仿宋_GB2312" w:eastAsia="仿宋_GB2312" w:cs="仿宋_GB2312"/>
          <w:color w:val="000000"/>
          <w:sz w:val="32"/>
          <w:szCs w:val="32"/>
        </w:rPr>
        <w:t>主要</w:t>
      </w:r>
      <w:r>
        <w:rPr>
          <w:rFonts w:hint="eastAsia" w:ascii="仿宋_GB2312" w:hAnsi="仿宋_GB2312" w:eastAsia="仿宋_GB2312" w:cs="仿宋_GB2312"/>
          <w:color w:val="000000"/>
          <w:sz w:val="32"/>
          <w:szCs w:val="32"/>
          <w:lang w:eastAsia="zh-CN"/>
        </w:rPr>
        <w:t>原因：是其他对企事业单位的补贴增加和其他商品和服务支出增加</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rPr>
          <w:rFonts w:ascii="仿宋_GB2312" w:eastAsia="仿宋_GB2312"/>
          <w:b/>
          <w:color w:val="000000"/>
          <w:sz w:val="32"/>
          <w:szCs w:val="32"/>
        </w:rPr>
      </w:pPr>
      <w:r>
        <w:rPr>
          <w:rFonts w:hint="eastAsia" w:ascii="仿宋_GB2312" w:eastAsia="仿宋_GB2312"/>
          <w:b/>
          <w:color w:val="000000"/>
          <w:sz w:val="32"/>
          <w:szCs w:val="32"/>
        </w:rPr>
        <w:t>（二）政府采购支出情况</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年度，</w:t>
      </w:r>
      <w:r>
        <w:rPr>
          <w:rFonts w:hint="eastAsia" w:ascii="仿宋_GB2312" w:eastAsia="仿宋_GB2312"/>
          <w:color w:val="000000"/>
          <w:sz w:val="32"/>
          <w:szCs w:val="32"/>
          <w:lang w:eastAsia="zh-CN"/>
        </w:rPr>
        <w:t>广汉市交通运输局部门汇总实际</w:t>
      </w:r>
      <w:r>
        <w:rPr>
          <w:rFonts w:hint="eastAsia" w:ascii="仿宋_GB2312" w:eastAsia="仿宋_GB2312"/>
          <w:color w:val="000000"/>
          <w:sz w:val="32"/>
          <w:szCs w:val="32"/>
        </w:rPr>
        <w:t>政府</w:t>
      </w:r>
      <w:r>
        <w:rPr>
          <w:rFonts w:hint="eastAsia" w:ascii="仿宋_GB2312" w:eastAsia="仿宋_GB2312"/>
          <w:color w:val="000000"/>
          <w:sz w:val="32"/>
          <w:szCs w:val="32"/>
          <w:lang w:eastAsia="zh-CN"/>
        </w:rPr>
        <w:t>采购</w:t>
      </w:r>
      <w:r>
        <w:rPr>
          <w:rFonts w:hint="eastAsia" w:ascii="仿宋_GB2312" w:eastAsia="仿宋_GB2312"/>
          <w:color w:val="000000"/>
          <w:sz w:val="32"/>
          <w:szCs w:val="32"/>
        </w:rPr>
        <w:t>支出总额</w:t>
      </w:r>
      <w:r>
        <w:rPr>
          <w:rFonts w:hint="eastAsia" w:ascii="仿宋_GB2312" w:eastAsia="仿宋_GB2312"/>
          <w:color w:val="000000"/>
          <w:sz w:val="32"/>
          <w:szCs w:val="32"/>
          <w:lang w:val="en-US" w:eastAsia="zh-CN"/>
        </w:rPr>
        <w:t>277.98</w:t>
      </w:r>
      <w:r>
        <w:rPr>
          <w:rFonts w:hint="eastAsia" w:ascii="仿宋_GB2312" w:eastAsia="仿宋_GB2312"/>
          <w:color w:val="000000"/>
          <w:sz w:val="32"/>
          <w:szCs w:val="32"/>
        </w:rPr>
        <w:t>万元，其中：政府采购货物支出</w:t>
      </w:r>
      <w:r>
        <w:rPr>
          <w:rFonts w:hint="eastAsia" w:ascii="仿宋_GB2312" w:eastAsia="仿宋_GB2312"/>
          <w:color w:val="000000" w:themeColor="text1"/>
          <w:sz w:val="32"/>
          <w:szCs w:val="32"/>
          <w:lang w:val="en-US" w:eastAsia="zh-CN"/>
          <w14:textFill>
            <w14:solidFill>
              <w14:schemeClr w14:val="tx1"/>
            </w14:solidFill>
          </w14:textFill>
        </w:rPr>
        <w:t>9.48</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政府采购服务</w:t>
      </w:r>
      <w:r>
        <w:rPr>
          <w:rFonts w:hint="eastAsia" w:ascii="仿宋_GB2312" w:eastAsia="仿宋_GB2312"/>
          <w:color w:val="000000" w:themeColor="text1"/>
          <w:sz w:val="32"/>
          <w:szCs w:val="32"/>
          <w:lang w:val="en-US" w:eastAsia="zh-CN"/>
          <w14:textFill>
            <w14:solidFill>
              <w14:schemeClr w14:val="tx1"/>
            </w14:solidFill>
          </w14:textFill>
        </w:rPr>
        <w:t>268.50</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rPr>
        <w:t>。</w:t>
      </w:r>
    </w:p>
    <w:p>
      <w:pPr>
        <w:autoSpaceDE w:val="0"/>
        <w:autoSpaceDN w:val="0"/>
        <w:adjustRightInd w:val="0"/>
        <w:spacing w:line="600" w:lineRule="exact"/>
        <w:jc w:val="left"/>
        <w:rPr>
          <w:rFonts w:ascii="仿宋_GB2312" w:eastAsia="仿宋_GB2312"/>
          <w:b/>
          <w:color w:val="000000"/>
          <w:sz w:val="32"/>
          <w:szCs w:val="32"/>
        </w:rPr>
      </w:pPr>
      <w:r>
        <w:rPr>
          <w:rFonts w:hint="eastAsia" w:ascii="仿宋_GB2312" w:eastAsia="仿宋_GB2312"/>
          <w:b/>
          <w:color w:val="000000"/>
          <w:sz w:val="32"/>
          <w:szCs w:val="32"/>
          <w:lang w:val="en-US" w:eastAsia="zh-CN"/>
        </w:rPr>
        <w:t xml:space="preserve">   </w:t>
      </w:r>
      <w:r>
        <w:rPr>
          <w:rFonts w:hint="eastAsia" w:ascii="仿宋_GB2312" w:eastAsia="仿宋_GB2312"/>
          <w:b/>
          <w:color w:val="000000"/>
          <w:sz w:val="32"/>
          <w:szCs w:val="32"/>
        </w:rPr>
        <w:t>（三）国有资产占有使用情况</w:t>
      </w:r>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截至201</w:t>
      </w: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年12月31日，</w:t>
      </w:r>
      <w:r>
        <w:rPr>
          <w:rFonts w:hint="eastAsia" w:ascii="仿宋_GB2312" w:eastAsia="仿宋_GB2312"/>
          <w:color w:val="000000"/>
          <w:sz w:val="32"/>
          <w:szCs w:val="32"/>
          <w:lang w:eastAsia="zh-CN"/>
        </w:rPr>
        <w:t>广汉市交通运输局部门汇总共</w:t>
      </w:r>
      <w:r>
        <w:rPr>
          <w:rFonts w:hint="eastAsia" w:ascii="仿宋_GB2312" w:eastAsia="仿宋_GB2312"/>
          <w:color w:val="000000"/>
          <w:sz w:val="32"/>
          <w:szCs w:val="32"/>
        </w:rPr>
        <w:t>有车辆</w:t>
      </w:r>
      <w:r>
        <w:rPr>
          <w:rFonts w:hint="eastAsia" w:ascii="仿宋_GB2312" w:eastAsia="仿宋_GB2312"/>
          <w:color w:val="000000" w:themeColor="text1"/>
          <w:sz w:val="32"/>
          <w:szCs w:val="32"/>
          <w:lang w:val="en-US" w:eastAsia="zh-CN"/>
          <w14:textFill>
            <w14:solidFill>
              <w14:schemeClr w14:val="tx1"/>
            </w14:solidFill>
          </w14:textFill>
        </w:rPr>
        <w:t>32</w:t>
      </w:r>
      <w:r>
        <w:rPr>
          <w:rFonts w:hint="eastAsia" w:ascii="仿宋_GB2312" w:eastAsia="仿宋_GB2312"/>
          <w:color w:val="000000"/>
          <w:sz w:val="32"/>
          <w:szCs w:val="32"/>
        </w:rPr>
        <w:t>辆，其中：一般公务用车</w:t>
      </w:r>
      <w:r>
        <w:rPr>
          <w:rFonts w:hint="eastAsia" w:ascii="仿宋_GB2312" w:eastAsia="仿宋_GB2312"/>
          <w:color w:val="000000" w:themeColor="text1"/>
          <w:sz w:val="32"/>
          <w:szCs w:val="32"/>
          <w:lang w:val="en-US" w:eastAsia="zh-CN"/>
          <w14:textFill>
            <w14:solidFill>
              <w14:schemeClr w14:val="tx1"/>
            </w14:solidFill>
          </w14:textFill>
        </w:rPr>
        <w:t>22</w:t>
      </w:r>
      <w:r>
        <w:rPr>
          <w:rFonts w:hint="eastAsia" w:ascii="仿宋_GB2312" w:eastAsia="仿宋_GB2312"/>
          <w:color w:val="000000"/>
          <w:sz w:val="32"/>
          <w:szCs w:val="32"/>
        </w:rPr>
        <w:t>辆</w:t>
      </w:r>
      <w:r>
        <w:rPr>
          <w:rFonts w:hint="eastAsia" w:ascii="仿宋_GB2312" w:eastAsia="仿宋_GB2312"/>
          <w:color w:val="000000"/>
          <w:sz w:val="32"/>
          <w:szCs w:val="32"/>
          <w:lang w:eastAsia="zh-CN"/>
        </w:rPr>
        <w:t>，一般执法执勤用车</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sz w:val="32"/>
          <w:szCs w:val="32"/>
          <w:lang w:val="en-US" w:eastAsia="zh-CN"/>
        </w:rPr>
        <w:t>辆、其他用车</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sz w:val="32"/>
          <w:szCs w:val="32"/>
          <w:lang w:val="en-US" w:eastAsia="zh-CN"/>
        </w:rPr>
        <w:t>辆</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rPr>
          <w:rFonts w:hint="eastAsia" w:ascii="仿宋_GB2312" w:eastAsia="仿宋_GB2312"/>
          <w:b/>
          <w:color w:val="000000"/>
          <w:sz w:val="32"/>
          <w:szCs w:val="32"/>
        </w:rPr>
      </w:pPr>
      <w:r>
        <w:rPr>
          <w:rFonts w:hint="eastAsia" w:ascii="仿宋_GB2312" w:eastAsia="仿宋_GB2312"/>
          <w:b/>
          <w:color w:val="000000"/>
          <w:sz w:val="32"/>
          <w:szCs w:val="32"/>
        </w:rPr>
        <w:t>（四）预算绩效情况</w:t>
      </w:r>
    </w:p>
    <w:p>
      <w:pPr>
        <w:spacing w:line="600" w:lineRule="exact"/>
        <w:ind w:firstLine="640"/>
        <w:rPr>
          <w:rFonts w:hint="eastAsia" w:ascii="仿宋_GB2312" w:eastAsia="仿宋_GB2312"/>
          <w:sz w:val="32"/>
          <w:szCs w:val="32"/>
        </w:rPr>
      </w:pPr>
      <w:r>
        <w:rPr>
          <w:rFonts w:hint="eastAsia" w:ascii="仿宋_GB2312" w:eastAsia="仿宋_GB2312"/>
          <w:sz w:val="32"/>
          <w:szCs w:val="32"/>
        </w:rPr>
        <w:t>按照预算绩效管理要求，我单位对2017年一般公共预算项目支出开展了绩效目标管理，</w:t>
      </w:r>
      <w:r>
        <w:rPr>
          <w:rFonts w:ascii="仿宋_GB2312" w:eastAsia="仿宋_GB2312"/>
          <w:sz w:val="32"/>
          <w:szCs w:val="32"/>
        </w:rPr>
        <w:t xml:space="preserve"> </w:t>
      </w:r>
      <w:r>
        <w:rPr>
          <w:rFonts w:hint="eastAsia" w:ascii="仿宋_GB2312" w:eastAsia="仿宋_GB2312"/>
          <w:sz w:val="32"/>
          <w:szCs w:val="32"/>
        </w:rPr>
        <w:t>已开展了项目绩效自评,认真梳理存在的问题,采取相应的整改措施完善预算管理工作。</w:t>
      </w:r>
    </w:p>
    <w:p>
      <w:pPr>
        <w:spacing w:line="600" w:lineRule="exact"/>
        <w:ind w:firstLine="640"/>
        <w:rPr>
          <w:rFonts w:hint="eastAsia" w:ascii="仿宋_GB2312" w:eastAsia="仿宋_GB2312"/>
          <w:sz w:val="32"/>
          <w:szCs w:val="32"/>
          <w:lang w:eastAsia="zh-CN"/>
        </w:rPr>
      </w:pPr>
      <w:r>
        <w:rPr>
          <w:rFonts w:hint="eastAsia" w:ascii="仿宋_GB2312" w:eastAsia="仿宋_GB2312"/>
          <w:color w:val="000000"/>
          <w:sz w:val="32"/>
          <w:szCs w:val="32"/>
        </w:rPr>
        <w:t>按照预算绩效管理要求，本部门对2017年整体支出开展绩效自评，自评得分</w:t>
      </w:r>
      <w:r>
        <w:rPr>
          <w:rFonts w:hint="eastAsia" w:ascii="仿宋_GB2312" w:eastAsia="仿宋_GB2312"/>
          <w:color w:val="000000"/>
          <w:sz w:val="32"/>
          <w:szCs w:val="32"/>
          <w:lang w:val="en-US" w:eastAsia="zh-CN"/>
        </w:rPr>
        <w:t>90</w:t>
      </w:r>
      <w:r>
        <w:rPr>
          <w:rFonts w:hint="eastAsia" w:ascii="仿宋_GB2312" w:eastAsia="仿宋_GB2312"/>
          <w:color w:val="000000"/>
          <w:sz w:val="32"/>
          <w:szCs w:val="32"/>
        </w:rPr>
        <w:t>分</w:t>
      </w:r>
      <w:r>
        <w:rPr>
          <w:rFonts w:hint="eastAsia" w:ascii="仿宋_GB2312" w:eastAsia="仿宋_GB2312"/>
          <w:color w:val="000000"/>
          <w:sz w:val="32"/>
          <w:szCs w:val="32"/>
          <w:lang w:eastAsia="zh-CN"/>
        </w:rPr>
        <w:t>。</w:t>
      </w:r>
    </w:p>
    <w:p>
      <w:pPr>
        <w:jc w:val="center"/>
        <w:rPr>
          <w:rFonts w:hint="eastAsia" w:ascii="黑体" w:hAnsi="黑体" w:eastAsia="黑体"/>
          <w:color w:val="000000"/>
          <w:sz w:val="32"/>
          <w:szCs w:val="32"/>
        </w:rPr>
      </w:pPr>
      <w:r>
        <w:rPr>
          <w:rFonts w:hint="eastAsia" w:ascii="黑体" w:hAnsi="黑体" w:eastAsia="黑体"/>
          <w:color w:val="000000"/>
          <w:sz w:val="32"/>
          <w:szCs w:val="32"/>
        </w:rPr>
        <w:t>2017年部门整体支出绩效评价得分表</w:t>
      </w:r>
    </w:p>
    <w:tbl>
      <w:tblPr>
        <w:tblStyle w:val="6"/>
        <w:tblW w:w="9498" w:type="dxa"/>
        <w:tblInd w:w="-176" w:type="dxa"/>
        <w:tblLayout w:type="fixed"/>
        <w:tblCellMar>
          <w:top w:w="0" w:type="dxa"/>
          <w:left w:w="108" w:type="dxa"/>
          <w:bottom w:w="0" w:type="dxa"/>
          <w:right w:w="108" w:type="dxa"/>
        </w:tblCellMar>
      </w:tblPr>
      <w:tblGrid>
        <w:gridCol w:w="1702"/>
        <w:gridCol w:w="2268"/>
        <w:gridCol w:w="3402"/>
        <w:gridCol w:w="2126"/>
      </w:tblGrid>
      <w:tr>
        <w:tblPrEx>
          <w:tblLayout w:type="fixed"/>
          <w:tblCellMar>
            <w:top w:w="0" w:type="dxa"/>
            <w:left w:w="108" w:type="dxa"/>
            <w:bottom w:w="0" w:type="dxa"/>
            <w:right w:w="108" w:type="dxa"/>
          </w:tblCellMar>
        </w:tblPrEx>
        <w:trPr>
          <w:trHeight w:val="240" w:hRule="atLeast"/>
        </w:trPr>
        <w:tc>
          <w:tcPr>
            <w:tcW w:w="17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22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34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2126" w:type="dxa"/>
            <w:tcBorders>
              <w:top w:val="single" w:color="auto" w:sz="4" w:space="0"/>
              <w:left w:val="nil"/>
              <w:bottom w:val="single" w:color="auto" w:sz="4" w:space="0"/>
              <w:right w:val="single" w:color="auto" w:sz="4" w:space="0"/>
            </w:tcBorders>
            <w:vAlign w:val="top"/>
          </w:tcPr>
          <w:p>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得分</w:t>
            </w:r>
          </w:p>
        </w:tc>
      </w:tr>
      <w:tr>
        <w:tblPrEx>
          <w:tblLayout w:type="fixed"/>
          <w:tblCellMar>
            <w:top w:w="0" w:type="dxa"/>
            <w:left w:w="108" w:type="dxa"/>
            <w:bottom w:w="0" w:type="dxa"/>
            <w:right w:w="108" w:type="dxa"/>
          </w:tblCellMar>
        </w:tblPrEx>
        <w:trPr>
          <w:trHeight w:val="520" w:hRule="atLeast"/>
        </w:trPr>
        <w:tc>
          <w:tcPr>
            <w:tcW w:w="170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部门决策（25分）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目标任务（15分）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相关性（5分）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明确性（5分）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20"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合理性（5分）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Layout w:type="fixed"/>
          <w:tblCellMar>
            <w:top w:w="0" w:type="dxa"/>
            <w:left w:w="108" w:type="dxa"/>
            <w:bottom w:w="0" w:type="dxa"/>
            <w:right w:w="108" w:type="dxa"/>
          </w:tblCellMar>
        </w:tblPrEx>
        <w:trPr>
          <w:trHeight w:val="269" w:hRule="atLeast"/>
        </w:trPr>
        <w:tc>
          <w:tcPr>
            <w:tcW w:w="17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预算编制（10分）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测算依据（5分）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Layout w:type="fixed"/>
        </w:tblPrEx>
        <w:trPr>
          <w:trHeight w:val="231"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目标管理（5分）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Layout w:type="fixed"/>
          <w:tblCellMar>
            <w:top w:w="0" w:type="dxa"/>
            <w:left w:w="108" w:type="dxa"/>
            <w:bottom w:w="0" w:type="dxa"/>
            <w:right w:w="108" w:type="dxa"/>
          </w:tblCellMar>
        </w:tblPrEx>
        <w:trPr>
          <w:trHeight w:val="477" w:hRule="atLeast"/>
        </w:trPr>
        <w:tc>
          <w:tcPr>
            <w:tcW w:w="170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综合管理（30分）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专项资金分配时限（2分）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省级财力专项预算分配时限（1分）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41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中央专款分配合规率（1分）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277"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中期评估（2分）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执行中期评估（2分）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Layout w:type="fixed"/>
          <w:tblCellMar>
            <w:top w:w="0" w:type="dxa"/>
            <w:left w:w="108" w:type="dxa"/>
            <w:bottom w:w="0" w:type="dxa"/>
            <w:right w:w="108" w:type="dxa"/>
          </w:tblCellMar>
        </w:tblPrEx>
        <w:trPr>
          <w:trHeight w:val="381"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绩效监控（5分）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预算执行进度监控（2分）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27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绩效目标动态监控（3分）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PrEx>
        <w:trPr>
          <w:trHeight w:val="23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非税收入执收情况（2分）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非税收入征收情况（1分）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32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非税收入上缴情况（1分）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资产管理（6分）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资产管理信息化情况（2分）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35"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行政事业单位资产报告情况（2分）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353" w:hRule="atLeast"/>
        </w:trPr>
        <w:tc>
          <w:tcPr>
            <w:tcW w:w="1702" w:type="dxa"/>
            <w:vMerge w:val="continue"/>
            <w:tcBorders>
              <w:left w:val="single" w:color="auto" w:sz="4" w:space="0"/>
              <w:right w:val="single" w:color="auto" w:sz="4" w:space="0"/>
            </w:tcBorders>
            <w:vAlign w:val="center"/>
          </w:tcPr>
          <w:p>
            <w:pPr>
              <w:jc w:val="center"/>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资产管理与预算管理相结合（2分）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72" w:hRule="atLeast"/>
        </w:trPr>
        <w:tc>
          <w:tcPr>
            <w:tcW w:w="1702"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26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内控制度管理（2分）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内部控制度健全完整（2分）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PrEx>
        <w:trPr>
          <w:trHeight w:val="221"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信息公开（6分）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预算公开（2分）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197"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决算公开（2分）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87"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绩效信息公开（2分）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0</w:t>
            </w:r>
          </w:p>
        </w:tc>
      </w:tr>
      <w:tr>
        <w:tblPrEx>
          <w:tblLayout w:type="fixed"/>
          <w:tblCellMar>
            <w:top w:w="0" w:type="dxa"/>
            <w:left w:w="108" w:type="dxa"/>
            <w:bottom w:w="0" w:type="dxa"/>
            <w:right w:w="108" w:type="dxa"/>
          </w:tblCellMar>
        </w:tblPrEx>
        <w:trPr>
          <w:trHeight w:val="405" w:hRule="atLeast"/>
        </w:trPr>
        <w:tc>
          <w:tcPr>
            <w:tcW w:w="170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绩效评价（5分）</w:t>
            </w: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绩效评价开展（2分）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1</w:t>
            </w:r>
          </w:p>
        </w:tc>
      </w:tr>
      <w:tr>
        <w:tblPrEx>
          <w:tblLayout w:type="fixed"/>
          <w:tblCellMar>
            <w:top w:w="0" w:type="dxa"/>
            <w:left w:w="108" w:type="dxa"/>
            <w:bottom w:w="0" w:type="dxa"/>
            <w:right w:w="108" w:type="dxa"/>
          </w:tblCellMar>
        </w:tblPrEx>
        <w:trPr>
          <w:trHeight w:val="127"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评价结果应用（3分）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w:t>
            </w:r>
          </w:p>
        </w:tc>
      </w:tr>
      <w:tr>
        <w:tblPrEx>
          <w:tblLayout w:type="fixed"/>
          <w:tblCellMar>
            <w:top w:w="0" w:type="dxa"/>
            <w:left w:w="108" w:type="dxa"/>
            <w:bottom w:w="0" w:type="dxa"/>
            <w:right w:w="108" w:type="dxa"/>
          </w:tblCellMar>
        </w:tblPrEx>
        <w:trPr>
          <w:trHeight w:val="231" w:hRule="atLeast"/>
        </w:trPr>
        <w:tc>
          <w:tcPr>
            <w:tcW w:w="1702"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部门绩效情况（45分）</w:t>
            </w: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履职成效（20分）</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部门特性指标</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20</w:t>
            </w:r>
          </w:p>
        </w:tc>
      </w:tr>
      <w:tr>
        <w:tblPrEx>
          <w:tblLayout w:type="fixed"/>
        </w:tblPrEx>
        <w:trPr>
          <w:trHeight w:val="18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24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c>
          <w:tcPr>
            <w:tcW w:w="2126" w:type="dxa"/>
            <w:tcBorders>
              <w:top w:val="nil"/>
              <w:left w:val="nil"/>
              <w:bottom w:val="single" w:color="auto" w:sz="4" w:space="0"/>
              <w:right w:val="single" w:color="auto" w:sz="4" w:space="0"/>
            </w:tcBorders>
            <w:vAlign w:val="top"/>
          </w:tcPr>
          <w:p>
            <w:pPr>
              <w:widowControl/>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trHeight w:val="157"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可持续发展能力（15分）</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重点改革（重点工作）完成情况（5分）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Layout w:type="fixed"/>
          <w:tblCellMar>
            <w:top w:w="0" w:type="dxa"/>
            <w:left w:w="108" w:type="dxa"/>
            <w:bottom w:w="0" w:type="dxa"/>
            <w:right w:w="108" w:type="dxa"/>
          </w:tblCellMar>
        </w:tblPrEx>
        <w:trPr>
          <w:trHeight w:val="320"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科技（制度、方法、机制等）创新（5分）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4</w:t>
            </w:r>
          </w:p>
        </w:tc>
      </w:tr>
      <w:tr>
        <w:tblPrEx>
          <w:tblLayout w:type="fixed"/>
          <w:tblCellMar>
            <w:top w:w="0" w:type="dxa"/>
            <w:left w:w="108" w:type="dxa"/>
            <w:bottom w:w="0" w:type="dxa"/>
            <w:right w:w="108" w:type="dxa"/>
          </w:tblCellMar>
        </w:tblPrEx>
        <w:trPr>
          <w:trHeight w:val="385"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人才培养（5分）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5</w:t>
            </w:r>
          </w:p>
        </w:tc>
      </w:tr>
      <w:tr>
        <w:tblPrEx>
          <w:tblLayout w:type="fixed"/>
        </w:tblPrEx>
        <w:trPr>
          <w:trHeight w:val="432"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满意度（10分）</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协作部门满意度（3分）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3</w:t>
            </w:r>
          </w:p>
        </w:tc>
      </w:tr>
      <w:tr>
        <w:tblPrEx>
          <w:tblLayout w:type="fixed"/>
          <w:tblCellMar>
            <w:top w:w="0" w:type="dxa"/>
            <w:left w:w="108" w:type="dxa"/>
            <w:bottom w:w="0" w:type="dxa"/>
            <w:right w:w="108" w:type="dxa"/>
          </w:tblCellMar>
        </w:tblPrEx>
        <w:trPr>
          <w:trHeight w:val="396" w:hRule="atLeast"/>
        </w:trPr>
        <w:tc>
          <w:tcPr>
            <w:tcW w:w="1702"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2268" w:type="dxa"/>
            <w:vMerge w:val="continue"/>
            <w:tcBorders>
              <w:left w:val="single" w:color="auto" w:sz="4" w:space="0"/>
              <w:right w:val="single" w:color="auto" w:sz="4" w:space="0"/>
            </w:tcBorders>
            <w:vAlign w:val="center"/>
          </w:tcPr>
          <w:p>
            <w:pPr>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管理对象满意度（3分）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3</w:t>
            </w:r>
          </w:p>
        </w:tc>
      </w:tr>
      <w:tr>
        <w:tblPrEx>
          <w:tblLayout w:type="fixed"/>
          <w:tblCellMar>
            <w:top w:w="0" w:type="dxa"/>
            <w:left w:w="108" w:type="dxa"/>
            <w:bottom w:w="0" w:type="dxa"/>
            <w:right w:w="108" w:type="dxa"/>
          </w:tblCellMar>
        </w:tblPrEx>
        <w:trPr>
          <w:trHeight w:val="411" w:hRule="atLeast"/>
        </w:trPr>
        <w:tc>
          <w:tcPr>
            <w:tcW w:w="170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26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社会公众满意度（4分）</w:t>
            </w:r>
          </w:p>
        </w:tc>
        <w:tc>
          <w:tcPr>
            <w:tcW w:w="2126" w:type="dxa"/>
            <w:tcBorders>
              <w:top w:val="nil"/>
              <w:left w:val="nil"/>
              <w:bottom w:val="single" w:color="auto" w:sz="4" w:space="0"/>
              <w:right w:val="single" w:color="auto" w:sz="4" w:space="0"/>
            </w:tcBorders>
            <w:vAlign w:val="top"/>
          </w:tcPr>
          <w:p>
            <w:pPr>
              <w:widowControl/>
              <w:jc w:val="center"/>
              <w:rPr>
                <w:rFonts w:hint="eastAsia" w:ascii="宋体" w:hAnsi="宋体" w:cs="宋体" w:eastAsiaTheme="minorEastAsia"/>
                <w:color w:val="000000"/>
                <w:kern w:val="0"/>
                <w:sz w:val="20"/>
                <w:szCs w:val="20"/>
                <w:lang w:val="en-US" w:eastAsia="zh-CN"/>
              </w:rPr>
            </w:pPr>
            <w:r>
              <w:rPr>
                <w:rFonts w:hint="eastAsia" w:ascii="宋体" w:hAnsi="宋体" w:cs="宋体"/>
                <w:color w:val="000000"/>
                <w:kern w:val="0"/>
                <w:sz w:val="20"/>
                <w:szCs w:val="20"/>
                <w:lang w:val="en-US" w:eastAsia="zh-CN"/>
              </w:rPr>
              <w:t>3</w:t>
            </w:r>
          </w:p>
        </w:tc>
      </w:tr>
    </w:tbl>
    <w:p>
      <w:pPr>
        <w:rPr>
          <w:rFonts w:hint="eastAsia"/>
          <w:color w:val="000000"/>
        </w:rPr>
      </w:pPr>
    </w:p>
    <w:p>
      <w:pPr>
        <w:autoSpaceDE w:val="0"/>
        <w:autoSpaceDN w:val="0"/>
        <w:adjustRightInd w:val="0"/>
        <w:spacing w:line="600" w:lineRule="exact"/>
        <w:jc w:val="left"/>
        <w:rPr>
          <w:rFonts w:hint="eastAsia" w:ascii="黑体" w:eastAsia="黑体"/>
          <w:color w:val="000000"/>
          <w:sz w:val="32"/>
          <w:szCs w:val="32"/>
        </w:rPr>
      </w:pPr>
      <w:r>
        <w:rPr>
          <w:rFonts w:hint="eastAsia" w:ascii="仿宋_GB2312" w:hAnsi="仿宋_GB2312" w:eastAsia="仿宋_GB2312" w:cs="仿宋_GB2312"/>
          <w:b/>
          <w:bCs/>
          <w:color w:val="000000"/>
          <w:sz w:val="32"/>
          <w:szCs w:val="32"/>
          <w:lang w:eastAsia="zh-CN"/>
        </w:rPr>
        <w:t>九、</w:t>
      </w:r>
      <w:r>
        <w:rPr>
          <w:rFonts w:hint="eastAsia" w:ascii="黑体" w:eastAsia="黑体"/>
          <w:color w:val="000000"/>
          <w:sz w:val="32"/>
          <w:szCs w:val="32"/>
        </w:rPr>
        <w:t>名词解释</w:t>
      </w:r>
    </w:p>
    <w:p>
      <w:pPr>
        <w:pStyle w:val="8"/>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1.财政拨款收入：指</w:t>
      </w:r>
      <w:r>
        <w:rPr>
          <w:rFonts w:hint="eastAsia" w:ascii="仿宋_GB2312" w:eastAsia="仿宋_GB2312"/>
          <w:sz w:val="32"/>
          <w:szCs w:val="32"/>
          <w:lang w:eastAsia="zh-CN"/>
        </w:rPr>
        <w:t>市</w:t>
      </w:r>
      <w:r>
        <w:rPr>
          <w:rFonts w:hint="eastAsia" w:ascii="仿宋_GB2312" w:eastAsia="仿宋_GB2312"/>
          <w:sz w:val="32"/>
          <w:szCs w:val="32"/>
        </w:rPr>
        <w:t xml:space="preserve">级财政当年拨付的资金。 </w:t>
      </w:r>
    </w:p>
    <w:p>
      <w:pPr>
        <w:pStyle w:val="8"/>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.其他收入：指除上述“财政拨款收入”、“事业收入”、等以外的收入。主要是</w:t>
      </w:r>
      <w:r>
        <w:rPr>
          <w:rFonts w:hint="eastAsia" w:ascii="仿宋_GB2312" w:eastAsia="仿宋_GB2312"/>
          <w:sz w:val="32"/>
          <w:szCs w:val="32"/>
          <w:lang w:eastAsia="zh-CN"/>
        </w:rPr>
        <w:t>上级拨入资金</w:t>
      </w:r>
      <w:r>
        <w:rPr>
          <w:rFonts w:hint="eastAsia" w:ascii="仿宋_GB2312" w:eastAsia="仿宋_GB2312"/>
          <w:sz w:val="32"/>
          <w:szCs w:val="32"/>
        </w:rPr>
        <w:t xml:space="preserve">。 </w:t>
      </w:r>
    </w:p>
    <w:p>
      <w:pPr>
        <w:pStyle w:val="8"/>
        <w:spacing w:line="560" w:lineRule="exact"/>
        <w:ind w:firstLine="640" w:firstLineChars="200"/>
        <w:rPr>
          <w:rFonts w:hint="eastAsia" w:ascii="仿宋_GB2312" w:eastAsia="仿宋_GB2312"/>
          <w:color w:val="000000"/>
          <w:sz w:val="32"/>
          <w:szCs w:val="32"/>
        </w:rPr>
      </w:pPr>
      <w:r>
        <w:rPr>
          <w:rFonts w:hint="eastAsia" w:ascii="仿宋_GB2312" w:eastAsia="仿宋_GB2312"/>
          <w:sz w:val="32"/>
          <w:szCs w:val="32"/>
          <w:lang w:val="en-US" w:eastAsia="zh-CN"/>
        </w:rPr>
        <w:t>3</w:t>
      </w:r>
      <w:r>
        <w:rPr>
          <w:rFonts w:hint="eastAsia" w:ascii="仿宋_GB2312" w:eastAsia="仿宋_GB2312"/>
          <w:sz w:val="32"/>
          <w:szCs w:val="32"/>
        </w:rPr>
        <w:t xml:space="preserve">.年初结转和结余：指以前年度尚未完成、结转到本年按有关规定继续使用的资金。 </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.社会保障和就业：指</w:t>
      </w:r>
      <w:r>
        <w:rPr>
          <w:rFonts w:hint="eastAsia" w:ascii="仿宋_GB2312" w:eastAsia="仿宋_GB2312"/>
          <w:color w:val="000000"/>
          <w:sz w:val="32"/>
          <w:szCs w:val="32"/>
          <w:lang w:eastAsia="zh-CN"/>
        </w:rPr>
        <w:t>单位为职工缴纳的基本养老保险、失业保险等社会保险</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5.医疗卫生与计划生育支出：</w:t>
      </w:r>
      <w:r>
        <w:rPr>
          <w:rFonts w:hint="eastAsia" w:ascii="仿宋_GB2312" w:eastAsia="仿宋_GB2312"/>
          <w:color w:val="000000"/>
          <w:sz w:val="32"/>
          <w:szCs w:val="32"/>
        </w:rPr>
        <w:t>指</w:t>
      </w:r>
      <w:r>
        <w:rPr>
          <w:rFonts w:hint="eastAsia" w:ascii="仿宋_GB2312" w:eastAsia="仿宋_GB2312"/>
          <w:color w:val="000000"/>
          <w:sz w:val="32"/>
          <w:szCs w:val="32"/>
          <w:lang w:eastAsia="zh-CN"/>
        </w:rPr>
        <w:t>单位为职工缴纳的基本医疗保险、生育保险等社会保险</w:t>
      </w:r>
      <w:r>
        <w:rPr>
          <w:rFonts w:hint="eastAsia" w:ascii="仿宋_GB2312" w:eastAsia="仿宋_GB2312"/>
          <w:color w:val="000000"/>
          <w:sz w:val="32"/>
          <w:szCs w:val="32"/>
        </w:rPr>
        <w:t>。</w:t>
      </w:r>
    </w:p>
    <w:p>
      <w:pPr>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6.交通运输支出：指单位</w:t>
      </w:r>
      <w:r>
        <w:rPr>
          <w:rFonts w:hint="eastAsia" w:ascii="仿宋_GB2312" w:eastAsia="仿宋_GB2312"/>
          <w:sz w:val="32"/>
          <w:szCs w:val="32"/>
        </w:rPr>
        <w:t>指除上述</w:t>
      </w:r>
      <w:r>
        <w:rPr>
          <w:rFonts w:hint="eastAsia" w:ascii="仿宋_GB2312" w:eastAsia="仿宋_GB2312"/>
          <w:sz w:val="32"/>
          <w:szCs w:val="32"/>
          <w:lang w:eastAsia="zh-CN"/>
        </w:rPr>
        <w:t>社会</w:t>
      </w:r>
      <w:r>
        <w:rPr>
          <w:rFonts w:hint="eastAsia" w:ascii="仿宋_GB2312" w:eastAsia="仿宋_GB2312"/>
          <w:color w:val="000000"/>
          <w:sz w:val="32"/>
          <w:szCs w:val="32"/>
        </w:rPr>
        <w:t>保障和就业</w:t>
      </w:r>
      <w:r>
        <w:rPr>
          <w:rFonts w:hint="eastAsia" w:ascii="仿宋_GB2312" w:eastAsia="仿宋_GB2312"/>
          <w:color w:val="000000"/>
          <w:sz w:val="32"/>
          <w:szCs w:val="32"/>
          <w:lang w:eastAsia="zh-CN"/>
        </w:rPr>
        <w:t>支出、</w:t>
      </w:r>
      <w:r>
        <w:rPr>
          <w:rFonts w:hint="eastAsia" w:ascii="仿宋_GB2312" w:eastAsia="仿宋_GB2312"/>
          <w:color w:val="000000"/>
          <w:sz w:val="32"/>
          <w:szCs w:val="32"/>
          <w:lang w:val="en-US" w:eastAsia="zh-CN"/>
        </w:rPr>
        <w:t>医疗卫生与计划生育支出、住房保障支出外的主要行业支出。</w:t>
      </w:r>
    </w:p>
    <w:p>
      <w:pPr>
        <w:rPr>
          <w:rFonts w:hint="eastAsia" w:ascii="仿宋_GB2312" w:eastAsia="仿宋_GB2312"/>
          <w:color w:val="000000"/>
          <w:sz w:val="32"/>
          <w:szCs w:val="32"/>
        </w:rPr>
      </w:pPr>
      <w:r>
        <w:rPr>
          <w:rFonts w:hint="eastAsia" w:ascii="仿宋_GB2312" w:eastAsia="仿宋_GB2312"/>
          <w:color w:val="000000"/>
          <w:sz w:val="32"/>
          <w:szCs w:val="32"/>
          <w:lang w:val="en-US" w:eastAsia="zh-CN"/>
        </w:rPr>
        <w:t xml:space="preserve">    7</w:t>
      </w:r>
      <w:r>
        <w:rPr>
          <w:rFonts w:hint="eastAsia" w:ascii="仿宋_GB2312" w:eastAsia="仿宋_GB2312"/>
          <w:color w:val="000000"/>
          <w:sz w:val="32"/>
          <w:szCs w:val="32"/>
        </w:rPr>
        <w:t>.年末结转和结余：指本年度或以前年度预算安排、因客观条件发生变化无法按原计划实施，需延迟到以后年度按有关规定继续使用的资金。</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 xml:space="preserve">.项目支出：指在基本支出之外为完成特定行政任务和事业发展目标所发生的支出。 </w:t>
      </w:r>
    </w:p>
    <w:p>
      <w:pPr>
        <w:pStyle w:val="8"/>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0</w:t>
      </w:r>
      <w:r>
        <w:rPr>
          <w:rFonts w:hint="eastAsia" w:ascii="仿宋_GB2312" w:eastAsia="仿宋_GB231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8"/>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8"/>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eastAsia="zh-CN"/>
        </w:rPr>
        <w:t>工资福利支出：反映单位开支的在职职工和编制外长期聘用</w:t>
      </w:r>
      <w:r>
        <w:rPr>
          <w:rFonts w:hint="eastAsia" w:ascii="仿宋_GB2312" w:eastAsia="仿宋_GB2312"/>
          <w:sz w:val="32"/>
          <w:szCs w:val="32"/>
          <w:lang w:val="en-US" w:eastAsia="zh-CN"/>
        </w:rPr>
        <w:t>人员的各类劳动报酬，以及为上述人员缴纳的各项社会保险费等</w:t>
      </w:r>
      <w:r>
        <w:rPr>
          <w:rFonts w:hint="eastAsia" w:ascii="仿宋_GB2312" w:eastAsia="仿宋_GB2312"/>
          <w:sz w:val="32"/>
          <w:szCs w:val="32"/>
        </w:rPr>
        <w:t>。</w:t>
      </w:r>
    </w:p>
    <w:p>
      <w:pPr>
        <w:pStyle w:val="8"/>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13.商品和服务支出：反映单位购买商品和服务的支出。</w:t>
      </w:r>
    </w:p>
    <w:p>
      <w:pPr>
        <w:pStyle w:val="8"/>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14.对个人和家庭的补助：反映政府用于对个人和家庭的补助支出。</w:t>
      </w:r>
    </w:p>
    <w:p>
      <w:pPr>
        <w:pStyle w:val="8"/>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15.其他资本性支出：反映非各级发展与改革部门集中安排的用于购置固定资产、战略性和应急性储备、土地和无形资产，以及购建基础设施、大型修缮和财政支持企业更新改造所发生的支出。</w:t>
      </w:r>
    </w:p>
    <w:p>
      <w:pPr>
        <w:numPr>
          <w:ilvl w:val="0"/>
          <w:numId w:val="0"/>
        </w:numPr>
        <w:spacing w:line="600" w:lineRule="exact"/>
        <w:rPr>
          <w:rFonts w:hint="eastAsia" w:ascii="仿宋_GB2312" w:hAnsi="仿宋_GB2312" w:eastAsia="仿宋_GB2312" w:cs="仿宋_GB2312"/>
          <w:color w:val="000000"/>
          <w:sz w:val="32"/>
          <w:szCs w:val="32"/>
          <w:lang w:eastAsia="zh-CN"/>
        </w:rPr>
      </w:pPr>
    </w:p>
    <w:p>
      <w:pPr>
        <w:adjustRightInd w:val="0"/>
        <w:snapToGrid w:val="0"/>
        <w:spacing w:line="600" w:lineRule="exact"/>
        <w:ind w:firstLine="5250" w:firstLineChars="1750"/>
        <w:rPr>
          <w:rFonts w:hint="eastAsia" w:ascii="仿宋_GB2312" w:hAnsi="仿宋_GB2312" w:eastAsia="仿宋_GB2312" w:cs="仿宋_GB2312"/>
          <w:sz w:val="30"/>
          <w:szCs w:val="30"/>
        </w:rPr>
      </w:pPr>
    </w:p>
    <w:p>
      <w:pPr>
        <w:adjustRightInd w:val="0"/>
        <w:snapToGrid w:val="0"/>
        <w:spacing w:line="600" w:lineRule="exact"/>
        <w:ind w:firstLine="5250" w:firstLineChars="1750"/>
        <w:rPr>
          <w:rFonts w:hint="eastAsia" w:ascii="仿宋_GB2312" w:hAnsi="仿宋_GB2312" w:eastAsia="仿宋_GB2312" w:cs="仿宋_GB2312"/>
          <w:sz w:val="32"/>
          <w:szCs w:val="32"/>
        </w:rPr>
      </w:pPr>
      <w:r>
        <w:rPr>
          <w:rFonts w:hint="eastAsia" w:ascii="仿宋_GB2312" w:hAnsi="仿宋_GB2312" w:eastAsia="仿宋_GB2312" w:cs="仿宋_GB2312"/>
          <w:sz w:val="30"/>
          <w:szCs w:val="30"/>
        </w:rPr>
        <w:t>广汉市交通运输局</w:t>
      </w:r>
    </w:p>
    <w:p>
      <w:pPr>
        <w:adjustRightInd w:val="0"/>
        <w:snapToGrid w:val="0"/>
        <w:spacing w:line="600" w:lineRule="exact"/>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二〇一</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eastAsia="zh-CN"/>
        </w:rPr>
        <w:t>九</w:t>
      </w:r>
      <w:r>
        <w:rPr>
          <w:rFonts w:hint="eastAsia" w:ascii="仿宋_GB2312" w:hAnsi="仿宋_GB2312" w:eastAsia="仿宋_GB2312" w:cs="仿宋_GB2312"/>
          <w:sz w:val="30"/>
          <w:szCs w:val="30"/>
        </w:rPr>
        <w:t>月二十日</w:t>
      </w:r>
    </w:p>
    <w:p>
      <w:pPr>
        <w:rPr>
          <w:rFonts w:hint="eastAsia" w:ascii="仿宋_GB2312" w:hAnsi="仿宋_GB2312" w:eastAsia="仿宋_GB2312" w:cs="仿宋_GB2312"/>
        </w:rPr>
      </w:pPr>
    </w:p>
    <w:sectPr>
      <w:footerReference r:id="rId3" w:type="default"/>
      <w:pgSz w:w="11906" w:h="16838"/>
      <w:pgMar w:top="1440" w:right="134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decorative"/>
    <w:pitch w:val="default"/>
    <w:sig w:usb0="00000001" w:usb1="080E0000" w:usb2="00000000" w:usb3="00000000" w:csb0="00040000" w:csb1="00000000"/>
  </w:font>
  <w:font w:name="仿宋">
    <w:altName w:val="宋体"/>
    <w:panose1 w:val="02010609060101010101"/>
    <w:charset w:val="86"/>
    <w:family w:val="decorative"/>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15A1A"/>
    <w:rsid w:val="002F49BD"/>
    <w:rsid w:val="02534657"/>
    <w:rsid w:val="0D2115DD"/>
    <w:rsid w:val="0FA24788"/>
    <w:rsid w:val="11A462F9"/>
    <w:rsid w:val="1D236AAE"/>
    <w:rsid w:val="220467E4"/>
    <w:rsid w:val="24145C09"/>
    <w:rsid w:val="25552992"/>
    <w:rsid w:val="266905DB"/>
    <w:rsid w:val="26701A1F"/>
    <w:rsid w:val="27D4178E"/>
    <w:rsid w:val="2A9F0749"/>
    <w:rsid w:val="2FCE2611"/>
    <w:rsid w:val="355865C9"/>
    <w:rsid w:val="35F24BE9"/>
    <w:rsid w:val="39CD5D7A"/>
    <w:rsid w:val="3A4E0DDD"/>
    <w:rsid w:val="43115A1A"/>
    <w:rsid w:val="46DC6D9D"/>
    <w:rsid w:val="4A617BB2"/>
    <w:rsid w:val="4FB97D60"/>
    <w:rsid w:val="500F063D"/>
    <w:rsid w:val="5199717A"/>
    <w:rsid w:val="52F716AB"/>
    <w:rsid w:val="5536161F"/>
    <w:rsid w:val="594E6404"/>
    <w:rsid w:val="5C241A8C"/>
    <w:rsid w:val="5D0512B2"/>
    <w:rsid w:val="68F37B91"/>
    <w:rsid w:val="6A984A2A"/>
    <w:rsid w:val="6DC1167C"/>
    <w:rsid w:val="706C2243"/>
    <w:rsid w:val="715E3B7D"/>
    <w:rsid w:val="727F09F1"/>
    <w:rsid w:val="732E2C6D"/>
    <w:rsid w:val="738A3C25"/>
    <w:rsid w:val="7AC804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hAnsi="Times New Roman" w:eastAsia="仿宋_GB2312"/>
      <w:sz w:val="30"/>
      <w:szCs w:val="24"/>
    </w:rPr>
  </w:style>
  <w:style w:type="paragraph" w:styleId="3">
    <w:name w:val="Body Text Indent"/>
    <w:qFormat/>
    <w:uiPriority w:val="0"/>
    <w:pPr>
      <w:ind w:firstLine="576"/>
    </w:pPr>
    <w:rPr>
      <w:rFonts w:ascii="仿宋_GB2312" w:eastAsia="仿宋_GB2312" w:hAnsiTheme="minorHAnsi" w:cstheme="minorBidi"/>
      <w:sz w:val="32"/>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szCs w:val="32"/>
    </w:rPr>
  </w:style>
  <w:style w:type="paragraph" w:customStyle="1" w:styleId="8">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2017</a:t>
            </a:r>
            <a:r>
              <a:rPr altLang="en-US"/>
              <a:t>年总</a:t>
            </a:r>
            <a:r>
              <a:t>收入</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spPr/>
          <c:explosion val="0"/>
          <c:dPt>
            <c:idx val="0"/>
            <c:bubble3D val="0"/>
            <c:explosion val="1"/>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manualLayout>
                  <c:x val="-0.0948657893548482"/>
                  <c:y val="-0.065630379265124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55.77</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44.23</a:t>
                    </a:r>
                    <a:r>
                      <a:t>%</a:t>
                    </a:r>
                  </a:p>
                </c:rich>
              </c:tx>
              <c:dLblPos val="inEnd"/>
              <c:showLegendKey val="0"/>
              <c:showVal val="0"/>
              <c:showCatName val="0"/>
              <c:showSerName val="0"/>
              <c:showPercent val="1"/>
              <c:showBubbleSize val="0"/>
              <c:extLst>
                <c:ext xmlns:c15="http://schemas.microsoft.com/office/drawing/2012/chart" uri="{CE6537A1-D6FC-4f65-9D91-7224C49458BB}"/>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财政拨款收入</c:v>
                </c:pt>
                <c:pt idx="1">
                  <c:v>其他拨款收入</c:v>
                </c:pt>
              </c:strCache>
            </c:strRef>
          </c:cat>
          <c:val>
            <c:numRef>
              <c:f>Sheet1!$B$2:$B$3</c:f>
              <c:numCache>
                <c:formatCode>General</c:formatCode>
                <c:ptCount val="2"/>
                <c:pt idx="0">
                  <c:v>8.2</c:v>
                </c:pt>
                <c:pt idx="1">
                  <c:v>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a:t>
            </a:r>
            <a:r>
              <a:rPr lang="en-US" altLang="zh-CN"/>
              <a:t>7</a:t>
            </a:r>
            <a:r>
              <a:t>年总支出</a:t>
            </a:r>
          </a:p>
        </c:rich>
      </c:tx>
      <c:layout/>
      <c:overlay val="0"/>
      <c:spPr>
        <a:noFill/>
        <a:ln>
          <a:noFill/>
        </a:ln>
        <a:effectLst/>
      </c:spPr>
    </c:title>
    <c:autoTitleDeleted val="0"/>
    <c:plotArea>
      <c:layout/>
      <c:pieChart>
        <c:varyColors val="1"/>
        <c:ser>
          <c:idx val="0"/>
          <c:order val="0"/>
          <c:tx>
            <c:strRef>
              <c:f>Sheet1!$B$1</c:f>
              <c:strCache>
                <c:ptCount val="1"/>
                <c:pt idx="0">
                  <c:v>2016年总支出</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83.14</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16.86</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项目支出</c:v>
                </c:pt>
                <c:pt idx="1">
                  <c:v>基本支出</c:v>
                </c:pt>
              </c:strCache>
            </c:strRef>
          </c:cat>
          <c:val>
            <c:numRef>
              <c:f>Sheet1!$B$2:$B$3</c:f>
              <c:numCache>
                <c:formatCode>General</c:formatCode>
                <c:ptCount val="2"/>
                <c:pt idx="0">
                  <c:v>8</c:v>
                </c:pt>
                <c:pt idx="1">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a:t>
            </a:r>
            <a:r>
              <a:rPr lang="en-US" altLang="zh-CN"/>
              <a:t>7</a:t>
            </a:r>
            <a:r>
              <a:t>年一般公共预算财政拨款支出图</a:t>
            </a:r>
          </a:p>
        </c:rich>
      </c:tx>
      <c:layout>
        <c:manualLayout>
          <c:xMode val="edge"/>
          <c:yMode val="edge"/>
          <c:x val="0.0850812612862898"/>
          <c:y val="0.0365976779404341"/>
        </c:manualLayout>
      </c:layout>
      <c:overlay val="0"/>
      <c:spPr>
        <a:noFill/>
        <a:ln>
          <a:noFill/>
        </a:ln>
        <a:effectLst/>
      </c:spPr>
    </c:title>
    <c:autoTitleDeleted val="0"/>
    <c:plotArea>
      <c:layout/>
      <c:pieChart>
        <c:varyColors val="1"/>
        <c:ser>
          <c:idx val="0"/>
          <c:order val="0"/>
          <c:tx>
            <c:strRef>
              <c:f>Sheet1!$B$1</c:f>
              <c:strCache>
                <c:ptCount val="1"/>
                <c:pt idx="0">
                  <c:v>2016年一般公共预算财政拨款支出图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95.72</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2.63</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0.85</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0.80</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交通运输支出</c:v>
                </c:pt>
                <c:pt idx="1">
                  <c:v>社会保障和就业支出</c:v>
                </c:pt>
                <c:pt idx="2">
                  <c:v>医疗卫生与计划生育支出</c:v>
                </c:pt>
                <c:pt idx="3">
                  <c:v>住房保障支出</c:v>
                </c:pt>
              </c:strCache>
            </c:strRef>
          </c:cat>
          <c:val>
            <c:numRef>
              <c:f>Sheet1!$B$2:$B$5</c:f>
              <c:numCache>
                <c:formatCode>General</c:formatCode>
                <c:ptCount val="4"/>
                <c:pt idx="0">
                  <c:v>9</c:v>
                </c:pt>
                <c:pt idx="1">
                  <c:v>2</c:v>
                </c:pt>
                <c:pt idx="2">
                  <c:v>0.8</c:v>
                </c:pt>
                <c:pt idx="3">
                  <c:v>0.6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201</a:t>
            </a:r>
            <a:r>
              <a:rPr lang="en-US" altLang="zh-CN"/>
              <a:t>7</a:t>
            </a:r>
            <a:r>
              <a:t>年“三公”经费财政拨款支出分部图</a:t>
            </a:r>
          </a:p>
        </c:rich>
      </c:tx>
      <c:layout/>
      <c:overlay val="0"/>
      <c:spPr>
        <a:noFill/>
        <a:ln>
          <a:noFill/>
        </a:ln>
        <a:effectLst/>
      </c:spPr>
    </c:title>
    <c:autoTitleDeleted val="0"/>
    <c:plotArea>
      <c:layout/>
      <c:pieChart>
        <c:varyColors val="1"/>
        <c:ser>
          <c:idx val="0"/>
          <c:order val="0"/>
          <c:tx>
            <c:strRef>
              <c:f>Sheet1!$B$1</c:f>
              <c:strCache>
                <c:ptCount val="1"/>
                <c:pt idx="0">
                  <c:v>2016年“三公”经费财政拨款支出分部图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rgbClr val="FFFF00"/>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0.40</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0.02</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manualLayout>
                  <c:x val="0.0533511973533195"/>
                  <c:y val="-0.145551125287618"/>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99.58</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公务用车运行维护费</c:v>
                </c:pt>
                <c:pt idx="1">
                  <c:v>公务接待费</c:v>
                </c:pt>
                <c:pt idx="2">
                  <c:v>财政拨款支出</c:v>
                </c:pt>
              </c:strCache>
            </c:strRef>
          </c:cat>
          <c:val>
            <c:numRef>
              <c:f>Sheet1!$B$2:$B$4</c:f>
              <c:numCache>
                <c:formatCode>General</c:formatCode>
                <c:ptCount val="3"/>
                <c:pt idx="0">
                  <c:v>1</c:v>
                </c:pt>
                <c:pt idx="1">
                  <c:v>0.5</c:v>
                </c:pt>
                <c:pt idx="2">
                  <c:v>9.3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2016-01-26T08:01:00Z</dcterms:created>
  <dc:creator>Administrator</dc:creator>
  <cp:lastModifiedBy>Administrator</cp:lastModifiedBy>
  <cp:lastPrinted>2018-09-21T04:02:00Z</cp:lastPrinted>
  <dcterms:modified xsi:type="dcterms:W3CDTF">2019-06-05T11:24:15Z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