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8441"/>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476"/>
      <w:bookmarkStart w:id="8" w:name="_Toc1537742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四川广汉三星堆博物馆</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10</w:t>
      </w:r>
      <w:r>
        <w:rPr>
          <w:rFonts w:hint="eastAsia"/>
        </w:rPr>
        <w:t>月</w:t>
      </w:r>
      <w:r>
        <w:rPr>
          <w:rFonts w:hint="eastAsia"/>
          <w:lang w:val="en-US" w:eastAsia="zh-CN"/>
        </w:rPr>
        <w:t>31</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rPr>
          <w:rFonts w:hint="eastAsia" w:eastAsia="仿宋"/>
          <w:lang w:val="en-US" w:eastAsia="zh-CN"/>
        </w:rPr>
      </w:pPr>
      <w:r>
        <w:rPr>
          <w:rFonts w:hint="eastAsia" w:ascii="仿宋" w:hAnsi="仿宋" w:eastAsia="仿宋"/>
          <w:sz w:val="28"/>
          <w:szCs w:val="28"/>
          <w:lang w:val="en-US" w:eastAsia="zh-CN"/>
        </w:rPr>
        <w:t xml:space="preserve">   十、 </w:t>
      </w:r>
      <w:r>
        <w:rPr>
          <w:rStyle w:val="15"/>
          <w:rFonts w:hint="eastAsia" w:ascii="仿宋" w:hAnsi="仿宋" w:eastAsia="仿宋" w:cstheme="majorBidi"/>
          <w:bCs/>
          <w:sz w:val="28"/>
          <w:szCs w:val="28"/>
          <w:lang w:eastAsia="zh-CN"/>
        </w:rPr>
        <w:t>预算绩效</w:t>
      </w:r>
      <w:r>
        <w:rPr>
          <w:rStyle w:val="15"/>
          <w:rFonts w:hint="eastAsia" w:ascii="仿宋" w:hAnsi="仿宋" w:eastAsia="仿宋" w:cstheme="majorBidi"/>
          <w:bCs/>
          <w:sz w:val="28"/>
          <w:szCs w:val="28"/>
        </w:rPr>
        <w:t>说明</w:t>
      </w:r>
      <w:r>
        <w:rPr>
          <w:rStyle w:val="15"/>
          <w:rFonts w:hint="eastAsia" w:ascii="仿宋" w:hAnsi="仿宋" w:eastAsia="仿宋" w:cstheme="majorBidi"/>
          <w:bCs/>
          <w:sz w:val="28"/>
          <w:szCs w:val="28"/>
          <w:lang w:val="en-US" w:eastAsia="zh-CN"/>
        </w:rPr>
        <w:t xml:space="preserve">                                 </w:t>
      </w:r>
      <w:r>
        <w:rPr>
          <w:rFonts w:ascii="仿宋" w:hAnsi="仿宋" w:eastAsia="仿宋"/>
          <w:sz w:val="28"/>
          <w:szCs w:val="28"/>
        </w:rPr>
        <w:tab/>
      </w:r>
      <w:r>
        <w:rPr>
          <w:rFonts w:hint="eastAsia" w:ascii="仿宋" w:hAnsi="仿宋" w:eastAsia="仿宋"/>
          <w:sz w:val="28"/>
          <w:szCs w:val="28"/>
          <w:lang w:val="en-US" w:eastAsia="zh-CN"/>
        </w:rPr>
        <w:t xml:space="preserve">  </w:t>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20</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23</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26</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（一）主要职能。（职能参照省政府批准的三定方案）</w:t>
      </w:r>
      <w:bookmarkEnd w:id="16"/>
      <w:bookmarkEnd w:id="17"/>
    </w:p>
    <w:p>
      <w:pPr>
        <w:pStyle w:val="5"/>
        <w:adjustRightInd w:val="0"/>
        <w:snapToGrid w:val="0"/>
        <w:spacing w:line="580" w:lineRule="exact"/>
        <w:ind w:firstLine="672" w:firstLineChars="210"/>
        <w:rPr>
          <w:rFonts w:hint="eastAsia"/>
          <w:bCs/>
          <w:sz w:val="32"/>
          <w:szCs w:val="32"/>
        </w:rPr>
      </w:pPr>
      <w:r>
        <w:rPr>
          <w:rFonts w:hint="eastAsia"/>
          <w:bCs/>
          <w:sz w:val="32"/>
          <w:szCs w:val="32"/>
        </w:rPr>
        <w:t>基本职能：文物收藏、展示、整理、研究；</w:t>
      </w:r>
    </w:p>
    <w:p>
      <w:pPr>
        <w:pStyle w:val="5"/>
        <w:adjustRightInd w:val="0"/>
        <w:snapToGrid w:val="0"/>
        <w:spacing w:line="580" w:lineRule="exact"/>
        <w:ind w:firstLine="672" w:firstLineChars="210"/>
        <w:rPr>
          <w:rFonts w:hint="eastAsia"/>
          <w:bCs/>
          <w:sz w:val="32"/>
          <w:szCs w:val="32"/>
        </w:rPr>
      </w:pPr>
      <w:r>
        <w:rPr>
          <w:rFonts w:hint="eastAsia"/>
          <w:bCs/>
          <w:sz w:val="32"/>
          <w:szCs w:val="32"/>
        </w:rPr>
        <w:t>主要职责：</w:t>
      </w:r>
    </w:p>
    <w:p>
      <w:pPr>
        <w:ind w:firstLine="640" w:firstLineChars="200"/>
        <w:rPr>
          <w:rFonts w:hint="eastAsia" w:ascii="仿宋_GB2312" w:eastAsia="仿宋_GB2312"/>
          <w:sz w:val="32"/>
          <w:szCs w:val="32"/>
        </w:rPr>
      </w:pPr>
      <w:r>
        <w:rPr>
          <w:rFonts w:hint="eastAsia" w:ascii="仿宋_GB2312" w:hAnsi="宋体" w:eastAsia="仿宋_GB2312"/>
          <w:sz w:val="32"/>
          <w:szCs w:val="32"/>
        </w:rPr>
        <w:t>（一）贯彻执行党和国家关于文物工作的方针、政策和法律法规。</w:t>
      </w:r>
    </w:p>
    <w:p>
      <w:pPr>
        <w:ind w:firstLine="640" w:firstLineChars="200"/>
        <w:rPr>
          <w:rFonts w:hint="eastAsia" w:ascii="仿宋_GB2312" w:eastAsia="仿宋_GB2312"/>
          <w:sz w:val="32"/>
          <w:szCs w:val="32"/>
        </w:rPr>
      </w:pPr>
      <w:r>
        <w:rPr>
          <w:rFonts w:hint="eastAsia" w:ascii="仿宋_GB2312" w:hAnsi="宋体" w:eastAsia="仿宋_GB2312"/>
          <w:sz w:val="32"/>
          <w:szCs w:val="32"/>
        </w:rPr>
        <w:t>（二）组织实施三星堆文物修复养护、收藏及流散文物征集的相关工作。</w:t>
      </w:r>
    </w:p>
    <w:p>
      <w:pPr>
        <w:ind w:firstLine="640" w:firstLineChars="200"/>
        <w:rPr>
          <w:rFonts w:hint="eastAsia" w:ascii="仿宋_GB2312" w:eastAsia="仿宋_GB2312"/>
          <w:sz w:val="32"/>
          <w:szCs w:val="32"/>
        </w:rPr>
      </w:pPr>
      <w:r>
        <w:rPr>
          <w:rFonts w:hint="eastAsia" w:ascii="仿宋_GB2312" w:hAnsi="宋体" w:eastAsia="仿宋_GB2312"/>
          <w:sz w:val="32"/>
          <w:szCs w:val="32"/>
        </w:rPr>
        <w:t>（三）负责三星堆文物陈列展览的相关工作。</w:t>
      </w:r>
    </w:p>
    <w:p>
      <w:pPr>
        <w:ind w:firstLine="640" w:firstLineChars="200"/>
        <w:rPr>
          <w:rFonts w:hint="eastAsia" w:ascii="仿宋_GB2312" w:eastAsia="仿宋_GB2312"/>
          <w:sz w:val="32"/>
          <w:szCs w:val="32"/>
        </w:rPr>
      </w:pPr>
      <w:r>
        <w:rPr>
          <w:rFonts w:hint="eastAsia" w:ascii="仿宋_GB2312" w:hAnsi="宋体" w:eastAsia="仿宋_GB2312"/>
          <w:sz w:val="32"/>
          <w:szCs w:val="32"/>
        </w:rPr>
        <w:t>（四）组织实施三星堆文化学术研究相关工作。</w:t>
      </w:r>
    </w:p>
    <w:p>
      <w:pPr>
        <w:ind w:firstLine="640" w:firstLineChars="200"/>
        <w:rPr>
          <w:rFonts w:hint="eastAsia" w:ascii="仿宋_GB2312" w:eastAsia="仿宋_GB2312"/>
          <w:sz w:val="32"/>
          <w:szCs w:val="32"/>
        </w:rPr>
      </w:pPr>
      <w:r>
        <w:rPr>
          <w:rFonts w:hint="eastAsia" w:ascii="仿宋_GB2312" w:hAnsi="宋体" w:eastAsia="仿宋_GB2312"/>
          <w:sz w:val="32"/>
          <w:szCs w:val="32"/>
        </w:rPr>
        <w:t>（五）承担三星堆博物馆宣传、教育和对外交流工作。</w:t>
      </w:r>
    </w:p>
    <w:p>
      <w:pPr>
        <w:ind w:firstLine="640" w:firstLineChars="200"/>
        <w:rPr>
          <w:rFonts w:hint="eastAsia" w:ascii="仿宋_GB2312" w:eastAsia="仿宋_GB2312"/>
          <w:sz w:val="32"/>
          <w:szCs w:val="32"/>
        </w:rPr>
      </w:pPr>
      <w:r>
        <w:rPr>
          <w:rFonts w:hint="eastAsia" w:ascii="仿宋_GB2312" w:hAnsi="宋体" w:eastAsia="仿宋_GB2312"/>
          <w:sz w:val="32"/>
          <w:szCs w:val="32"/>
        </w:rPr>
        <w:t>（六）负责三星堆旅游资源的开发、管理以及景区日常旅游接待服务工作；</w:t>
      </w:r>
    </w:p>
    <w:p>
      <w:pPr>
        <w:ind w:firstLine="640" w:firstLineChars="200"/>
        <w:rPr>
          <w:rFonts w:hint="eastAsia" w:ascii="仿宋_GB2312" w:eastAsia="仿宋_GB2312"/>
          <w:sz w:val="32"/>
          <w:szCs w:val="32"/>
        </w:rPr>
      </w:pPr>
      <w:r>
        <w:rPr>
          <w:rFonts w:hint="eastAsia" w:ascii="仿宋_GB2312" w:hAnsi="宋体" w:eastAsia="仿宋_GB2312"/>
          <w:sz w:val="32"/>
          <w:szCs w:val="32"/>
        </w:rPr>
        <w:t>（七）负责三星堆文物安全保卫工作。</w:t>
      </w:r>
    </w:p>
    <w:p>
      <w:pPr>
        <w:ind w:firstLine="640" w:firstLineChars="200"/>
        <w:rPr>
          <w:rFonts w:hint="eastAsia" w:ascii="仿宋_GB2312" w:eastAsia="仿宋_GB2312"/>
          <w:sz w:val="32"/>
          <w:szCs w:val="32"/>
        </w:rPr>
      </w:pPr>
      <w:r>
        <w:rPr>
          <w:rFonts w:hint="eastAsia" w:ascii="仿宋_GB2312" w:hAnsi="宋体" w:eastAsia="仿宋_GB2312"/>
          <w:sz w:val="32"/>
          <w:szCs w:val="32"/>
        </w:rPr>
        <w:t>（八）研究制定三星堆博物馆的发展规划，组织实施馆区内设施设备管理、维护等工作。</w:t>
      </w:r>
    </w:p>
    <w:p>
      <w:pPr>
        <w:ind w:firstLine="640" w:firstLineChars="200"/>
        <w:rPr>
          <w:rFonts w:hint="eastAsia" w:ascii="仿宋_GB2312" w:eastAsia="仿宋_GB2312"/>
          <w:sz w:val="32"/>
          <w:szCs w:val="32"/>
        </w:rPr>
      </w:pPr>
      <w:r>
        <w:rPr>
          <w:rFonts w:hint="eastAsia" w:ascii="仿宋_GB2312" w:hAnsi="宋体" w:eastAsia="仿宋_GB2312"/>
          <w:sz w:val="32"/>
          <w:szCs w:val="32"/>
        </w:rPr>
        <w:t>（九）负责三星堆国家考古遗址公园的建设、经营管理工作。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2018年，市文博旅在市委、市政府的正确领导下，围绕三星堆、航空城、乡村游“三张名片”，实施全域旅游战略，着力打造“世界三星堆、中国航空城、天府大花园”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文旅事业成绩斐然。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t>一、旅游经济指标德阳第一。全市旅游总收入81.28亿元，同比增长25.53%；接待游客981.5万人次，同比增长17.67%；旅游收入和游客人数持续稳居德阳首位。三星堆博物馆实现综合收入3250万元，同比增长19.40%，首次突破3000万元大关，再创历史新高。三星堆博物馆荣获了“2018年最具热度博物馆”“2018年天府十大文化地标”“2018全域旅游营销传播奖”“官方微博创新力十佳账号”“119先进消防集体”等殊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二、三星堆影响力持续提升。</w:t>
      </w:r>
      <w:r>
        <w:rPr>
          <w:rFonts w:hint="eastAsia" w:ascii="仿宋_GB2312" w:hAnsi="仿宋_GB2312" w:eastAsia="仿宋_GB2312" w:cs="仿宋_GB2312"/>
          <w:sz w:val="32"/>
          <w:szCs w:val="32"/>
        </w:rPr>
        <w:t>省委</w:t>
      </w:r>
      <w:r>
        <w:rPr>
          <w:rFonts w:hint="eastAsia" w:ascii="仿宋_GB2312" w:hAnsi="仿宋_GB2312" w:eastAsia="仿宋_GB2312" w:cs="仿宋_GB2312"/>
          <w:sz w:val="32"/>
          <w:szCs w:val="32"/>
          <w:lang w:eastAsia="zh-CN"/>
        </w:rPr>
        <w:t>彭</w:t>
      </w:r>
      <w:r>
        <w:rPr>
          <w:rFonts w:hint="eastAsia" w:ascii="仿宋_GB2312" w:hAnsi="仿宋_GB2312" w:eastAsia="仿宋_GB2312" w:cs="仿宋_GB2312"/>
          <w:sz w:val="32"/>
          <w:szCs w:val="32"/>
        </w:rPr>
        <w:t>清华书记在“川港澳合作周·走进香港”经贸合作论坛上</w:t>
      </w:r>
      <w:r>
        <w:rPr>
          <w:rFonts w:hint="eastAsia" w:ascii="仿宋_GB2312" w:hAnsi="仿宋_GB2312" w:eastAsia="仿宋_GB2312" w:cs="仿宋_GB2312"/>
          <w:sz w:val="32"/>
          <w:szCs w:val="32"/>
          <w:lang w:eastAsia="zh-CN"/>
        </w:rPr>
        <w:t>用了关键词</w:t>
      </w:r>
      <w:r>
        <w:rPr>
          <w:rFonts w:hint="eastAsia" w:ascii="仿宋_GB2312" w:hAnsi="仿宋_GB2312" w:eastAsia="仿宋_GB2312" w:cs="仿宋_GB2312"/>
          <w:sz w:val="32"/>
          <w:szCs w:val="32"/>
        </w:rPr>
        <w:t>“三九大”向世界宣介三星堆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val="en-US" w:eastAsia="zh-CN"/>
        </w:rPr>
        <w:t>三星堆古蜀文明全球巡展，赴</w:t>
      </w:r>
      <w:r>
        <w:rPr>
          <w:rFonts w:hint="eastAsia" w:ascii="仿宋_GB2312" w:hAnsi="仿宋_GB2312" w:eastAsia="仿宋_GB2312" w:cs="仿宋_GB2312"/>
          <w:sz w:val="32"/>
          <w:szCs w:val="32"/>
        </w:rPr>
        <w:t>墨西哥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意大利</w:t>
      </w:r>
      <w:r>
        <w:rPr>
          <w:rFonts w:hint="eastAsia" w:ascii="仿宋_GB2312" w:hAnsi="仿宋_GB2312" w:eastAsia="仿宋_GB2312" w:cs="仿宋_GB2312"/>
          <w:sz w:val="32"/>
          <w:szCs w:val="32"/>
          <w:lang w:val="zh-CN" w:eastAsia="zh-CN"/>
        </w:rPr>
        <w:t>，三星堆再次作为“国家名片”惊艳全球。</w:t>
      </w:r>
      <w:r>
        <w:rPr>
          <w:rFonts w:hint="eastAsia" w:ascii="仿宋_GB2312" w:hAnsi="仿宋_GB2312" w:eastAsia="仿宋_GB2312" w:cs="仿宋_GB2312"/>
          <w:b/>
          <w:bCs/>
          <w:sz w:val="32"/>
          <w:szCs w:val="32"/>
          <w:lang w:val="zh-CN" w:eastAsia="zh-CN"/>
        </w:rPr>
        <w:t>二是</w:t>
      </w:r>
      <w:r>
        <w:rPr>
          <w:rFonts w:hint="eastAsia" w:ascii="仿宋_GB2312" w:hAnsi="仿宋_GB2312" w:eastAsia="仿宋_GB2312" w:cs="仿宋_GB2312"/>
          <w:sz w:val="32"/>
          <w:szCs w:val="32"/>
          <w:lang w:val="en-US" w:eastAsia="zh-CN"/>
        </w:rPr>
        <w:t>以三星堆文物为主的“古蜀华章”精品展分别走进国家博物馆、广东省博物馆。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策划参与了</w:t>
      </w:r>
      <w:r>
        <w:rPr>
          <w:rFonts w:hint="eastAsia" w:ascii="仿宋_GB2312" w:hAnsi="仿宋_GB2312" w:eastAsia="仿宋_GB2312" w:cs="仿宋_GB2312"/>
          <w:sz w:val="32"/>
          <w:szCs w:val="32"/>
          <w:lang w:eastAsia="zh-CN"/>
        </w:rPr>
        <w:t>“影子之城”“</w:t>
      </w:r>
      <w:r>
        <w:rPr>
          <w:rFonts w:hint="eastAsia" w:ascii="仿宋_GB2312" w:hAnsi="仿宋_GB2312" w:eastAsia="仿宋_GB2312" w:cs="仿宋_GB2312"/>
          <w:sz w:val="32"/>
          <w:szCs w:val="32"/>
        </w:rPr>
        <w:t>人与神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王的盛宴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秦蜀之路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金色记忆”等五大精品展览精彩亮相。</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eastAsia="zh-CN"/>
        </w:rPr>
        <w:t>三星堆还亮相</w:t>
      </w:r>
      <w:r>
        <w:rPr>
          <w:rFonts w:hint="eastAsia" w:ascii="仿宋_GB2312" w:hAnsi="仿宋_GB2312" w:eastAsia="仿宋_GB2312" w:cs="仿宋_GB2312"/>
          <w:sz w:val="32"/>
          <w:szCs w:val="32"/>
        </w:rPr>
        <w:t>BBC《文明的轨迹2》</w:t>
      </w:r>
      <w:r>
        <w:rPr>
          <w:rFonts w:hint="eastAsia" w:ascii="仿宋_GB2312" w:hAnsi="仿宋_GB2312" w:eastAsia="仿宋_GB2312" w:cs="仿宋_GB2312"/>
          <w:sz w:val="32"/>
          <w:szCs w:val="32"/>
          <w:lang w:eastAsia="zh-CN"/>
        </w:rPr>
        <w:t>、央视《如果国宝会说话》、《开讲啦》等栏目。</w:t>
      </w:r>
      <w:r>
        <w:rPr>
          <w:rFonts w:hint="eastAsia" w:ascii="仿宋_GB2312" w:hAnsi="仿宋_GB2312" w:eastAsia="仿宋_GB2312" w:cs="仿宋_GB2312"/>
          <w:sz w:val="32"/>
          <w:szCs w:val="32"/>
          <w:lang w:val="en-US" w:eastAsia="zh-CN"/>
        </w:rPr>
        <w:t>央视新闻联播报道了三星堆博物馆在文物“活”起来方面的创新举措。</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eastAsia="zh-CN"/>
        </w:rPr>
        <w:t>推进电影《三星堆密码》落地落实，出版了首部三星堆题材小说《蜀帝传奇》，推出了“‘古蜀萌娃’狂飙四川话”的表情包。三星堆官方微博粉丝数超过</w:t>
      </w:r>
      <w:r>
        <w:rPr>
          <w:rFonts w:hint="eastAsia" w:ascii="仿宋_GB2312" w:hAnsi="仿宋_GB2312" w:eastAsia="仿宋_GB2312" w:cs="仿宋_GB2312"/>
          <w:sz w:val="32"/>
          <w:szCs w:val="32"/>
          <w:lang w:val="en-US" w:eastAsia="zh-CN"/>
        </w:rPr>
        <w:t>380万人，与故宫博物馆同为中国文博界两个大V之一。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三、文化旅游活动精彩纷呈。</w:t>
      </w:r>
      <w:r>
        <w:rPr>
          <w:rFonts w:hint="eastAsia" w:ascii="仿宋_GB2312" w:hAnsi="仿宋_GB2312" w:eastAsia="仿宋_GB2312" w:cs="仿宋_GB2312"/>
          <w:sz w:val="32"/>
          <w:szCs w:val="32"/>
          <w:lang w:val="en-US" w:eastAsia="zh-CN"/>
        </w:rPr>
        <w:t>以“三星堆大祭祀”为依托，形成菜花季、桃花节、垂钓季、风筝节、风车展、丰收节等10余项旅游节庆活动，吸引游客385.37万人次，使乡村旅游逐渐成为农民增收致富的有效途径，助力脱贫攻坚。还策划实施了三星堆戏剧季、三星堆文化交流音乐会、“两汉三国,秦蜀古道”定向运动赛。</w:t>
      </w:r>
      <w:r>
        <w:rPr>
          <w:rFonts w:hint="eastAsia" w:ascii="仿宋_GB2312" w:hAnsi="仿宋_GB2312" w:eastAsia="仿宋_GB2312" w:cs="仿宋_GB2312"/>
          <w:sz w:val="32"/>
          <w:szCs w:val="32"/>
          <w:lang w:eastAsia="zh-CN"/>
        </w:rPr>
        <w:t>以此</w:t>
      </w:r>
      <w:r>
        <w:rPr>
          <w:rFonts w:hint="eastAsia" w:ascii="仿宋_GB2312" w:hAnsi="仿宋_GB2312" w:eastAsia="仿宋_GB2312" w:cs="仿宋_GB2312"/>
          <w:sz w:val="32"/>
          <w:szCs w:val="32"/>
        </w:rPr>
        <w:t>推动重点区域旅游业率先突破，助力广汉成为成都半小时休憩圈目的地。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四、全域</w:t>
      </w:r>
      <w:r>
        <w:rPr>
          <w:rFonts w:hint="eastAsia" w:ascii="黑体" w:hAnsi="黑体" w:eastAsia="黑体" w:cs="黑体"/>
          <w:sz w:val="32"/>
          <w:szCs w:val="32"/>
        </w:rPr>
        <w:t>旅游质量</w:t>
      </w:r>
      <w:r>
        <w:rPr>
          <w:rFonts w:hint="eastAsia" w:ascii="黑体" w:hAnsi="黑体" w:eastAsia="黑体" w:cs="黑体"/>
          <w:sz w:val="32"/>
          <w:szCs w:val="32"/>
          <w:lang w:eastAsia="zh-CN"/>
        </w:rPr>
        <w:t>提档升级</w:t>
      </w:r>
      <w:r>
        <w:rPr>
          <w:rFonts w:hint="eastAsia" w:ascii="仿宋_GB2312" w:hAnsi="仿宋_GB2312" w:eastAsia="仿宋_GB2312" w:cs="仿宋_GB2312"/>
          <w:sz w:val="32"/>
          <w:szCs w:val="32"/>
          <w:lang w:eastAsia="zh-CN"/>
        </w:rPr>
        <w:t>。以项目为抓手，推进全域旅游提档升级，贯彻落实乡村振兴战略。稳妥推进三星堆文化产业园项目、</w:t>
      </w:r>
      <w:r>
        <w:rPr>
          <w:rFonts w:hint="eastAsia" w:ascii="仿宋_GB2312" w:hAnsi="仿宋_GB2312" w:eastAsia="仿宋_GB2312" w:cs="仿宋_GB2312"/>
          <w:sz w:val="32"/>
          <w:szCs w:val="32"/>
        </w:rPr>
        <w:t>四川国际汽车运动公园</w:t>
      </w:r>
      <w:r>
        <w:rPr>
          <w:rFonts w:hint="eastAsia" w:ascii="仿宋_GB2312" w:hAnsi="仿宋_GB2312" w:eastAsia="仿宋_GB2312" w:cs="仿宋_GB2312"/>
          <w:sz w:val="32"/>
          <w:szCs w:val="32"/>
          <w:lang w:eastAsia="zh-CN"/>
        </w:rPr>
        <w:t>、“山水云栖”田园综合体项目、中国金鱼水族小镇项目、</w:t>
      </w:r>
      <w:r>
        <w:rPr>
          <w:rFonts w:hint="eastAsia" w:ascii="仿宋_GB2312" w:hAnsi="仿宋_GB2312" w:eastAsia="仿宋_GB2312" w:cs="仿宋_GB2312"/>
          <w:sz w:val="32"/>
          <w:szCs w:val="32"/>
          <w:lang w:val="en-US" w:eastAsia="zh-CN"/>
        </w:rPr>
        <w:t>陌上花开旅游综合体项目等10文旅项目，估算总投资366.85亿元</w:t>
      </w:r>
      <w:r>
        <w:rPr>
          <w:rFonts w:hint="eastAsia" w:ascii="仿宋_GB2312" w:hAnsi="仿宋_GB2312" w:eastAsia="仿宋_GB2312" w:cs="仿宋_GB2312"/>
          <w:sz w:val="32"/>
          <w:szCs w:val="32"/>
        </w:rPr>
        <w:t>。三水易家河坝</w:t>
      </w:r>
      <w:r>
        <w:rPr>
          <w:rFonts w:hint="eastAsia" w:ascii="仿宋_GB2312" w:hAnsi="仿宋_GB2312" w:eastAsia="仿宋_GB2312" w:cs="仿宋_GB2312"/>
          <w:sz w:val="32"/>
          <w:szCs w:val="32"/>
          <w:lang w:eastAsia="zh-CN"/>
        </w:rPr>
        <w:t>成功创建国家</w:t>
      </w:r>
      <w:r>
        <w:rPr>
          <w:rFonts w:hint="eastAsia" w:ascii="仿宋_GB2312" w:hAnsi="仿宋_GB2312" w:eastAsia="仿宋_GB2312" w:cs="仿宋_GB2312"/>
          <w:sz w:val="32"/>
          <w:szCs w:val="32"/>
          <w:lang w:val="en-US" w:eastAsia="zh-CN"/>
        </w:rPr>
        <w:t>3A级旅游景区。</w:t>
      </w:r>
      <w:r>
        <w:rPr>
          <w:rFonts w:hint="eastAsia" w:ascii="仿宋_GB2312" w:hAnsi="仿宋_GB2312" w:eastAsia="仿宋_GB2312" w:cs="仿宋_GB2312"/>
          <w:sz w:val="32"/>
          <w:szCs w:val="32"/>
          <w:lang w:eastAsia="zh-CN"/>
        </w:rPr>
        <w:t>新增省级乡村旅游精</w:t>
      </w:r>
      <w:r>
        <w:rPr>
          <w:rFonts w:hint="eastAsia" w:ascii="仿宋_GB2312" w:hAnsi="仿宋_GB2312" w:eastAsia="仿宋_GB2312" w:cs="仿宋_GB2312"/>
          <w:sz w:val="32"/>
          <w:szCs w:val="32"/>
        </w:rPr>
        <w:t>品村寨</w:t>
      </w:r>
      <w:r>
        <w:rPr>
          <w:rFonts w:hint="eastAsia" w:ascii="仿宋_GB2312" w:hAnsi="仿宋_GB2312" w:eastAsia="仿宋_GB2312" w:cs="仿宋_GB2312"/>
          <w:sz w:val="32"/>
          <w:szCs w:val="32"/>
          <w:lang w:val="en-US" w:eastAsia="zh-CN"/>
        </w:rPr>
        <w:t>1处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四星级农家乐</w:t>
      </w:r>
      <w:r>
        <w:rPr>
          <w:rFonts w:hint="eastAsia" w:ascii="仿宋_GB2312" w:hAnsi="仿宋_GB2312" w:eastAsia="仿宋_GB2312" w:cs="仿宋_GB2312"/>
          <w:sz w:val="32"/>
          <w:szCs w:val="32"/>
          <w:lang w:val="en-US" w:eastAsia="zh-CN"/>
        </w:rPr>
        <w:t>2家、</w:t>
      </w:r>
      <w:r>
        <w:rPr>
          <w:rFonts w:hint="eastAsia" w:ascii="仿宋_GB2312" w:hAnsi="仿宋_GB2312" w:eastAsia="仿宋_GB2312" w:cs="仿宋_GB2312"/>
          <w:sz w:val="32"/>
          <w:szCs w:val="32"/>
        </w:rPr>
        <w:t>银树叶级绿色旅游饭店</w:t>
      </w:r>
      <w:r>
        <w:rPr>
          <w:rFonts w:hint="eastAsia" w:ascii="仿宋_GB2312" w:hAnsi="仿宋_GB2312" w:eastAsia="仿宋_GB2312" w:cs="仿宋_GB2312"/>
          <w:sz w:val="32"/>
          <w:szCs w:val="32"/>
          <w:lang w:val="en-US" w:eastAsia="zh-CN"/>
        </w:rPr>
        <w:t>1个、获得“</w:t>
      </w:r>
      <w:r>
        <w:rPr>
          <w:rFonts w:hint="eastAsia" w:ascii="仿宋_GB2312" w:hAnsi="宋体" w:eastAsia="仿宋_GB2312" w:cs="宋体"/>
          <w:color w:val="000000"/>
          <w:kern w:val="0"/>
          <w:sz w:val="32"/>
          <w:szCs w:val="32"/>
        </w:rPr>
        <w:t>中国特色旅游商品大赛</w:t>
      </w:r>
      <w:r>
        <w:rPr>
          <w:rFonts w:hint="eastAsia" w:ascii="仿宋_GB2312" w:hAnsi="仿宋_GB2312" w:eastAsia="仿宋_GB2312" w:cs="仿宋_GB2312"/>
          <w:sz w:val="32"/>
          <w:szCs w:val="32"/>
          <w:lang w:val="en-US" w:eastAsia="zh-CN"/>
        </w:rPr>
        <w:t>”18个奖项，获奖数德阳第一</w:t>
      </w:r>
      <w:r>
        <w:rPr>
          <w:rFonts w:hint="eastAsia" w:ascii="仿宋_GB2312" w:hAnsi="仿宋_GB2312" w:eastAsia="仿宋_GB2312" w:cs="仿宋_GB2312"/>
          <w:sz w:val="32"/>
          <w:szCs w:val="32"/>
          <w:lang w:eastAsia="zh-CN"/>
        </w:rPr>
        <w:t>。新建</w:t>
      </w:r>
      <w:r>
        <w:rPr>
          <w:rFonts w:hint="eastAsia" w:ascii="仿宋_GB2312" w:hAnsi="仿宋_GB2312" w:eastAsia="仿宋_GB2312" w:cs="仿宋_GB2312"/>
          <w:sz w:val="32"/>
          <w:szCs w:val="32"/>
        </w:rPr>
        <w:t>旅游厕所4座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改建2座。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line="600" w:lineRule="exact"/>
        <w:ind w:firstLine="672" w:firstLineChars="210"/>
        <w:rPr>
          <w:rFonts w:hint="eastAsia"/>
          <w:color w:val="000000"/>
          <w:sz w:val="32"/>
          <w:szCs w:val="32"/>
        </w:rPr>
      </w:pPr>
      <w:r>
        <w:rPr>
          <w:rFonts w:hint="eastAsia"/>
          <w:sz w:val="32"/>
          <w:szCs w:val="32"/>
        </w:rPr>
        <w:t>本单位属</w:t>
      </w:r>
      <w:r>
        <w:rPr>
          <w:rFonts w:hint="eastAsia"/>
          <w:sz w:val="32"/>
          <w:szCs w:val="32"/>
          <w:lang w:eastAsia="zh-CN"/>
        </w:rPr>
        <w:t>财政全额拨款</w:t>
      </w:r>
      <w:r>
        <w:rPr>
          <w:rFonts w:hint="eastAsia"/>
          <w:sz w:val="32"/>
          <w:szCs w:val="32"/>
        </w:rPr>
        <w:t>一级预算单位。</w:t>
      </w:r>
    </w:p>
    <w:p>
      <w:pPr>
        <w:widowControl/>
        <w:jc w:val="left"/>
        <w:rPr>
          <w:rFonts w:ascii="仿宋" w:hAnsi="仿宋" w:eastAsia="仿宋"/>
          <w:color w:val="000000"/>
          <w:kern w:val="0"/>
          <w:sz w:val="32"/>
          <w:szCs w:val="32"/>
        </w:rPr>
      </w:pP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outlineLvl w:val="1"/>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年收入合计</w:t>
      </w:r>
      <w:r>
        <w:rPr>
          <w:rFonts w:hint="eastAsia" w:ascii="仿宋" w:hAnsi="仿宋" w:eastAsia="仿宋"/>
          <w:color w:val="000000"/>
          <w:sz w:val="32"/>
          <w:szCs w:val="32"/>
          <w:lang w:val="en-US" w:eastAsia="zh-CN"/>
        </w:rPr>
        <w:t>3514.79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与</w:t>
      </w:r>
      <w:r>
        <w:rPr>
          <w:rFonts w:hint="eastAsia" w:ascii="仿宋" w:hAnsi="仿宋" w:eastAsia="仿宋"/>
          <w:color w:val="000000"/>
          <w:sz w:val="32"/>
          <w:szCs w:val="32"/>
        </w:rPr>
        <w:t>2017年相比减少</w:t>
      </w:r>
      <w:r>
        <w:rPr>
          <w:rFonts w:hint="eastAsia" w:ascii="仿宋" w:hAnsi="仿宋" w:eastAsia="仿宋"/>
          <w:color w:val="000000"/>
          <w:sz w:val="32"/>
          <w:szCs w:val="32"/>
          <w:lang w:val="en-US" w:eastAsia="zh-CN"/>
        </w:rPr>
        <w:t>26.56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0.75</w:t>
      </w:r>
      <w:r>
        <w:rPr>
          <w:rFonts w:hint="eastAsia" w:ascii="仿宋" w:hAnsi="仿宋" w:eastAsia="仿宋"/>
          <w:color w:val="000000"/>
          <w:sz w:val="32"/>
          <w:szCs w:val="32"/>
        </w:rPr>
        <w:t>%</w:t>
      </w:r>
      <w:r>
        <w:rPr>
          <w:rFonts w:hint="eastAsia" w:ascii="仿宋" w:hAnsi="仿宋" w:eastAsia="仿宋"/>
          <w:color w:val="000000"/>
          <w:sz w:val="32"/>
          <w:szCs w:val="32"/>
          <w:lang w:eastAsia="zh-CN"/>
        </w:rPr>
        <w:t>，基本持平。</w:t>
      </w:r>
    </w:p>
    <w:p>
      <w:pPr>
        <w:spacing w:line="600" w:lineRule="exact"/>
        <w:ind w:firstLine="640" w:firstLineChars="200"/>
        <w:outlineLvl w:val="1"/>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年支出合计</w:t>
      </w:r>
      <w:r>
        <w:rPr>
          <w:rFonts w:hint="eastAsia" w:ascii="仿宋" w:hAnsi="仿宋" w:eastAsia="仿宋"/>
          <w:color w:val="000000"/>
          <w:sz w:val="32"/>
          <w:szCs w:val="32"/>
          <w:lang w:val="en-US" w:eastAsia="zh-CN"/>
        </w:rPr>
        <w:t>4154.81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与</w:t>
      </w:r>
      <w:r>
        <w:rPr>
          <w:rFonts w:hint="eastAsia" w:ascii="仿宋" w:hAnsi="仿宋" w:eastAsia="仿宋"/>
          <w:color w:val="000000"/>
          <w:sz w:val="32"/>
          <w:szCs w:val="32"/>
        </w:rPr>
        <w:t>2017年相比减少</w:t>
      </w:r>
      <w:r>
        <w:rPr>
          <w:rFonts w:hint="eastAsia" w:ascii="仿宋" w:hAnsi="仿宋" w:eastAsia="仿宋"/>
          <w:color w:val="000000"/>
          <w:sz w:val="32"/>
          <w:szCs w:val="32"/>
          <w:lang w:val="en-US" w:eastAsia="zh-CN"/>
        </w:rPr>
        <w:t>34.01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0.81</w:t>
      </w:r>
      <w:r>
        <w:rPr>
          <w:rFonts w:hint="eastAsia" w:ascii="仿宋" w:hAnsi="仿宋" w:eastAsia="仿宋"/>
          <w:color w:val="000000"/>
          <w:sz w:val="32"/>
          <w:szCs w:val="32"/>
        </w:rPr>
        <w:t>%</w:t>
      </w:r>
      <w:r>
        <w:rPr>
          <w:rFonts w:hint="eastAsia" w:ascii="仿宋" w:hAnsi="仿宋" w:eastAsia="仿宋"/>
          <w:color w:val="000000"/>
          <w:sz w:val="32"/>
          <w:szCs w:val="32"/>
          <w:lang w:eastAsia="zh-CN"/>
        </w:rPr>
        <w:t>，基本持平。</w:t>
      </w:r>
    </w:p>
    <w:p>
      <w:pPr>
        <w:spacing w:line="600" w:lineRule="exact"/>
        <w:ind w:firstLine="640" w:firstLineChars="200"/>
        <w:outlineLvl w:val="1"/>
        <w:rPr>
          <w:rFonts w:hint="eastAsia" w:ascii="仿宋" w:hAnsi="仿宋" w:eastAsia="仿宋"/>
          <w:color w:val="000000"/>
          <w:sz w:val="32"/>
          <w:szCs w:val="32"/>
          <w:lang w:eastAsia="zh-CN"/>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ind w:firstLine="420" w:firstLineChars="200"/>
        <w:outlineLvl w:val="1"/>
        <w:rPr>
          <w:rFonts w:hint="eastAsia" w:ascii="仿宋" w:hAnsi="仿宋" w:eastAsia="仿宋"/>
          <w:color w:val="000000"/>
          <w:sz w:val="32"/>
          <w:szCs w:val="32"/>
          <w:lang w:eastAsia="zh-CN"/>
        </w:rPr>
      </w:pPr>
      <w:r>
        <w:drawing>
          <wp:anchor distT="0" distB="0" distL="114300" distR="114300" simplePos="0" relativeHeight="251658240" behindDoc="0" locked="0" layoutInCell="1" allowOverlap="1">
            <wp:simplePos x="0" y="0"/>
            <wp:positionH relativeFrom="column">
              <wp:posOffset>281940</wp:posOffset>
            </wp:positionH>
            <wp:positionV relativeFrom="paragraph">
              <wp:posOffset>368935</wp:posOffset>
            </wp:positionV>
            <wp:extent cx="4644390" cy="3240405"/>
            <wp:effectExtent l="4445" t="4445" r="18415" b="1270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3514.79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3310.72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94.19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204.07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5.81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3"/>
        <w:numPr>
          <w:numId w:val="0"/>
        </w:numPr>
        <w:spacing w:line="600" w:lineRule="exact"/>
        <w:ind w:left="640" w:leftChars="0"/>
        <w:outlineLvl w:val="1"/>
        <w:rPr>
          <w:rStyle w:val="25"/>
          <w:rFonts w:ascii="黑体" w:hAnsi="黑体" w:eastAsia="黑体"/>
          <w:b w:val="0"/>
        </w:rPr>
      </w:pPr>
      <w:bookmarkStart w:id="28" w:name="_Toc15377207"/>
      <w:bookmarkStart w:id="29" w:name="_Toc15396605"/>
    </w:p>
    <w:p>
      <w:pPr>
        <w:pStyle w:val="23"/>
        <w:numPr>
          <w:ilvl w:val="0"/>
          <w:numId w:val="1"/>
        </w:numPr>
        <w:spacing w:line="600" w:lineRule="exact"/>
        <w:ind w:firstLineChars="0"/>
        <w:outlineLvl w:val="1"/>
        <w:rPr>
          <w:rStyle w:val="25"/>
          <w:rFonts w:ascii="黑体" w:hAnsi="黑体" w:eastAsia="黑体"/>
          <w:b w:val="0"/>
        </w:rPr>
      </w:pP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4154.81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2770.98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66.69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1383.83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33.31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299085</wp:posOffset>
            </wp:positionV>
            <wp:extent cx="4572000" cy="2743200"/>
            <wp:effectExtent l="4445" t="4445" r="14605" b="14605"/>
            <wp:wrapSquare wrapText="bothSides"/>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numPr>
          <w:ilvl w:val="0"/>
          <w:numId w:val="1"/>
        </w:numPr>
        <w:spacing w:line="600" w:lineRule="exact"/>
        <w:ind w:left="1360" w:leftChars="0" w:hanging="720" w:firstLineChars="0"/>
        <w:outlineLvl w:val="1"/>
        <w:rPr>
          <w:rStyle w:val="25"/>
          <w:rFonts w:hint="eastAsia" w:ascii="黑体" w:hAnsi="黑体" w:eastAsia="黑体"/>
          <w:b w:val="0"/>
        </w:rPr>
      </w:pPr>
      <w:bookmarkStart w:id="30" w:name="_Toc15396606"/>
      <w:bookmarkStart w:id="31" w:name="_Toc15377208"/>
      <w:r>
        <w:rPr>
          <w:rFonts w:hint="eastAsia" w:ascii="黑体" w:hAnsi="黑体" w:eastAsia="黑体"/>
          <w:color w:val="000000"/>
          <w:sz w:val="32"/>
          <w:szCs w:val="32"/>
        </w:rPr>
        <w:t>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outlineLvl w:val="1"/>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年财政拨款收入合计</w:t>
      </w:r>
      <w:r>
        <w:rPr>
          <w:rFonts w:hint="eastAsia" w:ascii="仿宋" w:hAnsi="仿宋" w:eastAsia="仿宋"/>
          <w:color w:val="000000"/>
          <w:sz w:val="32"/>
          <w:szCs w:val="32"/>
          <w:lang w:val="en-US" w:eastAsia="zh-CN"/>
        </w:rPr>
        <w:t>3310.72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与</w:t>
      </w:r>
      <w:r>
        <w:rPr>
          <w:rFonts w:hint="eastAsia" w:ascii="仿宋" w:hAnsi="仿宋" w:eastAsia="仿宋"/>
          <w:color w:val="000000"/>
          <w:sz w:val="32"/>
          <w:szCs w:val="32"/>
        </w:rPr>
        <w:t>2017年相比减少</w:t>
      </w:r>
      <w:r>
        <w:rPr>
          <w:rFonts w:hint="eastAsia" w:ascii="仿宋" w:hAnsi="仿宋" w:eastAsia="仿宋"/>
          <w:color w:val="000000"/>
          <w:sz w:val="32"/>
          <w:szCs w:val="32"/>
          <w:lang w:val="en-US" w:eastAsia="zh-CN"/>
        </w:rPr>
        <w:t>125.28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3.65</w:t>
      </w:r>
      <w:r>
        <w:rPr>
          <w:rFonts w:hint="eastAsia" w:ascii="仿宋" w:hAnsi="仿宋" w:eastAsia="仿宋"/>
          <w:color w:val="000000"/>
          <w:sz w:val="32"/>
          <w:szCs w:val="32"/>
        </w:rPr>
        <w:t>%</w:t>
      </w:r>
      <w:r>
        <w:rPr>
          <w:rFonts w:hint="eastAsia" w:ascii="仿宋" w:hAnsi="仿宋" w:eastAsia="仿宋"/>
          <w:color w:val="000000"/>
          <w:sz w:val="32"/>
          <w:szCs w:val="32"/>
          <w:lang w:eastAsia="zh-CN"/>
        </w:rPr>
        <w:t>，主要是项目收入减少。</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年支出合计</w:t>
      </w:r>
      <w:r>
        <w:rPr>
          <w:rFonts w:hint="eastAsia" w:ascii="仿宋" w:hAnsi="仿宋" w:eastAsia="仿宋"/>
          <w:color w:val="000000"/>
          <w:sz w:val="32"/>
          <w:szCs w:val="32"/>
          <w:lang w:val="en-US" w:eastAsia="zh-CN"/>
        </w:rPr>
        <w:t>3958.6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与</w:t>
      </w:r>
      <w:r>
        <w:rPr>
          <w:rFonts w:hint="eastAsia" w:ascii="仿宋" w:hAnsi="仿宋" w:eastAsia="仿宋"/>
          <w:color w:val="000000"/>
          <w:sz w:val="32"/>
          <w:szCs w:val="32"/>
        </w:rPr>
        <w:t>2017年相比减少</w:t>
      </w:r>
      <w:r>
        <w:rPr>
          <w:rFonts w:hint="eastAsia" w:ascii="仿宋" w:hAnsi="仿宋" w:eastAsia="仿宋"/>
          <w:color w:val="000000"/>
          <w:sz w:val="32"/>
          <w:szCs w:val="32"/>
          <w:lang w:val="en-US" w:eastAsia="zh-CN"/>
        </w:rPr>
        <w:t>95.21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2.35</w:t>
      </w:r>
      <w:r>
        <w:rPr>
          <w:rFonts w:hint="eastAsia" w:ascii="仿宋" w:hAnsi="仿宋" w:eastAsia="仿宋"/>
          <w:color w:val="000000"/>
          <w:sz w:val="32"/>
          <w:szCs w:val="32"/>
        </w:rPr>
        <w:t>%</w:t>
      </w:r>
      <w:r>
        <w:rPr>
          <w:rFonts w:hint="eastAsia" w:ascii="仿宋" w:hAnsi="仿宋" w:eastAsia="仿宋"/>
          <w:color w:val="000000"/>
          <w:sz w:val="32"/>
          <w:szCs w:val="32"/>
          <w:lang w:eastAsia="zh-CN"/>
        </w:rPr>
        <w:t>，主要是项目支出减少。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r>
        <w:drawing>
          <wp:anchor distT="0" distB="0" distL="114300" distR="114300" simplePos="0" relativeHeight="251662336" behindDoc="0" locked="0" layoutInCell="1" allowOverlap="1">
            <wp:simplePos x="0" y="0"/>
            <wp:positionH relativeFrom="column">
              <wp:posOffset>601345</wp:posOffset>
            </wp:positionH>
            <wp:positionV relativeFrom="paragraph">
              <wp:posOffset>246380</wp:posOffset>
            </wp:positionV>
            <wp:extent cx="4572000" cy="2743200"/>
            <wp:effectExtent l="4445" t="4445" r="14605" b="14605"/>
            <wp:wrapSquare wrapText="bothSides"/>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default" w:ascii="仿宋" w:hAnsi="仿宋" w:eastAsia="仿宋"/>
          <w:color w:val="000000"/>
          <w:sz w:val="32"/>
          <w:szCs w:val="32"/>
          <w:lang w:val="en-US"/>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3958.6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95.28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95.21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2.35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项目支出减少。</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eastAsia" w:ascii="仿宋_GB2312" w:eastAsia="仿宋_GB2312"/>
          <w:color w:val="000000"/>
          <w:sz w:val="32"/>
          <w:szCs w:val="32"/>
          <w:highlight w:val="yellow"/>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3958.6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文化体育与传媒</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3817.01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96.42</w:t>
      </w:r>
      <w:r>
        <w:rPr>
          <w:rFonts w:hint="eastAsia" w:ascii="仿宋" w:hAnsi="仿宋" w:eastAsia="仿宋"/>
          <w:color w:val="000000" w:themeColor="text1"/>
          <w:sz w:val="32"/>
          <w:szCs w:val="32"/>
          <w14:textFill>
            <w14:solidFill>
              <w14:schemeClr w14:val="tx1"/>
            </w14:solidFill>
          </w14:textFill>
        </w:rPr>
        <w:t>%；社会保障和就业支出</w:t>
      </w:r>
      <w:r>
        <w:rPr>
          <w:rFonts w:hint="eastAsia" w:ascii="仿宋" w:hAnsi="仿宋" w:eastAsia="仿宋"/>
          <w:color w:val="000000" w:themeColor="text1"/>
          <w:sz w:val="32"/>
          <w:szCs w:val="32"/>
          <w:lang w:val="en-US" w:eastAsia="zh-CN"/>
          <w14:textFill>
            <w14:solidFill>
              <w14:schemeClr w14:val="tx1"/>
            </w14:solidFill>
          </w14:textFill>
        </w:rPr>
        <w:t>76.21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1.93</w:t>
      </w:r>
      <w:r>
        <w:rPr>
          <w:rFonts w:hint="eastAsia" w:ascii="仿宋" w:hAnsi="仿宋" w:eastAsia="仿宋"/>
          <w:color w:val="000000" w:themeColor="text1"/>
          <w:sz w:val="32"/>
          <w:szCs w:val="32"/>
          <w14:textFill>
            <w14:solidFill>
              <w14:schemeClr w14:val="tx1"/>
            </w14:solidFill>
          </w14:textFill>
        </w:rPr>
        <w:t>%；医疗卫生</w:t>
      </w:r>
      <w:r>
        <w:rPr>
          <w:rFonts w:hint="eastAsia" w:ascii="仿宋" w:hAnsi="仿宋" w:eastAsia="仿宋"/>
          <w:color w:val="000000" w:themeColor="text1"/>
          <w:sz w:val="32"/>
          <w:szCs w:val="32"/>
          <w:lang w:eastAsia="zh-CN"/>
          <w14:textFill>
            <w14:solidFill>
              <w14:schemeClr w14:val="tx1"/>
            </w14:solidFill>
          </w14:textFill>
        </w:rPr>
        <w:t>于计划生育</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24.15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0.61</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41.23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1.04</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420" w:firstLineChars="200"/>
        <w:rPr>
          <w:rFonts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3958.6万元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65.09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0" w:firstLineChars="200"/>
        <w:rPr>
          <w:rStyle w:val="14"/>
          <w:rFonts w:hint="eastAsia" w:ascii="仿宋" w:hAnsi="仿宋" w:eastAsia="仿宋"/>
          <w:b w:val="0"/>
          <w:bCs/>
          <w:color w:val="000000"/>
          <w:sz w:val="32"/>
          <w:szCs w:val="32"/>
          <w:lang w:eastAsia="zh-CN"/>
        </w:rPr>
      </w:pP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lang w:eastAsia="zh-CN"/>
        </w:rPr>
        <w:t>我单位无该类预决算收支。</w:t>
      </w:r>
    </w:p>
    <w:p>
      <w:pPr>
        <w:numPr>
          <w:ilvl w:val="0"/>
          <w:numId w:val="0"/>
        </w:numPr>
        <w:spacing w:line="600" w:lineRule="exact"/>
        <w:ind w:firstLine="640" w:firstLineChars="200"/>
        <w:rPr>
          <w:rStyle w:val="14"/>
          <w:rFonts w:hint="eastAsia" w:ascii="仿宋" w:hAnsi="仿宋" w:eastAsia="仿宋"/>
          <w:b w:val="0"/>
          <w:bCs/>
          <w:color w:val="000000"/>
          <w:sz w:val="32"/>
          <w:szCs w:val="32"/>
          <w:lang w:eastAsia="zh-CN"/>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lang w:eastAsia="zh-CN"/>
        </w:rPr>
        <w:t>我单位无该类预决算收支。</w:t>
      </w:r>
    </w:p>
    <w:p>
      <w:pPr>
        <w:numPr>
          <w:ilvl w:val="0"/>
          <w:numId w:val="0"/>
        </w:numPr>
        <w:spacing w:line="600" w:lineRule="exact"/>
        <w:ind w:firstLine="640" w:firstLineChars="200"/>
        <w:rPr>
          <w:rStyle w:val="14"/>
          <w:rFonts w:hint="eastAsia" w:ascii="仿宋" w:hAnsi="仿宋" w:eastAsia="仿宋"/>
          <w:b w:val="0"/>
          <w:bCs/>
          <w:color w:val="000000"/>
          <w:sz w:val="32"/>
          <w:szCs w:val="32"/>
          <w:lang w:eastAsia="zh-CN"/>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lang w:eastAsia="zh-CN"/>
        </w:rPr>
        <w:t>我单位无该类预决算收支。</w:t>
      </w:r>
    </w:p>
    <w:p>
      <w:pPr>
        <w:numPr>
          <w:ilvl w:val="0"/>
          <w:numId w:val="0"/>
        </w:numPr>
        <w:spacing w:line="600" w:lineRule="exact"/>
        <w:ind w:firstLine="640"/>
        <w:rPr>
          <w:rStyle w:val="14"/>
          <w:rFonts w:ascii="仿宋" w:hAnsi="仿宋" w:eastAsia="仿宋"/>
          <w:b w:val="0"/>
          <w:bCs/>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eastAsia="zh-CN"/>
        </w:rPr>
        <w:t>一、</w:t>
      </w:r>
      <w:r>
        <w:rPr>
          <w:rStyle w:val="14"/>
          <w:rFonts w:hint="eastAsia" w:ascii="仿宋" w:hAnsi="仿宋" w:eastAsia="仿宋"/>
          <w:b w:val="0"/>
          <w:bCs/>
          <w:color w:val="000000"/>
          <w:sz w:val="32"/>
          <w:szCs w:val="32"/>
          <w:lang w:val="en-US" w:eastAsia="zh-CN"/>
        </w:rPr>
        <w:t>2070204文物</w:t>
      </w:r>
      <w:r>
        <w:rPr>
          <w:rStyle w:val="14"/>
          <w:rFonts w:hint="eastAsia" w:ascii="仿宋" w:hAnsi="仿宋" w:eastAsia="仿宋"/>
          <w:b w:val="0"/>
          <w:bCs/>
          <w:color w:val="000000"/>
          <w:sz w:val="32"/>
          <w:szCs w:val="32"/>
        </w:rPr>
        <w:t>（款）</w:t>
      </w:r>
      <w:r>
        <w:rPr>
          <w:rStyle w:val="14"/>
          <w:rFonts w:hint="eastAsia" w:ascii="仿宋" w:hAnsi="仿宋" w:eastAsia="仿宋"/>
          <w:b w:val="0"/>
          <w:bCs/>
          <w:color w:val="000000"/>
          <w:sz w:val="32"/>
          <w:szCs w:val="32"/>
          <w:lang w:val="en-US" w:eastAsia="zh-CN"/>
        </w:rPr>
        <w:t>文物保护</w:t>
      </w:r>
      <w:r>
        <w:rPr>
          <w:rStyle w:val="14"/>
          <w:rFonts w:hint="eastAsia" w:ascii="仿宋" w:hAnsi="仿宋" w:eastAsia="仿宋"/>
          <w:b w:val="0"/>
          <w:bCs/>
          <w:color w:val="000000"/>
          <w:sz w:val="32"/>
          <w:szCs w:val="32"/>
        </w:rPr>
        <w:t>（项</w:t>
      </w:r>
      <w:r>
        <w:rPr>
          <w:rStyle w:val="14"/>
          <w:rFonts w:hint="eastAsia" w:ascii="仿宋" w:hAnsi="仿宋" w:eastAsia="仿宋"/>
          <w:b w:val="0"/>
          <w:bCs/>
          <w:color w:val="000000"/>
          <w:sz w:val="32"/>
          <w:szCs w:val="32"/>
          <w:lang w:eastAsia="zh-CN"/>
        </w:rPr>
        <w:t>），支出</w:t>
      </w:r>
      <w:r>
        <w:rPr>
          <w:rStyle w:val="14"/>
          <w:rFonts w:hint="eastAsia" w:ascii="仿宋" w:hAnsi="仿宋" w:eastAsia="仿宋"/>
          <w:b w:val="0"/>
          <w:bCs/>
          <w:color w:val="000000"/>
          <w:sz w:val="32"/>
          <w:szCs w:val="32"/>
        </w:rPr>
        <w:t>决算数为</w:t>
      </w:r>
      <w:r>
        <w:rPr>
          <w:rStyle w:val="14"/>
          <w:rFonts w:hint="eastAsia" w:ascii="仿宋" w:hAnsi="仿宋" w:eastAsia="仿宋"/>
          <w:b w:val="0"/>
          <w:bCs/>
          <w:color w:val="000000"/>
          <w:sz w:val="32"/>
          <w:szCs w:val="32"/>
          <w:lang w:val="en-US" w:eastAsia="zh-CN"/>
        </w:rPr>
        <w:t>995.11万</w:t>
      </w:r>
      <w:r>
        <w:rPr>
          <w:rStyle w:val="14"/>
          <w:rFonts w:hint="eastAsia" w:ascii="仿宋" w:hAnsi="仿宋" w:eastAsia="仿宋"/>
          <w:b w:val="0"/>
          <w:bCs/>
          <w:color w:val="000000"/>
          <w:sz w:val="32"/>
          <w:szCs w:val="32"/>
        </w:rPr>
        <w:t>元，完成预算</w:t>
      </w:r>
      <w:r>
        <w:rPr>
          <w:rStyle w:val="14"/>
          <w:rFonts w:hint="eastAsia" w:ascii="仿宋" w:hAnsi="仿宋" w:eastAsia="仿宋"/>
          <w:b w:val="0"/>
          <w:bCs/>
          <w:color w:val="000000"/>
          <w:sz w:val="32"/>
          <w:szCs w:val="32"/>
          <w:lang w:val="en-US" w:eastAsia="zh-CN"/>
        </w:rPr>
        <w:t>39.19</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跨年度项目支出结转下年使用</w:t>
      </w:r>
      <w:r>
        <w:rPr>
          <w:rStyle w:val="14"/>
          <w:rFonts w:hint="eastAsia" w:ascii="仿宋" w:hAnsi="仿宋" w:eastAsia="仿宋"/>
          <w:b w:val="0"/>
          <w:bCs/>
          <w:color w:val="000000"/>
          <w:sz w:val="32"/>
          <w:szCs w:val="32"/>
        </w:rPr>
        <w:t>。</w:t>
      </w:r>
    </w:p>
    <w:p>
      <w:pPr>
        <w:spacing w:line="60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lang w:eastAsia="zh-CN"/>
        </w:rPr>
        <w:t>二、</w:t>
      </w:r>
      <w:r>
        <w:rPr>
          <w:rStyle w:val="14"/>
          <w:rFonts w:hint="eastAsia" w:ascii="仿宋" w:hAnsi="仿宋" w:eastAsia="仿宋"/>
          <w:b w:val="0"/>
          <w:bCs/>
          <w:color w:val="000000"/>
          <w:sz w:val="32"/>
          <w:szCs w:val="32"/>
          <w:lang w:val="en-US" w:eastAsia="zh-CN"/>
        </w:rPr>
        <w:t>2070205文物</w:t>
      </w:r>
      <w:r>
        <w:rPr>
          <w:rStyle w:val="14"/>
          <w:rFonts w:hint="eastAsia" w:ascii="仿宋" w:hAnsi="仿宋" w:eastAsia="仿宋"/>
          <w:b w:val="0"/>
          <w:bCs/>
          <w:color w:val="000000"/>
          <w:sz w:val="32"/>
          <w:szCs w:val="32"/>
        </w:rPr>
        <w:t>（款）</w:t>
      </w:r>
      <w:r>
        <w:rPr>
          <w:rStyle w:val="14"/>
          <w:rFonts w:hint="eastAsia" w:ascii="仿宋" w:hAnsi="仿宋" w:eastAsia="仿宋"/>
          <w:b w:val="0"/>
          <w:bCs/>
          <w:color w:val="000000"/>
          <w:sz w:val="32"/>
          <w:szCs w:val="32"/>
          <w:lang w:val="en-US" w:eastAsia="zh-CN"/>
        </w:rPr>
        <w:t>博物馆</w:t>
      </w:r>
      <w:r>
        <w:rPr>
          <w:rStyle w:val="14"/>
          <w:rFonts w:hint="eastAsia" w:ascii="仿宋" w:hAnsi="仿宋" w:eastAsia="仿宋"/>
          <w:b w:val="0"/>
          <w:bCs/>
          <w:color w:val="000000"/>
          <w:sz w:val="32"/>
          <w:szCs w:val="32"/>
        </w:rPr>
        <w:t>（项</w:t>
      </w:r>
      <w:r>
        <w:rPr>
          <w:rStyle w:val="14"/>
          <w:rFonts w:hint="eastAsia" w:ascii="仿宋" w:hAnsi="仿宋" w:eastAsia="仿宋"/>
          <w:b w:val="0"/>
          <w:bCs/>
          <w:color w:val="000000"/>
          <w:sz w:val="32"/>
          <w:szCs w:val="32"/>
          <w:lang w:eastAsia="zh-CN"/>
        </w:rPr>
        <w:t>），支出</w:t>
      </w:r>
      <w:r>
        <w:rPr>
          <w:rStyle w:val="14"/>
          <w:rFonts w:hint="eastAsia" w:ascii="仿宋" w:hAnsi="仿宋" w:eastAsia="仿宋"/>
          <w:b w:val="0"/>
          <w:bCs/>
          <w:color w:val="000000"/>
          <w:sz w:val="32"/>
          <w:szCs w:val="32"/>
        </w:rPr>
        <w:t>决算数为</w:t>
      </w:r>
      <w:r>
        <w:rPr>
          <w:rStyle w:val="14"/>
          <w:rFonts w:hint="eastAsia" w:ascii="仿宋" w:hAnsi="仿宋" w:eastAsia="仿宋"/>
          <w:b w:val="0"/>
          <w:bCs/>
          <w:color w:val="000000"/>
          <w:sz w:val="32"/>
          <w:szCs w:val="32"/>
          <w:lang w:val="en-US" w:eastAsia="zh-CN"/>
        </w:rPr>
        <w:t>2723.35万</w:t>
      </w:r>
      <w:r>
        <w:rPr>
          <w:rStyle w:val="14"/>
          <w:rFonts w:hint="eastAsia" w:ascii="仿宋" w:hAnsi="仿宋" w:eastAsia="仿宋"/>
          <w:b w:val="0"/>
          <w:bCs/>
          <w:color w:val="000000"/>
          <w:sz w:val="32"/>
          <w:szCs w:val="32"/>
        </w:rPr>
        <w:t>元，完成预算</w:t>
      </w:r>
      <w:r>
        <w:rPr>
          <w:rStyle w:val="14"/>
          <w:rFonts w:hint="eastAsia" w:ascii="仿宋" w:hAnsi="仿宋" w:eastAsia="仿宋"/>
          <w:b w:val="0"/>
          <w:bCs/>
          <w:color w:val="000000"/>
          <w:sz w:val="32"/>
          <w:szCs w:val="32"/>
          <w:lang w:val="en-US" w:eastAsia="zh-CN"/>
        </w:rPr>
        <w:t>85.04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，决算数小于预算数的主要原因是我单位部分项目经费（大祭祀活动等项目）必须在2019年实施，聘用人员奖金等需考核发放的资金也只能在2019年支付，该部分结余资金通过财政应返还额度结转下年使用。</w:t>
      </w:r>
    </w:p>
    <w:p>
      <w:pPr>
        <w:numPr>
          <w:ilvl w:val="0"/>
          <w:numId w:val="0"/>
        </w:numPr>
        <w:spacing w:line="600" w:lineRule="exact"/>
        <w:ind w:firstLine="64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eastAsia="zh-CN"/>
        </w:rPr>
        <w:t>四、</w:t>
      </w:r>
      <w:r>
        <w:rPr>
          <w:rStyle w:val="14"/>
          <w:rFonts w:hint="eastAsia" w:ascii="仿宋" w:hAnsi="仿宋" w:eastAsia="仿宋"/>
          <w:b w:val="0"/>
          <w:bCs/>
          <w:color w:val="000000"/>
          <w:sz w:val="32"/>
          <w:szCs w:val="32"/>
          <w:lang w:val="en-US" w:eastAsia="zh-CN"/>
        </w:rPr>
        <w:t>2079999其他文化体育与传媒支出</w:t>
      </w:r>
      <w:r>
        <w:rPr>
          <w:rStyle w:val="14"/>
          <w:rFonts w:hint="eastAsia" w:ascii="仿宋" w:hAnsi="仿宋" w:eastAsia="仿宋"/>
          <w:b w:val="0"/>
          <w:bCs/>
          <w:color w:val="000000"/>
          <w:sz w:val="32"/>
          <w:szCs w:val="32"/>
          <w:lang w:eastAsia="zh-CN"/>
        </w:rPr>
        <w:t>（款）</w:t>
      </w:r>
      <w:r>
        <w:rPr>
          <w:rStyle w:val="14"/>
          <w:rFonts w:hint="eastAsia" w:ascii="仿宋" w:hAnsi="仿宋" w:eastAsia="仿宋"/>
          <w:b w:val="0"/>
          <w:bCs/>
          <w:color w:val="000000"/>
          <w:sz w:val="32"/>
          <w:szCs w:val="32"/>
          <w:lang w:val="en-US" w:eastAsia="zh-CN"/>
        </w:rPr>
        <w:t>其他文化体育与传媒支出</w:t>
      </w:r>
      <w:r>
        <w:rPr>
          <w:rStyle w:val="14"/>
          <w:rFonts w:hint="eastAsia" w:ascii="仿宋" w:hAnsi="仿宋" w:eastAsia="仿宋"/>
          <w:b w:val="0"/>
          <w:bCs/>
          <w:color w:val="000000"/>
          <w:sz w:val="32"/>
          <w:szCs w:val="32"/>
          <w:lang w:eastAsia="zh-CN"/>
        </w:rPr>
        <w:t>（项），支出决算数为</w:t>
      </w:r>
      <w:r>
        <w:rPr>
          <w:rStyle w:val="14"/>
          <w:rFonts w:hint="eastAsia" w:ascii="仿宋" w:hAnsi="仿宋" w:eastAsia="仿宋"/>
          <w:b w:val="0"/>
          <w:bCs/>
          <w:color w:val="000000"/>
          <w:sz w:val="32"/>
          <w:szCs w:val="32"/>
          <w:lang w:val="en-US" w:eastAsia="zh-CN"/>
        </w:rPr>
        <w:t>98.55万</w:t>
      </w:r>
      <w:r>
        <w:rPr>
          <w:rStyle w:val="14"/>
          <w:rFonts w:hint="eastAsia" w:ascii="仿宋" w:hAnsi="仿宋" w:eastAsia="仿宋"/>
          <w:b w:val="0"/>
          <w:bCs/>
          <w:color w:val="000000"/>
          <w:sz w:val="32"/>
          <w:szCs w:val="32"/>
          <w:lang w:eastAsia="zh-CN"/>
        </w:rPr>
        <w:t>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lang w:eastAsia="zh-CN"/>
        </w:rPr>
        <w:t>%，决算数等</w:t>
      </w:r>
      <w:r>
        <w:rPr>
          <w:rStyle w:val="14"/>
          <w:rFonts w:hint="eastAsia" w:ascii="仿宋" w:hAnsi="仿宋" w:eastAsia="仿宋"/>
          <w:b w:val="0"/>
          <w:bCs/>
          <w:color w:val="000000"/>
          <w:sz w:val="32"/>
          <w:szCs w:val="32"/>
        </w:rPr>
        <w:t>于预算数</w:t>
      </w:r>
      <w:r>
        <w:rPr>
          <w:rStyle w:val="14"/>
          <w:rFonts w:hint="eastAsia" w:ascii="仿宋" w:hAnsi="仿宋" w:eastAsia="仿宋"/>
          <w:b w:val="0"/>
          <w:bCs/>
          <w:color w:val="000000"/>
          <w:sz w:val="32"/>
          <w:szCs w:val="32"/>
          <w:lang w:eastAsia="zh-CN"/>
        </w:rPr>
        <w:t>。</w:t>
      </w:r>
    </w:p>
    <w:p>
      <w:pPr>
        <w:numPr>
          <w:ilvl w:val="0"/>
          <w:numId w:val="3"/>
        </w:numPr>
        <w:spacing w:line="600" w:lineRule="exact"/>
        <w:ind w:firstLine="640"/>
        <w:rPr>
          <w:rStyle w:val="14"/>
          <w:rFonts w:ascii="仿宋" w:hAnsi="仿宋" w:eastAsia="仿宋"/>
          <w:b w:val="0"/>
          <w:bCs/>
          <w:color w:val="000000"/>
          <w:sz w:val="32"/>
          <w:szCs w:val="32"/>
        </w:rPr>
      </w:pP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p>
    <w:p>
      <w:pPr>
        <w:numPr>
          <w:ilvl w:val="0"/>
          <w:numId w:val="0"/>
        </w:numPr>
        <w:spacing w:line="600" w:lineRule="exact"/>
        <w:ind w:firstLine="640"/>
        <w:rPr>
          <w:rStyle w:val="14"/>
          <w:rFonts w:hint="eastAsia" w:ascii="仿宋" w:hAnsi="仿宋" w:eastAsia="仿宋"/>
          <w:b w:val="0"/>
          <w:bCs/>
          <w:color w:val="000000"/>
          <w:sz w:val="32"/>
          <w:szCs w:val="32"/>
          <w:lang w:eastAsia="zh-CN"/>
        </w:rPr>
      </w:pPr>
      <w:r>
        <w:rPr>
          <w:rStyle w:val="14"/>
          <w:rFonts w:hint="eastAsia" w:ascii="仿宋" w:hAnsi="仿宋" w:eastAsia="仿宋"/>
          <w:b w:val="0"/>
          <w:bCs/>
          <w:color w:val="000000"/>
          <w:sz w:val="32"/>
          <w:szCs w:val="32"/>
          <w:lang w:val="en-US" w:eastAsia="zh-CN"/>
        </w:rPr>
        <w:t>一、2080502行政事业单位离退休</w:t>
      </w:r>
      <w:r>
        <w:rPr>
          <w:rStyle w:val="14"/>
          <w:rFonts w:hint="eastAsia" w:ascii="仿宋" w:hAnsi="仿宋" w:eastAsia="仿宋"/>
          <w:b w:val="0"/>
          <w:bCs/>
          <w:color w:val="000000"/>
          <w:sz w:val="32"/>
          <w:szCs w:val="32"/>
          <w:lang w:eastAsia="zh-CN"/>
        </w:rPr>
        <w:t>（款）</w:t>
      </w:r>
      <w:r>
        <w:rPr>
          <w:rStyle w:val="14"/>
          <w:rFonts w:hint="eastAsia" w:ascii="仿宋" w:hAnsi="仿宋" w:eastAsia="仿宋"/>
          <w:b w:val="0"/>
          <w:bCs/>
          <w:color w:val="000000"/>
          <w:sz w:val="32"/>
          <w:szCs w:val="32"/>
          <w:lang w:val="en-US" w:eastAsia="zh-CN"/>
        </w:rPr>
        <w:t>事业单位离退休</w:t>
      </w:r>
      <w:r>
        <w:rPr>
          <w:rStyle w:val="14"/>
          <w:rFonts w:hint="eastAsia" w:ascii="仿宋" w:hAnsi="仿宋" w:eastAsia="仿宋"/>
          <w:b w:val="0"/>
          <w:bCs/>
          <w:color w:val="000000"/>
          <w:sz w:val="32"/>
          <w:szCs w:val="32"/>
          <w:lang w:eastAsia="zh-CN"/>
        </w:rPr>
        <w:t>（项），支出决算数为</w:t>
      </w:r>
      <w:r>
        <w:rPr>
          <w:rStyle w:val="14"/>
          <w:rFonts w:hint="eastAsia" w:ascii="仿宋" w:hAnsi="仿宋" w:eastAsia="仿宋"/>
          <w:b w:val="0"/>
          <w:bCs/>
          <w:color w:val="000000"/>
          <w:sz w:val="32"/>
          <w:szCs w:val="32"/>
          <w:lang w:val="en-US" w:eastAsia="zh-CN"/>
        </w:rPr>
        <w:t>13.84万</w:t>
      </w:r>
      <w:r>
        <w:rPr>
          <w:rStyle w:val="14"/>
          <w:rFonts w:hint="eastAsia" w:ascii="仿宋" w:hAnsi="仿宋" w:eastAsia="仿宋"/>
          <w:b w:val="0"/>
          <w:bCs/>
          <w:color w:val="000000"/>
          <w:sz w:val="32"/>
          <w:szCs w:val="32"/>
          <w:lang w:eastAsia="zh-CN"/>
        </w:rPr>
        <w:t>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lang w:eastAsia="zh-CN"/>
        </w:rPr>
        <w:t>%，决算数等于预算数。</w:t>
      </w:r>
    </w:p>
    <w:p>
      <w:pPr>
        <w:numPr>
          <w:ilvl w:val="0"/>
          <w:numId w:val="0"/>
        </w:numPr>
        <w:spacing w:line="600" w:lineRule="exact"/>
        <w:ind w:firstLine="640"/>
        <w:rPr>
          <w:rStyle w:val="14"/>
          <w:rFonts w:hint="eastAsia" w:ascii="仿宋" w:hAnsi="仿宋" w:eastAsia="仿宋"/>
          <w:b w:val="0"/>
          <w:bCs/>
          <w:color w:val="000000"/>
          <w:sz w:val="32"/>
          <w:szCs w:val="32"/>
          <w:lang w:eastAsia="zh-CN"/>
        </w:rPr>
      </w:pPr>
      <w:r>
        <w:rPr>
          <w:rStyle w:val="14"/>
          <w:rFonts w:hint="eastAsia" w:ascii="仿宋" w:hAnsi="仿宋" w:eastAsia="仿宋"/>
          <w:b w:val="0"/>
          <w:bCs/>
          <w:color w:val="000000"/>
          <w:sz w:val="32"/>
          <w:szCs w:val="32"/>
          <w:lang w:eastAsia="zh-CN"/>
        </w:rPr>
        <w:t>二、</w:t>
      </w:r>
      <w:r>
        <w:rPr>
          <w:rStyle w:val="14"/>
          <w:rFonts w:hint="eastAsia" w:ascii="仿宋" w:hAnsi="仿宋" w:eastAsia="仿宋"/>
          <w:b w:val="0"/>
          <w:bCs/>
          <w:color w:val="000000"/>
          <w:sz w:val="32"/>
          <w:szCs w:val="32"/>
          <w:lang w:val="en-US" w:eastAsia="zh-CN"/>
        </w:rPr>
        <w:t>2080505行政事业单位离退休</w:t>
      </w:r>
      <w:r>
        <w:rPr>
          <w:rStyle w:val="14"/>
          <w:rFonts w:hint="eastAsia" w:ascii="仿宋" w:hAnsi="仿宋" w:eastAsia="仿宋"/>
          <w:b w:val="0"/>
          <w:bCs/>
          <w:color w:val="000000"/>
          <w:sz w:val="32"/>
          <w:szCs w:val="32"/>
          <w:lang w:eastAsia="zh-CN"/>
        </w:rPr>
        <w:t>（款）</w:t>
      </w:r>
      <w:r>
        <w:rPr>
          <w:rStyle w:val="14"/>
          <w:rFonts w:hint="eastAsia" w:ascii="仿宋" w:hAnsi="仿宋" w:eastAsia="仿宋"/>
          <w:b w:val="0"/>
          <w:bCs/>
          <w:color w:val="000000"/>
          <w:sz w:val="32"/>
          <w:szCs w:val="32"/>
          <w:lang w:val="en-US" w:eastAsia="zh-CN"/>
        </w:rPr>
        <w:t>机关事业单位基本养老保险缴费支出</w:t>
      </w:r>
      <w:r>
        <w:rPr>
          <w:rStyle w:val="14"/>
          <w:rFonts w:hint="eastAsia" w:ascii="仿宋" w:hAnsi="仿宋" w:eastAsia="仿宋"/>
          <w:b w:val="0"/>
          <w:bCs/>
          <w:color w:val="000000"/>
          <w:sz w:val="32"/>
          <w:szCs w:val="32"/>
          <w:lang w:eastAsia="zh-CN"/>
        </w:rPr>
        <w:t>（项），支出决算数为</w:t>
      </w:r>
      <w:r>
        <w:rPr>
          <w:rStyle w:val="14"/>
          <w:rFonts w:hint="eastAsia" w:ascii="仿宋" w:hAnsi="仿宋" w:eastAsia="仿宋"/>
          <w:b w:val="0"/>
          <w:bCs/>
          <w:color w:val="000000"/>
          <w:sz w:val="32"/>
          <w:szCs w:val="32"/>
          <w:lang w:val="en-US" w:eastAsia="zh-CN"/>
        </w:rPr>
        <w:t>44.55万</w:t>
      </w:r>
      <w:r>
        <w:rPr>
          <w:rStyle w:val="14"/>
          <w:rFonts w:hint="eastAsia" w:ascii="仿宋" w:hAnsi="仿宋" w:eastAsia="仿宋"/>
          <w:b w:val="0"/>
          <w:bCs/>
          <w:color w:val="000000"/>
          <w:sz w:val="32"/>
          <w:szCs w:val="32"/>
          <w:lang w:eastAsia="zh-CN"/>
        </w:rPr>
        <w:t>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lang w:eastAsia="zh-CN"/>
        </w:rPr>
        <w:t>%，决算数等于预算数。</w:t>
      </w:r>
    </w:p>
    <w:p>
      <w:pPr>
        <w:numPr>
          <w:ilvl w:val="0"/>
          <w:numId w:val="0"/>
        </w:numPr>
        <w:spacing w:line="600" w:lineRule="exact"/>
        <w:ind w:firstLine="640"/>
        <w:rPr>
          <w:rStyle w:val="14"/>
          <w:rFonts w:hint="eastAsia" w:ascii="仿宋" w:hAnsi="仿宋" w:eastAsia="仿宋"/>
          <w:b w:val="0"/>
          <w:bCs/>
          <w:color w:val="000000"/>
          <w:sz w:val="32"/>
          <w:szCs w:val="32"/>
          <w:lang w:eastAsia="zh-CN"/>
        </w:rPr>
      </w:pPr>
      <w:r>
        <w:rPr>
          <w:rStyle w:val="14"/>
          <w:rFonts w:hint="eastAsia" w:ascii="仿宋" w:hAnsi="仿宋" w:eastAsia="仿宋"/>
          <w:b w:val="0"/>
          <w:bCs/>
          <w:color w:val="000000"/>
          <w:sz w:val="32"/>
          <w:szCs w:val="32"/>
          <w:lang w:eastAsia="zh-CN"/>
        </w:rPr>
        <w:t>三、</w:t>
      </w:r>
      <w:r>
        <w:rPr>
          <w:rStyle w:val="14"/>
          <w:rFonts w:hint="eastAsia" w:ascii="仿宋" w:hAnsi="仿宋" w:eastAsia="仿宋"/>
          <w:b w:val="0"/>
          <w:bCs/>
          <w:color w:val="000000"/>
          <w:sz w:val="32"/>
          <w:szCs w:val="32"/>
          <w:lang w:val="en-US" w:eastAsia="zh-CN"/>
        </w:rPr>
        <w:t>2080506行政事业单位离退休</w:t>
      </w:r>
      <w:r>
        <w:rPr>
          <w:rStyle w:val="14"/>
          <w:rFonts w:hint="eastAsia" w:ascii="仿宋" w:hAnsi="仿宋" w:eastAsia="仿宋"/>
          <w:b w:val="0"/>
          <w:bCs/>
          <w:color w:val="000000"/>
          <w:sz w:val="32"/>
          <w:szCs w:val="32"/>
          <w:lang w:eastAsia="zh-CN"/>
        </w:rPr>
        <w:t>（款）</w:t>
      </w:r>
      <w:r>
        <w:rPr>
          <w:rStyle w:val="14"/>
          <w:rFonts w:hint="eastAsia" w:ascii="仿宋" w:hAnsi="仿宋" w:eastAsia="仿宋"/>
          <w:b w:val="0"/>
          <w:bCs/>
          <w:color w:val="000000"/>
          <w:sz w:val="32"/>
          <w:szCs w:val="32"/>
          <w:lang w:val="en-US" w:eastAsia="zh-CN"/>
        </w:rPr>
        <w:t>机关事业单位职业年金缴费支出</w:t>
      </w:r>
      <w:r>
        <w:rPr>
          <w:rStyle w:val="14"/>
          <w:rFonts w:hint="eastAsia" w:ascii="仿宋" w:hAnsi="仿宋" w:eastAsia="仿宋"/>
          <w:b w:val="0"/>
          <w:bCs/>
          <w:color w:val="000000"/>
          <w:sz w:val="32"/>
          <w:szCs w:val="32"/>
          <w:lang w:eastAsia="zh-CN"/>
        </w:rPr>
        <w:t>（项），支出决算数为</w:t>
      </w:r>
      <w:r>
        <w:rPr>
          <w:rStyle w:val="14"/>
          <w:rFonts w:hint="eastAsia" w:ascii="仿宋" w:hAnsi="仿宋" w:eastAsia="仿宋"/>
          <w:b w:val="0"/>
          <w:bCs/>
          <w:color w:val="000000"/>
          <w:sz w:val="32"/>
          <w:szCs w:val="32"/>
          <w:lang w:val="en-US" w:eastAsia="zh-CN"/>
        </w:rPr>
        <w:t>17.82万</w:t>
      </w:r>
      <w:r>
        <w:rPr>
          <w:rStyle w:val="14"/>
          <w:rFonts w:hint="eastAsia" w:ascii="仿宋" w:hAnsi="仿宋" w:eastAsia="仿宋"/>
          <w:b w:val="0"/>
          <w:bCs/>
          <w:color w:val="000000"/>
          <w:sz w:val="32"/>
          <w:szCs w:val="32"/>
          <w:lang w:eastAsia="zh-CN"/>
        </w:rPr>
        <w:t>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lang w:eastAsia="zh-CN"/>
        </w:rPr>
        <w:t>%，决算数等于预算数。</w:t>
      </w:r>
    </w:p>
    <w:p>
      <w:pPr>
        <w:numPr>
          <w:ilvl w:val="0"/>
          <w:numId w:val="3"/>
        </w:numPr>
        <w:spacing w:line="600" w:lineRule="exact"/>
        <w:ind w:left="0" w:leftChars="0" w:firstLine="640" w:firstLineChars="0"/>
        <w:rPr>
          <w:rStyle w:val="14"/>
          <w:rFonts w:ascii="仿宋" w:hAnsi="仿宋" w:eastAsia="仿宋"/>
          <w:bCs/>
          <w:color w:val="000000"/>
          <w:sz w:val="32"/>
          <w:szCs w:val="32"/>
        </w:rPr>
      </w:pPr>
      <w:r>
        <w:rPr>
          <w:rStyle w:val="14"/>
          <w:rFonts w:hint="eastAsia" w:ascii="仿宋" w:hAnsi="仿宋" w:eastAsia="仿宋"/>
          <w:bCs/>
          <w:color w:val="000000"/>
          <w:sz w:val="32"/>
          <w:szCs w:val="32"/>
        </w:rPr>
        <w:t>医疗卫生与计划生育（类）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p>
    <w:p>
      <w:pPr>
        <w:numPr>
          <w:ilvl w:val="0"/>
          <w:numId w:val="0"/>
        </w:numPr>
        <w:spacing w:line="600" w:lineRule="exact"/>
        <w:ind w:firstLine="640"/>
        <w:rPr>
          <w:rStyle w:val="14"/>
          <w:rFonts w:hint="eastAsia" w:ascii="仿宋" w:hAnsi="仿宋" w:eastAsia="仿宋"/>
          <w:b w:val="0"/>
          <w:bCs/>
          <w:color w:val="000000"/>
          <w:sz w:val="32"/>
          <w:szCs w:val="32"/>
          <w:lang w:eastAsia="zh-CN"/>
        </w:rPr>
      </w:pPr>
      <w:r>
        <w:rPr>
          <w:rStyle w:val="14"/>
          <w:rFonts w:hint="eastAsia" w:ascii="仿宋" w:hAnsi="仿宋" w:eastAsia="仿宋"/>
          <w:b w:val="0"/>
          <w:bCs/>
          <w:color w:val="000000"/>
          <w:sz w:val="32"/>
          <w:szCs w:val="32"/>
          <w:lang w:val="en-US" w:eastAsia="zh-CN"/>
        </w:rPr>
        <w:t>一、2101102行政事业单位医疗</w:t>
      </w:r>
      <w:r>
        <w:rPr>
          <w:rStyle w:val="14"/>
          <w:rFonts w:hint="eastAsia" w:ascii="仿宋" w:hAnsi="仿宋" w:eastAsia="仿宋"/>
          <w:b w:val="0"/>
          <w:bCs/>
          <w:color w:val="000000"/>
          <w:sz w:val="32"/>
          <w:szCs w:val="32"/>
          <w:lang w:eastAsia="zh-CN"/>
        </w:rPr>
        <w:t>（款）</w:t>
      </w:r>
      <w:r>
        <w:rPr>
          <w:rStyle w:val="14"/>
          <w:rFonts w:hint="eastAsia" w:ascii="仿宋" w:hAnsi="仿宋" w:eastAsia="仿宋"/>
          <w:b w:val="0"/>
          <w:bCs/>
          <w:color w:val="000000"/>
          <w:sz w:val="32"/>
          <w:szCs w:val="32"/>
          <w:lang w:val="en-US" w:eastAsia="zh-CN"/>
        </w:rPr>
        <w:t>事业单位医疗</w:t>
      </w:r>
      <w:r>
        <w:rPr>
          <w:rStyle w:val="14"/>
          <w:rFonts w:hint="eastAsia" w:ascii="仿宋" w:hAnsi="仿宋" w:eastAsia="仿宋"/>
          <w:b w:val="0"/>
          <w:bCs/>
          <w:color w:val="000000"/>
          <w:sz w:val="32"/>
          <w:szCs w:val="32"/>
          <w:lang w:eastAsia="zh-CN"/>
        </w:rPr>
        <w:t>（项），支出决算数为</w:t>
      </w:r>
      <w:r>
        <w:rPr>
          <w:rStyle w:val="14"/>
          <w:rFonts w:hint="eastAsia" w:ascii="仿宋" w:hAnsi="仿宋" w:eastAsia="仿宋"/>
          <w:b w:val="0"/>
          <w:bCs/>
          <w:color w:val="000000"/>
          <w:sz w:val="32"/>
          <w:szCs w:val="32"/>
          <w:lang w:val="en-US" w:eastAsia="zh-CN"/>
        </w:rPr>
        <w:t>15.6万</w:t>
      </w:r>
      <w:r>
        <w:rPr>
          <w:rStyle w:val="14"/>
          <w:rFonts w:hint="eastAsia" w:ascii="仿宋" w:hAnsi="仿宋" w:eastAsia="仿宋"/>
          <w:b w:val="0"/>
          <w:bCs/>
          <w:color w:val="000000"/>
          <w:sz w:val="32"/>
          <w:szCs w:val="32"/>
          <w:lang w:eastAsia="zh-CN"/>
        </w:rPr>
        <w:t>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lang w:eastAsia="zh-CN"/>
        </w:rPr>
        <w:t>%，决算数等于预算数。</w:t>
      </w:r>
    </w:p>
    <w:p>
      <w:pPr>
        <w:numPr>
          <w:ilvl w:val="0"/>
          <w:numId w:val="0"/>
        </w:numPr>
        <w:spacing w:line="600" w:lineRule="exact"/>
        <w:ind w:firstLine="640"/>
        <w:rPr>
          <w:rStyle w:val="14"/>
          <w:rFonts w:hint="eastAsia" w:ascii="仿宋" w:hAnsi="仿宋" w:eastAsia="仿宋"/>
          <w:b w:val="0"/>
          <w:bCs/>
          <w:color w:val="000000"/>
          <w:sz w:val="32"/>
          <w:szCs w:val="32"/>
          <w:lang w:eastAsia="zh-CN"/>
        </w:rPr>
      </w:pPr>
      <w:r>
        <w:rPr>
          <w:rStyle w:val="14"/>
          <w:rFonts w:hint="eastAsia" w:ascii="仿宋" w:hAnsi="仿宋" w:eastAsia="仿宋"/>
          <w:b w:val="0"/>
          <w:bCs/>
          <w:color w:val="000000"/>
          <w:sz w:val="32"/>
          <w:szCs w:val="32"/>
          <w:lang w:eastAsia="zh-CN"/>
        </w:rPr>
        <w:t>二、</w:t>
      </w:r>
      <w:r>
        <w:rPr>
          <w:rStyle w:val="14"/>
          <w:rFonts w:hint="eastAsia" w:ascii="仿宋" w:hAnsi="仿宋" w:eastAsia="仿宋"/>
          <w:b w:val="0"/>
          <w:bCs/>
          <w:color w:val="000000"/>
          <w:sz w:val="32"/>
          <w:szCs w:val="32"/>
          <w:lang w:val="en-US" w:eastAsia="zh-CN"/>
        </w:rPr>
        <w:t>2101103行政事业单位医疗</w:t>
      </w:r>
      <w:r>
        <w:rPr>
          <w:rStyle w:val="14"/>
          <w:rFonts w:hint="eastAsia" w:ascii="仿宋" w:hAnsi="仿宋" w:eastAsia="仿宋"/>
          <w:b w:val="0"/>
          <w:bCs/>
          <w:color w:val="000000"/>
          <w:sz w:val="32"/>
          <w:szCs w:val="32"/>
          <w:lang w:eastAsia="zh-CN"/>
        </w:rPr>
        <w:t>（款）</w:t>
      </w:r>
      <w:r>
        <w:rPr>
          <w:rStyle w:val="14"/>
          <w:rFonts w:hint="eastAsia" w:ascii="仿宋" w:hAnsi="仿宋" w:eastAsia="仿宋"/>
          <w:b w:val="0"/>
          <w:bCs/>
          <w:color w:val="000000"/>
          <w:sz w:val="32"/>
          <w:szCs w:val="32"/>
          <w:lang w:val="en-US" w:eastAsia="zh-CN"/>
        </w:rPr>
        <w:t>公务员医疗补助</w:t>
      </w:r>
      <w:r>
        <w:rPr>
          <w:rStyle w:val="14"/>
          <w:rFonts w:hint="eastAsia" w:ascii="仿宋" w:hAnsi="仿宋" w:eastAsia="仿宋"/>
          <w:b w:val="0"/>
          <w:bCs/>
          <w:color w:val="000000"/>
          <w:sz w:val="32"/>
          <w:szCs w:val="32"/>
          <w:lang w:eastAsia="zh-CN"/>
        </w:rPr>
        <w:t>（项），支出决算数为</w:t>
      </w:r>
      <w:r>
        <w:rPr>
          <w:rStyle w:val="14"/>
          <w:rFonts w:hint="eastAsia" w:ascii="仿宋" w:hAnsi="仿宋" w:eastAsia="仿宋"/>
          <w:b w:val="0"/>
          <w:bCs/>
          <w:color w:val="000000"/>
          <w:sz w:val="32"/>
          <w:szCs w:val="32"/>
          <w:lang w:val="en-US" w:eastAsia="zh-CN"/>
        </w:rPr>
        <w:t>7.44万</w:t>
      </w:r>
      <w:r>
        <w:rPr>
          <w:rStyle w:val="14"/>
          <w:rFonts w:hint="eastAsia" w:ascii="仿宋" w:hAnsi="仿宋" w:eastAsia="仿宋"/>
          <w:b w:val="0"/>
          <w:bCs/>
          <w:color w:val="000000"/>
          <w:sz w:val="32"/>
          <w:szCs w:val="32"/>
          <w:lang w:eastAsia="zh-CN"/>
        </w:rPr>
        <w:t>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lang w:eastAsia="zh-CN"/>
        </w:rPr>
        <w:t>%，决算数等于预算数。</w:t>
      </w:r>
    </w:p>
    <w:p>
      <w:pPr>
        <w:numPr>
          <w:ilvl w:val="0"/>
          <w:numId w:val="0"/>
        </w:numPr>
        <w:spacing w:line="600" w:lineRule="exact"/>
        <w:ind w:firstLine="640"/>
        <w:rPr>
          <w:rStyle w:val="14"/>
          <w:rFonts w:hint="eastAsia" w:ascii="仿宋" w:hAnsi="仿宋" w:eastAsia="仿宋"/>
          <w:b w:val="0"/>
          <w:bCs/>
          <w:color w:val="000000"/>
          <w:sz w:val="32"/>
          <w:szCs w:val="32"/>
          <w:lang w:eastAsia="zh-CN"/>
        </w:rPr>
      </w:pPr>
      <w:r>
        <w:rPr>
          <w:rStyle w:val="14"/>
          <w:rFonts w:hint="eastAsia" w:ascii="仿宋" w:hAnsi="仿宋" w:eastAsia="仿宋"/>
          <w:b w:val="0"/>
          <w:bCs/>
          <w:color w:val="000000"/>
          <w:sz w:val="32"/>
          <w:szCs w:val="32"/>
          <w:lang w:eastAsia="zh-CN"/>
        </w:rPr>
        <w:t>三、</w:t>
      </w:r>
      <w:r>
        <w:rPr>
          <w:rStyle w:val="14"/>
          <w:rFonts w:hint="eastAsia" w:ascii="仿宋" w:hAnsi="仿宋" w:eastAsia="仿宋"/>
          <w:b w:val="0"/>
          <w:bCs/>
          <w:color w:val="000000"/>
          <w:sz w:val="32"/>
          <w:szCs w:val="32"/>
          <w:lang w:val="en-US" w:eastAsia="zh-CN"/>
        </w:rPr>
        <w:t>2109901其他医疗卫生与计划生育支出</w:t>
      </w:r>
      <w:r>
        <w:rPr>
          <w:rStyle w:val="14"/>
          <w:rFonts w:hint="eastAsia" w:ascii="仿宋" w:hAnsi="仿宋" w:eastAsia="仿宋"/>
          <w:b w:val="0"/>
          <w:bCs/>
          <w:color w:val="000000"/>
          <w:sz w:val="32"/>
          <w:szCs w:val="32"/>
          <w:lang w:eastAsia="zh-CN"/>
        </w:rPr>
        <w:t>（款）</w:t>
      </w:r>
      <w:r>
        <w:rPr>
          <w:rStyle w:val="14"/>
          <w:rFonts w:hint="eastAsia" w:ascii="仿宋" w:hAnsi="仿宋" w:eastAsia="仿宋"/>
          <w:b w:val="0"/>
          <w:bCs/>
          <w:color w:val="000000"/>
          <w:sz w:val="32"/>
          <w:szCs w:val="32"/>
          <w:lang w:val="en-US" w:eastAsia="zh-CN"/>
        </w:rPr>
        <w:t xml:space="preserve"> 其他医疗卫生与计划生育支出</w:t>
      </w:r>
      <w:r>
        <w:rPr>
          <w:rStyle w:val="14"/>
          <w:rFonts w:hint="eastAsia" w:ascii="仿宋" w:hAnsi="仿宋" w:eastAsia="仿宋"/>
          <w:b w:val="0"/>
          <w:bCs/>
          <w:color w:val="000000"/>
          <w:sz w:val="32"/>
          <w:szCs w:val="32"/>
          <w:lang w:eastAsia="zh-CN"/>
        </w:rPr>
        <w:t>（项），支出决算数为</w:t>
      </w:r>
      <w:r>
        <w:rPr>
          <w:rStyle w:val="14"/>
          <w:rFonts w:hint="eastAsia" w:ascii="仿宋" w:hAnsi="仿宋" w:eastAsia="仿宋"/>
          <w:b w:val="0"/>
          <w:bCs/>
          <w:color w:val="000000"/>
          <w:sz w:val="32"/>
          <w:szCs w:val="32"/>
          <w:lang w:val="en-US" w:eastAsia="zh-CN"/>
        </w:rPr>
        <w:t>1.11万</w:t>
      </w:r>
      <w:r>
        <w:rPr>
          <w:rStyle w:val="14"/>
          <w:rFonts w:hint="eastAsia" w:ascii="仿宋" w:hAnsi="仿宋" w:eastAsia="仿宋"/>
          <w:b w:val="0"/>
          <w:bCs/>
          <w:color w:val="000000"/>
          <w:sz w:val="32"/>
          <w:szCs w:val="32"/>
          <w:lang w:eastAsia="zh-CN"/>
        </w:rPr>
        <w:t>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lang w:eastAsia="zh-CN"/>
        </w:rPr>
        <w:t>%，决算数等于预算数。</w:t>
      </w:r>
    </w:p>
    <w:p>
      <w:pPr>
        <w:numPr>
          <w:ilvl w:val="0"/>
          <w:numId w:val="3"/>
        </w:numPr>
        <w:spacing w:line="600" w:lineRule="exact"/>
        <w:ind w:left="0" w:leftChars="0" w:firstLine="640" w:firstLineChars="0"/>
        <w:rPr>
          <w:rStyle w:val="14"/>
          <w:rFonts w:ascii="仿宋" w:hAnsi="仿宋" w:eastAsia="仿宋"/>
          <w:bCs/>
          <w:color w:val="000000"/>
          <w:sz w:val="32"/>
          <w:szCs w:val="32"/>
        </w:rPr>
      </w:pPr>
      <w:r>
        <w:rPr>
          <w:rStyle w:val="14"/>
          <w:rFonts w:hint="eastAsia" w:ascii="仿宋" w:hAnsi="仿宋" w:eastAsia="仿宋"/>
          <w:bCs/>
          <w:color w:val="000000"/>
          <w:sz w:val="32"/>
          <w:szCs w:val="32"/>
        </w:rPr>
        <w:t>商业服务业等支出（类）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2160599旅游业管理与服务支出</w:t>
      </w:r>
      <w:r>
        <w:rPr>
          <w:rStyle w:val="14"/>
          <w:rFonts w:hint="eastAsia" w:ascii="仿宋" w:hAnsi="仿宋" w:eastAsia="仿宋"/>
          <w:b w:val="0"/>
          <w:bCs/>
          <w:color w:val="000000"/>
          <w:sz w:val="32"/>
          <w:szCs w:val="32"/>
          <w:lang w:eastAsia="zh-CN"/>
        </w:rPr>
        <w:t>（款）</w:t>
      </w:r>
      <w:r>
        <w:rPr>
          <w:rStyle w:val="14"/>
          <w:rFonts w:hint="eastAsia" w:ascii="仿宋" w:hAnsi="仿宋" w:eastAsia="仿宋"/>
          <w:b w:val="0"/>
          <w:bCs/>
          <w:color w:val="000000"/>
          <w:sz w:val="32"/>
          <w:szCs w:val="32"/>
          <w:lang w:val="en-US" w:eastAsia="zh-CN"/>
        </w:rPr>
        <w:t xml:space="preserve">  其他旅游业管理与服务支出</w:t>
      </w:r>
      <w:r>
        <w:rPr>
          <w:rStyle w:val="14"/>
          <w:rFonts w:hint="eastAsia" w:ascii="仿宋" w:hAnsi="仿宋" w:eastAsia="仿宋"/>
          <w:b w:val="0"/>
          <w:bCs/>
          <w:color w:val="000000"/>
          <w:sz w:val="32"/>
          <w:szCs w:val="32"/>
          <w:lang w:eastAsia="zh-CN"/>
        </w:rPr>
        <w:t>（项），支出决算数为</w:t>
      </w:r>
      <w:r>
        <w:rPr>
          <w:rStyle w:val="14"/>
          <w:rFonts w:hint="eastAsia" w:ascii="仿宋" w:hAnsi="仿宋" w:eastAsia="仿宋"/>
          <w:b w:val="0"/>
          <w:bCs/>
          <w:color w:val="000000"/>
          <w:sz w:val="32"/>
          <w:szCs w:val="32"/>
          <w:lang w:val="en-US" w:eastAsia="zh-CN"/>
        </w:rPr>
        <w:t>0万</w:t>
      </w:r>
      <w:r>
        <w:rPr>
          <w:rStyle w:val="14"/>
          <w:rFonts w:hint="eastAsia" w:ascii="仿宋" w:hAnsi="仿宋" w:eastAsia="仿宋"/>
          <w:b w:val="0"/>
          <w:bCs/>
          <w:color w:val="000000"/>
          <w:sz w:val="32"/>
          <w:szCs w:val="32"/>
          <w:lang w:eastAsia="zh-CN"/>
        </w:rPr>
        <w:t>元，完成预算</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年底下达项目指标结转下年使用</w:t>
      </w:r>
      <w:r>
        <w:rPr>
          <w:rStyle w:val="14"/>
          <w:rFonts w:hint="eastAsia" w:ascii="仿宋" w:hAnsi="仿宋" w:eastAsia="仿宋"/>
          <w:b w:val="0"/>
          <w:bCs/>
          <w:color w:val="000000"/>
          <w:sz w:val="32"/>
          <w:szCs w:val="32"/>
        </w:rPr>
        <w:t>。</w:t>
      </w:r>
    </w:p>
    <w:p>
      <w:pPr>
        <w:numPr>
          <w:ilvl w:val="0"/>
          <w:numId w:val="3"/>
        </w:numPr>
        <w:spacing w:line="600" w:lineRule="exact"/>
        <w:ind w:left="0" w:leftChars="0" w:firstLine="640" w:firstLineChars="0"/>
        <w:rPr>
          <w:rStyle w:val="14"/>
          <w:rFonts w:hint="eastAsia" w:ascii="仿宋" w:hAnsi="仿宋" w:eastAsia="仿宋"/>
          <w:bCs/>
          <w:color w:val="000000"/>
          <w:sz w:val="32"/>
          <w:szCs w:val="32"/>
        </w:rPr>
      </w:pPr>
      <w:r>
        <w:rPr>
          <w:rStyle w:val="14"/>
          <w:rFonts w:hint="eastAsia" w:ascii="仿宋" w:hAnsi="仿宋" w:eastAsia="仿宋"/>
          <w:bCs/>
          <w:color w:val="000000"/>
          <w:sz w:val="32"/>
          <w:szCs w:val="32"/>
          <w:lang w:eastAsia="zh-CN"/>
        </w:rPr>
        <w:t>住房保障支出</w:t>
      </w:r>
      <w:r>
        <w:rPr>
          <w:rStyle w:val="14"/>
          <w:rFonts w:hint="eastAsia" w:ascii="仿宋" w:hAnsi="仿宋" w:eastAsia="仿宋"/>
          <w:bCs/>
          <w:color w:val="000000"/>
          <w:sz w:val="32"/>
          <w:szCs w:val="32"/>
        </w:rPr>
        <w:t>（类）***（款）***（项）:</w:t>
      </w:r>
    </w:p>
    <w:p>
      <w:pPr>
        <w:numPr>
          <w:ilvl w:val="0"/>
          <w:numId w:val="0"/>
        </w:numPr>
        <w:spacing w:line="600" w:lineRule="exact"/>
        <w:ind w:firstLine="640"/>
        <w:rPr>
          <w:rStyle w:val="14"/>
          <w:rFonts w:hint="eastAsia" w:ascii="仿宋" w:hAnsi="仿宋" w:eastAsia="仿宋"/>
          <w:b w:val="0"/>
          <w:bCs/>
          <w:color w:val="000000"/>
          <w:sz w:val="32"/>
          <w:szCs w:val="32"/>
          <w:lang w:eastAsia="zh-CN"/>
        </w:rPr>
      </w:pPr>
      <w:r>
        <w:rPr>
          <w:rStyle w:val="14"/>
          <w:rFonts w:hint="eastAsia" w:ascii="仿宋" w:hAnsi="仿宋" w:eastAsia="仿宋"/>
          <w:b w:val="0"/>
          <w:bCs/>
          <w:color w:val="000000"/>
          <w:sz w:val="32"/>
          <w:szCs w:val="32"/>
          <w:lang w:val="en-US" w:eastAsia="zh-CN"/>
        </w:rPr>
        <w:t>2210201住房保障支出</w:t>
      </w:r>
      <w:r>
        <w:rPr>
          <w:rStyle w:val="14"/>
          <w:rFonts w:hint="eastAsia" w:ascii="仿宋" w:hAnsi="仿宋" w:eastAsia="仿宋"/>
          <w:b w:val="0"/>
          <w:bCs/>
          <w:color w:val="000000"/>
          <w:sz w:val="32"/>
          <w:szCs w:val="32"/>
          <w:lang w:eastAsia="zh-CN"/>
        </w:rPr>
        <w:t>（款）</w:t>
      </w:r>
      <w:r>
        <w:rPr>
          <w:rStyle w:val="14"/>
          <w:rFonts w:hint="eastAsia" w:ascii="仿宋" w:hAnsi="仿宋" w:eastAsia="仿宋"/>
          <w:b w:val="0"/>
          <w:bCs/>
          <w:color w:val="000000"/>
          <w:sz w:val="32"/>
          <w:szCs w:val="32"/>
          <w:lang w:val="en-US" w:eastAsia="zh-CN"/>
        </w:rPr>
        <w:t>住房公积金</w:t>
      </w:r>
      <w:r>
        <w:rPr>
          <w:rStyle w:val="14"/>
          <w:rFonts w:hint="eastAsia" w:ascii="仿宋" w:hAnsi="仿宋" w:eastAsia="仿宋"/>
          <w:b w:val="0"/>
          <w:bCs/>
          <w:color w:val="000000"/>
          <w:sz w:val="32"/>
          <w:szCs w:val="32"/>
          <w:lang w:eastAsia="zh-CN"/>
        </w:rPr>
        <w:t>（项），支出决算数为</w:t>
      </w:r>
      <w:r>
        <w:rPr>
          <w:rStyle w:val="14"/>
          <w:rFonts w:hint="eastAsia" w:ascii="仿宋" w:hAnsi="仿宋" w:eastAsia="仿宋"/>
          <w:b w:val="0"/>
          <w:bCs/>
          <w:color w:val="000000"/>
          <w:sz w:val="32"/>
          <w:szCs w:val="32"/>
          <w:lang w:val="en-US" w:eastAsia="zh-CN"/>
        </w:rPr>
        <w:t>41.23万</w:t>
      </w:r>
      <w:r>
        <w:rPr>
          <w:rStyle w:val="14"/>
          <w:rFonts w:hint="eastAsia" w:ascii="仿宋" w:hAnsi="仿宋" w:eastAsia="仿宋"/>
          <w:b w:val="0"/>
          <w:bCs/>
          <w:color w:val="000000"/>
          <w:sz w:val="32"/>
          <w:szCs w:val="32"/>
          <w:lang w:eastAsia="zh-CN"/>
        </w:rPr>
        <w:t>元，完成预算</w:t>
      </w:r>
      <w:r>
        <w:rPr>
          <w:rStyle w:val="14"/>
          <w:rFonts w:hint="eastAsia" w:ascii="仿宋" w:hAnsi="仿宋" w:eastAsia="仿宋"/>
          <w:b w:val="0"/>
          <w:bCs/>
          <w:color w:val="000000"/>
          <w:sz w:val="32"/>
          <w:szCs w:val="32"/>
          <w:lang w:val="en-US" w:eastAsia="zh-CN"/>
        </w:rPr>
        <w:t>100</w:t>
      </w:r>
      <w:r>
        <w:rPr>
          <w:rStyle w:val="14"/>
          <w:rFonts w:hint="eastAsia" w:ascii="仿宋" w:hAnsi="仿宋" w:eastAsia="仿宋"/>
          <w:b w:val="0"/>
          <w:bCs/>
          <w:color w:val="000000"/>
          <w:sz w:val="32"/>
          <w:szCs w:val="32"/>
          <w:lang w:eastAsia="zh-CN"/>
        </w:rPr>
        <w:t>%，决算数等于预算数。</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3958.6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1525.81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1245.17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55.37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70.09</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出国人次、</w:t>
      </w:r>
      <w:r>
        <w:rPr>
          <w:rFonts w:hint="eastAsia" w:ascii="仿宋" w:hAnsi="仿宋" w:eastAsia="仿宋"/>
          <w:color w:val="000000"/>
          <w:sz w:val="32"/>
          <w:szCs w:val="32"/>
        </w:rPr>
        <w:t>公务接待减少</w:t>
      </w:r>
      <w:r>
        <w:rPr>
          <w:rFonts w:hint="eastAsia" w:ascii="仿宋" w:hAnsi="仿宋" w:eastAsia="仿宋"/>
          <w:color w:val="000000"/>
          <w:sz w:val="32"/>
          <w:szCs w:val="32"/>
          <w:lang w:eastAsia="zh-CN"/>
        </w:rPr>
        <w:t>，加强公务用车管理</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1.28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2.31</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31.33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56.58</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22.76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41.11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hint="eastAsia" w:ascii="仿宋" w:hAnsi="仿宋" w:eastAsia="仿宋"/>
          <w:color w:val="000000"/>
          <w:sz w:val="32"/>
          <w:szCs w:val="32"/>
        </w:rPr>
      </w:pPr>
      <w:r>
        <w:drawing>
          <wp:anchor distT="0" distB="0" distL="114300" distR="114300" simplePos="0" relativeHeight="251665408" behindDoc="0" locked="0" layoutInCell="1" allowOverlap="1">
            <wp:simplePos x="0" y="0"/>
            <wp:positionH relativeFrom="column">
              <wp:posOffset>290195</wp:posOffset>
            </wp:positionH>
            <wp:positionV relativeFrom="paragraph">
              <wp:posOffset>203200</wp:posOffset>
            </wp:positionV>
            <wp:extent cx="4572000" cy="2743200"/>
            <wp:effectExtent l="4445" t="4445" r="14605" b="14605"/>
            <wp:wrapSquare wrapText="bothSides"/>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1.28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64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1.28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2017年无出国安排</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开支内容包括：2018年12月11日至18日赴意大利参加四川省文物局与那不勒斯国家考古博物馆合作举办的《神与人的世界——四川古蜀文明特展》开幕式</w:t>
      </w:r>
      <w:r>
        <w:rPr>
          <w:rFonts w:hint="eastAsia" w:ascii="仿宋_GB2312" w:eastAsia="仿宋_GB2312"/>
          <w:color w:val="000000"/>
          <w:sz w:val="32"/>
          <w:szCs w:val="32"/>
          <w:lang w:val="en-US" w:eastAsia="zh-CN"/>
        </w:rPr>
        <w:t>1人，</w:t>
      </w:r>
      <w:r>
        <w:rPr>
          <w:rFonts w:hint="eastAsia" w:ascii="仿宋_GB2312" w:eastAsia="仿宋_GB2312"/>
          <w:color w:val="000000"/>
          <w:sz w:val="32"/>
          <w:szCs w:val="32"/>
        </w:rPr>
        <w:t>2018年11月29日至12月8日赴英国、奥地利、荷兰推动“‘一带一路’沿线世界知名博物馆交流”合作</w:t>
      </w:r>
      <w:r>
        <w:rPr>
          <w:rFonts w:hint="eastAsia" w:ascii="仿宋_GB2312" w:eastAsia="仿宋_GB2312"/>
          <w:color w:val="000000"/>
          <w:sz w:val="32"/>
          <w:szCs w:val="32"/>
          <w:lang w:val="en-US" w:eastAsia="zh-CN"/>
        </w:rPr>
        <w:t>1人</w:t>
      </w:r>
      <w:r>
        <w:rPr>
          <w:rFonts w:hint="eastAsia" w:ascii="仿宋_GB2312" w:eastAsia="仿宋_GB2312"/>
          <w:color w:val="000000"/>
          <w:sz w:val="32"/>
          <w:szCs w:val="32"/>
          <w:lang w:eastAsia="zh-CN"/>
        </w:rPr>
        <w:t>，</w:t>
      </w:r>
      <w:r>
        <w:rPr>
          <w:rFonts w:hint="eastAsia" w:ascii="仿宋_GB2312" w:eastAsia="仿宋_GB2312"/>
          <w:color w:val="000000"/>
          <w:sz w:val="32"/>
          <w:szCs w:val="32"/>
        </w:rPr>
        <w:t>2018年4月24日至4月29日 赴香港、澳门开展旅游推介活动展示德阳丰富的旅游资源；通过“三星堆”青铜旅游纪念品、绵竹年画和玫瑰系列产品，展示德阳特色旅游商品</w:t>
      </w:r>
      <w:r>
        <w:rPr>
          <w:rFonts w:hint="eastAsia" w:ascii="仿宋_GB2312" w:eastAsia="仿宋_GB2312"/>
          <w:color w:val="000000"/>
          <w:sz w:val="32"/>
          <w:szCs w:val="32"/>
          <w:lang w:val="en-US" w:eastAsia="zh-CN"/>
        </w:rPr>
        <w:t>1人</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31.33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78.33</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1.85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6.28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公务用车已到使用寿命后期日常维护和使用成本增加</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31.33</w:t>
      </w:r>
      <w:r>
        <w:rPr>
          <w:rFonts w:hint="eastAsia" w:ascii="仿宋_GB2312" w:eastAsia="仿宋_GB2312"/>
          <w:color w:val="000000"/>
          <w:sz w:val="32"/>
          <w:szCs w:val="32"/>
        </w:rPr>
        <w:t>万元。主要用于</w:t>
      </w:r>
      <w:r>
        <w:rPr>
          <w:rFonts w:hint="eastAsia" w:ascii="仿宋_GB2312" w:eastAsia="仿宋_GB2312"/>
          <w:sz w:val="32"/>
          <w:szCs w:val="32"/>
        </w:rPr>
        <w:t>员工通勤、公务外出</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22.76</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61.51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1.56</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7.36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博物馆宣传营销活动增加</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195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2041</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22.02</w:t>
      </w:r>
      <w:r>
        <w:rPr>
          <w:rFonts w:hint="eastAsia" w:ascii="仿宋_GB2312" w:eastAsia="仿宋_GB2312"/>
          <w:color w:val="000000"/>
          <w:sz w:val="32"/>
          <w:szCs w:val="32"/>
        </w:rPr>
        <w:t>万元，具体内容包括：</w:t>
      </w:r>
      <w:r>
        <w:rPr>
          <w:rFonts w:hint="eastAsia" w:ascii="仿宋_GB2312" w:eastAsia="仿宋_GB2312"/>
          <w:sz w:val="32"/>
          <w:szCs w:val="32"/>
        </w:rPr>
        <w:t xml:space="preserve">专业活动接待 </w:t>
      </w:r>
      <w:r>
        <w:rPr>
          <w:rFonts w:hint="eastAsia" w:ascii="仿宋_GB2312" w:eastAsia="仿宋_GB2312"/>
          <w:sz w:val="32"/>
          <w:szCs w:val="32"/>
          <w:lang w:val="en-US" w:eastAsia="zh-CN"/>
        </w:rPr>
        <w:t>7.4</w:t>
      </w:r>
      <w:r>
        <w:rPr>
          <w:rFonts w:hint="eastAsia" w:ascii="仿宋_GB2312" w:eastAsia="仿宋_GB2312"/>
          <w:sz w:val="32"/>
          <w:szCs w:val="32"/>
        </w:rPr>
        <w:t>万元，营销活动接待</w:t>
      </w:r>
      <w:r>
        <w:rPr>
          <w:rFonts w:hint="eastAsia" w:ascii="仿宋_GB2312" w:eastAsia="仿宋_GB2312"/>
          <w:sz w:val="32"/>
          <w:szCs w:val="32"/>
          <w:lang w:val="en-US" w:eastAsia="zh-CN"/>
        </w:rPr>
        <w:t>8.22</w:t>
      </w:r>
      <w:r>
        <w:rPr>
          <w:rFonts w:hint="eastAsia" w:ascii="仿宋_GB2312" w:eastAsia="仿宋_GB2312"/>
          <w:sz w:val="32"/>
          <w:szCs w:val="32"/>
        </w:rPr>
        <w:t>万元，业务交流考察接待</w:t>
      </w:r>
      <w:r>
        <w:rPr>
          <w:rFonts w:hint="eastAsia" w:ascii="仿宋_GB2312" w:eastAsia="仿宋_GB2312"/>
          <w:sz w:val="32"/>
          <w:szCs w:val="32"/>
          <w:lang w:val="en-US" w:eastAsia="zh-CN"/>
        </w:rPr>
        <w:t>4.3</w:t>
      </w:r>
      <w:r>
        <w:rPr>
          <w:rFonts w:hint="eastAsia" w:ascii="仿宋_GB2312" w:eastAsia="仿宋_GB2312"/>
          <w:sz w:val="32"/>
          <w:szCs w:val="32"/>
        </w:rPr>
        <w:t>万元，招商引资接待</w:t>
      </w:r>
      <w:r>
        <w:rPr>
          <w:rFonts w:hint="eastAsia" w:ascii="仿宋_GB2312" w:eastAsia="仿宋_GB2312"/>
          <w:sz w:val="32"/>
          <w:szCs w:val="32"/>
          <w:lang w:val="en-US" w:eastAsia="zh-CN"/>
        </w:rPr>
        <w:t>2.1</w:t>
      </w:r>
      <w:r>
        <w:rPr>
          <w:rFonts w:hint="eastAsia" w:ascii="仿宋_GB2312" w:eastAsia="仿宋_GB2312"/>
          <w:sz w:val="32"/>
          <w:szCs w:val="32"/>
        </w:rPr>
        <w:t>万元。</w:t>
      </w:r>
      <w:r>
        <w:rPr>
          <w:rFonts w:hint="eastAsia" w:ascii="仿宋_GB2312" w:eastAsia="仿宋_GB2312"/>
          <w:color w:val="000000"/>
          <w:sz w:val="32"/>
          <w:szCs w:val="32"/>
        </w:rPr>
        <w:t>其中：</w:t>
      </w:r>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b/>
          <w:color w:val="000000"/>
          <w:sz w:val="32"/>
          <w:szCs w:val="32"/>
          <w:lang w:val="en-US" w:eastAsia="zh-CN"/>
        </w:rPr>
        <w:t>0.74</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116</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0.74</w:t>
      </w:r>
      <w:r>
        <w:rPr>
          <w:rFonts w:hint="eastAsia" w:ascii="仿宋_GB2312" w:eastAsia="仿宋_GB2312"/>
          <w:color w:val="000000" w:themeColor="text1"/>
          <w:sz w:val="32"/>
          <w:szCs w:val="32"/>
          <w14:textFill>
            <w14:solidFill>
              <w14:schemeClr w14:val="tx1"/>
            </w14:solidFill>
          </w14:textFill>
        </w:rPr>
        <w:t>万元，主要用于接待</w:t>
      </w:r>
      <w:r>
        <w:rPr>
          <w:rFonts w:hint="eastAsia" w:ascii="仿宋_GB2312" w:eastAsia="仿宋_GB2312"/>
          <w:color w:val="000000" w:themeColor="text1"/>
          <w:sz w:val="32"/>
          <w:szCs w:val="32"/>
          <w:lang w:eastAsia="zh-CN"/>
          <w14:textFill>
            <w14:solidFill>
              <w14:schemeClr w14:val="tx1"/>
            </w14:solidFill>
          </w14:textFill>
        </w:rPr>
        <w:t>加拿大皇家博物馆、澳门基金会、墨西哥人类学博物馆、意大利忠意文物保护研究会、以色列博物馆、日本东广岛、</w:t>
      </w:r>
      <w:r>
        <w:rPr>
          <w:rFonts w:hint="eastAsia" w:ascii="仿宋_GB2312" w:eastAsia="仿宋_GB2312"/>
          <w:color w:val="000000"/>
          <w:sz w:val="32"/>
          <w:szCs w:val="32"/>
          <w:lang w:eastAsia="zh-CN"/>
        </w:rPr>
        <w:t>意大利</w:t>
      </w:r>
      <w:r>
        <w:rPr>
          <w:rFonts w:hint="eastAsia" w:ascii="仿宋_GB2312" w:eastAsia="仿宋_GB2312"/>
          <w:color w:val="000000" w:themeColor="text1"/>
          <w:sz w:val="32"/>
          <w:szCs w:val="32"/>
          <w:lang w:eastAsia="zh-CN"/>
          <w14:textFill>
            <w14:solidFill>
              <w14:schemeClr w14:val="tx1"/>
            </w14:solidFill>
          </w14:textFill>
        </w:rPr>
        <w:t>、阿富汗等进行文化交流。</w:t>
      </w:r>
    </w:p>
    <w:p>
      <w:pPr>
        <w:spacing w:line="600" w:lineRule="exact"/>
        <w:ind w:firstLine="640"/>
        <w:outlineLvl w:val="1"/>
        <w:rPr>
          <w:rFonts w:hint="eastAsia" w:ascii="黑体" w:eastAsia="黑体"/>
          <w:color w:val="000000"/>
          <w:sz w:val="32"/>
          <w:szCs w:val="32"/>
        </w:rPr>
      </w:pP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4"/>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5"/>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6"/>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四川广汉三星堆博物馆文物数字化保护、川王宫抢救性维修保护、四川广汉三星堆博物馆珍贵文物预防性保护、广汉市三星堆遗址保护设施建设、龙居寺中殿保护规划、馆藏青铜神树等珍贵文物修复、馆藏书画保护修复、三星堆景区文化旅游提升工程补助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个项目开展了绩效目标完成情况梳理填报。</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val="zh-CN" w:eastAsia="zh-CN"/>
        </w:rPr>
        <w:t>单位重点项目绩效评价情况都按时上报了上级业务主管部门和本级财政部门，各项目的实施基本达到了预定的绩效目标。</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lang w:val="zh-CN" w:eastAsia="zh-CN"/>
        </w:rPr>
        <w:t>单位各部门都较好的完成了各自承担的工作。</w:t>
      </w:r>
      <w:r>
        <w:rPr>
          <w:rFonts w:hint="eastAsia" w:ascii="仿宋_GB2312" w:hAnsi="仿宋_GB2312" w:eastAsia="仿宋_GB2312" w:cs="仿宋_GB2312"/>
          <w:sz w:val="32"/>
          <w:szCs w:val="32"/>
          <w:lang w:val="en-US" w:eastAsia="zh-CN"/>
        </w:rPr>
        <w:t>三星堆博物馆（文物局）在全体员工的共同努力下，完成了既定的工作目标，取得了一定的成绩；但也存在着项目进度缓慢、项目经费使用率低等问题。在明年的工作中，我们一定重视项目的实施，加大项目进度，提高项目经费的使用率。</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三星堆大遗址保护”、“三星堆博物馆游客接待中心”、“三星堆博物馆旅游商品购物区”、“四川广汉三星堆博物馆文物数字化保护”、“川王宫抢救性维修保护”、“四川广汉三星堆博物馆珍贵文物预防性保护”、“广汉市三星堆遗址保护设施建设”、“龙居寺中殿保护规划”、“馆藏青铜神树等珍贵文物修复”、“馆藏书画保护修复”、“三星堆景区文化旅游提升工程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1.广汉市川王宫抢救维修工程项目绩效目标完成情况综述。</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45.883058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99.74</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达到了文物抢险加固的目的，消除了文物安全隐患，提了文物抵御自然侵蚀的能力。</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2、馆藏书画保护修复工程项目绩效目标完成情况综述。</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项目全年预算数40万元，执行数为23.88万元，完成预算的59.7%。通过项目实施，达到抑制馆藏书画病害，减缓文物的老化速度的目的，增强画心之目的，修复后能够满足展览、收藏、研究之需求。</w:t>
      </w:r>
    </w:p>
    <w:p>
      <w:pPr>
        <w:numPr>
          <w:ilvl w:val="0"/>
          <w:numId w:val="7"/>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四川广汉三星堆博物馆馆藏青铜神树、青铜尊等珍贵文物保护修复项目绩效目标完成情况综述。</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66万元，执行数为0万元，完成预算的0%。通过项目实施，共保护修复青铜器文物5件。修复文物要保持原貌，不改变其形貌特征，按照方案所设计的要求，达到一定的陈列展览效果或者是保持考古学术研究，满足游客观赏要求以及科学研究价值，保护性的利用其文化、艺术和科学价值。保护修复后的文物能在适宜保存环境中如库房或者陈列展厅中长期进行存放。发现的主要问题：因该项目保护修复的青铜圆尊、青铜神树这两件文物有很大部分青铜原残件留存于四川省考古研究院，为保障该项目文物修复的整体性和真实性，完整两件文物的外貌特征，需要与四川省文物考古研究院进行洽谈协商，并通过上级文物部门协调。下一步改进措施：与四川省文物考古研究院协商完成，将尽快开展该项目的政府采购工作，签订合同，推进项目的实施。</w:t>
      </w:r>
    </w:p>
    <w:p>
      <w:pPr>
        <w:numPr>
          <w:ilvl w:val="0"/>
          <w:numId w:val="7"/>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四川广汉三星堆博物馆文物数字化保护项目绩效目标完成情况综述。</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全年预算数266万元，执行数为243.19万元，完成预算的91.42%。通过项目实施，运用数字化采集技术、数据处理技术、感知技术、移动互联网技术等现代先进技术手段，对三星堆博物馆基本陈列及展示的489件文物进行数字化采集储存，并在此基础上制作虚拟展示、体验型数字产品，通过互联网、移动终端、实地展示等渠道进行推广。从而实现三星堆文物的数字化保护，提升我馆陈列信息化和公众服务智能化水平，增强三星堆历史文化的影响力和辐射力。发现的主要问题：该项目已完工，并完成了项目服务器采购广汉市网上竞价采购供货项目。下一步改进措施：按照签订的政府采购合同1年后支付质量保证金。</w:t>
      </w:r>
    </w:p>
    <w:p>
      <w:pPr>
        <w:numPr>
          <w:ilvl w:val="0"/>
          <w:numId w:val="7"/>
        </w:numPr>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四川广汉三星堆博物馆珍贵文物预防性保护项目绩效目标完成情况综述。</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仿宋_GB2312" w:hAnsi="仿宋_GB2312" w:eastAsia="仿宋_GB2312" w:cs="仿宋_GB2312"/>
          <w:sz w:val="32"/>
          <w:szCs w:val="32"/>
        </w:rPr>
        <w:t>项目全年预算数2181万元，执行数为1082.0614万元，完成预算的49.61%。通过项目实施，可针对馆藏珍贵文物的保存环境质量监测与调控，建立三星堆博物馆文物保存环境监测系统，运用多种调控手段对文物保存微环境实施有效的“稳定、洁净”调控，完善馆藏文物养护措施，配置珍贵文物保存柜架囊匣，增强文物保护修复基础条件，全面提升该馆馆藏文物的预防性收藏保护能力。发现的主要问题：根据下达的年度资金情况，该项目分两期实施，一期项目已完工。二期项目正在按照签订的政府采购合同开展工作，将于2019年2月完工。下一步改进措施：一期按照签订的政府采购合同1年后支付质量保证金，二期项目按照签订的政府采购合同尽快完成施</w:t>
      </w:r>
      <w:r>
        <w:rPr>
          <w:rFonts w:hint="eastAsia" w:ascii="仿宋_GB2312" w:hAnsi="仿宋_GB2312" w:eastAsia="仿宋_GB2312" w:cs="仿宋_GB2312"/>
          <w:sz w:val="32"/>
          <w:szCs w:val="32"/>
          <w:lang w:eastAsia="zh-CN"/>
        </w:rPr>
        <w:t>。</w:t>
      </w:r>
    </w:p>
    <w:p>
      <w:pPr>
        <w:numPr>
          <w:ilvl w:val="0"/>
          <w:numId w:val="0"/>
        </w:numPr>
        <w:spacing w:line="580" w:lineRule="exact"/>
        <w:rPr>
          <w:rFonts w:hint="eastAsia" w:ascii="仿宋_GB2312" w:hAnsi="仿宋_GB2312" w:eastAsia="仿宋_GB2312" w:cs="仿宋_GB2312"/>
          <w:sz w:val="32"/>
          <w:szCs w:val="32"/>
          <w:lang w:val="en-US" w:eastAsia="zh-CN"/>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广汉市川王宫抢救维修工程</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FF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FF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45.883058万元</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45.883058万元</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lang w:bidi="ar"/>
              </w:rPr>
              <w:t>0</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kern w:val="0"/>
                <w:sz w:val="24"/>
                <w:lang w:val="en-US" w:eastAsia="zh-CN" w:bidi="ar"/>
              </w:rPr>
              <w:t>完成投资46万元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经审计，实际完成投资45.883058万元</w:t>
            </w:r>
          </w:p>
        </w:tc>
      </w:tr>
      <w:tr>
        <w:tblPrEx>
          <w:tblLayout w:type="fixed"/>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420" w:firstLineChars="200"/>
              <w:rPr>
                <w:rFonts w:ascii="宋体" w:hAnsi="宋体" w:cs="宋体"/>
                <w:color w:val="000000"/>
                <w:sz w:val="24"/>
              </w:rPr>
            </w:pPr>
            <w:r>
              <w:rPr>
                <w:rFonts w:hint="eastAsia" w:eastAsia="仿宋_GB2312"/>
                <w:sz w:val="21"/>
                <w:szCs w:val="21"/>
                <w:lang w:eastAsia="zh-CN"/>
              </w:rPr>
              <w:t>拆除屋面望瓦，铺望瓦</w:t>
            </w:r>
            <w:r>
              <w:rPr>
                <w:rFonts w:hint="eastAsia" w:eastAsia="仿宋_GB2312"/>
                <w:sz w:val="21"/>
                <w:szCs w:val="21"/>
                <w:lang w:val="en-US" w:eastAsia="zh-CN"/>
              </w:rPr>
              <w:t>580.63m</w:t>
            </w:r>
            <w:r>
              <w:rPr>
                <w:rFonts w:hint="eastAsia" w:eastAsia="仿宋_GB2312"/>
                <w:sz w:val="21"/>
                <w:szCs w:val="21"/>
                <w:vertAlign w:val="superscript"/>
                <w:lang w:val="en-US" w:eastAsia="zh-CN"/>
              </w:rPr>
              <w:t>2</w:t>
            </w:r>
            <w:r>
              <w:rPr>
                <w:rFonts w:hint="eastAsia" w:eastAsia="仿宋_GB2312"/>
                <w:sz w:val="21"/>
                <w:szCs w:val="21"/>
                <w:lang w:val="en-US" w:eastAsia="zh-CN"/>
              </w:rPr>
              <w:t>；拆除屋面瓦，铺小青瓦580.63m</w:t>
            </w:r>
            <w:r>
              <w:rPr>
                <w:rFonts w:hint="eastAsia" w:eastAsia="仿宋_GB2312"/>
                <w:sz w:val="21"/>
                <w:szCs w:val="21"/>
                <w:vertAlign w:val="superscript"/>
                <w:lang w:val="en-US" w:eastAsia="zh-CN"/>
              </w:rPr>
              <w:t>2</w:t>
            </w:r>
            <w:r>
              <w:rPr>
                <w:rFonts w:hint="eastAsia" w:eastAsia="仿宋_GB2312"/>
                <w:sz w:val="21"/>
                <w:szCs w:val="21"/>
                <w:lang w:val="en-US" w:eastAsia="zh-CN"/>
              </w:rPr>
              <w:t>；安装石望柱7根、栏板8块，木构件防火防腐处理537.551m</w:t>
            </w:r>
            <w:r>
              <w:rPr>
                <w:rFonts w:hint="eastAsia" w:eastAsia="仿宋_GB2312"/>
                <w:sz w:val="21"/>
                <w:szCs w:val="21"/>
                <w:vertAlign w:val="superscript"/>
                <w:lang w:val="en-US" w:eastAsia="zh-CN"/>
              </w:rPr>
              <w:t>2</w:t>
            </w:r>
            <w:r>
              <w:rPr>
                <w:rFonts w:hint="eastAsia" w:eastAsia="仿宋_GB2312"/>
                <w:sz w:val="21"/>
                <w:szCs w:val="21"/>
                <w:vertAlign w:val="baseline"/>
                <w:lang w:val="en-US" w:eastAsia="zh-CN"/>
              </w:rPr>
              <w:t>，拆除屋面脊饰87.159m、木藻井天棚351</w:t>
            </w:r>
            <w:r>
              <w:rPr>
                <w:rFonts w:hint="eastAsia" w:eastAsia="仿宋_GB2312"/>
                <w:sz w:val="21"/>
                <w:szCs w:val="21"/>
                <w:lang w:val="en-US" w:eastAsia="zh-CN"/>
              </w:rPr>
              <w:t>m</w:t>
            </w:r>
            <w:r>
              <w:rPr>
                <w:rFonts w:hint="eastAsia" w:eastAsia="仿宋_GB2312"/>
                <w:sz w:val="21"/>
                <w:szCs w:val="21"/>
                <w:vertAlign w:val="superscript"/>
                <w:lang w:val="en-US" w:eastAsia="zh-CN"/>
              </w:rPr>
              <w:t>2</w:t>
            </w:r>
            <w:r>
              <w:rPr>
                <w:rFonts w:hint="eastAsia" w:eastAsia="仿宋_GB2312"/>
                <w:sz w:val="21"/>
                <w:szCs w:val="21"/>
                <w:vertAlign w:val="baseline"/>
                <w:lang w:val="en-US" w:eastAsia="zh-CN"/>
              </w:rPr>
              <w:t>等工程。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全部完成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已全部完成</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工程验收通过率100%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通过上级文物主管部门的竣工验收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已通过上级文物主管部门的竣工验收</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项目实施周期9个月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项目实施周期9个月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项目实施周期9个月</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地方经济社会影响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消除文物安全隐患，更好发挥宣传教育、旅游功能，推进地方经济发展。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消除文物安全隐患，更好发挥宣传教育、旅游功能，推进地方经济发展。</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服务对象满意度反指标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让公共享社会、文化发展成果，有较好的社会评价。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让公共享社会、文化发展成果，有较好的社会评价。</w:t>
            </w:r>
          </w:p>
        </w:tc>
      </w:tr>
    </w:tbl>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124"/>
        <w:gridCol w:w="2268"/>
      </w:tblGrid>
      <w:tr>
        <w:tblPrEx>
          <w:tblLayout w:type="fixed"/>
        </w:tblPrEx>
        <w:trPr>
          <w:trHeight w:val="1034" w:hRule="atLeast"/>
        </w:trPr>
        <w:tc>
          <w:tcPr>
            <w:tcW w:w="9960" w:type="dxa"/>
            <w:gridSpan w:val="7"/>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馆藏书画保护修复工程</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FF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40万元</w:t>
            </w:r>
          </w:p>
        </w:tc>
        <w:tc>
          <w:tcPr>
            <w:tcW w:w="25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23.88万元</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40万元</w:t>
            </w:r>
          </w:p>
        </w:tc>
        <w:tc>
          <w:tcPr>
            <w:tcW w:w="25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23.88万元</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5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lang w:bidi="ar"/>
              </w:rPr>
              <w:t>0</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kern w:val="0"/>
                <w:sz w:val="24"/>
                <w:lang w:val="en-US" w:eastAsia="zh-CN" w:bidi="ar"/>
              </w:rPr>
              <w:t>完成投资</w:t>
            </w:r>
            <w:r>
              <w:rPr>
                <w:rFonts w:hint="eastAsia" w:ascii="宋体" w:hAnsi="宋体" w:cs="宋体"/>
                <w:color w:val="000000"/>
                <w:sz w:val="24"/>
                <w:lang w:val="en-US" w:eastAsia="zh-CN"/>
              </w:rPr>
              <w:t>40</w:t>
            </w:r>
            <w:r>
              <w:rPr>
                <w:rFonts w:hint="eastAsia" w:ascii="宋体" w:hAnsi="宋体" w:cs="宋体"/>
                <w:color w:val="000000"/>
                <w:kern w:val="0"/>
                <w:sz w:val="24"/>
                <w:lang w:val="en-US" w:eastAsia="zh-CN" w:bidi="ar"/>
              </w:rPr>
              <w:t>万元</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经审计，实际完成投资</w:t>
            </w:r>
            <w:r>
              <w:rPr>
                <w:rFonts w:hint="eastAsia" w:ascii="宋体" w:hAnsi="宋体" w:cs="宋体"/>
                <w:color w:val="000000"/>
                <w:sz w:val="24"/>
                <w:lang w:val="en-US" w:eastAsia="zh-CN"/>
              </w:rPr>
              <w:t>23.88</w:t>
            </w:r>
            <w:r>
              <w:rPr>
                <w:rFonts w:hint="eastAsia" w:ascii="宋体" w:hAnsi="宋体" w:cs="宋体"/>
                <w:color w:val="000000"/>
                <w:kern w:val="0"/>
                <w:sz w:val="24"/>
                <w:lang w:val="en-US" w:eastAsia="zh-CN" w:bidi="ar"/>
              </w:rPr>
              <w:t>万元</w:t>
            </w:r>
          </w:p>
        </w:tc>
      </w:tr>
      <w:tr>
        <w:tblPrEx>
          <w:tblLayout w:type="fixed"/>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5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ascii="宋体" w:hAnsi="宋体" w:cs="宋体"/>
                <w:color w:val="000000"/>
                <w:sz w:val="24"/>
              </w:rPr>
            </w:pPr>
            <w:r>
              <w:rPr>
                <w:rFonts w:hint="eastAsia" w:ascii="仿宋_GB2312" w:eastAsia="仿宋_GB2312"/>
                <w:spacing w:val="-40"/>
                <w:sz w:val="28"/>
                <w:szCs w:val="28"/>
                <w:lang w:val="en-US" w:eastAsia="zh-CN"/>
              </w:rPr>
              <w:t>38件（５5幅）</w:t>
            </w:r>
          </w:p>
        </w:tc>
        <w:tc>
          <w:tcPr>
            <w:tcW w:w="25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仿宋_GB2312" w:eastAsia="仿宋_GB2312"/>
                <w:spacing w:val="-40"/>
                <w:sz w:val="28"/>
                <w:szCs w:val="28"/>
                <w:lang w:val="en-US" w:eastAsia="zh-CN"/>
              </w:rPr>
              <w:t>38件（５5幅）</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已完成   。</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工程验收通过率100%</w:t>
            </w:r>
          </w:p>
        </w:tc>
        <w:tc>
          <w:tcPr>
            <w:tcW w:w="25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通过上级文物主管部门的验收</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待通过上级文物主管部门的验收。</w:t>
            </w:r>
          </w:p>
        </w:tc>
      </w:tr>
      <w:tr>
        <w:tblPrEx>
          <w:tblLayout w:type="fixed"/>
        </w:tblPrEx>
        <w:trPr>
          <w:trHeight w:val="84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项目实施周期12个月</w:t>
            </w:r>
          </w:p>
        </w:tc>
        <w:tc>
          <w:tcPr>
            <w:tcW w:w="25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项目实施周期12个月</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项目实施周期12个月</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地方经济社会影响</w:t>
            </w:r>
          </w:p>
        </w:tc>
        <w:tc>
          <w:tcPr>
            <w:tcW w:w="25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达到抑制馆藏书画病害，减缓文物的老化速度的目的，增强画心之目的，修复后能够满足展览、收藏、研究之需求。  </w:t>
            </w:r>
          </w:p>
          <w:p>
            <w:pPr>
              <w:widowControl/>
              <w:jc w:val="both"/>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达到抑制馆藏书画病害，减缓文物的老化速度的目的，增强画心之目的，修复后能够满足展览、收藏、研究之需求。  </w:t>
            </w:r>
          </w:p>
          <w:p>
            <w:pPr>
              <w:widowControl/>
              <w:jc w:val="center"/>
              <w:textAlignment w:val="center"/>
              <w:rPr>
                <w:rFonts w:ascii="宋体" w:hAnsi="宋体" w:cs="宋体"/>
                <w:color w:val="000000"/>
                <w:sz w:val="24"/>
              </w:rPr>
            </w:pP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服务对象满意度反指标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5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让公共享社会、文化发展成果，有较好的社会评价。</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让公共享社会、文化发展成果，有较好的社会评价。</w:t>
            </w:r>
          </w:p>
        </w:tc>
      </w:tr>
      <w:tr>
        <w:tblPrEx>
          <w:tblLayout w:type="fixed"/>
        </w:tblPrEx>
        <w:trPr>
          <w:trHeight w:val="1034" w:hRule="atLeast"/>
        </w:trPr>
        <w:tc>
          <w:tcPr>
            <w:tcW w:w="9960" w:type="dxa"/>
            <w:gridSpan w:val="7"/>
            <w:noWrap w:val="0"/>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四川广汉三星堆博物馆馆藏青铜神树、青铜尊等珍贵文物保护修复项目</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四川广汉三星堆博物馆</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共需保护修复青铜器文物5件，拟计划用12个月时间完成。修复文物要保持原貌，不改变其形貌特征，按照方案所设计的要求，达到一定的陈列展览效果或者是保持考古学术研究，以满足游客观赏要求以及科学研究价值，保护性的利用其文化、艺术和科学价值。保护修复后的文物能在适宜保存环境中如库房或者陈列展厅中长期进行存放。在文物保护修复中尽量使用具有可逆性的修复材料。</w:t>
            </w:r>
          </w:p>
        </w:tc>
        <w:tc>
          <w:tcPr>
            <w:tcW w:w="47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进入政府采购阶段</w:t>
            </w:r>
          </w:p>
        </w:tc>
      </w:tr>
      <w:tr>
        <w:tblPrEx>
          <w:tblLayout w:type="fixed"/>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可移动文物修复或技术保护数量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5件/套</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未达成预期指标</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修复文物要保持原貌，不改变其形貌特征</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达到陈列展览效果，保持考古学术研究价值</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工期6个月</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按工期完工</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可移动文物修复或技术保护5件</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66万元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丰富展厅陈列展示，为考古学研究提供详实的资料，对展览、宣传、教育起到积极的作用。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未达成预期指标</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提升博物馆展陈和社会服务效果，增强三星堆历史文化的影响力和辐射力。</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未达成预期指标</w:t>
            </w:r>
          </w:p>
        </w:tc>
      </w:tr>
      <w:tr>
        <w:tblPrEx>
          <w:tblLayout w:type="fixed"/>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提高博物馆展品质量、展陈形式的满意度。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满意度≥95%</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未达成预期指标</w:t>
            </w:r>
          </w:p>
        </w:tc>
      </w:tr>
    </w:tbl>
    <w:p>
      <w:pPr>
        <w:tabs>
          <w:tab w:val="left" w:pos="312"/>
        </w:tabs>
        <w:spacing w:line="580" w:lineRule="exact"/>
        <w:rPr>
          <w:rFonts w:ascii="仿宋_GB2312" w:hAnsi="仿宋_GB2312" w:eastAsia="仿宋_GB2312" w:cs="仿宋_GB2312"/>
          <w:szCs w:val="21"/>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PrEx>
        <w:trPr>
          <w:trHeight w:val="1034" w:hRule="atLeast"/>
        </w:trPr>
        <w:tc>
          <w:tcPr>
            <w:tcW w:w="9960" w:type="dxa"/>
            <w:gridSpan w:val="6"/>
            <w:noWrap w:val="0"/>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四川广汉三星堆博物馆文物数字化保护项目</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四川广汉三星堆博物馆</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266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243.19</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266</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243.19</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运用数字化采集技术、数据处理技术、感知技术、移动互联网技术等现代先进技术手段，对三星堆博物馆基本陈列及展示的489件文物进行数字化采集储存，并在此基础上制作虚拟展示、体验型数字产品，通过互联网、移动终端、实地展示等渠道进行推广。从而实现三星堆文物的数字化保护，提升我馆陈列信息化和公众服务智能化水平，增强三星堆历史文化的影响力和辐射力。</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 44 件三星堆精品文物展品的三维数据采集及 445 件文物的高精度二维影像拍摄，并通过互联网、移动终端、实地展示等渠道进行虚拟展示，达到预期目标。</w:t>
            </w:r>
          </w:p>
        </w:tc>
      </w:tr>
      <w:tr>
        <w:tblPrEx>
          <w:tblLayout w:type="fixed"/>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可移动文物数字化保护数量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489件/套</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 44 件三星堆精品文物展品的三维数据采集及 445 件文物的高精度二维影像拍摄，达成预期指标</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改造提升文物数字化展示能力</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项目实施周期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12个月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可移动文物数字化保护数量489件</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266万元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完成预算的91.42%</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游客数量增加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优化展陈效果，提升展示水平，增加游客量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利用文物数字化采集成果，充分向公众展示三星堆古蜀文明的璀璨历史文化。</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提升博物馆展陈和社会服务效果，增强三星堆历史文化的影响力和辐射力。</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r>
        <w:tblPrEx>
          <w:tblLayout w:type="fixed"/>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提高博物馆展品质量、展陈形式的满意度。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bl>
    <w:p>
      <w:pPr>
        <w:tabs>
          <w:tab w:val="left" w:pos="312"/>
        </w:tabs>
        <w:spacing w:line="580" w:lineRule="exact"/>
        <w:rPr>
          <w:rFonts w:ascii="仿宋_GB2312" w:hAnsi="仿宋_GB2312" w:eastAsia="仿宋_GB2312" w:cs="仿宋_GB2312"/>
          <w:szCs w:val="21"/>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PrEx>
        <w:trPr>
          <w:trHeight w:val="1034" w:hRule="atLeast"/>
        </w:trPr>
        <w:tc>
          <w:tcPr>
            <w:tcW w:w="9960" w:type="dxa"/>
            <w:gridSpan w:val="6"/>
            <w:noWrap w:val="0"/>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四川广汉三星堆博物馆珍贵文物预防性保护项目</w:t>
            </w:r>
          </w:p>
        </w:tc>
      </w:tr>
      <w:tr>
        <w:tblPrEx>
          <w:tblLayout w:type="fixed"/>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四川广汉三星堆博物馆</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2181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1082.0614</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2181</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1082.0614</w:t>
            </w:r>
          </w:p>
        </w:tc>
      </w:tr>
      <w:tr>
        <w:tblPrEx>
          <w:tblLayout w:type="fixed"/>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通过项目实施，可针对馆藏珍贵文物的保存环境质量监测与调控，建立三星堆博物馆文物保存环境监测系统，运用多种调控手段对文物保存微环境实施有效的“稳定、洁净”调控，完善馆藏文物养护措施，配置珍贵文物保存柜架囊匣，增强文物保护修复基础条件，全面提升该馆馆藏文物的预防性收藏保护能力。</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textAlignment w:val="center"/>
              <w:rPr>
                <w:rFonts w:hint="eastAsia" w:ascii="宋体" w:hAnsi="宋体" w:cs="宋体"/>
                <w:color w:val="000000"/>
                <w:sz w:val="24"/>
              </w:rPr>
            </w:pPr>
            <w:r>
              <w:rPr>
                <w:rFonts w:hint="eastAsia" w:ascii="宋体" w:hAnsi="宋体" w:cs="宋体"/>
                <w:color w:val="000000"/>
                <w:sz w:val="24"/>
              </w:rPr>
              <w:t>1：在三星堆博物馆建立一整套环境监测系统，实现对全部文物库房、展厅和重点展柜等文物保存环境质量的及时感知。包括：布设无线传感实时监测系统；配备必要的手持式环境检测仪器等，建立国家馆藏文物保存环境监测站点。</w:t>
            </w:r>
          </w:p>
          <w:p>
            <w:pPr>
              <w:widowControl/>
              <w:textAlignment w:val="center"/>
              <w:rPr>
                <w:rFonts w:hint="eastAsia" w:ascii="宋体" w:hAnsi="宋体" w:cs="宋体"/>
                <w:color w:val="000000"/>
                <w:sz w:val="24"/>
              </w:rPr>
            </w:pPr>
            <w:r>
              <w:rPr>
                <w:rFonts w:hint="eastAsia" w:ascii="宋体" w:hAnsi="宋体" w:cs="宋体"/>
                <w:color w:val="000000"/>
                <w:sz w:val="24"/>
              </w:rPr>
              <w:t>2：制定珍贵文物环境调控方案，应用高效环境调控材料和装置，改造展柜密闭性，珍贵文物配备无酸纸囊匣、储藏柜架等，努力达到“稳定、洁净”的文物保存环境状态，提升馆藏展文物保存环境质量调控水平。</w:t>
            </w:r>
          </w:p>
          <w:p>
            <w:pPr>
              <w:widowControl/>
              <w:textAlignment w:val="center"/>
              <w:rPr>
                <w:rFonts w:hint="eastAsia" w:ascii="宋体" w:hAnsi="宋体" w:cs="宋体"/>
                <w:color w:val="000000"/>
                <w:sz w:val="24"/>
              </w:rPr>
            </w:pPr>
            <w:r>
              <w:rPr>
                <w:rFonts w:hint="eastAsia" w:ascii="宋体" w:hAnsi="宋体" w:cs="宋体"/>
                <w:color w:val="000000"/>
                <w:sz w:val="24"/>
              </w:rPr>
              <w:t>3：完善馆藏文物养护措施，配备必要的文物病害分析设施和保护修复工具。</w:t>
            </w:r>
          </w:p>
          <w:p>
            <w:pPr>
              <w:widowControl/>
              <w:textAlignment w:val="center"/>
              <w:rPr>
                <w:rFonts w:ascii="宋体" w:hAnsi="宋体" w:cs="宋体"/>
                <w:color w:val="000000"/>
                <w:sz w:val="24"/>
              </w:rPr>
            </w:pPr>
            <w:r>
              <w:rPr>
                <w:rFonts w:hint="eastAsia" w:ascii="宋体" w:hAnsi="宋体" w:cs="宋体"/>
                <w:color w:val="000000"/>
                <w:sz w:val="24"/>
              </w:rPr>
              <w:t>4：制定馆藏文物保存环境监控管理制度，形成藏品保护管理、协调、监测、分析、处理、预案等一系列风险预控机制，全面提升博物馆文物预防性保护水平。</w:t>
            </w:r>
          </w:p>
        </w:tc>
      </w:tr>
      <w:tr>
        <w:tblPrEx>
          <w:tblLayout w:type="fixed"/>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建立博物馆文物保存环境监测系统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购置监测节点180件/套，通讯节点56件/套</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三星堆博物馆一展馆（综合馆）、二展馆（青铜馆）、文物库房、临时展厅及月亮湾城墙遗址等区域的文物保存环境建立一套环境监测、预警、主动及被动的调控系统。实现对文物库房、展厅和重点展柜等文物保存环境质量的及时感知和反馈，达成预期指标</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预防性保护展柜改造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展柜改造32台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达成预期指标</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配备离线检测分析系统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购置离线检测设备9件/套</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配备必要的手持式环境检测仪器，达成预期指标</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重点展柜安装调控系统以及对展柜、储藏柜内微环境使用被动调控材料进行调控</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购置环境调控设备142件/套，</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配备净化-调湿器120件/套，加湿除湿一体机22件/套，达成预期指标</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文物配备无酸纸囊匣</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购置无酸纸囊匣4677个</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达成预期指标</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配备文物柜架</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购置密集架141立方米，储藏柜20个。</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达成预期指标</w:t>
            </w:r>
          </w:p>
        </w:tc>
      </w:tr>
      <w:tr>
        <w:tblPrEx>
          <w:tblLayout w:type="fixed"/>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灯光改造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购置LED灯603个</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达成预期指标</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采取主动调控措施，针对博物馆展柜增配展柜净化-调湿器，改善展柜密封性，保证展柜内湿度稳定，同时净化有害气体。</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改善文物所处环境，努力达到“稳定、洁净”的文物保存环境状态，更好地保护文物。</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项目实施周期</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36个月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完成可移动文物预防性保护项目</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2181万元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完成预算的</w:t>
            </w:r>
            <w:r>
              <w:rPr>
                <w:rFonts w:ascii="宋体" w:hAnsi="宋体" w:cs="宋体"/>
                <w:color w:val="000000"/>
                <w:sz w:val="24"/>
              </w:rPr>
              <w:t>49.61</w:t>
            </w:r>
            <w:r>
              <w:rPr>
                <w:rFonts w:hint="eastAsia" w:ascii="宋体" w:hAnsi="宋体" w:cs="宋体"/>
                <w:color w:val="000000"/>
                <w:sz w:val="24"/>
              </w:rPr>
              <w:t>%</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游客数量增加</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优化展陈效果，提升展示水平，增加游客量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达成预期指标</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调控馆藏文物的保存环境，延长文物藏品寿命，更好的发挥博物馆“保管、研究、展览、教育”等功能。</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r>
        <w:tblPrEx>
          <w:tblLayout w:type="fixed"/>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实现三星堆文物的预防性保护，提升博物馆陈列展示和社会服务效果，增强三星堆历史文化的影响力和辐射力。</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功能达到预定目标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r>
        <w:tblPrEx>
          <w:tblLayout w:type="fixed"/>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提高博物馆展品质量、展陈形式的满意度。加强博物馆文物保护宣传，营造与游客互动体验氛围。</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达成预期指标</w:t>
            </w:r>
          </w:p>
        </w:tc>
      </w:tr>
    </w:tbl>
    <w:p>
      <w:pPr>
        <w:spacing w:line="580" w:lineRule="exact"/>
        <w:rPr>
          <w:rFonts w:ascii="仿宋_GB2312" w:hAnsi="仿宋_GB2312" w:eastAsia="仿宋_GB2312" w:cs="仿宋_GB2312"/>
          <w:sz w:val="32"/>
          <w:szCs w:val="32"/>
        </w:rPr>
      </w:pPr>
    </w:p>
    <w:p>
      <w:pPr>
        <w:numPr>
          <w:ilvl w:val="0"/>
          <w:numId w:val="6"/>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四川广汉三星堆博物馆</w:t>
      </w:r>
      <w:r>
        <w:rPr>
          <w:rFonts w:hint="eastAsia" w:ascii="仿宋_GB2312" w:hAnsi="仿宋_GB2312" w:eastAsia="仿宋_GB2312" w:cs="仿宋_GB2312"/>
          <w:sz w:val="32"/>
          <w:szCs w:val="32"/>
        </w:rPr>
        <w:t>2018年部门整体支出绩效评价报告》见附件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hAnsi="仿宋_GB2312" w:eastAsia="仿宋_GB2312" w:cs="仿宋_GB2312"/>
          <w:sz w:val="32"/>
          <w:szCs w:val="32"/>
          <w:lang w:eastAsia="zh-CN"/>
        </w:rPr>
        <w:t>三星堆博物馆</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1245.17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72.62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6.19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博物馆宣传营销活动增加。</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8年，政府采购支出总额</w:t>
      </w:r>
      <w:r>
        <w:rPr>
          <w:rFonts w:hint="eastAsia" w:ascii="仿宋_GB2312" w:eastAsia="仿宋_GB2312"/>
          <w:color w:val="000000"/>
          <w:sz w:val="32"/>
          <w:szCs w:val="32"/>
          <w:lang w:val="en-US" w:eastAsia="zh-CN"/>
        </w:rPr>
        <w:t>1680.89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1369.32</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311.57</w:t>
      </w:r>
      <w:r>
        <w:rPr>
          <w:rFonts w:hint="eastAsia" w:ascii="仿宋_GB2312" w:eastAsia="仿宋_GB2312"/>
          <w:color w:val="000000"/>
          <w:sz w:val="32"/>
          <w:szCs w:val="32"/>
        </w:rPr>
        <w:t>万元。主要用于</w:t>
      </w:r>
      <w:r>
        <w:rPr>
          <w:rFonts w:hint="eastAsia" w:ascii="仿宋_GB2312" w:hAnsi="仿宋_GB2312" w:eastAsia="仿宋_GB2312" w:cs="仿宋_GB2312"/>
          <w:sz w:val="32"/>
          <w:szCs w:val="32"/>
          <w:lang w:eastAsia="zh-CN"/>
        </w:rPr>
        <w:t>“四川广汉三星堆博物馆文物数字化保护”、“川王宫抢救性维修保护”、“四川广汉三星堆博物馆珍贵文物预防性保护”、“广汉市三星堆遗址保护设施建设”、“龙居寺中殿保护规划”、“馆藏书画保护修复”等项目的采购</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1680.89</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1680.89</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0。</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8"/>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其他文化体育与传媒支出</w:t>
      </w:r>
      <w:r>
        <w:rPr>
          <w:rStyle w:val="14"/>
          <w:rFonts w:hint="eastAsia" w:ascii="仿宋_GB2312" w:eastAsia="仿宋_GB2312"/>
          <w:color w:val="000000"/>
          <w:sz w:val="32"/>
          <w:szCs w:val="32"/>
        </w:rPr>
        <w:t>（款）</w:t>
      </w:r>
      <w:r>
        <w:rPr>
          <w:rFonts w:hint="eastAsia" w:ascii="仿宋_GB2312" w:eastAsia="仿宋_GB2312"/>
          <w:color w:val="000000"/>
          <w:sz w:val="32"/>
          <w:szCs w:val="32"/>
          <w:lang w:val="en-US" w:eastAsia="zh-CN"/>
        </w:rPr>
        <w:t>其他文化体育与传媒支出</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Fonts w:hint="eastAsia" w:ascii="仿宋_GB2312" w:eastAsia="仿宋_GB2312"/>
          <w:color w:val="000000"/>
          <w:sz w:val="32"/>
          <w:szCs w:val="32"/>
          <w:lang w:eastAsia="zh-CN"/>
        </w:rPr>
        <w:t>用于</w:t>
      </w:r>
      <w:r>
        <w:rPr>
          <w:rFonts w:hint="eastAsia" w:ascii="仿宋_GB2312" w:eastAsia="仿宋_GB2312"/>
          <w:color w:val="000000"/>
          <w:sz w:val="32"/>
          <w:szCs w:val="32"/>
          <w:lang w:val="en-US" w:eastAsia="zh-CN"/>
        </w:rPr>
        <w:t>其他文化体育与传媒支出</w:t>
      </w:r>
      <w:r>
        <w:rPr>
          <w:rFonts w:hint="eastAsia" w:ascii="仿宋_GB2312" w:eastAsia="仿宋_GB2312"/>
          <w:color w:val="000000"/>
          <w:sz w:val="32"/>
          <w:szCs w:val="32"/>
          <w:lang w:eastAsia="zh-CN"/>
        </w:rPr>
        <w:t>方面的收入或支出，</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文物</w:t>
      </w:r>
      <w:r>
        <w:rPr>
          <w:rStyle w:val="14"/>
          <w:rFonts w:hint="eastAsia" w:ascii="仿宋_GB2312" w:eastAsia="仿宋_GB2312"/>
          <w:color w:val="000000"/>
          <w:sz w:val="32"/>
          <w:szCs w:val="32"/>
        </w:rPr>
        <w:t>（款）</w:t>
      </w:r>
      <w:r>
        <w:rPr>
          <w:rFonts w:hint="eastAsia" w:ascii="仿宋_GB2312" w:eastAsia="仿宋_GB2312"/>
          <w:color w:val="000000"/>
          <w:sz w:val="32"/>
          <w:szCs w:val="32"/>
          <w:lang w:val="en-US" w:eastAsia="zh-CN"/>
        </w:rPr>
        <w:t>博物馆</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Fonts w:hint="eastAsia" w:ascii="仿宋_GB2312" w:eastAsia="仿宋_GB2312"/>
          <w:color w:val="000000"/>
          <w:sz w:val="32"/>
          <w:szCs w:val="32"/>
          <w:lang w:eastAsia="zh-CN"/>
        </w:rPr>
        <w:t>用于博物馆的</w:t>
      </w:r>
      <w:r>
        <w:rPr>
          <w:rFonts w:hint="eastAsia" w:ascii="仿宋_GB2312" w:eastAsia="仿宋_GB2312" w:cs="仿宋"/>
          <w:color w:val="000000"/>
          <w:sz w:val="32"/>
          <w:szCs w:val="32"/>
          <w:lang w:val="en-US" w:eastAsia="zh-CN" w:bidi="ar-SA"/>
        </w:rPr>
        <w:t>日常公用经费及人员经费和项目方面</w:t>
      </w:r>
      <w:r>
        <w:rPr>
          <w:rFonts w:hint="eastAsia" w:ascii="仿宋_GB2312" w:eastAsia="仿宋_GB2312"/>
          <w:color w:val="000000"/>
          <w:sz w:val="32"/>
          <w:szCs w:val="32"/>
          <w:lang w:eastAsia="zh-CN"/>
        </w:rPr>
        <w:t>收入或支出，</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文物</w:t>
      </w:r>
      <w:r>
        <w:rPr>
          <w:rStyle w:val="14"/>
          <w:rFonts w:hint="eastAsia" w:ascii="仿宋_GB2312" w:eastAsia="仿宋_GB2312"/>
          <w:color w:val="000000"/>
          <w:sz w:val="32"/>
          <w:szCs w:val="32"/>
        </w:rPr>
        <w:t>（款）</w:t>
      </w:r>
      <w:r>
        <w:rPr>
          <w:rFonts w:hint="eastAsia" w:ascii="仿宋_GB2312" w:eastAsia="仿宋_GB2312"/>
          <w:color w:val="000000"/>
          <w:sz w:val="32"/>
          <w:szCs w:val="32"/>
          <w:lang w:val="en-US" w:eastAsia="zh-CN"/>
        </w:rPr>
        <w:t>文物保护</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Fonts w:hint="default" w:ascii="仿宋_GB2312" w:eastAsia="仿宋_GB2312"/>
          <w:color w:val="000000"/>
          <w:sz w:val="32"/>
          <w:szCs w:val="32"/>
          <w:lang w:val="en-US" w:eastAsia="zh-CN"/>
        </w:rPr>
        <w:t>在</w:t>
      </w:r>
      <w:r>
        <w:rPr>
          <w:rFonts w:hint="eastAsia" w:ascii="仿宋_GB2312" w:eastAsia="仿宋_GB2312"/>
          <w:color w:val="000000"/>
          <w:sz w:val="32"/>
          <w:szCs w:val="32"/>
          <w:lang w:val="en-US" w:eastAsia="zh-CN"/>
        </w:rPr>
        <w:t>文物保护方面的</w:t>
      </w:r>
      <w:r>
        <w:rPr>
          <w:rFonts w:hint="eastAsia" w:ascii="仿宋_GB2312" w:eastAsia="仿宋_GB2312"/>
          <w:color w:val="000000"/>
          <w:sz w:val="32"/>
          <w:szCs w:val="32"/>
          <w:lang w:eastAsia="zh-CN"/>
        </w:rPr>
        <w:t>收入或支出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15.</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行政事业单位离退休</w:t>
      </w:r>
      <w:r>
        <w:rPr>
          <w:rStyle w:val="14"/>
          <w:rFonts w:hint="eastAsia" w:ascii="仿宋_GB2312" w:eastAsia="仿宋_GB2312"/>
          <w:color w:val="000000"/>
          <w:sz w:val="32"/>
          <w:szCs w:val="32"/>
        </w:rPr>
        <w:t>（款）</w:t>
      </w:r>
      <w:r>
        <w:rPr>
          <w:rFonts w:hint="eastAsia" w:ascii="仿宋_GB2312" w:eastAsia="仿宋_GB2312"/>
          <w:color w:val="000000"/>
          <w:sz w:val="32"/>
          <w:szCs w:val="32"/>
          <w:lang w:val="en-US" w:eastAsia="zh-CN"/>
        </w:rPr>
        <w:t>事业单位离退休</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Style w:val="14"/>
          <w:rFonts w:hint="eastAsia" w:ascii="仿宋_GB2312" w:eastAsia="仿宋_GB2312"/>
          <w:b w:val="0"/>
          <w:color w:val="000000"/>
          <w:sz w:val="32"/>
          <w:szCs w:val="32"/>
        </w:rPr>
        <w:t>归口管理的事业单位开支的离退休经费</w:t>
      </w:r>
      <w:r>
        <w:rPr>
          <w:rStyle w:val="14"/>
          <w:rFonts w:hint="eastAsia" w:ascii="仿宋_GB2312" w:eastAsia="仿宋_GB2312"/>
          <w:b w:val="0"/>
          <w:color w:val="000000"/>
          <w:sz w:val="32"/>
          <w:szCs w:val="32"/>
          <w:lang w:eastAsia="zh-CN"/>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行政事业单位离退休</w:t>
      </w:r>
      <w:r>
        <w:rPr>
          <w:rStyle w:val="14"/>
          <w:rFonts w:hint="eastAsia" w:ascii="仿宋_GB2312" w:eastAsia="仿宋_GB2312"/>
          <w:color w:val="000000"/>
          <w:sz w:val="32"/>
          <w:szCs w:val="32"/>
        </w:rPr>
        <w:t>（款）</w:t>
      </w:r>
      <w:r>
        <w:rPr>
          <w:rFonts w:hint="eastAsia" w:ascii="仿宋_GB2312" w:eastAsia="仿宋_GB2312"/>
          <w:color w:val="000000"/>
          <w:sz w:val="32"/>
          <w:szCs w:val="32"/>
        </w:rPr>
        <w:t>机关事业单位基本养老保险缴费</w:t>
      </w:r>
      <w:r>
        <w:rPr>
          <w:rStyle w:val="14"/>
          <w:rFonts w:hint="eastAsia" w:ascii="仿宋_GB2312" w:eastAsia="仿宋_GB2312"/>
          <w:b w:val="0"/>
          <w:color w:val="000000"/>
          <w:sz w:val="32"/>
          <w:szCs w:val="32"/>
        </w:rPr>
        <w:t>（项）:反映机关事业单位实施养老保险制度由单位缴纳的基本养老保险费支出</w:t>
      </w:r>
      <w:r>
        <w:rPr>
          <w:rStyle w:val="14"/>
          <w:rFonts w:hint="eastAsia" w:ascii="仿宋_GB2312" w:eastAsia="仿宋_GB2312"/>
          <w:b w:val="0"/>
          <w:color w:val="000000"/>
          <w:sz w:val="32"/>
          <w:szCs w:val="32"/>
          <w:lang w:eastAsia="zh-CN"/>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行政事业单位离退休</w:t>
      </w:r>
      <w:r>
        <w:rPr>
          <w:rStyle w:val="14"/>
          <w:rFonts w:hint="eastAsia" w:ascii="仿宋_GB2312" w:eastAsia="仿宋_GB2312"/>
          <w:color w:val="000000"/>
          <w:sz w:val="32"/>
          <w:szCs w:val="32"/>
        </w:rPr>
        <w:t>（款）</w:t>
      </w:r>
      <w:r>
        <w:rPr>
          <w:rFonts w:hint="eastAsia" w:ascii="仿宋_GB2312" w:eastAsia="仿宋_GB2312"/>
          <w:color w:val="000000"/>
          <w:sz w:val="32"/>
          <w:szCs w:val="32"/>
        </w:rPr>
        <w:t>机关事业单位职业年金缴费</w:t>
      </w:r>
      <w:r>
        <w:rPr>
          <w:rStyle w:val="14"/>
          <w:rFonts w:hint="eastAsia" w:ascii="仿宋_GB2312" w:eastAsia="仿宋_GB2312"/>
          <w:b w:val="0"/>
          <w:color w:val="000000"/>
          <w:sz w:val="32"/>
          <w:szCs w:val="32"/>
        </w:rPr>
        <w:t>（项）: 反映机关事业单位实施养老保险制度由单位缴纳的职业年金支出。</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16.</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行政事业单位医疗</w:t>
      </w:r>
      <w:r>
        <w:rPr>
          <w:rStyle w:val="14"/>
          <w:rFonts w:hint="eastAsia" w:ascii="仿宋_GB2312" w:eastAsia="仿宋_GB2312"/>
          <w:color w:val="000000"/>
          <w:sz w:val="32"/>
          <w:szCs w:val="32"/>
        </w:rPr>
        <w:t>（款）</w:t>
      </w:r>
      <w:r>
        <w:rPr>
          <w:rFonts w:hint="eastAsia" w:ascii="仿宋_GB2312" w:eastAsia="仿宋_GB2312"/>
          <w:color w:val="000000"/>
          <w:sz w:val="32"/>
          <w:szCs w:val="32"/>
          <w:lang w:val="en-US" w:eastAsia="zh-CN"/>
        </w:rPr>
        <w:t>事业单位医疗</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Style w:val="14"/>
          <w:rFonts w:hint="eastAsia" w:ascii="仿宋_GB2312" w:eastAsia="仿宋_GB2312"/>
          <w:b w:val="0"/>
          <w:color w:val="000000"/>
          <w:sz w:val="32"/>
          <w:szCs w:val="32"/>
        </w:rPr>
        <w:t>财政部门集中安排的行政单位基本医疗保险缴费经费，未参加医疗保险的行政单位的公费医疗经费，按国家规定享受离休人员、红军老战士待遇人员的医疗经费</w:t>
      </w:r>
      <w:r>
        <w:rPr>
          <w:rStyle w:val="14"/>
          <w:rFonts w:hint="eastAsia" w:ascii="仿宋_GB2312" w:eastAsia="仿宋_GB2312"/>
          <w:b w:val="0"/>
          <w:color w:val="000000"/>
          <w:sz w:val="32"/>
          <w:szCs w:val="32"/>
          <w:lang w:eastAsia="zh-CN"/>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行政事业单位医疗</w:t>
      </w:r>
      <w:r>
        <w:rPr>
          <w:rStyle w:val="14"/>
          <w:rFonts w:hint="eastAsia" w:ascii="仿宋_GB2312" w:eastAsia="仿宋_GB2312"/>
          <w:color w:val="000000"/>
          <w:sz w:val="32"/>
          <w:szCs w:val="32"/>
        </w:rPr>
        <w:t>（款</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公务员医疗补助</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指</w:t>
      </w:r>
      <w:r>
        <w:rPr>
          <w:rStyle w:val="14"/>
          <w:rFonts w:hint="eastAsia" w:ascii="仿宋_GB2312" w:eastAsia="仿宋_GB2312"/>
          <w:b w:val="0"/>
          <w:color w:val="000000"/>
          <w:sz w:val="32"/>
          <w:szCs w:val="32"/>
        </w:rPr>
        <w:t>财政部门集中安排的公务员医疗补助经费</w:t>
      </w:r>
      <w:r>
        <w:rPr>
          <w:rStyle w:val="14"/>
          <w:rFonts w:hint="eastAsia" w:ascii="仿宋_GB2312" w:eastAsia="仿宋_GB2312"/>
          <w:b w:val="0"/>
          <w:color w:val="000000"/>
          <w:sz w:val="32"/>
          <w:szCs w:val="32"/>
          <w:lang w:eastAsia="zh-CN"/>
        </w:rPr>
        <w:t>，</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行政事业单位医疗</w:t>
      </w:r>
      <w:r>
        <w:rPr>
          <w:rStyle w:val="14"/>
          <w:rFonts w:hint="eastAsia" w:ascii="仿宋_GB2312" w:eastAsia="仿宋_GB2312"/>
          <w:color w:val="000000"/>
          <w:sz w:val="32"/>
          <w:szCs w:val="32"/>
        </w:rPr>
        <w:t>（款</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其他行政事业单位医疗支出</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Style w:val="14"/>
          <w:rFonts w:hint="eastAsia" w:ascii="仿宋_GB2312" w:eastAsia="仿宋_GB2312"/>
          <w:b w:val="0"/>
          <w:color w:val="000000"/>
          <w:sz w:val="32"/>
          <w:szCs w:val="32"/>
        </w:rPr>
        <w:t>反映除上述项目以外的其他用于行政事业单位医疗方面的支出。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住房保障支出</w:t>
      </w:r>
      <w:r>
        <w:rPr>
          <w:rStyle w:val="14"/>
          <w:rFonts w:hint="eastAsia" w:ascii="仿宋_GB2312" w:eastAsia="仿宋_GB2312"/>
          <w:color w:val="000000"/>
          <w:sz w:val="32"/>
          <w:szCs w:val="32"/>
        </w:rPr>
        <w:t>（款</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住房公积金</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Style w:val="14"/>
          <w:rFonts w:hint="eastAsia" w:ascii="仿宋_GB2312" w:eastAsia="仿宋_GB2312"/>
          <w:b w:val="0"/>
          <w:color w:val="000000"/>
          <w:sz w:val="32"/>
          <w:szCs w:val="32"/>
        </w:rPr>
        <w:t>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四川广汉三星堆博物馆</w:t>
      </w:r>
      <w:r>
        <w:rPr>
          <w:rFonts w:hint="eastAsia" w:ascii="黑体" w:hAnsi="黑体" w:eastAsia="黑体" w:cs="方正小标宋简体"/>
          <w:sz w:val="36"/>
          <w:szCs w:val="36"/>
        </w:rPr>
        <w:t>2018年部门整体支出</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（一）机构组成：三星堆博物馆、广汉市文物局合署办公，设置内部机构</w:t>
      </w:r>
      <w:r>
        <w:rPr>
          <w:rFonts w:hint="eastAsia" w:ascii="仿宋" w:hAnsi="仿宋" w:eastAsia="仿宋" w:cs="仿宋_GB2312"/>
          <w:sz w:val="32"/>
          <w:szCs w:val="32"/>
        </w:rPr>
        <w:t>10个。三星堆博物馆为全额拨款的事业单位，广汉市文物局为参照公务员管理的事业单位。</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（二）机构职能：</w:t>
      </w:r>
      <w:r>
        <w:rPr>
          <w:rFonts w:hint="eastAsia" w:ascii="仿宋" w:hAnsi="仿宋" w:eastAsia="仿宋" w:cs="仿宋_GB2312"/>
          <w:sz w:val="32"/>
          <w:szCs w:val="32"/>
        </w:rPr>
        <w:t>文物保护、收藏、展示、整理、研究</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（三）人员概况：单位人员总数为</w:t>
      </w:r>
      <w:r>
        <w:rPr>
          <w:rFonts w:hint="eastAsia" w:ascii="仿宋" w:hAnsi="仿宋" w:eastAsia="仿宋" w:cs="仿宋_GB2312"/>
          <w:sz w:val="32"/>
          <w:szCs w:val="32"/>
        </w:rPr>
        <w:t>253人，其中在编人员37人，聘用人员216人。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（一）部门财政资金收入情况</w:t>
      </w:r>
      <w:r>
        <w:rPr>
          <w:rFonts w:hint="eastAsia" w:ascii="仿宋" w:hAnsi="仿宋" w:eastAsia="仿宋" w:cs="仿宋_GB2312"/>
          <w:sz w:val="32"/>
          <w:szCs w:val="32"/>
        </w:rPr>
        <w:t>：2018年度三星堆博物馆（文物局）财政预算总额为3310.72万元，其中年初预算数为2700万元，调整预算数为3310.72万元。</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（二）部门财政资金支出情况：</w:t>
      </w:r>
      <w:r>
        <w:rPr>
          <w:rFonts w:hint="eastAsia" w:ascii="仿宋" w:hAnsi="仿宋" w:eastAsia="仿宋" w:cs="仿宋_GB2312"/>
          <w:sz w:val="32"/>
          <w:szCs w:val="32"/>
        </w:rPr>
        <w:t>2018年度三星堆博物馆（文物局）总支出为4154.81万元，其中基本支出2770.98万元，项目支出1383.83万元。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（一）预算编制情况。</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单位严格按照财政要求并结合单位实际情况编制2018年度预算，并录入财政预算软件，对项目经费设置绩效目标，专项预算提前细化。</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（二）执行管理情况。</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单位在预算执行中，对本级安排的基本支出按月申报，对中央和省专款等专项经费按进度申报、预算支出严格按照政府采购法等国家相关的法律法规执行，项目管理注重质量、效率。日常管理注重节能降耗，尽量提高资金使用率。“三公”经费比去年同期大幅度下降。</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（三）综合管理情况。</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单位本年度没有增加政府性债务、非税收入比去年同期增长750万元、增长30%、超当年目标任务550万元。采购项目都严格按照政府采购要求实施、资产定期盘点、内控制度健全、单位预算和决算按时公开、单位绩效评价按时上报财政。</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（四）整体绩效。</w:t>
      </w:r>
    </w:p>
    <w:p>
      <w:pPr>
        <w:spacing w:line="580" w:lineRule="exact"/>
        <w:ind w:firstLine="640" w:firstLineChars="200"/>
        <w:rPr>
          <w:rFonts w:hint="eastAsia" w:ascii="仿宋" w:hAnsi="仿宋" w:eastAsia="仿宋" w:cs="仿宋_GB2312"/>
          <w:sz w:val="32"/>
          <w:szCs w:val="32"/>
          <w:lang w:val="zh-CN" w:eastAsia="zh-CN"/>
        </w:rPr>
      </w:pPr>
      <w:r>
        <w:rPr>
          <w:rFonts w:hint="eastAsia" w:ascii="仿宋" w:hAnsi="仿宋" w:eastAsia="仿宋" w:cs="仿宋_GB2312"/>
          <w:sz w:val="32"/>
          <w:szCs w:val="32"/>
          <w:lang w:val="zh-CN"/>
        </w:rPr>
        <w:t>单位重点项目绩效评价情况都按时上报了上级业务主管部门和本级财政部门，各项目的实施基本达到了预定的绩效目标。单位各部门都较好的完成了各自承担的工作，三星堆博物馆（文物局）在2018年市政府综合考核中获一等奖</w:t>
      </w:r>
      <w:r>
        <w:rPr>
          <w:rFonts w:hint="eastAsia" w:ascii="仿宋" w:hAnsi="仿宋" w:eastAsia="仿宋" w:cs="仿宋_GB2312"/>
          <w:sz w:val="32"/>
          <w:szCs w:val="32"/>
          <w:lang w:val="zh-CN"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2018年度，三星堆博物馆（文物局）在市委、市政府的正确领导下，围绕三星堆、航空城、乡村游“三张名片”，实施全域旅游战略，着力打造“世界三星堆、中国航空城、天府大花园”，文旅事业成绩斐然。</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三星堆博物馆（文物局）在全体员工的共同努力下，完成了既定的工作目标，取得了一定的成绩。但也存在着项目进度缓慢、项目经费使用率低等问题。在明年的工作中，我们一定重视项目的实施，加大项目进度，提高项目经费的使用率。</w:t>
      </w:r>
    </w:p>
    <w:p>
      <w:pPr>
        <w:spacing w:line="580" w:lineRule="exact"/>
        <w:ind w:firstLine="640" w:firstLineChars="200"/>
        <w:rPr>
          <w:rFonts w:hint="eastAsia" w:ascii="仿宋" w:hAnsi="仿宋" w:eastAsia="仿宋" w:cs="仿宋_GB2312"/>
          <w:sz w:val="32"/>
          <w:szCs w:val="32"/>
          <w:lang w:val="zh-CN"/>
        </w:rPr>
      </w:pP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footerReference r:id="rId8" w:type="first"/>
      <w:headerReference r:id="rId6" w:type="default"/>
      <w:footerReference r:id="rId7" w:type="default"/>
      <w:pgSz w:w="11906" w:h="16838"/>
      <w:pgMar w:top="1440" w:right="1800" w:bottom="1440" w:left="1800" w:header="851" w:footer="992" w:gutter="0"/>
      <w:pgNumType w:fmt="decimal" w:start="17"/>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altName w:val="Palatino Linotype"/>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Palatino Linotype">
    <w:panose1 w:val="02040502050505030304"/>
    <w:charset w:val="00"/>
    <w:family w:val="auto"/>
    <w:pitch w:val="default"/>
    <w:sig w:usb0="E0000387" w:usb1="40000013"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2000009F" w:csb1="DFD70000"/>
  </w:font>
  <w:font w:name="Wide Latin">
    <w:altName w:val="PMingLiU"/>
    <w:panose1 w:val="020A0A07050505020404"/>
    <w:charset w:val="00"/>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18</w:t>
    </w:r>
  </w:p>
  <w:p>
    <w:pPr>
      <w:pStyle w:val="8"/>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 w:val="18"/>
        <w:lang w:val="en-US" w:eastAsia="zh-CN"/>
      </w:rPr>
    </w:pPr>
    <w:r>
      <w:rPr>
        <w:rFonts w:hint="eastAsia"/>
        <w:sz w:val="18"/>
        <w:lang w:val="en-US" w:eastAsia="zh-CN"/>
      </w:rPr>
      <w:t>17</w:t>
    </w:r>
  </w:p>
  <w:sdt>
    <w:sdtPr>
      <w:id w:val="-1994781956"/>
      <w:docPartObj>
        <w:docPartGallery w:val="autotext"/>
      </w:docPartObj>
    </w:sdtPr>
    <w:sdtContent>
      <w:p>
        <w:pPr>
          <w:pStyle w:val="8"/>
          <w:jc w:val="center"/>
          <w:rPr>
            <w:rFonts w:hint="eastAsia"/>
            <w:lang w:val="en-US" w:eastAsia="zh-CN"/>
          </w:rPr>
        </w:pPr>
      </w:p>
      <w:p>
        <w:pPr>
          <w:pStyle w:val="8"/>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8</w:t>
    </w:r>
  </w:p>
  <w:p>
    <w:pPr>
      <w:pStyle w:val="8"/>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57F1A"/>
    <w:multiLevelType w:val="singleLevel"/>
    <w:tmpl w:val="BCF57F1A"/>
    <w:lvl w:ilvl="0" w:tentative="0">
      <w:start w:val="1"/>
      <w:numFmt w:val="decimal"/>
      <w:lvlText w:val="%1."/>
      <w:lvlJc w:val="left"/>
      <w:pPr>
        <w:tabs>
          <w:tab w:val="left" w:pos="312"/>
        </w:tabs>
      </w:pPr>
    </w:lvl>
  </w:abstractNum>
  <w:abstractNum w:abstractNumId="1">
    <w:nsid w:val="CBC79306"/>
    <w:multiLevelType w:val="singleLevel"/>
    <w:tmpl w:val="CBC79306"/>
    <w:lvl w:ilvl="0" w:tentative="0">
      <w:start w:val="3"/>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0E84878E"/>
    <w:multiLevelType w:val="singleLevel"/>
    <w:tmpl w:val="0E84878E"/>
    <w:lvl w:ilvl="0" w:tentative="0">
      <w:start w:val="5"/>
      <w:numFmt w:val="decimal"/>
      <w:lvlText w:val="%1."/>
      <w:lvlJc w:val="left"/>
      <w:pPr>
        <w:tabs>
          <w:tab w:val="left" w:pos="312"/>
        </w:tabs>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6"/>
  </w:num>
  <w:num w:numId="2">
    <w:abstractNumId w:val="0"/>
  </w:num>
  <w:num w:numId="3">
    <w:abstractNumId w:val="5"/>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56017C"/>
    <w:rsid w:val="0CB40B16"/>
    <w:rsid w:val="10C055FF"/>
    <w:rsid w:val="13441F40"/>
    <w:rsid w:val="16BB723D"/>
    <w:rsid w:val="1AC46183"/>
    <w:rsid w:val="22AB64AC"/>
    <w:rsid w:val="234A063A"/>
    <w:rsid w:val="240371BF"/>
    <w:rsid w:val="26A71E2E"/>
    <w:rsid w:val="29FD04D3"/>
    <w:rsid w:val="2C436EA1"/>
    <w:rsid w:val="319F7F4E"/>
    <w:rsid w:val="370229F0"/>
    <w:rsid w:val="387F7697"/>
    <w:rsid w:val="3E3438E4"/>
    <w:rsid w:val="50632C5B"/>
    <w:rsid w:val="572550CE"/>
    <w:rsid w:val="591A003D"/>
    <w:rsid w:val="59F06343"/>
    <w:rsid w:val="6A4B3BA3"/>
    <w:rsid w:val="6B007C8D"/>
    <w:rsid w:val="71C956A3"/>
    <w:rsid w:val="72C6588B"/>
    <w:rsid w:val="73DF3487"/>
    <w:rsid w:val="754245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My%20Documents\&#26472;&#20809;&#20852;\&#19978;&#32423;&#26469;&#25991;\&#39044;&#31639;%20&#20915;&#31639;&#20844;&#24320;\&#20915;&#31639;&#20844;&#24320;\2018&#20915;&#31639;&#20844;&#24320;\&#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My%20Documents\&#26472;&#20809;&#20852;\&#19978;&#32423;&#26469;&#25991;\&#39044;&#31639;%20&#20915;&#31639;&#20844;&#24320;\&#20915;&#31639;&#20844;&#24320;\2018&#20915;&#31639;&#20844;&#24320;\&#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My%20Documents\&#26472;&#20809;&#20852;\&#19978;&#32423;&#26469;&#25991;\&#39044;&#31639;%20&#20915;&#31639;&#20844;&#24320;\&#20915;&#31639;&#20844;&#24320;\2018&#20915;&#31639;&#20844;&#24320;\&#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My%20Documents\&#26472;&#20809;&#20852;\&#19978;&#32423;&#26469;&#25991;\&#39044;&#31639;%20&#20915;&#31639;&#20844;&#24320;\&#20915;&#31639;&#20844;&#24320;\2018&#20915;&#31639;&#20844;&#24320;\&#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My%20Documents\&#26472;&#20809;&#20852;\&#19978;&#32423;&#26469;&#25991;\&#39044;&#31639;%20&#20915;&#31639;&#20844;&#24320;\&#20915;&#31639;&#20844;&#24320;\2018&#20915;&#31639;&#20844;&#24320;\&#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My%20Documents\&#26472;&#20809;&#20852;\&#19978;&#32423;&#26469;&#25991;\&#39044;&#31639;%20&#20915;&#31639;&#20844;&#24320;\&#20915;&#31639;&#20844;&#24320;\2018&#20915;&#31639;&#20844;&#24320;\&#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My%20Documents\&#26472;&#20809;&#20852;\&#19978;&#32423;&#26469;&#25991;\&#39044;&#31639;%20&#20915;&#31639;&#20844;&#24320;\&#20915;&#31639;&#20844;&#24320;\2018&#20915;&#31639;&#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777777777778"/>
          <c:y val="0.169444444444444"/>
          <c:w val="0.681611111111111"/>
          <c:h val="0.57712962962963"/>
        </c:manualLayout>
      </c:layout>
      <c:barChart>
        <c:barDir val="col"/>
        <c:grouping val="clustered"/>
        <c:varyColors val="0"/>
        <c:ser>
          <c:idx val="0"/>
          <c:order val="0"/>
          <c:tx>
            <c:strRef>
              <c:f>'[新建 XLSX 工作表.xlsx]Sheet1'!$A$2</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工作表.xlsx]Sheet1'!$B$1:$C$1</c:f>
              <c:strCache>
                <c:ptCount val="2"/>
                <c:pt idx="0">
                  <c:v>收入总计</c:v>
                </c:pt>
                <c:pt idx="1">
                  <c:v>支出总计</c:v>
                </c:pt>
              </c:strCache>
            </c:strRef>
          </c:cat>
          <c:val>
            <c:numRef>
              <c:f>'[新建 XLSX 工作表.xlsx]Sheet1'!$B$2:$C$2</c:f>
              <c:numCache>
                <c:formatCode>General</c:formatCode>
                <c:ptCount val="2"/>
                <c:pt idx="0">
                  <c:v>3541.35</c:v>
                </c:pt>
                <c:pt idx="1">
                  <c:v>4188.82</c:v>
                </c:pt>
              </c:numCache>
            </c:numRef>
          </c:val>
        </c:ser>
        <c:ser>
          <c:idx val="1"/>
          <c:order val="1"/>
          <c:tx>
            <c:strRef>
              <c:f>'[新建 XLSX 工作表.xlsx]Sheet1'!$A$3</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工作表.xlsx]Sheet1'!$B$1:$C$1</c:f>
              <c:strCache>
                <c:ptCount val="2"/>
                <c:pt idx="0">
                  <c:v>收入总计</c:v>
                </c:pt>
                <c:pt idx="1">
                  <c:v>支出总计</c:v>
                </c:pt>
              </c:strCache>
            </c:strRef>
          </c:cat>
          <c:val>
            <c:numRef>
              <c:f>'[新建 XLSX 工作表.xlsx]Sheet1'!$B$3:$C$3</c:f>
              <c:numCache>
                <c:formatCode>General</c:formatCode>
                <c:ptCount val="2"/>
                <c:pt idx="0">
                  <c:v>3514.79</c:v>
                </c:pt>
                <c:pt idx="1">
                  <c:v>4154.81</c:v>
                </c:pt>
              </c:numCache>
            </c:numRef>
          </c:val>
        </c:ser>
        <c:dLbls>
          <c:showLegendKey val="0"/>
          <c:showVal val="1"/>
          <c:showCatName val="0"/>
          <c:showSerName val="0"/>
          <c:showPercent val="0"/>
          <c:showBubbleSize val="0"/>
        </c:dLbls>
        <c:gapWidth val="150"/>
        <c:overlap val="0"/>
        <c:axId val="846690163"/>
        <c:axId val="609958932"/>
      </c:barChart>
      <c:catAx>
        <c:axId val="84669016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9958932"/>
        <c:crosses val="autoZero"/>
        <c:auto val="1"/>
        <c:lblAlgn val="ctr"/>
        <c:lblOffset val="100"/>
        <c:noMultiLvlLbl val="0"/>
      </c:catAx>
      <c:valAx>
        <c:axId val="6099589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66901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6666666666667"/>
          <c:y val="0.0993055555555555"/>
          <c:w val="0.451527777777778"/>
          <c:h val="0.752546296296296"/>
        </c:manualLayout>
      </c:layout>
      <c:pieChart>
        <c:varyColors val="1"/>
        <c:ser>
          <c:idx val="0"/>
          <c:order val="0"/>
          <c:tx>
            <c:strRef>
              <c:f>'[新建 XLSX 工作表.xlsx]Sheet1'!$A$2</c:f>
              <c:strCache>
                <c:ptCount val="1"/>
                <c:pt idx="0">
                  <c:v>2018年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54166666666667"/>
                  <c:y val="-0.21527777777777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3310.72万元占比</a:t>
                    </a:r>
                    <a:r>
                      <a:rPr lang="en-US" altLang="zh-CN"/>
                      <a:t>94.19%</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7250965385526"/>
                  <c:y val="0.1166938611597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204.07万元占比</a:t>
                    </a:r>
                    <a:r>
                      <a:rPr lang="en-US" altLang="zh-CN"/>
                      <a:t>5.81%</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86111111111111"/>
                      <c:h val="0.16574074074074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工作表.xlsx]Sheet1'!$B$1:$C$1</c:f>
              <c:strCache>
                <c:ptCount val="2"/>
                <c:pt idx="0">
                  <c:v>财政拨款收入</c:v>
                </c:pt>
                <c:pt idx="1">
                  <c:v>其他收入</c:v>
                </c:pt>
              </c:strCache>
            </c:strRef>
          </c:cat>
          <c:val>
            <c:numRef>
              <c:f>'[新建 XLSX 工作表.xlsx]Sheet1'!$B$2:$C$2</c:f>
              <c:numCache>
                <c:formatCode>General</c:formatCode>
                <c:ptCount val="2"/>
                <c:pt idx="0">
                  <c:v>3310.72</c:v>
                </c:pt>
                <c:pt idx="1">
                  <c:v>204.07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19513888888889"/>
          <c:y val="0.89513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XLSX 工作表.xlsx]Sheet1'!$A$2</c:f>
              <c:strCache>
                <c:ptCount val="1"/>
                <c:pt idx="0">
                  <c:v>2018年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1383.83</a:t>
                    </a:r>
                    <a:r>
                      <a:rPr altLang="en-US"/>
                      <a:t>万占比</a:t>
                    </a:r>
                    <a:endParaRPr altLang="en-US"/>
                  </a:p>
                  <a:p>
                    <a:pPr defTabSz="914400">
                      <a:defRPr lang="zh-CN" sz="900" b="0" i="0" u="none" strike="noStrike" kern="1200" baseline="0">
                        <a:solidFill>
                          <a:schemeClr val="tx1">
                            <a:lumMod val="75000"/>
                            <a:lumOff val="25000"/>
                          </a:schemeClr>
                        </a:solidFill>
                        <a:latin typeface="+mn-lt"/>
                        <a:ea typeface="+mn-ea"/>
                        <a:cs typeface="+mn-cs"/>
                      </a:defRPr>
                    </a:pPr>
                    <a:r>
                      <a:t>66.69%</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2770.98</a:t>
                    </a:r>
                    <a:r>
                      <a:rPr altLang="en-US"/>
                      <a:t>万占比</a:t>
                    </a:r>
                    <a:endParaRPr altLang="en-US"/>
                  </a:p>
                  <a:p>
                    <a:pPr defTabSz="914400">
                      <a:defRPr lang="zh-CN" sz="900" b="0" i="0" u="none" strike="noStrike" kern="1200" baseline="0">
                        <a:solidFill>
                          <a:schemeClr val="tx1">
                            <a:lumMod val="75000"/>
                            <a:lumOff val="25000"/>
                          </a:schemeClr>
                        </a:solidFill>
                        <a:latin typeface="+mn-lt"/>
                        <a:ea typeface="+mn-ea"/>
                        <a:cs typeface="+mn-cs"/>
                      </a:defRPr>
                    </a:pPr>
                    <a:endParaRPr altLang="en-US"/>
                  </a:p>
                  <a:p>
                    <a:pPr defTabSz="914400">
                      <a:defRPr lang="zh-CN" sz="900" b="0" i="0" u="none" strike="noStrike" kern="1200" baseline="0">
                        <a:solidFill>
                          <a:schemeClr val="tx1">
                            <a:lumMod val="75000"/>
                            <a:lumOff val="25000"/>
                          </a:schemeClr>
                        </a:solidFill>
                        <a:latin typeface="+mn-lt"/>
                        <a:ea typeface="+mn-ea"/>
                        <a:cs typeface="+mn-cs"/>
                      </a:defRPr>
                    </a:pPr>
                    <a:r>
                      <a:t>33.31%</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工作表.xlsx]Sheet1'!$B$1:$C$1</c:f>
              <c:strCache>
                <c:ptCount val="2"/>
                <c:pt idx="0">
                  <c:v>基本支出</c:v>
                </c:pt>
                <c:pt idx="1">
                  <c:v>项目支出</c:v>
                </c:pt>
              </c:strCache>
            </c:strRef>
          </c:cat>
          <c:val>
            <c:numRef>
              <c:f>'[新建 XLSX 工作表.xlsx]Sheet1'!$B$3:$C$3</c:f>
              <c:numCache>
                <c:formatCode>0.00%</c:formatCode>
                <c:ptCount val="2"/>
                <c:pt idx="0">
                  <c:v>0.6669</c:v>
                </c:pt>
                <c:pt idx="1">
                  <c:v>0.3331</c:v>
                </c:pt>
              </c:numCache>
            </c:numRef>
          </c:val>
        </c:ser>
        <c:ser>
          <c:idx val="1"/>
          <c:order val="1"/>
          <c:tx>
            <c:strRef>
              <c:f>'[新建 XLSX 工作表.xlsx]Sheet1'!#REF!</c:f>
              <c:strCache>
                <c:ptCount val="1"/>
                <c:pt idx="0">
                  <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工作表.xlsx]Sheet1'!$B$1:$C$1</c:f>
              <c:strCache>
                <c:ptCount val="2"/>
                <c:pt idx="0">
                  <c:v>基本支出</c:v>
                </c:pt>
                <c:pt idx="1">
                  <c:v>项目支出</c:v>
                </c:pt>
              </c:strCache>
            </c:strRef>
          </c:cat>
          <c:val>
            <c:numRef>
              <c:f>'[新建 XLSX 工作表.xlsx]Sheet1'!#REF!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88888888889"/>
          <c:y val="0.0625"/>
          <c:w val="0.814666666666667"/>
          <c:h val="0.597268518518518"/>
        </c:manualLayout>
      </c:layout>
      <c:barChart>
        <c:barDir val="col"/>
        <c:grouping val="clustered"/>
        <c:varyColors val="0"/>
        <c:ser>
          <c:idx val="0"/>
          <c:order val="0"/>
          <c:tx>
            <c:strRef>
              <c:f>'[新建 XLSX 工作表.xlsx]Sheet1'!$A$25</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工作表.xlsx]Sheet1'!$B$24:$C$24</c:f>
              <c:strCache>
                <c:ptCount val="2"/>
                <c:pt idx="0">
                  <c:v>财政拨款收入</c:v>
                </c:pt>
                <c:pt idx="1">
                  <c:v>财政拨款支出</c:v>
                </c:pt>
              </c:strCache>
            </c:strRef>
          </c:cat>
          <c:val>
            <c:numRef>
              <c:f>'[新建 XLSX 工作表.xlsx]Sheet1'!$B$25:$C$25</c:f>
              <c:numCache>
                <c:formatCode>General</c:formatCode>
                <c:ptCount val="2"/>
                <c:pt idx="0">
                  <c:v>3436</c:v>
                </c:pt>
                <c:pt idx="1">
                  <c:v>4053.81</c:v>
                </c:pt>
              </c:numCache>
            </c:numRef>
          </c:val>
        </c:ser>
        <c:ser>
          <c:idx val="1"/>
          <c:order val="1"/>
          <c:tx>
            <c:strRef>
              <c:f>'[新建 XLSX 工作表.xlsx]Sheet1'!$A$26</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工作表.xlsx]Sheet1'!$B$24:$C$24</c:f>
              <c:strCache>
                <c:ptCount val="2"/>
                <c:pt idx="0">
                  <c:v>财政拨款收入</c:v>
                </c:pt>
                <c:pt idx="1">
                  <c:v>财政拨款支出</c:v>
                </c:pt>
              </c:strCache>
            </c:strRef>
          </c:cat>
          <c:val>
            <c:numRef>
              <c:f>'[新建 XLSX 工作表.xlsx]Sheet1'!$B$26:$C$26</c:f>
              <c:numCache>
                <c:formatCode>General</c:formatCode>
                <c:ptCount val="2"/>
                <c:pt idx="0">
                  <c:v>3310.72</c:v>
                </c:pt>
                <c:pt idx="1">
                  <c:v>3958.6</c:v>
                </c:pt>
              </c:numCache>
            </c:numRef>
          </c:val>
        </c:ser>
        <c:dLbls>
          <c:showLegendKey val="0"/>
          <c:showVal val="1"/>
          <c:showCatName val="0"/>
          <c:showSerName val="0"/>
          <c:showPercent val="0"/>
          <c:showBubbleSize val="0"/>
        </c:dLbls>
        <c:gapWidth val="219"/>
        <c:overlap val="-27"/>
        <c:axId val="576823508"/>
        <c:axId val="380089531"/>
      </c:barChart>
      <c:catAx>
        <c:axId val="5768235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0089531"/>
        <c:crosses val="autoZero"/>
        <c:auto val="1"/>
        <c:lblAlgn val="ctr"/>
        <c:lblOffset val="100"/>
        <c:noMultiLvlLbl val="0"/>
      </c:catAx>
      <c:valAx>
        <c:axId val="3800895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68235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'[新建 XLSX 工作表.xlsx]Sheet1'!$A$48</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工作表.xlsx]Sheet1'!$B$47:$C$47</c:f>
              <c:strCache>
                <c:ptCount val="2"/>
                <c:pt idx="0">
                  <c:v>2017年</c:v>
                </c:pt>
                <c:pt idx="1">
                  <c:v>2018年</c:v>
                </c:pt>
              </c:strCache>
            </c:strRef>
          </c:cat>
          <c:val>
            <c:numRef>
              <c:f>'[新建 XLSX 工作表.xlsx]Sheet1'!$B$48:$C$48</c:f>
              <c:numCache>
                <c:formatCode>General</c:formatCode>
                <c:ptCount val="2"/>
                <c:pt idx="0">
                  <c:v>4053.81</c:v>
                </c:pt>
                <c:pt idx="1">
                  <c:v>3958.6</c:v>
                </c:pt>
              </c:numCache>
            </c:numRef>
          </c:val>
        </c:ser>
        <c:ser>
          <c:idx val="1"/>
          <c:order val="1"/>
          <c:tx>
            <c:strRef>
              <c:f>'[新建 XLSX 工作表.xlsx]Sheet1'!$A$49</c:f>
              <c:strCache>
                <c:ptCount val="1"/>
                <c:pt idx="0">
                  <c:v>本年支出合计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工作表.xlsx]Sheet1'!$B$47:$C$47</c:f>
              <c:strCache>
                <c:ptCount val="2"/>
                <c:pt idx="0">
                  <c:v>2017年</c:v>
                </c:pt>
                <c:pt idx="1">
                  <c:v>2018年</c:v>
                </c:pt>
              </c:strCache>
            </c:strRef>
          </c:cat>
          <c:val>
            <c:numRef>
              <c:f>'[新建 XLSX 工作表.xlsx]Sheet1'!$B$49:$C$49</c:f>
              <c:numCache>
                <c:formatCode>General</c:formatCode>
                <c:ptCount val="2"/>
                <c:pt idx="0">
                  <c:v>4188.82</c:v>
                </c:pt>
                <c:pt idx="1">
                  <c:v>4154.81</c:v>
                </c:pt>
              </c:numCache>
            </c:numRef>
          </c:val>
        </c:ser>
        <c:dLbls>
          <c:showLegendKey val="0"/>
          <c:showVal val="1"/>
          <c:showCatName val="0"/>
          <c:showSerName val="0"/>
          <c:showPercent val="0"/>
          <c:showBubbleSize val="0"/>
        </c:dLbls>
        <c:gapWidth val="219"/>
        <c:overlap val="-27"/>
        <c:axId val="45759133"/>
        <c:axId val="374671697"/>
      </c:barChart>
      <c:catAx>
        <c:axId val="4575913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671697"/>
        <c:crosses val="autoZero"/>
        <c:auto val="1"/>
        <c:lblAlgn val="ctr"/>
        <c:lblOffset val="100"/>
        <c:noMultiLvlLbl val="0"/>
      </c:catAx>
      <c:valAx>
        <c:axId val="374671697"/>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75913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236041666666667"/>
          <c:y val="0.89513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XLSX 工作表.xlsx]Sheet1'!$A$57</c:f>
              <c:strCache>
                <c:ptCount val="1"/>
                <c:pt idx="0">
                  <c:v>2018年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254166666666667"/>
                  <c:y val="-0.100694444444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3817.01占比</a:t>
                    </a:r>
                    <a:r>
                      <a:rPr lang="en-US" altLang="zh-CN"/>
                      <a:t>96.42%</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373855078263482"/>
                  <c:y val="0.088246277987618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76.21占比</a:t>
                    </a:r>
                    <a:r>
                      <a:rPr lang="en-US" altLang="zh-CN"/>
                      <a:t>1.93%</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80083014266692"/>
                  <c:y val="-0.01589534834770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24.15占比</a:t>
                    </a:r>
                    <a:r>
                      <a:rPr lang="en-US" altLang="zh-CN"/>
                      <a:t>1.04%</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262981828317416"/>
                  <c:y val="-0.061526805396862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41.23占比      </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0.61%</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工作表.xlsx]Sheet1'!$B$56:$E$56</c:f>
              <c:strCache>
                <c:ptCount val="4"/>
                <c:pt idx="0">
                  <c:v>文化体育与传媒支出</c:v>
                </c:pt>
                <c:pt idx="1">
                  <c:v>社会保障和就业支出</c:v>
                </c:pt>
                <c:pt idx="2">
                  <c:v>医疗卫生于计划生育支出</c:v>
                </c:pt>
                <c:pt idx="3">
                  <c:v>住房保障支出</c:v>
                </c:pt>
              </c:strCache>
            </c:strRef>
          </c:cat>
          <c:val>
            <c:numRef>
              <c:f>'[新建 XLSX 工作表.xlsx]Sheet1'!$B$57:$E$57</c:f>
              <c:numCache>
                <c:formatCode>General</c:formatCode>
                <c:ptCount val="4"/>
                <c:pt idx="0">
                  <c:v>3817.01</c:v>
                </c:pt>
                <c:pt idx="1">
                  <c:v>76.21</c:v>
                </c:pt>
                <c:pt idx="2">
                  <c:v>24.15</c:v>
                </c:pt>
                <c:pt idx="3">
                  <c:v>41.23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4722222222222"/>
          <c:y val="0.0208333333333333"/>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'[新建 XLSX 工作表.xlsx]Sheet1'!$A$68</c:f>
              <c:strCache>
                <c:ptCount val="1"/>
                <c:pt idx="0">
                  <c:v>“三公”经费财政拨款支出</c:v>
                </c:pt>
              </c:strCache>
            </c:strRef>
          </c:tx>
          <c:spPr/>
          <c:explosion val="0"/>
          <c:dPt>
            <c:idx val="0"/>
            <c:bubble3D val="0"/>
            <c:explosion val="17"/>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5"/>
            <c:spPr>
              <a:solidFill>
                <a:schemeClr val="accent3"/>
              </a:solidFill>
              <a:ln w="19050">
                <a:solidFill>
                  <a:schemeClr val="lt1"/>
                </a:solidFill>
              </a:ln>
              <a:effectLst/>
            </c:spPr>
          </c:dPt>
          <c:dLbls>
            <c:dLbl>
              <c:idx val="0"/>
              <c:layout>
                <c:manualLayout>
                  <c:x val="0.158357443649399"/>
                  <c:y val="0.067440369305370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1.28占比</a:t>
                    </a:r>
                    <a:r>
                      <a:rPr lang="en-US" altLang="zh-CN"/>
                      <a:t>2.31%</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31.33占比</a:t>
                    </a:r>
                    <a:r>
                      <a:rPr lang="en-US" altLang="zh-CN"/>
                      <a:t>56.58%</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22.76占比</a:t>
                    </a:r>
                    <a:r>
                      <a:rPr lang="en-US" altLang="zh-CN"/>
                      <a:t>41.11%</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工作表.xlsx]Sheet1'!$B$67:$D$67</c:f>
              <c:strCache>
                <c:ptCount val="3"/>
                <c:pt idx="0">
                  <c:v>因公出国（境）费支出</c:v>
                </c:pt>
                <c:pt idx="1">
                  <c:v>公务用车购置及运行维护费支出</c:v>
                </c:pt>
                <c:pt idx="2">
                  <c:v>公务接待费支出</c:v>
                </c:pt>
              </c:strCache>
            </c:strRef>
          </c:cat>
          <c:val>
            <c:numRef>
              <c:f>'[新建 XLSX 工作表.xlsx]Sheet1'!$B$68:$D$68</c:f>
              <c:numCache>
                <c:formatCode>General</c:formatCode>
                <c:ptCount val="3"/>
                <c:pt idx="0">
                  <c:v>1.28</c:v>
                </c:pt>
                <c:pt idx="1">
                  <c:v>31.33</c:v>
                </c:pt>
                <c:pt idx="2">
                  <c:v>22.76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9</TotalTime>
  <ScaleCrop>false</ScaleCrop>
  <LinksUpToDate>false</LinksUpToDate>
  <CharactersWithSpaces>9641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2019-10-30T03:42:00Z</cp:lastPrinted>
  <dcterms:modified xsi:type="dcterms:W3CDTF">2019-10-31T07:43:08Z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