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F6" w:rsidRDefault="00B736F6">
      <w:pPr>
        <w:spacing w:line="600" w:lineRule="exact"/>
        <w:jc w:val="center"/>
        <w:outlineLvl w:val="0"/>
        <w:rPr>
          <w:rFonts w:ascii="方正小标宋简体" w:eastAsia="方正小标宋简体" w:hAnsi="宋体"/>
          <w:color w:val="000000"/>
          <w:sz w:val="72"/>
          <w:szCs w:val="72"/>
        </w:rPr>
      </w:pPr>
      <w:bookmarkStart w:id="0" w:name="_Toc15306267"/>
    </w:p>
    <w:p w:rsidR="00B736F6" w:rsidRDefault="00B736F6">
      <w:pPr>
        <w:spacing w:line="600" w:lineRule="exact"/>
        <w:jc w:val="center"/>
        <w:outlineLvl w:val="0"/>
        <w:rPr>
          <w:rFonts w:ascii="方正小标宋简体" w:eastAsia="方正小标宋简体" w:hAnsi="宋体"/>
          <w:color w:val="000000"/>
          <w:sz w:val="72"/>
          <w:szCs w:val="72"/>
        </w:rPr>
      </w:pPr>
    </w:p>
    <w:p w:rsidR="00B736F6" w:rsidRDefault="00B736F6">
      <w:pPr>
        <w:spacing w:line="600" w:lineRule="exact"/>
        <w:jc w:val="center"/>
        <w:outlineLvl w:val="0"/>
        <w:rPr>
          <w:rFonts w:ascii="方正小标宋简体" w:eastAsia="方正小标宋简体" w:hAnsi="宋体"/>
          <w:color w:val="000000"/>
          <w:sz w:val="72"/>
          <w:szCs w:val="72"/>
        </w:rPr>
      </w:pPr>
    </w:p>
    <w:p w:rsidR="00B736F6" w:rsidRDefault="00B736F6">
      <w:pPr>
        <w:spacing w:line="600" w:lineRule="exact"/>
        <w:jc w:val="center"/>
        <w:outlineLvl w:val="0"/>
        <w:rPr>
          <w:rFonts w:ascii="方正小标宋简体" w:eastAsia="方正小标宋简体" w:hAnsi="宋体"/>
          <w:color w:val="000000"/>
          <w:sz w:val="72"/>
          <w:szCs w:val="72"/>
        </w:rPr>
      </w:pPr>
    </w:p>
    <w:p w:rsidR="00B736F6" w:rsidRDefault="00B736F6">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B736F6">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广汉市</w:t>
      </w:r>
      <w:r w:rsidR="00293C14">
        <w:rPr>
          <w:rFonts w:ascii="方正小标宋简体" w:eastAsia="方正小标宋简体" w:hAnsi="宋体" w:hint="eastAsia"/>
          <w:color w:val="000000"/>
          <w:sz w:val="72"/>
          <w:szCs w:val="72"/>
        </w:rPr>
        <w:t>不动产登记</w:t>
      </w:r>
      <w:r>
        <w:rPr>
          <w:rFonts w:ascii="方正小标宋简体" w:eastAsia="方正小标宋简体" w:hAnsi="宋体"/>
          <w:color w:val="000000"/>
          <w:sz w:val="72"/>
          <w:szCs w:val="72"/>
        </w:rPr>
        <w:t>中心</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5B5C64">
      <w:pPr>
        <w:adjustRightInd w:val="0"/>
        <w:snapToGrid w:val="0"/>
        <w:spacing w:line="360" w:lineRule="auto"/>
        <w:jc w:val="center"/>
        <w:outlineLvl w:val="0"/>
        <w:rPr>
          <w:rFonts w:ascii="方正小标宋简体" w:eastAsia="方正小标宋简体" w:hAnsi="宋体"/>
          <w:color w:val="000000"/>
          <w:sz w:val="52"/>
          <w:szCs w:val="52"/>
        </w:rPr>
      </w:pPr>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461194">
        <w:rPr>
          <w:rFonts w:hint="eastAsia"/>
        </w:rPr>
        <w:t>10</w:t>
      </w:r>
      <w:r>
        <w:rPr>
          <w:rFonts w:hint="eastAsia"/>
        </w:rPr>
        <w:t>月</w:t>
      </w:r>
      <w:r w:rsidR="00461194">
        <w:rPr>
          <w:rFonts w:hint="eastAsia"/>
        </w:rPr>
        <w:t>20</w:t>
      </w:r>
      <w:bookmarkStart w:id="12" w:name="_GoBack"/>
      <w:bookmarkEnd w:id="12"/>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w:t>
      </w:r>
      <w:proofErr w:type="gramStart"/>
      <w:r w:rsidRPr="00833962">
        <w:rPr>
          <w:rFonts w:hint="eastAsia"/>
          <w:sz w:val="24"/>
        </w:rPr>
        <w:t>度部门</w:t>
      </w:r>
      <w:proofErr w:type="gramEnd"/>
      <w:r w:rsidRPr="00833962">
        <w:rPr>
          <w:rFonts w:hint="eastAsia"/>
          <w:sz w:val="24"/>
        </w:rPr>
        <w:t>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adjustRightInd w:val="0"/>
        <w:snapToGrid w:val="0"/>
        <w:spacing w:line="440" w:lineRule="exact"/>
        <w:ind w:firstLineChars="550" w:firstLine="1320"/>
        <w:jc w:val="left"/>
        <w:rPr>
          <w:rFonts w:ascii="仿宋" w:eastAsia="仿宋" w:hAnsi="仿宋"/>
          <w:color w:val="FF0000"/>
          <w:sz w:val="24"/>
        </w:rPr>
      </w:pPr>
      <w:r w:rsidRPr="00833962">
        <w:rPr>
          <w:rFonts w:ascii="仿宋" w:eastAsia="仿宋" w:hAnsi="仿宋"/>
          <w:color w:val="FF0000"/>
          <w:sz w:val="24"/>
        </w:rPr>
        <w:t>(注：</w:t>
      </w:r>
      <w:proofErr w:type="gramStart"/>
      <w:r w:rsidRPr="00833962">
        <w:rPr>
          <w:rFonts w:ascii="仿宋" w:eastAsia="仿宋" w:hAnsi="仿宋" w:hint="eastAsia"/>
          <w:color w:val="FF0000"/>
          <w:sz w:val="24"/>
        </w:rPr>
        <w:t>请部门</w:t>
      </w:r>
      <w:proofErr w:type="gramEnd"/>
      <w:r w:rsidRPr="00833962">
        <w:rPr>
          <w:rFonts w:ascii="仿宋" w:eastAsia="仿宋" w:hAnsi="仿宋" w:hint="eastAsia"/>
          <w:color w:val="FF0000"/>
          <w:sz w:val="24"/>
        </w:rPr>
        <w:t>根据实际注明页码</w:t>
      </w:r>
      <w:r w:rsidRPr="00833962">
        <w:rPr>
          <w:rFonts w:ascii="仿宋" w:eastAsia="仿宋" w:hAnsi="仿宋"/>
          <w:color w:val="FF0000"/>
          <w:sz w:val="24"/>
        </w:rPr>
        <w:t>)</w:t>
      </w:r>
    </w:p>
    <w:p w:rsidR="00416CD4" w:rsidRDefault="00833962">
      <w:pPr>
        <w:widowControl/>
        <w:spacing w:line="440" w:lineRule="exact"/>
        <w:jc w:val="left"/>
        <w:rPr>
          <w:rFonts w:ascii="仿宋" w:eastAsia="仿宋" w:hAnsi="仿宋"/>
          <w:bCs/>
          <w:kern w:val="44"/>
          <w:sz w:val="24"/>
        </w:rPr>
      </w:pPr>
      <w:bookmarkStart w:id="13" w:name="_Toc15377196"/>
      <w:bookmarkStart w:id="14" w:name="_Toc15396599"/>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5B5C64" w:rsidRDefault="005B5C64">
      <w:pPr>
        <w:widowControl/>
        <w:jc w:val="left"/>
        <w:rPr>
          <w:rFonts w:ascii="黑体" w:eastAsia="黑体"/>
          <w:color w:val="000000"/>
          <w:sz w:val="32"/>
          <w:szCs w:val="32"/>
        </w:rPr>
      </w:pPr>
    </w:p>
    <w:p w:rsidR="005B5C64" w:rsidRDefault="00204CDE">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F405EF"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w:t>
      </w:r>
      <w:bookmarkStart w:id="19" w:name="_Toc15378446"/>
      <w:bookmarkStart w:id="20" w:name="_Toc15377199"/>
      <w:bookmarkEnd w:id="17"/>
      <w:bookmarkEnd w:id="18"/>
    </w:p>
    <w:p w:rsidR="00293C14" w:rsidRDefault="00293C14" w:rsidP="00293C14">
      <w:pPr>
        <w:snapToGrid w:val="0"/>
        <w:spacing w:line="520" w:lineRule="exact"/>
        <w:ind w:firstLineChars="200" w:firstLine="640"/>
        <w:rPr>
          <w:rFonts w:ascii="仿宋_GB2312" w:eastAsia="仿宋_GB2312" w:hAnsi="仿宋"/>
          <w:sz w:val="32"/>
          <w:szCs w:val="32"/>
        </w:rPr>
      </w:pPr>
      <w:r>
        <w:rPr>
          <w:rFonts w:ascii="仿宋_GB2312" w:eastAsia="仿宋_GB2312" w:hAnsi="宋体" w:hint="eastAsia"/>
          <w:sz w:val="32"/>
          <w:szCs w:val="32"/>
        </w:rPr>
        <w:t>我单位是</w:t>
      </w:r>
      <w:r>
        <w:rPr>
          <w:rFonts w:ascii="仿宋_GB2312" w:eastAsia="仿宋_GB2312" w:hAnsi="Tahoma" w:cs="Tahoma" w:hint="eastAsia"/>
          <w:color w:val="000000"/>
          <w:sz w:val="32"/>
          <w:szCs w:val="32"/>
        </w:rPr>
        <w:t>代表政府管理城市房屋产权产籍的专业职能机构，属于行政性全额拨款事业单位，级别为八级。其主要职责是：</w:t>
      </w:r>
      <w:r>
        <w:rPr>
          <w:rFonts w:ascii="仿宋_GB2312" w:eastAsia="仿宋_GB2312" w:hint="eastAsia"/>
          <w:sz w:val="32"/>
          <w:szCs w:val="32"/>
        </w:rPr>
        <w:t>负责本市行政规划区内各类房屋所有权登记以及乡镇国有土地上不动产权登记办证工作；依照国家有关房地产法律、法规，对新建私有房屋、开发企业商品房、单位自管产房屋产权的初始登记；新建商品房的转移登记、二手房买卖以及其他形式的产权转移登记；对房屋交易、抵押进行审批和登记；对商品房预（销）售合同实行预售登记备案管理；搞好房屋产权档案的立卷、归档等管理工作，并向产权人提供房屋产权的查询工作；提供有关房地产产权登记、交易、抵押等方面法律、法规、政策的咨询服务。</w:t>
      </w:r>
    </w:p>
    <w:p w:rsidR="005B5C64"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19"/>
      <w:bookmarkEnd w:id="20"/>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1、加快推进不动产登记工作一窗受理，并行办理。</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目标：在前期一站式受理的基础上，进一步做到</w:t>
      </w:r>
      <w:proofErr w:type="gramStart"/>
      <w:r w:rsidRPr="0087225F">
        <w:rPr>
          <w:rFonts w:ascii="仿宋_GB2312" w:eastAsia="仿宋_GB2312" w:hint="eastAsia"/>
          <w:kern w:val="0"/>
          <w:sz w:val="32"/>
          <w:szCs w:val="32"/>
        </w:rPr>
        <w:t>一</w:t>
      </w:r>
      <w:proofErr w:type="gramEnd"/>
      <w:r w:rsidRPr="0087225F">
        <w:rPr>
          <w:rFonts w:ascii="仿宋_GB2312" w:eastAsia="仿宋_GB2312" w:hint="eastAsia"/>
          <w:kern w:val="0"/>
          <w:sz w:val="32"/>
          <w:szCs w:val="32"/>
        </w:rPr>
        <w:t>窗式受理，在一个窗口，交一套资料，办理完房产交易、税费缴纳、不动产登记业务。</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完成情况：已完成</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 xml:space="preserve"> 2、加快推进农村“房地一体”不动产登记工作的实施。</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目标：按要求，农村“房地一体”不动产登记工作应在</w:t>
      </w:r>
      <w:r w:rsidRPr="0087225F">
        <w:rPr>
          <w:rFonts w:ascii="仿宋_GB2312" w:eastAsia="仿宋_GB2312" w:hint="eastAsia"/>
          <w:kern w:val="0"/>
          <w:sz w:val="32"/>
          <w:szCs w:val="32"/>
        </w:rPr>
        <w:lastRenderedPageBreak/>
        <w:t>2020年全面完成。</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完成情况：因项目资金一直未到位，此项工作还未开展。</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3、进一点压缩不动产登记办理时间。</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目标：将一般不动产登记压缩到5个工作日</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完成情况：已完成</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4、加快推进不动产存量数据整合工作</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目标：房地数据整合到达80%</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完成情况：已完成</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5、做好日常登记工作</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目标：按《不动产登记暂行条例》及《不动产登记暂行条例实施细则》的要求完成日常登记工作。</w:t>
      </w:r>
    </w:p>
    <w:p w:rsidR="0087225F" w:rsidRPr="0087225F" w:rsidRDefault="0087225F" w:rsidP="0087225F">
      <w:pPr>
        <w:spacing w:line="580" w:lineRule="exact"/>
        <w:ind w:firstLineChars="200" w:firstLine="640"/>
        <w:rPr>
          <w:rFonts w:ascii="仿宋_GB2312" w:eastAsia="仿宋_GB2312"/>
          <w:kern w:val="0"/>
          <w:sz w:val="32"/>
          <w:szCs w:val="32"/>
        </w:rPr>
      </w:pPr>
      <w:r w:rsidRPr="0087225F">
        <w:rPr>
          <w:rFonts w:ascii="仿宋_GB2312" w:eastAsia="仿宋_GB2312" w:hint="eastAsia"/>
          <w:kern w:val="0"/>
          <w:sz w:val="32"/>
          <w:szCs w:val="32"/>
        </w:rPr>
        <w:t>完成情况：已完成</w:t>
      </w:r>
    </w:p>
    <w:p w:rsidR="0087225F" w:rsidRPr="0087225F" w:rsidRDefault="0087225F">
      <w:pPr>
        <w:pStyle w:val="a3"/>
        <w:adjustRightInd w:val="0"/>
        <w:snapToGrid w:val="0"/>
        <w:spacing w:before="93" w:line="600" w:lineRule="exact"/>
        <w:ind w:firstLineChars="210" w:firstLine="672"/>
        <w:outlineLvl w:val="2"/>
        <w:rPr>
          <w:rFonts w:ascii="仿宋" w:eastAsia="仿宋" w:hAnsi="仿宋"/>
          <w:bCs/>
          <w:sz w:val="32"/>
          <w:szCs w:val="32"/>
        </w:rPr>
      </w:pPr>
    </w:p>
    <w:p w:rsidR="005B5C64" w:rsidRDefault="00204CDE">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5B5C64" w:rsidRDefault="00293C14">
      <w:pPr>
        <w:ind w:firstLineChars="250" w:firstLine="800"/>
        <w:rPr>
          <w:rFonts w:ascii="仿宋" w:eastAsia="仿宋" w:hAnsi="仿宋"/>
          <w:sz w:val="32"/>
          <w:szCs w:val="32"/>
        </w:rPr>
      </w:pPr>
      <w:r>
        <w:rPr>
          <w:rFonts w:ascii="仿宋" w:eastAsia="仿宋" w:hAnsi="仿宋" w:hint="eastAsia"/>
          <w:sz w:val="32"/>
          <w:szCs w:val="32"/>
        </w:rPr>
        <w:t>全额拨款</w:t>
      </w:r>
      <w:r w:rsidR="00204CDE">
        <w:rPr>
          <w:rFonts w:ascii="仿宋" w:eastAsia="仿宋" w:hAnsi="仿宋" w:hint="eastAsia"/>
          <w:sz w:val="32"/>
          <w:szCs w:val="32"/>
        </w:rPr>
        <w:t>事业单位</w:t>
      </w:r>
      <w:r w:rsidR="00F405EF">
        <w:rPr>
          <w:rFonts w:ascii="仿宋" w:eastAsia="仿宋" w:hAnsi="仿宋" w:hint="eastAsia"/>
          <w:bCs/>
          <w:sz w:val="32"/>
          <w:szCs w:val="32"/>
        </w:rPr>
        <w:t>1</w:t>
      </w:r>
      <w:r w:rsidR="00F405EF">
        <w:rPr>
          <w:rFonts w:ascii="仿宋" w:eastAsia="仿宋" w:hAnsi="仿宋" w:hint="eastAsia"/>
          <w:sz w:val="32"/>
          <w:szCs w:val="32"/>
        </w:rPr>
        <w:t>个</w:t>
      </w:r>
      <w:r w:rsidR="00204CDE">
        <w:rPr>
          <w:rFonts w:ascii="仿宋" w:eastAsia="仿宋" w:hAnsi="仿宋" w:hint="eastAsia"/>
          <w:sz w:val="32"/>
          <w:szCs w:val="32"/>
        </w:rPr>
        <w:t>。</w:t>
      </w:r>
    </w:p>
    <w:p w:rsidR="005B5C64" w:rsidRDefault="00204CDE">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3"/>
      <w:bookmarkEnd w:id="24"/>
    </w:p>
    <w:p w:rsidR="005B5C64" w:rsidRDefault="005B5C64"/>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sidR="0087225F">
        <w:rPr>
          <w:rFonts w:ascii="仿宋" w:eastAsia="仿宋" w:hAnsi="仿宋" w:hint="eastAsia"/>
          <w:color w:val="000000"/>
          <w:sz w:val="32"/>
          <w:szCs w:val="32"/>
        </w:rPr>
        <w:t>年度收入542.21万元，</w:t>
      </w:r>
      <w:r>
        <w:rPr>
          <w:rFonts w:ascii="仿宋" w:eastAsia="仿宋" w:hAnsi="仿宋" w:hint="eastAsia"/>
          <w:color w:val="000000"/>
          <w:sz w:val="32"/>
          <w:szCs w:val="32"/>
        </w:rPr>
        <w:t>支</w:t>
      </w:r>
      <w:r w:rsidR="0087225F">
        <w:rPr>
          <w:rFonts w:ascii="仿宋" w:eastAsia="仿宋" w:hAnsi="仿宋" w:hint="eastAsia"/>
          <w:color w:val="000000"/>
          <w:sz w:val="32"/>
          <w:szCs w:val="32"/>
        </w:rPr>
        <w:t>出</w:t>
      </w:r>
      <w:r>
        <w:rPr>
          <w:rFonts w:ascii="仿宋" w:eastAsia="仿宋" w:hAnsi="仿宋" w:hint="eastAsia"/>
          <w:color w:val="000000"/>
          <w:sz w:val="32"/>
          <w:szCs w:val="32"/>
        </w:rPr>
        <w:t>总计</w:t>
      </w:r>
      <w:r w:rsidR="0087225F">
        <w:rPr>
          <w:rFonts w:ascii="仿宋" w:eastAsia="仿宋" w:hAnsi="仿宋" w:hint="eastAsia"/>
          <w:color w:val="000000"/>
          <w:sz w:val="32"/>
          <w:szCs w:val="32"/>
        </w:rPr>
        <w:t>722.35</w:t>
      </w:r>
      <w:r>
        <w:rPr>
          <w:rFonts w:ascii="仿宋" w:eastAsia="仿宋" w:hAnsi="仿宋" w:hint="eastAsia"/>
          <w:color w:val="000000"/>
          <w:sz w:val="32"/>
          <w:szCs w:val="32"/>
        </w:rPr>
        <w:t>万元。与2018</w:t>
      </w:r>
      <w:r w:rsidR="0087225F">
        <w:rPr>
          <w:rFonts w:ascii="仿宋" w:eastAsia="仿宋" w:hAnsi="仿宋" w:hint="eastAsia"/>
          <w:color w:val="000000"/>
          <w:sz w:val="32"/>
          <w:szCs w:val="32"/>
        </w:rPr>
        <w:t>年相比，收入减少541.32万元，</w:t>
      </w:r>
      <w:r>
        <w:rPr>
          <w:rFonts w:ascii="仿宋" w:eastAsia="仿宋" w:hAnsi="仿宋" w:hint="eastAsia"/>
          <w:color w:val="000000"/>
          <w:sz w:val="32"/>
          <w:szCs w:val="32"/>
        </w:rPr>
        <w:t>支</w:t>
      </w:r>
      <w:r w:rsidR="0087225F">
        <w:rPr>
          <w:rFonts w:ascii="仿宋" w:eastAsia="仿宋" w:hAnsi="仿宋" w:hint="eastAsia"/>
          <w:color w:val="000000"/>
          <w:sz w:val="32"/>
          <w:szCs w:val="32"/>
        </w:rPr>
        <w:t>出总计</w:t>
      </w:r>
      <w:r>
        <w:rPr>
          <w:rFonts w:ascii="仿宋" w:eastAsia="仿宋" w:hAnsi="仿宋" w:hint="eastAsia"/>
          <w:color w:val="000000"/>
          <w:sz w:val="32"/>
          <w:szCs w:val="32"/>
        </w:rPr>
        <w:t>增加</w:t>
      </w:r>
      <w:r w:rsidR="0087225F">
        <w:rPr>
          <w:rFonts w:ascii="仿宋" w:eastAsia="仿宋" w:hAnsi="仿宋" w:hint="eastAsia"/>
          <w:color w:val="000000"/>
          <w:sz w:val="32"/>
          <w:szCs w:val="32"/>
        </w:rPr>
        <w:t>103.71</w:t>
      </w:r>
      <w:r>
        <w:rPr>
          <w:rFonts w:ascii="仿宋" w:eastAsia="仿宋" w:hAnsi="仿宋" w:hint="eastAsia"/>
          <w:color w:val="000000"/>
          <w:sz w:val="32"/>
          <w:szCs w:val="32"/>
        </w:rPr>
        <w:t>万元，增长</w:t>
      </w:r>
      <w:r w:rsidR="0087225F">
        <w:rPr>
          <w:rFonts w:ascii="仿宋" w:eastAsia="仿宋" w:hAnsi="仿宋" w:hint="eastAsia"/>
          <w:color w:val="000000"/>
          <w:sz w:val="32"/>
          <w:szCs w:val="32"/>
        </w:rPr>
        <w:t>16.76</w:t>
      </w:r>
      <w:r>
        <w:rPr>
          <w:rFonts w:ascii="仿宋" w:eastAsia="仿宋" w:hAnsi="仿宋"/>
          <w:color w:val="000000"/>
          <w:sz w:val="32"/>
          <w:szCs w:val="32"/>
        </w:rPr>
        <w:t>%</w:t>
      </w:r>
      <w:r>
        <w:rPr>
          <w:rFonts w:ascii="仿宋" w:eastAsia="仿宋" w:hAnsi="仿宋" w:hint="eastAsia"/>
          <w:color w:val="000000"/>
          <w:sz w:val="32"/>
          <w:szCs w:val="32"/>
        </w:rPr>
        <w:t>。主要变动原因是</w:t>
      </w:r>
      <w:r w:rsidR="00F70D25">
        <w:rPr>
          <w:rFonts w:ascii="仿宋" w:eastAsia="仿宋" w:hAnsi="仿宋" w:hint="eastAsia"/>
          <w:color w:val="000000"/>
          <w:sz w:val="32"/>
          <w:szCs w:val="32"/>
        </w:rPr>
        <w:t>项目</w:t>
      </w:r>
      <w:r w:rsidR="0087225F">
        <w:rPr>
          <w:rFonts w:ascii="仿宋" w:eastAsia="仿宋" w:hAnsi="仿宋" w:hint="eastAsia"/>
          <w:color w:val="000000"/>
          <w:sz w:val="32"/>
          <w:szCs w:val="32"/>
        </w:rPr>
        <w:t>收入在2018年集</w:t>
      </w:r>
      <w:r w:rsidR="0087225F">
        <w:rPr>
          <w:rFonts w:ascii="仿宋" w:eastAsia="仿宋" w:hAnsi="仿宋" w:hint="eastAsia"/>
          <w:color w:val="000000"/>
          <w:sz w:val="32"/>
          <w:szCs w:val="32"/>
        </w:rPr>
        <w:lastRenderedPageBreak/>
        <w:t>中拨付，项目</w:t>
      </w:r>
      <w:r w:rsidR="00F70D25">
        <w:rPr>
          <w:rFonts w:ascii="仿宋" w:eastAsia="仿宋" w:hAnsi="仿宋" w:hint="eastAsia"/>
          <w:color w:val="000000"/>
          <w:sz w:val="32"/>
          <w:szCs w:val="32"/>
        </w:rPr>
        <w:t>支出</w:t>
      </w:r>
      <w:r w:rsidR="0087225F">
        <w:rPr>
          <w:rFonts w:ascii="仿宋" w:eastAsia="仿宋" w:hAnsi="仿宋" w:hint="eastAsia"/>
          <w:color w:val="000000"/>
          <w:sz w:val="32"/>
          <w:szCs w:val="32"/>
        </w:rPr>
        <w:t>在2018年未支付的在2019年集中</w:t>
      </w:r>
      <w:r w:rsidR="00F70D25">
        <w:rPr>
          <w:rFonts w:ascii="仿宋" w:eastAsia="仿宋" w:hAnsi="仿宋" w:hint="eastAsia"/>
          <w:color w:val="000000"/>
          <w:sz w:val="32"/>
          <w:szCs w:val="32"/>
        </w:rPr>
        <w:t>支付。</w:t>
      </w:r>
    </w:p>
    <w:p w:rsidR="005B5C64" w:rsidRDefault="005B5C64">
      <w:pPr>
        <w:spacing w:line="600" w:lineRule="exact"/>
        <w:ind w:firstLineChars="200" w:firstLine="640"/>
        <w:jc w:val="left"/>
        <w:rPr>
          <w:rFonts w:ascii="仿宋_GB2312" w:eastAsia="仿宋_GB2312"/>
          <w:color w:val="00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585B33"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F70D25">
        <w:rPr>
          <w:rFonts w:ascii="仿宋" w:eastAsia="仿宋" w:hAnsi="仿宋" w:hint="eastAsia"/>
          <w:color w:val="000000"/>
          <w:sz w:val="32"/>
          <w:szCs w:val="32"/>
        </w:rPr>
        <w:t>542.12</w:t>
      </w:r>
      <w:r>
        <w:rPr>
          <w:rFonts w:ascii="仿宋" w:eastAsia="仿宋" w:hAnsi="仿宋" w:hint="eastAsia"/>
          <w:color w:val="000000"/>
          <w:sz w:val="32"/>
          <w:szCs w:val="32"/>
        </w:rPr>
        <w:t>万元，其中：一般公共预算财政拨款收入</w:t>
      </w:r>
      <w:r w:rsidR="005B2536">
        <w:rPr>
          <w:rFonts w:ascii="仿宋" w:eastAsia="仿宋" w:hAnsi="仿宋" w:hint="eastAsia"/>
          <w:color w:val="000000"/>
          <w:sz w:val="32"/>
          <w:szCs w:val="32"/>
        </w:rPr>
        <w:t>542.12</w:t>
      </w:r>
      <w:r>
        <w:rPr>
          <w:rFonts w:ascii="仿宋" w:eastAsia="仿宋" w:hAnsi="仿宋" w:hint="eastAsia"/>
          <w:color w:val="000000"/>
          <w:sz w:val="32"/>
          <w:szCs w:val="32"/>
        </w:rPr>
        <w:t>万元，占</w:t>
      </w:r>
      <w:r w:rsidR="005B2536">
        <w:rPr>
          <w:rFonts w:ascii="仿宋" w:eastAsia="仿宋" w:hAnsi="仿宋" w:hint="eastAsia"/>
          <w:color w:val="000000"/>
          <w:sz w:val="32"/>
          <w:szCs w:val="32"/>
        </w:rPr>
        <w:t>100</w:t>
      </w:r>
      <w:r>
        <w:rPr>
          <w:rFonts w:ascii="仿宋" w:eastAsia="仿宋" w:hAnsi="仿宋"/>
          <w:color w:val="000000"/>
          <w:sz w:val="32"/>
          <w:szCs w:val="32"/>
        </w:rPr>
        <w:t>%</w:t>
      </w:r>
      <w:r w:rsidR="005B2536">
        <w:rPr>
          <w:rFonts w:ascii="仿宋" w:eastAsia="仿宋" w:hAnsi="仿宋" w:hint="eastAsia"/>
          <w:color w:val="000000"/>
          <w:sz w:val="32"/>
          <w:szCs w:val="32"/>
        </w:rPr>
        <w:t>.</w:t>
      </w:r>
      <w:r w:rsidR="005B2536">
        <w:rPr>
          <w:rFonts w:ascii="仿宋" w:eastAsia="仿宋" w:hAnsi="仿宋"/>
          <w:color w:val="000000"/>
          <w:sz w:val="32"/>
          <w:szCs w:val="32"/>
        </w:rPr>
        <w:t xml:space="preserve"> </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5B5C64" w:rsidRPr="00C30E69"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5B2536">
        <w:rPr>
          <w:rFonts w:ascii="仿宋" w:eastAsia="仿宋" w:hAnsi="仿宋" w:hint="eastAsia"/>
          <w:color w:val="000000"/>
          <w:sz w:val="32"/>
          <w:szCs w:val="32"/>
        </w:rPr>
        <w:t>722.35</w:t>
      </w:r>
      <w:r>
        <w:rPr>
          <w:rFonts w:ascii="仿宋" w:eastAsia="仿宋" w:hAnsi="仿宋" w:hint="eastAsia"/>
          <w:color w:val="000000"/>
          <w:sz w:val="32"/>
          <w:szCs w:val="32"/>
        </w:rPr>
        <w:t>万元，其中：基本支出</w:t>
      </w:r>
      <w:r w:rsidR="005B2536">
        <w:rPr>
          <w:rFonts w:ascii="仿宋" w:eastAsia="仿宋" w:hAnsi="仿宋" w:hint="eastAsia"/>
          <w:color w:val="000000"/>
          <w:sz w:val="32"/>
          <w:szCs w:val="32"/>
        </w:rPr>
        <w:t>474.35</w:t>
      </w:r>
      <w:r>
        <w:rPr>
          <w:rFonts w:ascii="仿宋" w:eastAsia="仿宋" w:hAnsi="仿宋" w:hint="eastAsia"/>
          <w:color w:val="000000"/>
          <w:sz w:val="32"/>
          <w:szCs w:val="32"/>
        </w:rPr>
        <w:t>万元，占</w:t>
      </w:r>
      <w:r w:rsidR="005B2536">
        <w:rPr>
          <w:rFonts w:ascii="仿宋" w:eastAsia="仿宋" w:hAnsi="仿宋" w:hint="eastAsia"/>
          <w:color w:val="000000"/>
          <w:sz w:val="32"/>
          <w:szCs w:val="32"/>
        </w:rPr>
        <w:t>65.67</w:t>
      </w:r>
      <w:r>
        <w:rPr>
          <w:rFonts w:ascii="仿宋" w:eastAsia="仿宋" w:hAnsi="仿宋"/>
          <w:color w:val="000000"/>
          <w:sz w:val="32"/>
          <w:szCs w:val="32"/>
        </w:rPr>
        <w:t>%</w:t>
      </w:r>
      <w:r>
        <w:rPr>
          <w:rFonts w:ascii="仿宋" w:eastAsia="仿宋" w:hAnsi="仿宋" w:hint="eastAsia"/>
          <w:color w:val="000000"/>
          <w:sz w:val="32"/>
          <w:szCs w:val="32"/>
        </w:rPr>
        <w:t>；项目支出</w:t>
      </w:r>
      <w:r w:rsidR="005B2536">
        <w:rPr>
          <w:rFonts w:ascii="仿宋" w:eastAsia="仿宋" w:hAnsi="仿宋" w:hint="eastAsia"/>
          <w:color w:val="000000"/>
          <w:sz w:val="32"/>
          <w:szCs w:val="32"/>
        </w:rPr>
        <w:t>248</w:t>
      </w:r>
      <w:r>
        <w:rPr>
          <w:rFonts w:ascii="仿宋" w:eastAsia="仿宋" w:hAnsi="仿宋" w:hint="eastAsia"/>
          <w:color w:val="000000"/>
          <w:sz w:val="32"/>
          <w:szCs w:val="32"/>
        </w:rPr>
        <w:t>万元，占</w:t>
      </w:r>
      <w:r w:rsidR="005B2536">
        <w:rPr>
          <w:rFonts w:ascii="仿宋" w:eastAsia="仿宋" w:hAnsi="仿宋" w:hint="eastAsia"/>
          <w:color w:val="000000"/>
          <w:sz w:val="32"/>
          <w:szCs w:val="32"/>
        </w:rPr>
        <w:t>34.33</w:t>
      </w:r>
      <w:r>
        <w:rPr>
          <w:rFonts w:ascii="仿宋" w:eastAsia="仿宋" w:hAnsi="仿宋"/>
          <w:color w:val="000000"/>
          <w:sz w:val="32"/>
          <w:szCs w:val="32"/>
        </w:rPr>
        <w:t>%</w:t>
      </w:r>
      <w:r>
        <w:rPr>
          <w:rFonts w:ascii="仿宋" w:eastAsia="仿宋" w:hAnsi="仿宋" w:hint="eastAsia"/>
          <w:color w:val="000000"/>
          <w:sz w:val="32"/>
          <w:szCs w:val="32"/>
        </w:rPr>
        <w:t>。</w:t>
      </w:r>
    </w:p>
    <w:p w:rsidR="005B5C64" w:rsidRDefault="005B5C64">
      <w:pPr>
        <w:spacing w:line="600" w:lineRule="exact"/>
        <w:ind w:firstLineChars="200" w:firstLine="640"/>
        <w:rPr>
          <w:rFonts w:ascii="仿宋_GB2312" w:eastAsia="仿宋_GB2312"/>
          <w:color w:val="FF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E472B1" w:rsidRDefault="00204CDE"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5B2536">
        <w:rPr>
          <w:rFonts w:ascii="仿宋" w:eastAsia="仿宋" w:hAnsi="仿宋" w:hint="eastAsia"/>
          <w:color w:val="000000"/>
          <w:sz w:val="32"/>
          <w:szCs w:val="32"/>
        </w:rPr>
        <w:t>年财政拨款收入总计542.21万元，</w:t>
      </w:r>
      <w:r>
        <w:rPr>
          <w:rFonts w:ascii="仿宋" w:eastAsia="仿宋" w:hAnsi="仿宋" w:hint="eastAsia"/>
          <w:color w:val="000000"/>
          <w:sz w:val="32"/>
          <w:szCs w:val="32"/>
        </w:rPr>
        <w:t>支</w:t>
      </w:r>
      <w:r w:rsidR="005B2536">
        <w:rPr>
          <w:rFonts w:ascii="仿宋" w:eastAsia="仿宋" w:hAnsi="仿宋" w:hint="eastAsia"/>
          <w:color w:val="000000"/>
          <w:sz w:val="32"/>
          <w:szCs w:val="32"/>
        </w:rPr>
        <w:t>出</w:t>
      </w:r>
      <w:r>
        <w:rPr>
          <w:rFonts w:ascii="仿宋" w:eastAsia="仿宋" w:hAnsi="仿宋" w:hint="eastAsia"/>
          <w:color w:val="000000"/>
          <w:sz w:val="32"/>
          <w:szCs w:val="32"/>
        </w:rPr>
        <w:t>总计</w:t>
      </w:r>
      <w:r w:rsidR="005B2536">
        <w:rPr>
          <w:rFonts w:ascii="仿宋" w:eastAsia="仿宋" w:hAnsi="仿宋" w:hint="eastAsia"/>
          <w:color w:val="000000"/>
          <w:sz w:val="32"/>
          <w:szCs w:val="32"/>
        </w:rPr>
        <w:t>722.35</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sidR="00505ADA">
        <w:rPr>
          <w:rFonts w:ascii="仿宋" w:eastAsia="仿宋" w:hAnsi="仿宋" w:hint="eastAsia"/>
          <w:color w:val="000000"/>
          <w:sz w:val="32"/>
          <w:szCs w:val="32"/>
        </w:rPr>
        <w:t>年相比，财政拨款收入减少541.32万元，</w:t>
      </w:r>
      <w:r>
        <w:rPr>
          <w:rFonts w:ascii="仿宋" w:eastAsia="仿宋" w:hAnsi="仿宋" w:hint="eastAsia"/>
          <w:color w:val="000000"/>
          <w:sz w:val="32"/>
          <w:szCs w:val="32"/>
        </w:rPr>
        <w:t>支</w:t>
      </w:r>
      <w:r w:rsidR="00505ADA">
        <w:rPr>
          <w:rFonts w:ascii="仿宋" w:eastAsia="仿宋" w:hAnsi="仿宋" w:hint="eastAsia"/>
          <w:color w:val="000000"/>
          <w:sz w:val="32"/>
          <w:szCs w:val="32"/>
        </w:rPr>
        <w:t>出</w:t>
      </w:r>
      <w:r>
        <w:rPr>
          <w:rFonts w:ascii="仿宋" w:eastAsia="仿宋" w:hAnsi="仿宋" w:hint="eastAsia"/>
          <w:color w:val="000000"/>
          <w:sz w:val="32"/>
          <w:szCs w:val="32"/>
        </w:rPr>
        <w:t>总计各增加</w:t>
      </w:r>
      <w:r w:rsidR="00505ADA">
        <w:rPr>
          <w:rFonts w:ascii="仿宋" w:eastAsia="仿宋" w:hAnsi="仿宋" w:hint="eastAsia"/>
          <w:color w:val="000000"/>
          <w:sz w:val="32"/>
          <w:szCs w:val="32"/>
        </w:rPr>
        <w:t>103.71</w:t>
      </w:r>
      <w:r>
        <w:rPr>
          <w:rFonts w:ascii="仿宋" w:eastAsia="仿宋" w:hAnsi="仿宋" w:hint="eastAsia"/>
          <w:color w:val="000000"/>
          <w:sz w:val="32"/>
          <w:szCs w:val="32"/>
        </w:rPr>
        <w:t>万元</w:t>
      </w:r>
      <w:r w:rsidR="00AB5161">
        <w:rPr>
          <w:rFonts w:ascii="仿宋" w:eastAsia="仿宋" w:hAnsi="仿宋" w:hint="eastAsia"/>
          <w:color w:val="000000"/>
          <w:sz w:val="32"/>
          <w:szCs w:val="32"/>
        </w:rPr>
        <w:t>，收入下降49.96%，</w:t>
      </w:r>
      <w:r w:rsidR="00AB5161">
        <w:rPr>
          <w:rFonts w:ascii="仿宋" w:eastAsia="仿宋" w:hAnsi="仿宋"/>
          <w:color w:val="000000"/>
          <w:sz w:val="32"/>
          <w:szCs w:val="32"/>
        </w:rPr>
        <w:t>支出</w:t>
      </w:r>
      <w:r w:rsidR="00AB5161">
        <w:rPr>
          <w:rFonts w:ascii="仿宋" w:eastAsia="仿宋" w:hAnsi="仿宋" w:hint="eastAsia"/>
          <w:color w:val="000000"/>
          <w:sz w:val="32"/>
          <w:szCs w:val="32"/>
        </w:rPr>
        <w:t>增加16.76</w:t>
      </w:r>
      <w:r>
        <w:rPr>
          <w:rFonts w:ascii="仿宋" w:eastAsia="仿宋" w:hAnsi="仿宋"/>
          <w:color w:val="000000"/>
          <w:sz w:val="32"/>
          <w:szCs w:val="32"/>
        </w:rPr>
        <w:t>%</w:t>
      </w:r>
      <w:r>
        <w:rPr>
          <w:rFonts w:ascii="仿宋" w:eastAsia="仿宋" w:hAnsi="仿宋" w:hint="eastAsia"/>
          <w:color w:val="000000"/>
          <w:sz w:val="32"/>
          <w:szCs w:val="32"/>
        </w:rPr>
        <w:t>。主要变动原因是</w:t>
      </w:r>
      <w:r w:rsidR="00AB5161">
        <w:rPr>
          <w:rFonts w:ascii="仿宋" w:eastAsia="仿宋" w:hAnsi="仿宋" w:hint="eastAsia"/>
          <w:color w:val="000000"/>
          <w:sz w:val="32"/>
          <w:szCs w:val="32"/>
        </w:rPr>
        <w:t>项目收入在2018年已经拨付，项目支出在2019年支付。</w:t>
      </w:r>
    </w:p>
    <w:p w:rsidR="00416CD4" w:rsidRDefault="00416CD4">
      <w:pPr>
        <w:spacing w:line="600" w:lineRule="exact"/>
        <w:rPr>
          <w:rFonts w:ascii="仿宋" w:eastAsia="仿宋" w:hAnsi="仿宋"/>
          <w:color w:val="000000"/>
          <w:sz w:val="32"/>
          <w:szCs w:val="32"/>
        </w:rPr>
      </w:pPr>
    </w:p>
    <w:p w:rsidR="005B5C64" w:rsidRDefault="005B5C64">
      <w:pPr>
        <w:spacing w:line="600" w:lineRule="exact"/>
        <w:ind w:firstLine="640"/>
        <w:rPr>
          <w:rFonts w:ascii="仿宋" w:eastAsia="仿宋" w:hAnsi="仿宋"/>
          <w:b/>
          <w:color w:val="00B05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B622EE">
        <w:rPr>
          <w:rFonts w:ascii="仿宋" w:eastAsia="仿宋" w:hAnsi="仿宋" w:hint="eastAsia"/>
          <w:color w:val="000000"/>
          <w:sz w:val="32"/>
          <w:szCs w:val="32"/>
        </w:rPr>
        <w:t>722.35</w:t>
      </w:r>
      <w:r>
        <w:rPr>
          <w:rFonts w:ascii="仿宋" w:eastAsia="仿宋" w:hAnsi="仿宋" w:hint="eastAsia"/>
          <w:color w:val="000000"/>
          <w:sz w:val="32"/>
          <w:szCs w:val="32"/>
        </w:rPr>
        <w:t>万元，占本年支出合计的</w:t>
      </w:r>
      <w:r w:rsidR="00B622EE">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8年相比，一般公共预算财政拨款减少</w:t>
      </w:r>
      <w:r w:rsidR="00B622EE">
        <w:rPr>
          <w:rFonts w:ascii="仿宋" w:eastAsia="仿宋" w:hAnsi="仿宋" w:hint="eastAsia"/>
          <w:color w:val="000000"/>
          <w:sz w:val="32"/>
          <w:szCs w:val="32"/>
        </w:rPr>
        <w:t>541.32</w:t>
      </w:r>
      <w:r>
        <w:rPr>
          <w:rFonts w:ascii="仿宋" w:eastAsia="仿宋" w:hAnsi="仿宋" w:hint="eastAsia"/>
          <w:color w:val="000000"/>
          <w:sz w:val="32"/>
          <w:szCs w:val="32"/>
        </w:rPr>
        <w:t>万元，下降</w:t>
      </w:r>
      <w:r w:rsidR="00B622EE">
        <w:rPr>
          <w:rFonts w:ascii="仿宋" w:eastAsia="仿宋" w:hAnsi="仿宋" w:hint="eastAsia"/>
          <w:color w:val="000000"/>
          <w:sz w:val="32"/>
          <w:szCs w:val="32"/>
        </w:rPr>
        <w:t>49.96</w:t>
      </w:r>
      <w:r>
        <w:rPr>
          <w:rFonts w:ascii="仿宋" w:eastAsia="仿宋" w:hAnsi="仿宋"/>
          <w:color w:val="000000"/>
          <w:sz w:val="32"/>
          <w:szCs w:val="32"/>
        </w:rPr>
        <w:t>%</w:t>
      </w:r>
      <w:r>
        <w:rPr>
          <w:rFonts w:ascii="仿宋" w:eastAsia="仿宋" w:hAnsi="仿宋" w:hint="eastAsia"/>
          <w:color w:val="000000"/>
          <w:sz w:val="32"/>
          <w:szCs w:val="32"/>
        </w:rPr>
        <w:t>。主要变动原因是</w:t>
      </w:r>
      <w:r w:rsidR="00B622EE">
        <w:rPr>
          <w:rFonts w:ascii="仿宋" w:eastAsia="仿宋" w:hAnsi="仿宋" w:hint="eastAsia"/>
          <w:color w:val="000000"/>
          <w:sz w:val="32"/>
          <w:szCs w:val="32"/>
        </w:rPr>
        <w:t>项目拨</w:t>
      </w:r>
      <w:r w:rsidR="00B622EE">
        <w:rPr>
          <w:rFonts w:ascii="仿宋" w:eastAsia="仿宋" w:hAnsi="仿宋" w:hint="eastAsia"/>
          <w:color w:val="000000"/>
          <w:sz w:val="32"/>
          <w:szCs w:val="32"/>
        </w:rPr>
        <w:lastRenderedPageBreak/>
        <w:t>款在2018年已经拨付，项目支出在2019年支付。</w:t>
      </w:r>
    </w:p>
    <w:p w:rsidR="00A733B2" w:rsidRDefault="00A733B2">
      <w:pPr>
        <w:spacing w:line="600" w:lineRule="exact"/>
        <w:ind w:firstLineChars="200" w:firstLine="640"/>
        <w:rPr>
          <w:rFonts w:ascii="仿宋" w:eastAsia="仿宋" w:hAnsi="仿宋"/>
          <w:color w:val="000000"/>
          <w:sz w:val="32"/>
          <w:szCs w:val="32"/>
        </w:rPr>
      </w:pPr>
    </w:p>
    <w:p w:rsidR="00A733B2" w:rsidRDefault="00A733B2">
      <w:pPr>
        <w:spacing w:line="600" w:lineRule="exact"/>
        <w:ind w:firstLineChars="200" w:firstLine="640"/>
        <w:rPr>
          <w:rFonts w:ascii="仿宋" w:eastAsia="仿宋" w:hAnsi="仿宋"/>
          <w:color w:val="000000" w:themeColor="text1"/>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5B5C64" w:rsidRDefault="00204CDE">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403D9B">
        <w:rPr>
          <w:rFonts w:ascii="仿宋" w:eastAsia="仿宋" w:hAnsi="仿宋" w:hint="eastAsia"/>
          <w:color w:val="000000" w:themeColor="text1"/>
          <w:sz w:val="32"/>
          <w:szCs w:val="32"/>
        </w:rPr>
        <w:t>722.35</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403D9B">
        <w:rPr>
          <w:rFonts w:ascii="仿宋" w:eastAsia="仿宋" w:hAnsi="仿宋" w:hint="eastAsia"/>
          <w:color w:val="000000" w:themeColor="text1"/>
          <w:sz w:val="32"/>
          <w:szCs w:val="32"/>
        </w:rPr>
        <w:t>722.35</w:t>
      </w:r>
      <w:r>
        <w:rPr>
          <w:rFonts w:ascii="仿宋" w:eastAsia="仿宋" w:hAnsi="仿宋" w:hint="eastAsia"/>
          <w:color w:val="000000" w:themeColor="text1"/>
          <w:sz w:val="32"/>
          <w:szCs w:val="32"/>
        </w:rPr>
        <w:t>万元，占</w:t>
      </w:r>
      <w:r w:rsidR="00403D9B">
        <w:rPr>
          <w:rFonts w:ascii="仿宋" w:eastAsia="仿宋" w:hAnsi="仿宋" w:hint="eastAsia"/>
          <w:color w:val="000000" w:themeColor="text1"/>
          <w:sz w:val="32"/>
          <w:szCs w:val="32"/>
        </w:rPr>
        <w:t>100</w:t>
      </w:r>
      <w:r>
        <w:rPr>
          <w:rFonts w:ascii="仿宋" w:eastAsia="仿宋" w:hAnsi="仿宋"/>
          <w:color w:val="000000" w:themeColor="text1"/>
          <w:sz w:val="32"/>
          <w:szCs w:val="32"/>
        </w:rPr>
        <w:t>%</w:t>
      </w:r>
      <w:r w:rsidR="00403D9B">
        <w:rPr>
          <w:rFonts w:ascii="仿宋" w:eastAsia="仿宋" w:hAnsi="仿宋" w:hint="eastAsia"/>
          <w:b/>
          <w:color w:val="000000" w:themeColor="text1"/>
          <w:sz w:val="32"/>
          <w:szCs w:val="32"/>
        </w:rPr>
        <w:t>。</w:t>
      </w:r>
    </w:p>
    <w:p w:rsidR="00A733B2" w:rsidRDefault="00A733B2">
      <w:pPr>
        <w:spacing w:line="600" w:lineRule="exact"/>
        <w:ind w:firstLine="640"/>
        <w:rPr>
          <w:rFonts w:ascii="仿宋" w:eastAsia="仿宋" w:hAnsi="仿宋"/>
          <w:color w:val="000000" w:themeColor="text1"/>
          <w:sz w:val="32"/>
          <w:szCs w:val="32"/>
        </w:rPr>
      </w:pPr>
    </w:p>
    <w:p w:rsidR="005B5C64" w:rsidRDefault="005B5C64">
      <w:pPr>
        <w:spacing w:line="600" w:lineRule="exact"/>
        <w:ind w:firstLineChars="200" w:firstLine="640"/>
        <w:rPr>
          <w:rFonts w:ascii="仿宋" w:eastAsia="仿宋" w:hAnsi="仿宋"/>
          <w:color w:val="000000"/>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5B5C64" w:rsidRDefault="00204CDE">
      <w:pPr>
        <w:spacing w:line="600" w:lineRule="exact"/>
        <w:ind w:firstLineChars="200" w:firstLine="643"/>
        <w:outlineLvl w:val="2"/>
        <w:rPr>
          <w:rFonts w:ascii="仿宋" w:eastAsia="仿宋" w:hAnsi="仿宋"/>
          <w:color w:val="FF0000"/>
          <w:sz w:val="32"/>
          <w:szCs w:val="32"/>
        </w:rPr>
      </w:pPr>
      <w:bookmarkStart w:id="38" w:name="_Toc15377213"/>
      <w:bookmarkStart w:id="39" w:name="_Toc15378460"/>
      <w:bookmarkStart w:id="40" w:name="_Toc15377444"/>
      <w:r>
        <w:rPr>
          <w:rFonts w:ascii="仿宋" w:eastAsia="仿宋" w:hAnsi="仿宋" w:hint="eastAsia"/>
          <w:b/>
          <w:color w:val="000000" w:themeColor="text1"/>
          <w:sz w:val="32"/>
          <w:szCs w:val="32"/>
        </w:rPr>
        <w:t>2019年般公共预算支出决算数为</w:t>
      </w:r>
      <w:r w:rsidR="00FC68B1">
        <w:rPr>
          <w:rFonts w:ascii="仿宋" w:eastAsia="仿宋" w:hAnsi="仿宋" w:hint="eastAsia"/>
          <w:b/>
          <w:color w:val="000000" w:themeColor="text1"/>
          <w:sz w:val="32"/>
          <w:szCs w:val="32"/>
        </w:rPr>
        <w:t>722.35万元</w:t>
      </w:r>
      <w:r w:rsidR="005E4026">
        <w:rPr>
          <w:rFonts w:ascii="仿宋" w:eastAsia="仿宋" w:hAnsi="仿宋" w:hint="eastAsia"/>
          <w:color w:val="000000" w:themeColor="text1"/>
          <w:sz w:val="32"/>
          <w:szCs w:val="32"/>
        </w:rPr>
        <w:t>，</w:t>
      </w:r>
      <w:r>
        <w:rPr>
          <w:rStyle w:val="a7"/>
          <w:rFonts w:ascii="仿宋" w:eastAsia="仿宋" w:hAnsi="仿宋" w:hint="eastAsia"/>
          <w:bCs/>
          <w:color w:val="000000"/>
          <w:sz w:val="32"/>
          <w:szCs w:val="32"/>
        </w:rPr>
        <w:t>其中：</w:t>
      </w:r>
      <w:bookmarkEnd w:id="38"/>
      <w:bookmarkEnd w:id="39"/>
      <w:bookmarkEnd w:id="40"/>
    </w:p>
    <w:p w:rsidR="00FC68B1" w:rsidRDefault="00FC68B1" w:rsidP="00FC68B1">
      <w:pPr>
        <w:numPr>
          <w:ilvl w:val="0"/>
          <w:numId w:val="6"/>
        </w:numPr>
        <w:snapToGrid w:val="0"/>
        <w:spacing w:line="520" w:lineRule="exact"/>
        <w:rPr>
          <w:rFonts w:ascii="仿宋_GB2312" w:eastAsia="仿宋_GB2312" w:hAnsi="仿宋"/>
          <w:b/>
          <w:sz w:val="32"/>
          <w:szCs w:val="32"/>
        </w:rPr>
      </w:pPr>
      <w:r>
        <w:rPr>
          <w:rFonts w:ascii="仿宋_GB2312" w:eastAsia="仿宋_GB2312" w:hAnsi="仿宋" w:hint="eastAsia"/>
          <w:b/>
          <w:sz w:val="32"/>
          <w:szCs w:val="32"/>
        </w:rPr>
        <w:t>收入支出与预算对比分析。</w:t>
      </w:r>
    </w:p>
    <w:p w:rsidR="00FC68B1" w:rsidRDefault="00FC68B1" w:rsidP="00FC68B1">
      <w:pPr>
        <w:snapToGrid w:val="0"/>
        <w:spacing w:line="588" w:lineRule="exact"/>
        <w:ind w:leftChars="649" w:left="1363" w:firstLineChars="400" w:firstLine="964"/>
        <w:rPr>
          <w:rFonts w:ascii="宋体" w:hAnsi="宋体"/>
          <w:b/>
          <w:sz w:val="24"/>
        </w:rPr>
      </w:pPr>
      <w:r>
        <w:rPr>
          <w:rFonts w:ascii="宋体" w:hAnsi="宋体" w:hint="eastAsia"/>
          <w:b/>
          <w:sz w:val="24"/>
        </w:rPr>
        <w:t>收入支出与预算对比表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080"/>
        <w:gridCol w:w="1080"/>
        <w:gridCol w:w="1080"/>
        <w:gridCol w:w="2654"/>
      </w:tblGrid>
      <w:tr w:rsidR="00FC68B1" w:rsidRPr="007414ED" w:rsidTr="00BC69B2">
        <w:tc>
          <w:tcPr>
            <w:tcW w:w="648"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sidRPr="007414ED">
              <w:rPr>
                <w:rFonts w:ascii="宋体" w:hAnsi="宋体" w:hint="eastAsia"/>
                <w:sz w:val="18"/>
                <w:szCs w:val="21"/>
              </w:rPr>
              <w:t>序号</w:t>
            </w:r>
          </w:p>
        </w:tc>
        <w:tc>
          <w:tcPr>
            <w:tcW w:w="19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sidRPr="007414ED">
              <w:rPr>
                <w:rFonts w:ascii="宋体" w:hAnsi="宋体" w:hint="eastAsia"/>
                <w:sz w:val="18"/>
                <w:szCs w:val="21"/>
              </w:rPr>
              <w:t>支出功能分类</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sidRPr="007414ED">
              <w:rPr>
                <w:rFonts w:ascii="宋体" w:hAnsi="宋体" w:hint="eastAsia"/>
                <w:sz w:val="18"/>
                <w:szCs w:val="21"/>
              </w:rPr>
              <w:t>预算数</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sidRPr="007414ED">
              <w:rPr>
                <w:rFonts w:ascii="宋体" w:hAnsi="宋体" w:hint="eastAsia"/>
                <w:sz w:val="18"/>
                <w:szCs w:val="21"/>
              </w:rPr>
              <w:t>决算数</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sidRPr="007414ED">
              <w:rPr>
                <w:rFonts w:ascii="宋体" w:hAnsi="宋体" w:hint="eastAsia"/>
                <w:sz w:val="18"/>
                <w:szCs w:val="21"/>
              </w:rPr>
              <w:t>差异率%</w:t>
            </w:r>
          </w:p>
        </w:tc>
        <w:tc>
          <w:tcPr>
            <w:tcW w:w="2654"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sidRPr="007414ED">
              <w:rPr>
                <w:rFonts w:ascii="宋体" w:hAnsi="宋体" w:hint="eastAsia"/>
                <w:sz w:val="18"/>
                <w:szCs w:val="21"/>
              </w:rPr>
              <w:t>差异原因</w:t>
            </w:r>
          </w:p>
        </w:tc>
      </w:tr>
      <w:tr w:rsidR="00FC68B1" w:rsidRPr="007414ED" w:rsidTr="00BC69B2">
        <w:tc>
          <w:tcPr>
            <w:tcW w:w="648"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sidRPr="007414ED">
              <w:rPr>
                <w:rFonts w:ascii="宋体" w:hAnsi="宋体" w:hint="eastAsia"/>
                <w:sz w:val="18"/>
                <w:szCs w:val="21"/>
              </w:rPr>
              <w:t>1</w:t>
            </w:r>
          </w:p>
        </w:tc>
        <w:tc>
          <w:tcPr>
            <w:tcW w:w="19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社会保障和就业支出</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42.17</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45.1</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-6.95%</w:t>
            </w:r>
          </w:p>
        </w:tc>
        <w:tc>
          <w:tcPr>
            <w:tcW w:w="2654"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sz w:val="18"/>
                <w:szCs w:val="21"/>
              </w:rPr>
              <w:t>去年未用完指标今年用完</w:t>
            </w:r>
          </w:p>
        </w:tc>
      </w:tr>
      <w:tr w:rsidR="00FC68B1" w:rsidRPr="007414ED" w:rsidTr="00BC69B2">
        <w:tc>
          <w:tcPr>
            <w:tcW w:w="648"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p>
        </w:tc>
        <w:tc>
          <w:tcPr>
            <w:tcW w:w="19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卫生健康支出</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12.63</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12.63</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p>
        </w:tc>
        <w:tc>
          <w:tcPr>
            <w:tcW w:w="2654"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p>
        </w:tc>
      </w:tr>
      <w:tr w:rsidR="00FC68B1" w:rsidRPr="007414ED" w:rsidTr="00BC69B2">
        <w:tc>
          <w:tcPr>
            <w:tcW w:w="648"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Pr>
                <w:rFonts w:ascii="宋体" w:hAnsi="宋体" w:hint="eastAsia"/>
                <w:sz w:val="18"/>
                <w:szCs w:val="21"/>
              </w:rPr>
              <w:t>2</w:t>
            </w:r>
          </w:p>
        </w:tc>
        <w:tc>
          <w:tcPr>
            <w:tcW w:w="19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自然资源事务</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466.36</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395.66</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15.16%</w:t>
            </w:r>
          </w:p>
        </w:tc>
        <w:tc>
          <w:tcPr>
            <w:tcW w:w="2654"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18"/>
              </w:rPr>
            </w:pPr>
            <w:r>
              <w:rPr>
                <w:rFonts w:ascii="宋体" w:hAnsi="宋体" w:hint="eastAsia"/>
                <w:sz w:val="18"/>
                <w:szCs w:val="18"/>
              </w:rPr>
              <w:t>本年度应付款今年未支付</w:t>
            </w:r>
          </w:p>
        </w:tc>
      </w:tr>
      <w:tr w:rsidR="00FC68B1" w:rsidRPr="007414ED" w:rsidTr="00BC69B2">
        <w:tc>
          <w:tcPr>
            <w:tcW w:w="648"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Pr>
                <w:rFonts w:ascii="宋体" w:hAnsi="宋体" w:hint="eastAsia"/>
                <w:sz w:val="18"/>
                <w:szCs w:val="21"/>
              </w:rPr>
              <w:t>3</w:t>
            </w:r>
          </w:p>
        </w:tc>
        <w:tc>
          <w:tcPr>
            <w:tcW w:w="19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其他国土资源事务支出</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0</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0</w:t>
            </w:r>
          </w:p>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248.00</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p>
        </w:tc>
        <w:tc>
          <w:tcPr>
            <w:tcW w:w="2654"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18"/>
              </w:rPr>
            </w:pPr>
            <w:r>
              <w:rPr>
                <w:rFonts w:ascii="宋体" w:hAnsi="宋体" w:hint="eastAsia"/>
                <w:sz w:val="18"/>
                <w:szCs w:val="18"/>
              </w:rPr>
              <w:t>按合同进度还没有</w:t>
            </w:r>
            <w:proofErr w:type="gramStart"/>
            <w:r>
              <w:rPr>
                <w:rFonts w:ascii="宋体" w:hAnsi="宋体" w:hint="eastAsia"/>
                <w:sz w:val="18"/>
                <w:szCs w:val="18"/>
              </w:rPr>
              <w:t>到支付</w:t>
            </w:r>
            <w:proofErr w:type="gramEnd"/>
            <w:r>
              <w:rPr>
                <w:rFonts w:ascii="宋体" w:hAnsi="宋体" w:hint="eastAsia"/>
                <w:sz w:val="18"/>
                <w:szCs w:val="18"/>
              </w:rPr>
              <w:t>阶段</w:t>
            </w:r>
          </w:p>
        </w:tc>
      </w:tr>
      <w:tr w:rsidR="00FC68B1" w:rsidRPr="007414ED" w:rsidTr="00BC69B2">
        <w:tc>
          <w:tcPr>
            <w:tcW w:w="648"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sz w:val="18"/>
                <w:szCs w:val="21"/>
              </w:rPr>
            </w:pPr>
            <w:r>
              <w:rPr>
                <w:rFonts w:ascii="宋体" w:hAnsi="宋体" w:hint="eastAsia"/>
                <w:sz w:val="18"/>
                <w:szCs w:val="21"/>
              </w:rPr>
              <w:t>4</w:t>
            </w:r>
          </w:p>
        </w:tc>
        <w:tc>
          <w:tcPr>
            <w:tcW w:w="19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sidRPr="007414ED">
              <w:rPr>
                <w:rFonts w:ascii="宋体" w:hAnsi="宋体" w:hint="eastAsia"/>
                <w:sz w:val="18"/>
                <w:szCs w:val="21"/>
              </w:rPr>
              <w:t>住房公积金</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20.96</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r>
              <w:rPr>
                <w:rFonts w:ascii="宋体" w:hAnsi="宋体" w:hint="eastAsia"/>
                <w:sz w:val="18"/>
                <w:szCs w:val="21"/>
              </w:rPr>
              <w:t>20.96</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p>
        </w:tc>
        <w:tc>
          <w:tcPr>
            <w:tcW w:w="2654"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sz w:val="18"/>
                <w:szCs w:val="21"/>
              </w:rPr>
            </w:pPr>
          </w:p>
        </w:tc>
      </w:tr>
      <w:tr w:rsidR="00FC68B1" w:rsidRPr="007414ED" w:rsidTr="00BC69B2">
        <w:trPr>
          <w:trHeight w:val="855"/>
        </w:trPr>
        <w:tc>
          <w:tcPr>
            <w:tcW w:w="648"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b/>
                <w:sz w:val="18"/>
                <w:szCs w:val="21"/>
              </w:rPr>
            </w:pPr>
          </w:p>
        </w:tc>
        <w:tc>
          <w:tcPr>
            <w:tcW w:w="19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jc w:val="center"/>
              <w:rPr>
                <w:rFonts w:ascii="宋体" w:hAnsi="宋体"/>
                <w:b/>
                <w:sz w:val="18"/>
                <w:szCs w:val="21"/>
              </w:rPr>
            </w:pPr>
            <w:r w:rsidRPr="007414ED">
              <w:rPr>
                <w:rFonts w:ascii="宋体" w:hAnsi="宋体" w:hint="eastAsia"/>
                <w:b/>
                <w:sz w:val="18"/>
                <w:szCs w:val="21"/>
              </w:rPr>
              <w:t>合    计</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b/>
                <w:sz w:val="18"/>
                <w:szCs w:val="21"/>
              </w:rPr>
            </w:pPr>
            <w:r>
              <w:rPr>
                <w:rFonts w:ascii="宋体" w:hAnsi="宋体" w:hint="eastAsia"/>
                <w:b/>
                <w:sz w:val="18"/>
                <w:szCs w:val="21"/>
              </w:rPr>
              <w:t>542.21</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b/>
                <w:sz w:val="18"/>
                <w:szCs w:val="21"/>
              </w:rPr>
            </w:pPr>
            <w:r>
              <w:rPr>
                <w:rFonts w:ascii="宋体" w:hAnsi="宋体" w:hint="eastAsia"/>
                <w:b/>
                <w:sz w:val="18"/>
                <w:szCs w:val="21"/>
              </w:rPr>
              <w:t>722.35</w:t>
            </w:r>
          </w:p>
        </w:tc>
        <w:tc>
          <w:tcPr>
            <w:tcW w:w="1080"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b/>
                <w:sz w:val="18"/>
                <w:szCs w:val="21"/>
              </w:rPr>
            </w:pPr>
          </w:p>
        </w:tc>
        <w:tc>
          <w:tcPr>
            <w:tcW w:w="2654" w:type="dxa"/>
            <w:tcBorders>
              <w:top w:val="single" w:sz="4" w:space="0" w:color="auto"/>
              <w:left w:val="single" w:sz="4" w:space="0" w:color="auto"/>
              <w:bottom w:val="single" w:sz="4" w:space="0" w:color="auto"/>
              <w:right w:val="single" w:sz="4" w:space="0" w:color="auto"/>
            </w:tcBorders>
          </w:tcPr>
          <w:p w:rsidR="00FC68B1" w:rsidRPr="007414ED" w:rsidRDefault="00FC68B1" w:rsidP="00BC69B2">
            <w:pPr>
              <w:snapToGrid w:val="0"/>
              <w:spacing w:line="588" w:lineRule="exact"/>
              <w:rPr>
                <w:rFonts w:ascii="宋体" w:hAnsi="宋体"/>
                <w:b/>
                <w:sz w:val="18"/>
                <w:szCs w:val="21"/>
              </w:rPr>
            </w:pPr>
            <w:r w:rsidRPr="00795C22">
              <w:rPr>
                <w:rFonts w:ascii="宋体" w:hAnsi="宋体" w:hint="eastAsia"/>
                <w:sz w:val="18"/>
                <w:szCs w:val="21"/>
              </w:rPr>
              <w:t>不动产数据整合项目</w:t>
            </w:r>
            <w:r>
              <w:rPr>
                <w:rFonts w:ascii="宋体" w:hAnsi="宋体" w:hint="eastAsia"/>
                <w:sz w:val="18"/>
                <w:szCs w:val="18"/>
              </w:rPr>
              <w:t>按合同进度</w:t>
            </w:r>
            <w:proofErr w:type="gramStart"/>
            <w:r>
              <w:rPr>
                <w:rFonts w:ascii="宋体" w:hAnsi="宋体" w:hint="eastAsia"/>
                <w:sz w:val="18"/>
                <w:szCs w:val="18"/>
              </w:rPr>
              <w:t>到支付</w:t>
            </w:r>
            <w:proofErr w:type="gramEnd"/>
            <w:r>
              <w:rPr>
                <w:rFonts w:ascii="宋体" w:hAnsi="宋体" w:hint="eastAsia"/>
                <w:sz w:val="18"/>
                <w:szCs w:val="18"/>
              </w:rPr>
              <w:t>阶段</w:t>
            </w:r>
          </w:p>
        </w:tc>
      </w:tr>
    </w:tbl>
    <w:p w:rsidR="00FC68B1" w:rsidRPr="00FC68B1" w:rsidRDefault="00FC68B1" w:rsidP="00FC68B1">
      <w:pPr>
        <w:spacing w:line="600" w:lineRule="exact"/>
        <w:ind w:firstLineChars="200" w:firstLine="643"/>
        <w:rPr>
          <w:rFonts w:ascii="仿宋" w:eastAsia="仿宋" w:hAnsi="仿宋"/>
          <w:b/>
          <w:color w:val="000000"/>
          <w:sz w:val="32"/>
          <w:szCs w:val="32"/>
        </w:rPr>
      </w:pPr>
    </w:p>
    <w:p w:rsidR="00416CD4" w:rsidRDefault="00204CDE">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w:t>
      </w:r>
      <w:proofErr w:type="gramStart"/>
      <w:r>
        <w:rPr>
          <w:rFonts w:ascii="仿宋" w:eastAsia="仿宋" w:hAnsi="仿宋" w:hint="eastAsia"/>
          <w:b/>
          <w:color w:val="FF0000"/>
          <w:sz w:val="32"/>
          <w:szCs w:val="32"/>
        </w:rPr>
        <w:t>来源</w:t>
      </w:r>
      <w:r w:rsidR="00F87E96">
        <w:rPr>
          <w:rFonts w:ascii="仿宋" w:eastAsia="仿宋" w:hAnsi="仿宋" w:hint="eastAsia"/>
          <w:b/>
          <w:color w:val="FF0000"/>
          <w:sz w:val="32"/>
          <w:szCs w:val="32"/>
        </w:rPr>
        <w:t>于</w:t>
      </w:r>
      <w:r>
        <w:rPr>
          <w:rFonts w:ascii="仿宋" w:eastAsia="仿宋" w:hAnsi="仿宋" w:hint="eastAsia"/>
          <w:b/>
          <w:color w:val="FF0000"/>
          <w:sz w:val="32"/>
          <w:szCs w:val="32"/>
        </w:rPr>
        <w:t>财决</w:t>
      </w:r>
      <w:proofErr w:type="gramEnd"/>
      <w:r w:rsidR="005B5C64">
        <w:rPr>
          <w:rFonts w:ascii="仿宋" w:eastAsia="仿宋" w:hAnsi="仿宋"/>
          <w:b/>
          <w:color w:val="FF0000"/>
          <w:sz w:val="32"/>
          <w:szCs w:val="32"/>
        </w:rPr>
        <w:t>Z01-1</w:t>
      </w:r>
      <w:r>
        <w:rPr>
          <w:rFonts w:ascii="仿宋" w:eastAsia="仿宋" w:hAnsi="仿宋" w:hint="eastAsia"/>
          <w:b/>
          <w:color w:val="FF0000"/>
          <w:sz w:val="32"/>
          <w:szCs w:val="32"/>
        </w:rPr>
        <w:t>表，罗列全部功能分类科</w:t>
      </w:r>
      <w:r>
        <w:rPr>
          <w:rFonts w:ascii="仿宋" w:eastAsia="仿宋" w:hAnsi="仿宋" w:hint="eastAsia"/>
          <w:b/>
          <w:color w:val="FF0000"/>
          <w:sz w:val="32"/>
          <w:szCs w:val="32"/>
        </w:rPr>
        <w:lastRenderedPageBreak/>
        <w:t>目至项级。上述“预算”口径为</w:t>
      </w:r>
      <w:r w:rsidR="00833962" w:rsidRPr="00833962">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5B5C64" w:rsidRDefault="005B5C64">
      <w:pPr>
        <w:spacing w:line="600" w:lineRule="exact"/>
        <w:ind w:firstLine="640"/>
        <w:rPr>
          <w:rFonts w:ascii="仿宋" w:eastAsia="仿宋" w:hAnsi="仿宋"/>
          <w:b/>
          <w:color w:val="000000"/>
          <w:sz w:val="32"/>
          <w:szCs w:val="32"/>
        </w:rPr>
      </w:pPr>
    </w:p>
    <w:p w:rsidR="005B5C64" w:rsidRDefault="00204CDE">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0A6051">
        <w:rPr>
          <w:rFonts w:ascii="仿宋" w:eastAsia="仿宋" w:hAnsi="仿宋" w:hint="eastAsia"/>
          <w:color w:val="000000"/>
          <w:sz w:val="32"/>
          <w:szCs w:val="32"/>
        </w:rPr>
        <w:t>542.21</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0A6051">
        <w:rPr>
          <w:rFonts w:ascii="仿宋" w:eastAsia="仿宋" w:hAnsi="仿宋" w:hint="eastAsia"/>
          <w:color w:val="000000"/>
          <w:sz w:val="32"/>
          <w:szCs w:val="32"/>
        </w:rPr>
        <w:t>404.34</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0A6051">
        <w:rPr>
          <w:rFonts w:ascii="仿宋" w:eastAsia="仿宋" w:hAnsi="仿宋" w:hint="eastAsia"/>
          <w:color w:val="000000"/>
          <w:sz w:val="32"/>
          <w:szCs w:val="32"/>
        </w:rPr>
        <w:t>69.98</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Default="00204CDE">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5B5C64" w:rsidRDefault="00204CDE">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E472B1"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sidR="000A6051">
        <w:rPr>
          <w:rFonts w:ascii="仿宋" w:eastAsia="仿宋" w:hAnsi="仿宋" w:hint="eastAsia"/>
          <w:color w:val="000000"/>
          <w:sz w:val="32"/>
          <w:szCs w:val="32"/>
        </w:rPr>
        <w:t>年“三公”经费财政拨款支出决算数为零</w:t>
      </w:r>
      <w:r>
        <w:rPr>
          <w:rFonts w:ascii="仿宋" w:eastAsia="仿宋" w:hAnsi="仿宋" w:hint="eastAsia"/>
          <w:color w:val="000000"/>
          <w:sz w:val="32"/>
          <w:szCs w:val="32"/>
        </w:rPr>
        <w:t>。</w:t>
      </w:r>
    </w:p>
    <w:p w:rsidR="005B5C64" w:rsidRPr="000468DB" w:rsidRDefault="005B5C64">
      <w:pPr>
        <w:spacing w:line="600" w:lineRule="exact"/>
        <w:ind w:firstLine="640"/>
        <w:rPr>
          <w:rFonts w:ascii="仿宋" w:eastAsia="仿宋" w:hAnsi="仿宋"/>
          <w:b/>
          <w:color w:val="FF0000"/>
          <w:sz w:val="32"/>
          <w:szCs w:val="32"/>
        </w:rPr>
      </w:pPr>
    </w:p>
    <w:p w:rsidR="005B5C64" w:rsidRDefault="00204CDE">
      <w:pPr>
        <w:spacing w:line="600" w:lineRule="exact"/>
        <w:ind w:firstLine="640"/>
        <w:outlineLvl w:val="1"/>
        <w:rPr>
          <w:rStyle w:val="2Char"/>
          <w:rFonts w:ascii="黑体" w:eastAsia="黑体" w:hAnsi="黑体"/>
        </w:rPr>
      </w:pPr>
      <w:bookmarkStart w:id="46" w:name="_Toc15396610"/>
      <w:bookmarkStart w:id="47" w:name="_Toc15377218"/>
      <w:r>
        <w:rPr>
          <w:rFonts w:ascii="黑体" w:eastAsia="黑体" w:hint="eastAsia"/>
          <w:color w:val="000000"/>
          <w:sz w:val="32"/>
          <w:szCs w:val="32"/>
        </w:rPr>
        <w:lastRenderedPageBreak/>
        <w:t>八、</w:t>
      </w:r>
      <w:r>
        <w:rPr>
          <w:rStyle w:val="2Char"/>
          <w:rFonts w:ascii="黑体" w:eastAsia="黑体" w:hAnsi="黑体" w:hint="eastAsia"/>
          <w:b w:val="0"/>
        </w:rPr>
        <w:t>政府性基金预算支出决算情况说明</w:t>
      </w:r>
      <w:bookmarkEnd w:id="46"/>
      <w:bookmarkEnd w:id="47"/>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0A6051">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5B5C64">
      <w:pPr>
        <w:spacing w:line="600" w:lineRule="exact"/>
        <w:ind w:firstLine="640"/>
        <w:rPr>
          <w:rFonts w:ascii="仿宋_GB2312" w:eastAsia="仿宋_GB2312"/>
          <w:color w:val="000000"/>
          <w:sz w:val="32"/>
          <w:szCs w:val="32"/>
        </w:rPr>
      </w:pPr>
    </w:p>
    <w:p w:rsidR="005B5C64" w:rsidRDefault="00204CDE">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0A6051">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5B5C64">
      <w:pPr>
        <w:spacing w:line="580" w:lineRule="exact"/>
        <w:jc w:val="center"/>
        <w:rPr>
          <w:rFonts w:ascii="方正小标宋简体" w:eastAsia="方正小标宋简体" w:hAnsi="方正小标宋简体" w:cs="方正小标宋简体"/>
          <w:sz w:val="44"/>
          <w:szCs w:val="44"/>
        </w:rPr>
      </w:pP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3"/>
      <w:r>
        <w:rPr>
          <w:rFonts w:ascii="仿宋" w:eastAsia="仿宋" w:hAnsi="仿宋" w:hint="eastAsia"/>
          <w:b/>
          <w:color w:val="000000"/>
          <w:sz w:val="32"/>
          <w:szCs w:val="32"/>
        </w:rPr>
        <w:t>（二）政府采购支出情况</w:t>
      </w:r>
      <w:bookmarkEnd w:id="50"/>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9年，政府采购支出总额</w:t>
      </w:r>
      <w:r w:rsidR="000A6051">
        <w:rPr>
          <w:rFonts w:ascii="仿宋_GB2312" w:eastAsia="仿宋_GB2312" w:hint="eastAsia"/>
          <w:color w:val="000000"/>
          <w:sz w:val="32"/>
          <w:szCs w:val="32"/>
        </w:rPr>
        <w:t>248</w:t>
      </w:r>
      <w:r>
        <w:rPr>
          <w:rFonts w:ascii="仿宋_GB2312" w:eastAsia="仿宋_GB2312" w:hint="eastAsia"/>
          <w:color w:val="000000"/>
          <w:sz w:val="32"/>
          <w:szCs w:val="32"/>
        </w:rPr>
        <w:t>万元，其中：政府采购服务支出</w:t>
      </w:r>
      <w:r w:rsidR="000A6051">
        <w:rPr>
          <w:rFonts w:ascii="仿宋_GB2312" w:eastAsia="仿宋_GB2312" w:hint="eastAsia"/>
          <w:color w:val="000000"/>
          <w:sz w:val="32"/>
          <w:szCs w:val="32"/>
        </w:rPr>
        <w:t>248</w:t>
      </w:r>
      <w:r>
        <w:rPr>
          <w:rFonts w:ascii="仿宋_GB2312" w:eastAsia="仿宋_GB2312" w:hint="eastAsia"/>
          <w:color w:val="000000"/>
          <w:sz w:val="32"/>
          <w:szCs w:val="32"/>
        </w:rPr>
        <w:t>万元。主要用于</w:t>
      </w:r>
      <w:r w:rsidR="000A6051">
        <w:rPr>
          <w:rFonts w:ascii="仿宋_GB2312" w:eastAsia="仿宋_GB2312"/>
          <w:color w:val="000000"/>
          <w:sz w:val="32"/>
          <w:szCs w:val="32"/>
        </w:rPr>
        <w:t>不动产数据整合项目</w:t>
      </w:r>
      <w:r>
        <w:rPr>
          <w:rFonts w:ascii="仿宋_GB2312" w:eastAsia="仿宋_GB2312" w:hint="eastAsia"/>
          <w:color w:val="000000"/>
          <w:sz w:val="32"/>
          <w:szCs w:val="32"/>
        </w:rPr>
        <w:t>。</w:t>
      </w:r>
    </w:p>
    <w:p w:rsidR="00416CD4" w:rsidRDefault="00204CDE">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r w:rsidR="00813348">
        <w:rPr>
          <w:rFonts w:ascii="仿宋" w:eastAsia="仿宋" w:hAnsi="仿宋" w:hint="eastAsia"/>
          <w:b/>
          <w:color w:val="FF0000"/>
          <w:sz w:val="32"/>
          <w:szCs w:val="32"/>
        </w:rPr>
        <w:t>于</w:t>
      </w:r>
      <w:proofErr w:type="gramStart"/>
      <w:r>
        <w:rPr>
          <w:rFonts w:ascii="仿宋" w:eastAsia="仿宋" w:hAnsi="仿宋" w:hint="eastAsia"/>
          <w:b/>
          <w:color w:val="FF0000"/>
          <w:sz w:val="32"/>
          <w:szCs w:val="32"/>
        </w:rPr>
        <w:t>财决</w:t>
      </w:r>
      <w:r w:rsidR="005B5C64">
        <w:rPr>
          <w:rFonts w:ascii="仿宋" w:eastAsia="仿宋" w:hAnsi="仿宋" w:hint="eastAsia"/>
          <w:b/>
          <w:color w:val="FF0000"/>
          <w:sz w:val="32"/>
          <w:szCs w:val="32"/>
        </w:rPr>
        <w:t>附</w:t>
      </w:r>
      <w:proofErr w:type="gramEnd"/>
      <w:r w:rsidR="005B5C64">
        <w:rPr>
          <w:rFonts w:ascii="仿宋" w:eastAsia="仿宋" w:hAnsi="仿宋"/>
          <w:b/>
          <w:color w:val="FF0000"/>
          <w:sz w:val="32"/>
          <w:szCs w:val="32"/>
        </w:rPr>
        <w:t>03</w:t>
      </w:r>
      <w:r w:rsidR="005B5C64">
        <w:rPr>
          <w:rFonts w:ascii="仿宋" w:eastAsia="仿宋" w:hAnsi="仿宋" w:hint="eastAsia"/>
          <w:b/>
          <w:color w:val="FF0000"/>
          <w:sz w:val="32"/>
          <w:szCs w:val="32"/>
        </w:rPr>
        <w:t>表</w:t>
      </w:r>
      <w:r>
        <w:rPr>
          <w:rFonts w:ascii="仿宋" w:eastAsia="仿宋" w:hAnsi="仿宋" w:hint="eastAsia"/>
          <w:b/>
          <w:color w:val="FF0000"/>
          <w:sz w:val="32"/>
          <w:szCs w:val="32"/>
        </w:rPr>
        <w:t>）</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t>（三）国有资产占有使用情况</w:t>
      </w:r>
      <w:bookmarkEnd w:id="51"/>
    </w:p>
    <w:p w:rsidR="000A6051" w:rsidRDefault="00204CDE" w:rsidP="00AD0F83">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w:t>
      </w:r>
      <w:r w:rsidR="000A6051">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0A6051">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0A6051">
        <w:rPr>
          <w:rFonts w:ascii="仿宋_GB2312" w:eastAsia="仿宋_GB2312" w:hint="eastAsia"/>
          <w:color w:val="000000"/>
          <w:sz w:val="32"/>
          <w:szCs w:val="32"/>
        </w:rPr>
        <w:t>0</w:t>
      </w:r>
      <w:r>
        <w:rPr>
          <w:rFonts w:ascii="仿宋_GB2312" w:eastAsia="仿宋_GB2312" w:hint="eastAsia"/>
          <w:color w:val="000000"/>
          <w:sz w:val="32"/>
          <w:szCs w:val="32"/>
        </w:rPr>
        <w:t>台（套）。</w:t>
      </w:r>
    </w:p>
    <w:p w:rsidR="00416CD4" w:rsidRDefault="00204CDE" w:rsidP="000A6051">
      <w:pPr>
        <w:autoSpaceDE w:val="0"/>
        <w:autoSpaceDN w:val="0"/>
        <w:adjustRightInd w:val="0"/>
        <w:spacing w:line="600" w:lineRule="exact"/>
        <w:ind w:firstLineChars="200" w:firstLine="643"/>
        <w:jc w:val="left"/>
        <w:rPr>
          <w:rFonts w:ascii="仿宋" w:eastAsia="仿宋" w:hAnsi="仿宋"/>
          <w:b/>
          <w:color w:val="FF0000"/>
          <w:sz w:val="32"/>
          <w:szCs w:val="32"/>
        </w:rPr>
      </w:pPr>
      <w:r>
        <w:rPr>
          <w:rFonts w:ascii="仿宋" w:eastAsia="仿宋" w:hAnsi="仿宋" w:hint="eastAsia"/>
          <w:b/>
          <w:color w:val="FF0000"/>
          <w:sz w:val="32"/>
          <w:szCs w:val="32"/>
        </w:rPr>
        <w:t>（</w:t>
      </w:r>
      <w:r w:rsidR="002A31DE">
        <w:rPr>
          <w:rFonts w:ascii="仿宋" w:eastAsia="仿宋" w:hAnsi="仿宋" w:hint="eastAsia"/>
          <w:b/>
          <w:color w:val="FF0000"/>
          <w:sz w:val="32"/>
          <w:szCs w:val="32"/>
        </w:rPr>
        <w:t>注：</w:t>
      </w:r>
      <w:r>
        <w:rPr>
          <w:rFonts w:ascii="仿宋" w:eastAsia="仿宋" w:hAnsi="仿宋" w:hint="eastAsia"/>
          <w:b/>
          <w:color w:val="FF0000"/>
          <w:sz w:val="32"/>
          <w:szCs w:val="32"/>
        </w:rPr>
        <w:t>数据来源</w:t>
      </w:r>
      <w:proofErr w:type="gramStart"/>
      <w:r>
        <w:rPr>
          <w:rFonts w:ascii="仿宋" w:eastAsia="仿宋" w:hAnsi="仿宋" w:hint="eastAsia"/>
          <w:b/>
          <w:color w:val="FF0000"/>
          <w:sz w:val="32"/>
          <w:szCs w:val="32"/>
        </w:rPr>
        <w:t>财决</w:t>
      </w:r>
      <w:r w:rsidR="005B5C64">
        <w:rPr>
          <w:rFonts w:ascii="仿宋" w:eastAsia="仿宋" w:hAnsi="仿宋" w:hint="eastAsia"/>
          <w:b/>
          <w:color w:val="FF0000"/>
          <w:sz w:val="32"/>
          <w:szCs w:val="32"/>
        </w:rPr>
        <w:t>附</w:t>
      </w:r>
      <w:proofErr w:type="gramEnd"/>
      <w:r w:rsidR="005B5C64">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根据预算绩效管理要求，本部门（单位）在年初预算编制阶段，组织对XXX项目（项目名称）开展了预算事前绩效评估，对XX</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项目编制了绩效目标，预算执行过程中，选取XX</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项目开展绩效监控，年终执行完毕后，对XX</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项目开展了绩效目标完成情况自评。</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（简要说明整体绩效情况）。本部</w:t>
      </w:r>
      <w:r>
        <w:rPr>
          <w:rFonts w:ascii="仿宋_GB2312" w:eastAsia="仿宋_GB2312" w:hAnsi="仿宋_GB2312" w:cs="仿宋_GB2312" w:hint="eastAsia"/>
          <w:sz w:val="32"/>
          <w:szCs w:val="32"/>
        </w:rPr>
        <w:lastRenderedPageBreak/>
        <w:t>门还自行组织了X</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项目支出绩效评价，从评价情况来看……</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（简要说明项目绩效情况；若未开展项目支出绩效评价，则说明未开展情况。如：本部门无专项预算项目，因此未组织开展项目支出绩效评价/本部门未组织开展项目支出绩效评价）。</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本部门在2019年度部门决算中反映“XXX</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XXXX</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hint="eastAsia"/>
          <w:sz w:val="32"/>
          <w:szCs w:val="32"/>
        </w:rPr>
        <w:t>“XXXXX”等X</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项目绩效目标实际完成情况。（本单位部门项目绩效目标个数在5个以上的，选取5个项目进行公开，目标个数在5个以下的，全部进行公开，公开内容包括选取的全部项目完成情况综述和完成情况表）。</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rsidR="00416CD4" w:rsidRDefault="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（3）XXXXX项目绩效目标完成情况综述。项目全年预算数XXX万元，执行数为XXX万元，完成预算的XX%。通过项目实施，保障（支持、促进、提高……）了XXXXXXX(按照项</w:t>
      </w:r>
      <w:r>
        <w:rPr>
          <w:rFonts w:ascii="仿宋_GB2312" w:eastAsia="仿宋_GB2312" w:hAnsi="仿宋_GB2312" w:cs="仿宋_GB2312" w:hint="eastAsia"/>
          <w:sz w:val="32"/>
          <w:szCs w:val="32"/>
        </w:rPr>
        <w:lastRenderedPageBreak/>
        <w:t>目总体目标简要描述项目成效），发现的主要问题：XXXXXXXX。下一步改进措施：XXXXXX</w:t>
      </w:r>
    </w:p>
    <w:p w:rsidR="002A31DE" w:rsidRDefault="002A31DE"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p w:rsidR="00E472B1" w:rsidRDefault="00E472B1" w:rsidP="002A31DE">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0" w:type="auto"/>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2A31DE" w:rsidTr="00A87F4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A31DE" w:rsidTr="00A87F4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CB28E2" w:rsidRDefault="00CB28E2" w:rsidP="00A87F45">
            <w:pPr>
              <w:widowControl/>
              <w:jc w:val="center"/>
              <w:textAlignment w:val="center"/>
              <w:rPr>
                <w:rFonts w:ascii="宋体" w:hAnsi="宋体" w:cs="宋体"/>
                <w:color w:val="000000"/>
                <w:sz w:val="24"/>
              </w:rPr>
            </w:pPr>
            <w:r w:rsidRPr="00CB28E2">
              <w:rPr>
                <w:rFonts w:asciiTheme="majorEastAsia" w:eastAsiaTheme="majorEastAsia" w:hAnsiTheme="majorEastAsia" w:hint="eastAsia"/>
                <w:b/>
                <w:sz w:val="24"/>
              </w:rPr>
              <w:t>不动产统一登记信息系统建设及数据整合</w:t>
            </w:r>
          </w:p>
        </w:tc>
      </w:tr>
      <w:tr w:rsidR="002A31DE" w:rsidTr="00A87F4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B28E2" w:rsidP="00A87F45">
            <w:pPr>
              <w:widowControl/>
              <w:jc w:val="center"/>
              <w:textAlignment w:val="center"/>
              <w:rPr>
                <w:rFonts w:ascii="宋体" w:hAnsi="宋体" w:cs="宋体"/>
                <w:color w:val="000000"/>
                <w:sz w:val="24"/>
              </w:rPr>
            </w:pPr>
            <w:r>
              <w:rPr>
                <w:rFonts w:ascii="宋体" w:hAnsi="宋体" w:cs="宋体"/>
                <w:color w:val="000000"/>
                <w:sz w:val="24"/>
              </w:rPr>
              <w:t>广汉市不动产登记中心</w:t>
            </w:r>
          </w:p>
        </w:tc>
      </w:tr>
      <w:tr w:rsidR="002A31DE" w:rsidTr="00A87F4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B28E2" w:rsidP="00A87F45">
            <w:pPr>
              <w:widowControl/>
              <w:jc w:val="center"/>
              <w:textAlignment w:val="center"/>
              <w:rPr>
                <w:rFonts w:ascii="宋体" w:hAnsi="宋体" w:cs="宋体"/>
                <w:color w:val="000000"/>
                <w:sz w:val="24"/>
              </w:rPr>
            </w:pPr>
            <w:r>
              <w:rPr>
                <w:rFonts w:ascii="宋体" w:hAnsi="宋体" w:cs="宋体" w:hint="eastAsia"/>
                <w:color w:val="000000"/>
                <w:sz w:val="24"/>
              </w:rPr>
              <w:t>248万元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B28E2" w:rsidP="00A87F45">
            <w:pPr>
              <w:widowControl/>
              <w:jc w:val="center"/>
              <w:textAlignment w:val="center"/>
              <w:rPr>
                <w:rFonts w:ascii="宋体" w:hAnsi="宋体" w:cs="宋体"/>
                <w:color w:val="000000"/>
                <w:sz w:val="24"/>
              </w:rPr>
            </w:pPr>
            <w:r>
              <w:rPr>
                <w:rFonts w:ascii="宋体" w:hAnsi="宋体" w:cs="宋体" w:hint="eastAsia"/>
                <w:color w:val="000000"/>
                <w:sz w:val="24"/>
              </w:rPr>
              <w:t>248万元</w:t>
            </w:r>
          </w:p>
        </w:tc>
      </w:tr>
      <w:tr w:rsidR="002A31DE" w:rsidTr="00A87F45">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B28E2" w:rsidP="00A87F45">
            <w:pPr>
              <w:widowControl/>
              <w:jc w:val="center"/>
              <w:textAlignment w:val="center"/>
              <w:rPr>
                <w:rFonts w:ascii="宋体" w:hAnsi="宋体" w:cs="宋体"/>
                <w:color w:val="000000"/>
                <w:sz w:val="24"/>
              </w:rPr>
            </w:pPr>
            <w:r>
              <w:rPr>
                <w:rFonts w:ascii="宋体" w:hAnsi="宋体" w:cs="宋体" w:hint="eastAsia"/>
                <w:color w:val="000000"/>
                <w:sz w:val="24"/>
              </w:rPr>
              <w:t>248万元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B28E2" w:rsidP="00A87F45">
            <w:pPr>
              <w:widowControl/>
              <w:jc w:val="center"/>
              <w:textAlignment w:val="center"/>
              <w:rPr>
                <w:rFonts w:ascii="宋体" w:hAnsi="宋体" w:cs="宋体"/>
                <w:color w:val="000000"/>
                <w:sz w:val="24"/>
              </w:rPr>
            </w:pPr>
            <w:r>
              <w:rPr>
                <w:rFonts w:ascii="宋体" w:hAnsi="宋体" w:cs="宋体" w:hint="eastAsia"/>
                <w:color w:val="000000"/>
                <w:sz w:val="24"/>
              </w:rPr>
              <w:t>248</w:t>
            </w:r>
          </w:p>
        </w:tc>
      </w:tr>
      <w:tr w:rsidR="002A31DE" w:rsidTr="00A87F4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jc w:val="center"/>
              <w:rPr>
                <w:rFonts w:ascii="宋体" w:hAnsi="宋体" w:cs="宋体"/>
                <w:color w:val="000000"/>
                <w:sz w:val="24"/>
              </w:rPr>
            </w:pPr>
          </w:p>
        </w:tc>
      </w:tr>
      <w:tr w:rsidR="002A31DE" w:rsidTr="00A87F4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A87F4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B28E2" w:rsidP="00A87F45">
            <w:pPr>
              <w:widowControl/>
              <w:jc w:val="center"/>
              <w:textAlignment w:val="center"/>
              <w:rPr>
                <w:rFonts w:ascii="宋体" w:hAnsi="宋体" w:cs="宋体"/>
                <w:color w:val="000000"/>
                <w:sz w:val="24"/>
              </w:rPr>
            </w:pPr>
            <w:r>
              <w:rPr>
                <w:rFonts w:ascii="宋体" w:hAnsi="宋体" w:cs="宋体" w:hint="eastAsia"/>
                <w:color w:val="000000"/>
                <w:sz w:val="24"/>
              </w:rPr>
              <w:t>248万元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CB28E2" w:rsidP="00A87F45">
            <w:pPr>
              <w:widowControl/>
              <w:jc w:val="center"/>
              <w:textAlignment w:val="center"/>
              <w:rPr>
                <w:rFonts w:ascii="宋体" w:hAnsi="宋体" w:cs="宋体"/>
                <w:color w:val="000000"/>
                <w:sz w:val="24"/>
              </w:rPr>
            </w:pPr>
            <w:r>
              <w:rPr>
                <w:rFonts w:ascii="宋体" w:hAnsi="宋体" w:cs="宋体" w:hint="eastAsia"/>
                <w:color w:val="000000"/>
                <w:sz w:val="24"/>
              </w:rPr>
              <w:t>248万元</w:t>
            </w:r>
          </w:p>
        </w:tc>
      </w:tr>
      <w:tr w:rsidR="002A31DE" w:rsidTr="00A87F4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A31DE" w:rsidTr="00A87F4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color w:val="000000"/>
                <w:sz w:val="24"/>
              </w:rPr>
              <w:t>土地数据整合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hint="eastAsia"/>
                <w:color w:val="000000"/>
                <w:sz w:val="24"/>
              </w:rPr>
              <w:t>3项，250000条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hint="eastAsia"/>
                <w:color w:val="000000"/>
                <w:sz w:val="24"/>
              </w:rPr>
              <w:t>3项，250000条</w:t>
            </w:r>
          </w:p>
        </w:tc>
      </w:tr>
      <w:tr w:rsidR="002A31DE" w:rsidTr="00A87F4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color w:val="000000"/>
                <w:sz w:val="24"/>
              </w:rPr>
              <w:t>获得数据质量检测报告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hint="eastAsia"/>
                <w:color w:val="000000"/>
                <w:sz w:val="24"/>
              </w:rPr>
              <w:t>100%</w:t>
            </w: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合同签订一年内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≤365天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≤365天</w:t>
            </w: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595A17">
            <w:pPr>
              <w:widowControl/>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595A17">
            <w:pPr>
              <w:widowControl/>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595A17">
            <w:pPr>
              <w:widowControl/>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595A17">
            <w:pPr>
              <w:widowControl/>
              <w:textAlignment w:val="center"/>
              <w:rPr>
                <w:rFonts w:ascii="宋体" w:hAnsi="宋体" w:cs="宋体"/>
                <w:color w:val="000000"/>
                <w:sz w:val="24"/>
              </w:rPr>
            </w:pP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社会效益</w:t>
            </w:r>
            <w:r w:rsidRPr="00965138">
              <w:rPr>
                <w:rFonts w:ascii="宋体" w:hAnsi="宋体" w:cs="宋体" w:hint="eastAsia"/>
                <w:kern w:val="0"/>
                <w:sz w:val="20"/>
                <w:szCs w:val="20"/>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缩短不动产登记时限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≤5天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≤5天</w:t>
            </w:r>
          </w:p>
        </w:tc>
      </w:tr>
      <w:tr w:rsidR="002A31DE" w:rsidTr="00A87F4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r>
      <w:tr w:rsidR="002A31DE" w:rsidTr="00A87F45">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7F4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sidRPr="00965138">
              <w:rPr>
                <w:rFonts w:ascii="宋体" w:hAnsi="宋体" w:cs="宋体" w:hint="eastAsia"/>
                <w:kern w:val="0"/>
                <w:sz w:val="20"/>
                <w:szCs w:val="20"/>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color w:val="000000"/>
                <w:sz w:val="24"/>
              </w:rPr>
              <w:t>通过数据检测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595A17" w:rsidP="00A87F45">
            <w:pPr>
              <w:widowControl/>
              <w:jc w:val="center"/>
              <w:textAlignment w:val="center"/>
              <w:rPr>
                <w:rFonts w:ascii="宋体" w:hAnsi="宋体" w:cs="宋体"/>
                <w:color w:val="000000"/>
                <w:sz w:val="24"/>
              </w:rPr>
            </w:pPr>
            <w:r>
              <w:rPr>
                <w:rFonts w:ascii="宋体" w:hAnsi="宋体" w:cs="宋体" w:hint="eastAsia"/>
                <w:color w:val="000000"/>
                <w:sz w:val="24"/>
              </w:rPr>
              <w:t>100%</w:t>
            </w:r>
          </w:p>
        </w:tc>
      </w:tr>
    </w:tbl>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本部门按要求对2019年部门整体支出绩效评价情况开展自评，《XX部门2019年部门整体支出绩效评价报告》见附件（附件1）。</w:t>
      </w:r>
    </w:p>
    <w:p w:rsidR="00416CD4" w:rsidRDefault="002A31DE">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lastRenderedPageBreak/>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2" w:name="_Toc15396613"/>
      <w:bookmarkStart w:id="53"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2"/>
      <w:bookmarkEnd w:id="53"/>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16CD4" w:rsidRDefault="00204CDE">
      <w:pPr>
        <w:spacing w:line="600" w:lineRule="exact"/>
        <w:jc w:val="center"/>
        <w:outlineLvl w:val="0"/>
        <w:rPr>
          <w:rStyle w:val="1Char"/>
          <w:rFonts w:ascii="黑体" w:eastAsia="黑体" w:hAnsi="黑体"/>
          <w:b w:val="0"/>
        </w:rPr>
      </w:pPr>
      <w:bookmarkStart w:id="54" w:name="_Toc15377226"/>
      <w:r>
        <w:rPr>
          <w:rFonts w:ascii="宋体"/>
          <w:b/>
          <w:color w:val="000000"/>
          <w:sz w:val="44"/>
          <w:szCs w:val="44"/>
        </w:rPr>
        <w:br w:type="page"/>
      </w:r>
      <w:bookmarkStart w:id="55"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5"/>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C57198" w:rsidRPr="001F6448" w:rsidRDefault="00C57198" w:rsidP="00C57198">
      <w:pPr>
        <w:adjustRightInd w:val="0"/>
        <w:snapToGrid w:val="0"/>
        <w:spacing w:line="580" w:lineRule="exact"/>
        <w:jc w:val="left"/>
        <w:rPr>
          <w:rFonts w:ascii="仿宋_GB2312" w:eastAsia="仿宋_GB2312"/>
          <w:kern w:val="0"/>
          <w:sz w:val="32"/>
          <w:szCs w:val="32"/>
        </w:rPr>
      </w:pPr>
    </w:p>
    <w:p w:rsidR="00C57198" w:rsidRDefault="00C57198" w:rsidP="00C57198">
      <w:pPr>
        <w:adjustRightInd w:val="0"/>
        <w:snapToGrid w:val="0"/>
        <w:spacing w:line="580" w:lineRule="exact"/>
        <w:jc w:val="center"/>
        <w:rPr>
          <w:rFonts w:ascii="方正小标宋简体" w:eastAsia="方正小标宋简体"/>
          <w:kern w:val="0"/>
          <w:sz w:val="44"/>
          <w:szCs w:val="44"/>
        </w:rPr>
      </w:pPr>
    </w:p>
    <w:p w:rsidR="00C57198" w:rsidRPr="001F6448" w:rsidRDefault="00C57198" w:rsidP="00C57198">
      <w:pPr>
        <w:adjustRightInd w:val="0"/>
        <w:snapToGrid w:val="0"/>
        <w:spacing w:line="580" w:lineRule="exact"/>
        <w:jc w:val="center"/>
        <w:rPr>
          <w:rFonts w:ascii="方正小标宋简体" w:eastAsia="方正小标宋简体"/>
          <w:kern w:val="0"/>
          <w:sz w:val="44"/>
          <w:szCs w:val="44"/>
        </w:rPr>
      </w:pPr>
      <w:r w:rsidRPr="001F6448">
        <w:rPr>
          <w:rFonts w:ascii="方正小标宋简体" w:eastAsia="方正小标宋简体" w:hint="eastAsia"/>
          <w:kern w:val="0"/>
          <w:sz w:val="44"/>
          <w:szCs w:val="44"/>
        </w:rPr>
        <w:t>2019年广汉市</w:t>
      </w:r>
      <w:r>
        <w:rPr>
          <w:rFonts w:ascii="方正小标宋简体" w:eastAsia="方正小标宋简体" w:hint="eastAsia"/>
          <w:kern w:val="0"/>
          <w:sz w:val="44"/>
          <w:szCs w:val="44"/>
        </w:rPr>
        <w:t>不动产登记中心</w:t>
      </w:r>
      <w:r w:rsidRPr="001F6448">
        <w:rPr>
          <w:rFonts w:ascii="方正小标宋简体" w:eastAsia="方正小标宋简体" w:hint="eastAsia"/>
          <w:kern w:val="0"/>
          <w:sz w:val="44"/>
          <w:szCs w:val="44"/>
        </w:rPr>
        <w:t>整体支出</w:t>
      </w:r>
    </w:p>
    <w:p w:rsidR="00C57198" w:rsidRPr="001F6448" w:rsidRDefault="00C57198" w:rsidP="00C57198">
      <w:pPr>
        <w:adjustRightInd w:val="0"/>
        <w:snapToGrid w:val="0"/>
        <w:spacing w:line="580" w:lineRule="exact"/>
        <w:jc w:val="center"/>
        <w:rPr>
          <w:rFonts w:ascii="方正小标宋简体" w:eastAsia="方正小标宋简体"/>
          <w:kern w:val="0"/>
          <w:sz w:val="44"/>
          <w:szCs w:val="44"/>
        </w:rPr>
      </w:pPr>
      <w:r w:rsidRPr="001F6448">
        <w:rPr>
          <w:rFonts w:ascii="方正小标宋简体" w:eastAsia="方正小标宋简体" w:hint="eastAsia"/>
          <w:kern w:val="0"/>
          <w:sz w:val="44"/>
          <w:szCs w:val="44"/>
        </w:rPr>
        <w:t>绩效评价报告</w:t>
      </w:r>
    </w:p>
    <w:p w:rsidR="00C57198" w:rsidRDefault="00C57198" w:rsidP="00C57198">
      <w:pPr>
        <w:autoSpaceDE w:val="0"/>
        <w:autoSpaceDN w:val="0"/>
        <w:adjustRightInd w:val="0"/>
        <w:spacing w:line="580" w:lineRule="exact"/>
        <w:ind w:firstLineChars="200" w:firstLine="640"/>
        <w:jc w:val="left"/>
        <w:rPr>
          <w:rFonts w:ascii="仿宋_GB2312" w:eastAsia="仿宋_GB2312"/>
          <w:kern w:val="0"/>
          <w:sz w:val="32"/>
          <w:szCs w:val="32"/>
        </w:rPr>
      </w:pPr>
    </w:p>
    <w:p w:rsidR="00C57198" w:rsidRPr="001F6448" w:rsidRDefault="00C57198" w:rsidP="00C57198">
      <w:pPr>
        <w:autoSpaceDE w:val="0"/>
        <w:autoSpaceDN w:val="0"/>
        <w:adjustRightInd w:val="0"/>
        <w:spacing w:line="580" w:lineRule="exact"/>
        <w:ind w:firstLineChars="200" w:firstLine="640"/>
        <w:jc w:val="left"/>
        <w:rPr>
          <w:rFonts w:ascii="黑体" w:eastAsia="黑体"/>
          <w:kern w:val="0"/>
          <w:sz w:val="32"/>
          <w:szCs w:val="32"/>
        </w:rPr>
      </w:pPr>
      <w:r w:rsidRPr="001F6448">
        <w:rPr>
          <w:rFonts w:ascii="黑体" w:eastAsia="黑体" w:hint="eastAsia"/>
          <w:kern w:val="0"/>
          <w:sz w:val="32"/>
          <w:szCs w:val="32"/>
        </w:rPr>
        <w:t>一、部门（单位）概况</w:t>
      </w:r>
    </w:p>
    <w:p w:rsidR="00C57198" w:rsidRPr="0073544B" w:rsidRDefault="00C57198" w:rsidP="00C57198">
      <w:pPr>
        <w:snapToGrid w:val="0"/>
        <w:spacing w:line="520" w:lineRule="exact"/>
        <w:ind w:firstLineChars="200" w:firstLine="640"/>
        <w:rPr>
          <w:rFonts w:ascii="仿宋_GB2312" w:eastAsia="仿宋_GB2312" w:hAnsi="仿宋"/>
          <w:sz w:val="32"/>
          <w:szCs w:val="32"/>
        </w:rPr>
      </w:pPr>
      <w:r w:rsidRPr="001F6448">
        <w:rPr>
          <w:rFonts w:ascii="楷体_GB2312" w:eastAsia="楷体_GB2312" w:hint="eastAsia"/>
          <w:kern w:val="0"/>
          <w:sz w:val="32"/>
          <w:szCs w:val="32"/>
        </w:rPr>
        <w:t>（一）</w:t>
      </w:r>
      <w:r w:rsidRPr="0073544B">
        <w:rPr>
          <w:rFonts w:ascii="仿宋_GB2312" w:eastAsia="仿宋_GB2312" w:hAnsi="宋体" w:hint="eastAsia"/>
          <w:sz w:val="32"/>
          <w:szCs w:val="32"/>
        </w:rPr>
        <w:t>我单位是</w:t>
      </w:r>
      <w:r w:rsidRPr="0073544B">
        <w:rPr>
          <w:rFonts w:ascii="仿宋_GB2312" w:eastAsia="仿宋_GB2312" w:hAnsi="Tahoma" w:cs="Tahoma" w:hint="eastAsia"/>
          <w:color w:val="000000"/>
          <w:sz w:val="32"/>
          <w:szCs w:val="32"/>
        </w:rPr>
        <w:t>代表政府管理城市房屋产权产籍的专业职能机构，属于行政性全额拨款事业单位，级别为八级。其主要职责是：</w:t>
      </w:r>
      <w:r w:rsidRPr="0073544B">
        <w:rPr>
          <w:rFonts w:ascii="仿宋_GB2312" w:eastAsia="仿宋_GB2312" w:hint="eastAsia"/>
          <w:sz w:val="32"/>
          <w:szCs w:val="32"/>
        </w:rPr>
        <w:t>负责本市行政规划区内各类房屋所有权登记以及乡镇国有土地上不动产权登记办证工作；依照国家有关房地产法律、法规，对新建私有房屋、开发企业商品房、单位自管产房屋产权的初始登记；新建商品房的转移登记、二手房买卖以及其他形式的产权转移登记；对房屋交易、抵押进行审批和登记；对商品房预（销）售合同实行预售登记备案管理；搞好房屋产权档案的立卷、归档等管理工作，并向产权人提供房屋产权的查询工作；提供有关房地产产权登记、交易、抵押等方面法律、法规、政策的咨询服务。</w:t>
      </w:r>
    </w:p>
    <w:p w:rsidR="00C57198" w:rsidRPr="0073544B" w:rsidRDefault="00C57198" w:rsidP="00C57198">
      <w:pPr>
        <w:snapToGrid w:val="0"/>
        <w:spacing w:line="520" w:lineRule="exact"/>
        <w:ind w:firstLineChars="200" w:firstLine="640"/>
        <w:rPr>
          <w:rFonts w:ascii="仿宋_GB2312" w:eastAsia="仿宋_GB2312" w:hAnsi="仿宋"/>
          <w:sz w:val="32"/>
          <w:szCs w:val="32"/>
        </w:rPr>
      </w:pPr>
      <w:r w:rsidRPr="0073544B">
        <w:rPr>
          <w:rFonts w:ascii="仿宋_GB2312" w:eastAsia="仿宋_GB2312" w:hAnsi="仿宋" w:hint="eastAsia"/>
          <w:sz w:val="32"/>
          <w:szCs w:val="32"/>
        </w:rPr>
        <w:t>2．机构情况，编制员额25人。</w:t>
      </w:r>
    </w:p>
    <w:p w:rsidR="00C57198" w:rsidRPr="0073544B" w:rsidRDefault="00C57198" w:rsidP="00C57198">
      <w:pPr>
        <w:snapToGrid w:val="0"/>
        <w:spacing w:line="588" w:lineRule="exact"/>
        <w:ind w:firstLineChars="200" w:firstLine="640"/>
        <w:rPr>
          <w:rFonts w:ascii="仿宋_GB2312" w:eastAsia="仿宋_GB2312" w:hAnsi="仿宋"/>
          <w:sz w:val="32"/>
          <w:szCs w:val="32"/>
        </w:rPr>
      </w:pPr>
      <w:r w:rsidRPr="0073544B">
        <w:rPr>
          <w:rFonts w:ascii="仿宋_GB2312" w:eastAsia="仿宋_GB2312" w:hAnsi="宋体" w:hint="eastAsia"/>
          <w:sz w:val="32"/>
          <w:szCs w:val="32"/>
        </w:rPr>
        <w:t>现有岗位和人员配备情况：实有人数17人，其中管理人员4人</w:t>
      </w:r>
      <w:r w:rsidRPr="0073544B">
        <w:rPr>
          <w:rFonts w:ascii="仿宋_GB2312" w:eastAsia="仿宋_GB2312" w:hAnsi="仿宋" w:hint="eastAsia"/>
          <w:sz w:val="32"/>
          <w:szCs w:val="32"/>
        </w:rPr>
        <w:t>。</w:t>
      </w:r>
    </w:p>
    <w:p w:rsidR="00C57198" w:rsidRPr="003D1F14" w:rsidRDefault="00C57198" w:rsidP="00C57198">
      <w:pPr>
        <w:autoSpaceDE w:val="0"/>
        <w:autoSpaceDN w:val="0"/>
        <w:adjustRightInd w:val="0"/>
        <w:spacing w:line="580" w:lineRule="exact"/>
        <w:ind w:firstLineChars="200" w:firstLine="640"/>
        <w:jc w:val="left"/>
        <w:rPr>
          <w:rFonts w:ascii="楷体_GB2312" w:eastAsia="楷体_GB2312"/>
          <w:kern w:val="0"/>
          <w:sz w:val="32"/>
          <w:szCs w:val="32"/>
        </w:rPr>
      </w:pPr>
      <w:r w:rsidRPr="003D1F14">
        <w:rPr>
          <w:rFonts w:ascii="楷体_GB2312" w:eastAsia="楷体_GB2312" w:hint="eastAsia"/>
          <w:kern w:val="0"/>
          <w:sz w:val="32"/>
          <w:szCs w:val="32"/>
        </w:rPr>
        <w:t>（二）年度主要工作目标及重点工作</w:t>
      </w:r>
    </w:p>
    <w:p w:rsidR="00C57198" w:rsidRPr="003D1F14" w:rsidRDefault="00C57198" w:rsidP="00C57198">
      <w:pPr>
        <w:autoSpaceDE w:val="0"/>
        <w:autoSpaceDN w:val="0"/>
        <w:adjustRightInd w:val="0"/>
        <w:spacing w:line="580" w:lineRule="exact"/>
        <w:ind w:firstLineChars="200" w:firstLine="640"/>
        <w:jc w:val="left"/>
        <w:rPr>
          <w:rFonts w:ascii="楷体_GB2312" w:eastAsia="楷体_GB2312"/>
          <w:kern w:val="0"/>
          <w:sz w:val="32"/>
          <w:szCs w:val="32"/>
        </w:rPr>
      </w:pPr>
      <w:r w:rsidRPr="003D1F14">
        <w:rPr>
          <w:rFonts w:ascii="楷体_GB2312" w:eastAsia="楷体_GB2312" w:hint="eastAsia"/>
          <w:kern w:val="0"/>
          <w:sz w:val="32"/>
          <w:szCs w:val="32"/>
        </w:rPr>
        <w:t>1、加快推进不动产登记工作一窗受理，并行办理工作；</w:t>
      </w:r>
    </w:p>
    <w:p w:rsidR="00C57198" w:rsidRPr="003D1F14" w:rsidRDefault="00C57198" w:rsidP="00C57198">
      <w:pPr>
        <w:autoSpaceDE w:val="0"/>
        <w:autoSpaceDN w:val="0"/>
        <w:adjustRightInd w:val="0"/>
        <w:spacing w:line="580" w:lineRule="exact"/>
        <w:ind w:firstLineChars="200" w:firstLine="640"/>
        <w:jc w:val="left"/>
        <w:rPr>
          <w:rFonts w:ascii="楷体_GB2312" w:eastAsia="楷体_GB2312"/>
          <w:kern w:val="0"/>
          <w:sz w:val="32"/>
          <w:szCs w:val="32"/>
        </w:rPr>
      </w:pPr>
      <w:r w:rsidRPr="003D1F14">
        <w:rPr>
          <w:rFonts w:ascii="楷体_GB2312" w:eastAsia="楷体_GB2312" w:hint="eastAsia"/>
          <w:kern w:val="0"/>
          <w:sz w:val="32"/>
          <w:szCs w:val="32"/>
        </w:rPr>
        <w:lastRenderedPageBreak/>
        <w:t>2、加快推进农村“房地一体”不动产登记工作的实施；</w:t>
      </w:r>
    </w:p>
    <w:p w:rsidR="00C57198" w:rsidRPr="003D1F14" w:rsidRDefault="00C57198" w:rsidP="00C57198">
      <w:pPr>
        <w:autoSpaceDE w:val="0"/>
        <w:autoSpaceDN w:val="0"/>
        <w:adjustRightInd w:val="0"/>
        <w:spacing w:line="580" w:lineRule="exact"/>
        <w:ind w:firstLineChars="200" w:firstLine="640"/>
        <w:jc w:val="left"/>
        <w:rPr>
          <w:rFonts w:ascii="楷体_GB2312" w:eastAsia="楷体_GB2312"/>
          <w:kern w:val="0"/>
          <w:sz w:val="32"/>
          <w:szCs w:val="32"/>
        </w:rPr>
      </w:pPr>
      <w:r w:rsidRPr="003D1F14">
        <w:rPr>
          <w:rFonts w:ascii="楷体_GB2312" w:eastAsia="楷体_GB2312" w:hint="eastAsia"/>
          <w:kern w:val="0"/>
          <w:sz w:val="32"/>
          <w:szCs w:val="32"/>
        </w:rPr>
        <w:t>3、进一步压缩不动产登记办理时间；</w:t>
      </w:r>
    </w:p>
    <w:p w:rsidR="00C57198" w:rsidRPr="003D1F14" w:rsidRDefault="00C57198" w:rsidP="00C57198">
      <w:pPr>
        <w:autoSpaceDE w:val="0"/>
        <w:autoSpaceDN w:val="0"/>
        <w:adjustRightInd w:val="0"/>
        <w:spacing w:line="580" w:lineRule="exact"/>
        <w:ind w:firstLineChars="200" w:firstLine="640"/>
        <w:jc w:val="left"/>
        <w:rPr>
          <w:rFonts w:ascii="楷体_GB2312" w:eastAsia="楷体_GB2312"/>
          <w:kern w:val="0"/>
          <w:sz w:val="32"/>
          <w:szCs w:val="32"/>
        </w:rPr>
      </w:pPr>
      <w:r w:rsidRPr="003D1F14">
        <w:rPr>
          <w:rFonts w:ascii="楷体_GB2312" w:eastAsia="楷体_GB2312" w:hint="eastAsia"/>
          <w:kern w:val="0"/>
          <w:sz w:val="32"/>
          <w:szCs w:val="32"/>
        </w:rPr>
        <w:t>4、加快推进不动产存量数据整合工作；</w:t>
      </w:r>
    </w:p>
    <w:p w:rsidR="00C57198" w:rsidRPr="003D1F14" w:rsidRDefault="00C57198" w:rsidP="00C57198">
      <w:pPr>
        <w:autoSpaceDE w:val="0"/>
        <w:autoSpaceDN w:val="0"/>
        <w:adjustRightInd w:val="0"/>
        <w:spacing w:line="580" w:lineRule="exact"/>
        <w:ind w:firstLineChars="200" w:firstLine="640"/>
        <w:jc w:val="left"/>
        <w:rPr>
          <w:rFonts w:ascii="楷体_GB2312" w:eastAsia="楷体_GB2312"/>
          <w:kern w:val="0"/>
          <w:sz w:val="32"/>
          <w:szCs w:val="32"/>
        </w:rPr>
      </w:pPr>
      <w:r w:rsidRPr="003D1F14">
        <w:rPr>
          <w:rFonts w:ascii="楷体_GB2312" w:eastAsia="楷体_GB2312" w:hint="eastAsia"/>
          <w:kern w:val="0"/>
          <w:sz w:val="32"/>
          <w:szCs w:val="32"/>
        </w:rPr>
        <w:t>5、做好日常登记工作。</w:t>
      </w:r>
    </w:p>
    <w:p w:rsidR="00C57198" w:rsidRPr="003D1F14" w:rsidRDefault="00C57198" w:rsidP="00C57198">
      <w:pPr>
        <w:autoSpaceDE w:val="0"/>
        <w:autoSpaceDN w:val="0"/>
        <w:adjustRightInd w:val="0"/>
        <w:spacing w:line="580" w:lineRule="exact"/>
        <w:ind w:firstLineChars="200" w:firstLine="640"/>
        <w:jc w:val="left"/>
        <w:rPr>
          <w:rFonts w:ascii="黑体" w:eastAsia="黑体"/>
          <w:kern w:val="0"/>
          <w:sz w:val="32"/>
          <w:szCs w:val="32"/>
        </w:rPr>
      </w:pPr>
      <w:r w:rsidRPr="003D1F14">
        <w:rPr>
          <w:rFonts w:ascii="黑体" w:eastAsia="黑体" w:hint="eastAsia"/>
          <w:kern w:val="0"/>
          <w:sz w:val="32"/>
          <w:szCs w:val="32"/>
        </w:rPr>
        <w:t>二、预算管理情况</w:t>
      </w:r>
    </w:p>
    <w:p w:rsidR="00C57198" w:rsidRPr="001F6448" w:rsidRDefault="00C57198" w:rsidP="00C57198">
      <w:pPr>
        <w:autoSpaceDE w:val="0"/>
        <w:autoSpaceDN w:val="0"/>
        <w:adjustRightInd w:val="0"/>
        <w:spacing w:line="580" w:lineRule="exact"/>
        <w:ind w:firstLineChars="200" w:firstLine="640"/>
        <w:jc w:val="left"/>
        <w:rPr>
          <w:rFonts w:ascii="仿宋_GB2312" w:eastAsia="仿宋_GB2312"/>
          <w:kern w:val="0"/>
          <w:sz w:val="32"/>
          <w:szCs w:val="32"/>
        </w:rPr>
      </w:pPr>
      <w:r w:rsidRPr="001F6448">
        <w:rPr>
          <w:rFonts w:ascii="楷体_GB2312" w:eastAsia="楷体_GB2312" w:hint="eastAsia"/>
          <w:kern w:val="0"/>
          <w:sz w:val="32"/>
          <w:szCs w:val="32"/>
        </w:rPr>
        <w:t>（一）预算编制情况。</w:t>
      </w:r>
      <w:r w:rsidRPr="001F6448">
        <w:rPr>
          <w:rFonts w:ascii="仿宋_GB2312" w:eastAsia="仿宋_GB2312" w:hint="eastAsia"/>
          <w:kern w:val="0"/>
          <w:sz w:val="32"/>
          <w:szCs w:val="32"/>
        </w:rPr>
        <w:t>收入预算包括资金总收入及各收入构成情况；支出预算包括资金总额及基本支出、项目支出情况。</w:t>
      </w:r>
    </w:p>
    <w:p w:rsidR="00C57198" w:rsidRPr="001F6448" w:rsidRDefault="00C57198" w:rsidP="00C57198">
      <w:pPr>
        <w:autoSpaceDE w:val="0"/>
        <w:autoSpaceDN w:val="0"/>
        <w:adjustRightInd w:val="0"/>
        <w:spacing w:line="580" w:lineRule="exact"/>
        <w:ind w:firstLineChars="200" w:firstLine="640"/>
        <w:jc w:val="left"/>
        <w:rPr>
          <w:rFonts w:ascii="仿宋_GB2312" w:eastAsia="仿宋_GB2312"/>
          <w:kern w:val="0"/>
          <w:sz w:val="32"/>
          <w:szCs w:val="32"/>
        </w:rPr>
      </w:pPr>
      <w:r w:rsidRPr="001F6448">
        <w:rPr>
          <w:rFonts w:ascii="楷体_GB2312" w:eastAsia="楷体_GB2312" w:hint="eastAsia"/>
          <w:kern w:val="0"/>
          <w:sz w:val="32"/>
          <w:szCs w:val="32"/>
        </w:rPr>
        <w:t>（二）预算执行情况。</w:t>
      </w:r>
      <w:r w:rsidRPr="001F6448">
        <w:rPr>
          <w:rFonts w:ascii="仿宋_GB2312" w:eastAsia="仿宋_GB2312" w:hint="eastAsia"/>
          <w:kern w:val="0"/>
          <w:sz w:val="32"/>
          <w:szCs w:val="32"/>
        </w:rPr>
        <w:t>包括资金整体执行进度及分类（基本支出、项目支出）执行情况。涉及专项资金的，需说明专项资金年度下达情况。</w:t>
      </w:r>
    </w:p>
    <w:p w:rsidR="00C57198" w:rsidRPr="001F6448" w:rsidRDefault="00C57198" w:rsidP="00C57198">
      <w:pPr>
        <w:autoSpaceDE w:val="0"/>
        <w:autoSpaceDN w:val="0"/>
        <w:adjustRightInd w:val="0"/>
        <w:spacing w:line="580" w:lineRule="exact"/>
        <w:ind w:firstLineChars="200" w:firstLine="640"/>
        <w:jc w:val="left"/>
        <w:rPr>
          <w:rFonts w:ascii="黑体" w:eastAsia="黑体"/>
          <w:kern w:val="0"/>
          <w:sz w:val="32"/>
          <w:szCs w:val="32"/>
        </w:rPr>
      </w:pPr>
      <w:r w:rsidRPr="001F6448">
        <w:rPr>
          <w:rFonts w:ascii="黑体" w:eastAsia="黑体" w:hint="eastAsia"/>
          <w:kern w:val="0"/>
          <w:sz w:val="32"/>
          <w:szCs w:val="32"/>
        </w:rPr>
        <w:t>三、部门管理情况</w:t>
      </w:r>
    </w:p>
    <w:p w:rsidR="00C57198" w:rsidRPr="001F6448" w:rsidRDefault="00C57198" w:rsidP="00C57198">
      <w:pPr>
        <w:autoSpaceDE w:val="0"/>
        <w:autoSpaceDN w:val="0"/>
        <w:adjustRightInd w:val="0"/>
        <w:spacing w:line="580" w:lineRule="exact"/>
        <w:ind w:firstLineChars="200" w:firstLine="640"/>
        <w:jc w:val="left"/>
        <w:rPr>
          <w:rFonts w:ascii="仿宋_GB2312" w:eastAsia="仿宋_GB2312"/>
          <w:kern w:val="0"/>
          <w:sz w:val="32"/>
          <w:szCs w:val="32"/>
        </w:rPr>
      </w:pPr>
      <w:r w:rsidRPr="001F6448">
        <w:rPr>
          <w:rFonts w:ascii="仿宋_GB2312" w:eastAsia="仿宋_GB2312" w:hint="eastAsia"/>
          <w:kern w:val="0"/>
          <w:sz w:val="32"/>
          <w:szCs w:val="32"/>
        </w:rPr>
        <w:t>主要包括管理制度建设、财务管理、“三公”经费控制、资产管理、购买服务及信息公开等方面。</w:t>
      </w:r>
    </w:p>
    <w:p w:rsidR="00C57198" w:rsidRPr="001F6448" w:rsidRDefault="00C57198" w:rsidP="00C57198">
      <w:pPr>
        <w:autoSpaceDE w:val="0"/>
        <w:autoSpaceDN w:val="0"/>
        <w:adjustRightInd w:val="0"/>
        <w:spacing w:line="580" w:lineRule="exact"/>
        <w:ind w:firstLineChars="200" w:firstLine="640"/>
        <w:jc w:val="left"/>
        <w:rPr>
          <w:rFonts w:ascii="黑体" w:eastAsia="黑体"/>
          <w:kern w:val="0"/>
          <w:sz w:val="32"/>
          <w:szCs w:val="32"/>
        </w:rPr>
      </w:pPr>
      <w:r w:rsidRPr="001F6448">
        <w:rPr>
          <w:rFonts w:ascii="黑体" w:eastAsia="黑体" w:hint="eastAsia"/>
          <w:kern w:val="0"/>
          <w:sz w:val="32"/>
          <w:szCs w:val="32"/>
        </w:rPr>
        <w:t>四、部门履职效能</w:t>
      </w:r>
    </w:p>
    <w:p w:rsidR="00C57198" w:rsidRPr="001F6448" w:rsidRDefault="00C57198" w:rsidP="00C57198">
      <w:pPr>
        <w:spacing w:line="580" w:lineRule="exact"/>
        <w:ind w:firstLineChars="200" w:firstLine="640"/>
        <w:rPr>
          <w:rFonts w:ascii="楷体_GB2312" w:eastAsia="楷体_GB2312"/>
          <w:kern w:val="0"/>
          <w:sz w:val="32"/>
          <w:szCs w:val="32"/>
        </w:rPr>
      </w:pPr>
      <w:r w:rsidRPr="001F6448">
        <w:rPr>
          <w:rFonts w:ascii="楷体_GB2312" w:eastAsia="楷体_GB2312" w:hint="eastAsia"/>
          <w:kern w:val="0"/>
          <w:sz w:val="32"/>
          <w:szCs w:val="32"/>
        </w:rPr>
        <w:t>（一）部门履职的年度总体目标。</w:t>
      </w:r>
    </w:p>
    <w:p w:rsidR="00C57198" w:rsidRPr="003D1F14" w:rsidRDefault="00C57198" w:rsidP="00C57198">
      <w:pPr>
        <w:spacing w:line="580" w:lineRule="exact"/>
        <w:ind w:firstLineChars="200" w:firstLine="640"/>
        <w:rPr>
          <w:rFonts w:ascii="楷体_GB2312" w:eastAsia="楷体_GB2312"/>
          <w:kern w:val="0"/>
          <w:sz w:val="32"/>
          <w:szCs w:val="32"/>
        </w:rPr>
      </w:pPr>
      <w:r w:rsidRPr="003D1F14">
        <w:rPr>
          <w:rFonts w:ascii="楷体_GB2312" w:eastAsia="楷体_GB2312" w:hint="eastAsia"/>
          <w:kern w:val="0"/>
          <w:sz w:val="32"/>
          <w:szCs w:val="32"/>
        </w:rPr>
        <w:t>（二）重点工作任务绩效目标完成情况。</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1、加快推进不动产登记工作一窗受理，并行办理。</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目标：在前期一站式受理的基础上，进一步做到</w:t>
      </w:r>
      <w:proofErr w:type="gramStart"/>
      <w:r w:rsidRPr="003D1F14">
        <w:rPr>
          <w:rFonts w:ascii="仿宋_GB2312" w:eastAsia="仿宋_GB2312" w:hint="eastAsia"/>
          <w:kern w:val="0"/>
          <w:sz w:val="32"/>
          <w:szCs w:val="32"/>
        </w:rPr>
        <w:t>一</w:t>
      </w:r>
      <w:proofErr w:type="gramEnd"/>
      <w:r w:rsidRPr="003D1F14">
        <w:rPr>
          <w:rFonts w:ascii="仿宋_GB2312" w:eastAsia="仿宋_GB2312" w:hint="eastAsia"/>
          <w:kern w:val="0"/>
          <w:sz w:val="32"/>
          <w:szCs w:val="32"/>
        </w:rPr>
        <w:t>窗式受理，在一个窗口，交一套资料，办理完房产交易、税费缴纳、不动产登记业务。</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完成情况：已完成</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 xml:space="preserve"> 2、加快推进农村“房地一体”不动产登记工作的实施。</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目标：按要求，农村“房地一体”不动产登记工作应在</w:t>
      </w:r>
      <w:r w:rsidRPr="003D1F14">
        <w:rPr>
          <w:rFonts w:ascii="仿宋_GB2312" w:eastAsia="仿宋_GB2312" w:hint="eastAsia"/>
          <w:kern w:val="0"/>
          <w:sz w:val="32"/>
          <w:szCs w:val="32"/>
        </w:rPr>
        <w:lastRenderedPageBreak/>
        <w:t>2020年全面完成。</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完成情况：因项目资金一直未到位，此项工作还未开展。</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3、进一点压缩不动产登记办理时间。</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目标：将一般不动产登记压缩到5个工作日</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完成情况：已完成</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4、加快推进不动产存量数据整合工作</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目标：房地数据整合到达80%</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完成情况：已完成</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5、做好日常登记工作</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目标：按《不动产登记暂行条例》及《不动产登记暂行条例实施细则》的要求完成日常登记工作。</w:t>
      </w:r>
    </w:p>
    <w:p w:rsidR="00C57198" w:rsidRPr="003D1F14" w:rsidRDefault="00C57198" w:rsidP="00C57198">
      <w:pPr>
        <w:spacing w:line="580" w:lineRule="exact"/>
        <w:ind w:firstLineChars="200" w:firstLine="640"/>
        <w:rPr>
          <w:rFonts w:ascii="仿宋_GB2312" w:eastAsia="仿宋_GB2312"/>
          <w:kern w:val="0"/>
          <w:sz w:val="32"/>
          <w:szCs w:val="32"/>
        </w:rPr>
      </w:pPr>
      <w:r w:rsidRPr="003D1F14">
        <w:rPr>
          <w:rFonts w:ascii="仿宋_GB2312" w:eastAsia="仿宋_GB2312" w:hint="eastAsia"/>
          <w:kern w:val="0"/>
          <w:sz w:val="32"/>
          <w:szCs w:val="32"/>
        </w:rPr>
        <w:t>完成情况：已完成</w:t>
      </w:r>
    </w:p>
    <w:p w:rsidR="00C57198" w:rsidRPr="001F6448" w:rsidRDefault="00C57198" w:rsidP="00C57198">
      <w:pPr>
        <w:autoSpaceDE w:val="0"/>
        <w:autoSpaceDN w:val="0"/>
        <w:adjustRightInd w:val="0"/>
        <w:spacing w:line="580" w:lineRule="exact"/>
        <w:ind w:firstLineChars="200" w:firstLine="640"/>
        <w:jc w:val="left"/>
        <w:rPr>
          <w:rFonts w:ascii="黑体" w:eastAsia="黑体"/>
          <w:kern w:val="0"/>
          <w:sz w:val="32"/>
          <w:szCs w:val="32"/>
        </w:rPr>
      </w:pPr>
      <w:r>
        <w:rPr>
          <w:rFonts w:ascii="黑体" w:eastAsia="黑体" w:hint="eastAsia"/>
          <w:kern w:val="0"/>
          <w:sz w:val="32"/>
          <w:szCs w:val="32"/>
        </w:rPr>
        <w:t>五</w:t>
      </w:r>
      <w:r w:rsidRPr="001F6448">
        <w:rPr>
          <w:rFonts w:ascii="黑体" w:eastAsia="黑体" w:hint="eastAsia"/>
          <w:kern w:val="0"/>
          <w:sz w:val="32"/>
          <w:szCs w:val="32"/>
        </w:rPr>
        <w:t>、评价结论及措施</w:t>
      </w:r>
    </w:p>
    <w:p w:rsidR="00C57198" w:rsidRPr="001F6448" w:rsidRDefault="00C57198" w:rsidP="00C57198">
      <w:pPr>
        <w:spacing w:line="580" w:lineRule="exact"/>
        <w:ind w:firstLineChars="200" w:firstLine="640"/>
        <w:rPr>
          <w:rFonts w:ascii="楷体_GB2312" w:eastAsia="楷体_GB2312"/>
          <w:kern w:val="0"/>
          <w:sz w:val="32"/>
          <w:szCs w:val="32"/>
        </w:rPr>
      </w:pPr>
      <w:r w:rsidRPr="001F6448">
        <w:rPr>
          <w:rFonts w:ascii="楷体_GB2312" w:eastAsia="楷体_GB2312" w:hint="eastAsia"/>
          <w:kern w:val="0"/>
          <w:sz w:val="32"/>
          <w:szCs w:val="32"/>
        </w:rPr>
        <w:t>（一）评价结论</w:t>
      </w:r>
    </w:p>
    <w:p w:rsidR="00C57198" w:rsidRPr="001F6448" w:rsidRDefault="00C57198" w:rsidP="00C57198">
      <w:pPr>
        <w:spacing w:line="580" w:lineRule="exact"/>
        <w:ind w:firstLineChars="200" w:firstLine="640"/>
        <w:rPr>
          <w:rFonts w:ascii="仿宋_GB2312" w:eastAsia="仿宋_GB2312"/>
          <w:kern w:val="0"/>
          <w:sz w:val="32"/>
          <w:szCs w:val="32"/>
        </w:rPr>
      </w:pPr>
      <w:r w:rsidRPr="001F6448">
        <w:rPr>
          <w:rFonts w:ascii="仿宋_GB2312" w:eastAsia="仿宋_GB2312" w:hint="eastAsia"/>
          <w:kern w:val="0"/>
          <w:sz w:val="32"/>
          <w:szCs w:val="32"/>
        </w:rPr>
        <w:t>绩效评价总体结论（包括指标体系及评分表）。</w:t>
      </w:r>
    </w:p>
    <w:p w:rsidR="00C57198" w:rsidRPr="001F6448" w:rsidRDefault="00C57198" w:rsidP="00C57198">
      <w:pPr>
        <w:spacing w:line="580" w:lineRule="exact"/>
        <w:ind w:firstLineChars="200" w:firstLine="640"/>
        <w:rPr>
          <w:rFonts w:ascii="楷体_GB2312" w:eastAsia="楷体_GB2312"/>
          <w:kern w:val="0"/>
          <w:sz w:val="32"/>
          <w:szCs w:val="32"/>
        </w:rPr>
      </w:pPr>
      <w:r w:rsidRPr="001F6448">
        <w:rPr>
          <w:rFonts w:ascii="楷体_GB2312" w:eastAsia="楷体_GB2312" w:hint="eastAsia"/>
          <w:kern w:val="0"/>
          <w:sz w:val="32"/>
          <w:szCs w:val="32"/>
        </w:rPr>
        <w:t>（二）存在问题</w:t>
      </w:r>
    </w:p>
    <w:p w:rsidR="00C57198" w:rsidRPr="001F6448" w:rsidRDefault="00C57198" w:rsidP="00C57198">
      <w:pPr>
        <w:spacing w:line="580" w:lineRule="exact"/>
        <w:ind w:firstLineChars="200" w:firstLine="640"/>
        <w:rPr>
          <w:rFonts w:ascii="仿宋_GB2312" w:eastAsia="仿宋_GB2312"/>
          <w:kern w:val="0"/>
          <w:sz w:val="32"/>
          <w:szCs w:val="32"/>
        </w:rPr>
      </w:pPr>
      <w:r w:rsidRPr="001F6448">
        <w:rPr>
          <w:rFonts w:ascii="仿宋_GB2312" w:eastAsia="仿宋_GB2312" w:hint="eastAsia"/>
          <w:kern w:val="0"/>
          <w:sz w:val="32"/>
          <w:szCs w:val="32"/>
        </w:rPr>
        <w:t>结合评价指标体系扣分情况，分析存在的问题及原因。</w:t>
      </w:r>
    </w:p>
    <w:p w:rsidR="00C57198" w:rsidRPr="001F6448" w:rsidRDefault="00C57198" w:rsidP="00C57198">
      <w:pPr>
        <w:spacing w:line="580" w:lineRule="exact"/>
        <w:ind w:firstLineChars="200" w:firstLine="640"/>
        <w:rPr>
          <w:rFonts w:ascii="楷体_GB2312" w:eastAsia="楷体_GB2312"/>
          <w:kern w:val="0"/>
          <w:sz w:val="32"/>
          <w:szCs w:val="32"/>
        </w:rPr>
      </w:pPr>
      <w:r w:rsidRPr="001F6448">
        <w:rPr>
          <w:rFonts w:ascii="楷体_GB2312" w:eastAsia="楷体_GB2312" w:hint="eastAsia"/>
          <w:kern w:val="0"/>
          <w:sz w:val="32"/>
          <w:szCs w:val="32"/>
        </w:rPr>
        <w:t>（三）改进措施</w:t>
      </w:r>
    </w:p>
    <w:p w:rsidR="00C57198" w:rsidRPr="001F6448" w:rsidRDefault="00C57198" w:rsidP="00C57198">
      <w:pPr>
        <w:spacing w:line="580" w:lineRule="exact"/>
        <w:ind w:firstLineChars="200" w:firstLine="640"/>
        <w:rPr>
          <w:rFonts w:ascii="仿宋_GB2312" w:eastAsia="仿宋_GB2312"/>
          <w:kern w:val="0"/>
          <w:sz w:val="32"/>
          <w:szCs w:val="32"/>
        </w:rPr>
      </w:pPr>
      <w:r w:rsidRPr="001F6448">
        <w:rPr>
          <w:rFonts w:ascii="仿宋_GB2312" w:eastAsia="仿宋_GB2312" w:hint="eastAsia"/>
          <w:kern w:val="0"/>
          <w:sz w:val="32"/>
          <w:szCs w:val="32"/>
        </w:rPr>
        <w:t>针对自评中发现的问题，提出下一步改进完善的意见及有关建议。</w:t>
      </w:r>
    </w:p>
    <w:p w:rsidR="00C57198" w:rsidRPr="001F6448" w:rsidRDefault="00C57198" w:rsidP="00C57198">
      <w:pPr>
        <w:spacing w:line="580" w:lineRule="exact"/>
        <w:ind w:firstLineChars="200" w:firstLine="640"/>
        <w:rPr>
          <w:rFonts w:ascii="仿宋_GB2312" w:eastAsia="仿宋_GB2312"/>
          <w:kern w:val="0"/>
          <w:sz w:val="32"/>
          <w:szCs w:val="32"/>
        </w:rPr>
      </w:pPr>
    </w:p>
    <w:p w:rsidR="00C57198" w:rsidRPr="001F6448" w:rsidRDefault="00C57198" w:rsidP="00C57198">
      <w:pPr>
        <w:spacing w:line="580" w:lineRule="exact"/>
        <w:ind w:firstLineChars="200" w:firstLine="640"/>
        <w:rPr>
          <w:rFonts w:ascii="仿宋_GB2312" w:eastAsia="仿宋_GB2312"/>
          <w:sz w:val="32"/>
          <w:szCs w:val="32"/>
        </w:rPr>
      </w:pPr>
    </w:p>
    <w:p w:rsidR="00070A43" w:rsidRPr="00C57198"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452E9A" w:rsidRDefault="00452E9A" w:rsidP="00452E9A">
      <w:pPr>
        <w:autoSpaceDE w:val="0"/>
        <w:autoSpaceDN w:val="0"/>
        <w:adjustRightInd w:val="0"/>
        <w:spacing w:line="580" w:lineRule="exact"/>
        <w:jc w:val="center"/>
        <w:rPr>
          <w:rFonts w:asciiTheme="majorEastAsia" w:eastAsiaTheme="majorEastAsia" w:hAnsiTheme="majorEastAsia"/>
          <w:b/>
          <w:sz w:val="36"/>
          <w:szCs w:val="36"/>
        </w:rPr>
      </w:pPr>
      <w:r w:rsidRPr="00270084">
        <w:rPr>
          <w:rFonts w:asciiTheme="majorEastAsia" w:eastAsiaTheme="majorEastAsia" w:hAnsiTheme="majorEastAsia" w:hint="eastAsia"/>
          <w:b/>
          <w:sz w:val="36"/>
          <w:szCs w:val="36"/>
        </w:rPr>
        <w:t>2019年</w:t>
      </w:r>
      <w:r>
        <w:rPr>
          <w:rFonts w:asciiTheme="majorEastAsia" w:eastAsiaTheme="majorEastAsia" w:hAnsiTheme="majorEastAsia" w:hint="eastAsia"/>
          <w:b/>
          <w:sz w:val="36"/>
          <w:szCs w:val="36"/>
        </w:rPr>
        <w:t>不动产统一登记信息系统建设及数据整合</w:t>
      </w:r>
    </w:p>
    <w:p w:rsidR="00452E9A" w:rsidRPr="00270084" w:rsidRDefault="00452E9A" w:rsidP="00452E9A">
      <w:pPr>
        <w:autoSpaceDE w:val="0"/>
        <w:autoSpaceDN w:val="0"/>
        <w:adjustRightInd w:val="0"/>
        <w:spacing w:line="580" w:lineRule="exact"/>
        <w:jc w:val="center"/>
        <w:rPr>
          <w:rFonts w:asciiTheme="majorEastAsia" w:eastAsiaTheme="majorEastAsia" w:hAnsiTheme="majorEastAsia"/>
          <w:b/>
          <w:sz w:val="36"/>
          <w:szCs w:val="36"/>
        </w:rPr>
      </w:pPr>
      <w:r w:rsidRPr="00270084">
        <w:rPr>
          <w:rFonts w:asciiTheme="majorEastAsia" w:eastAsiaTheme="majorEastAsia" w:hAnsiTheme="majorEastAsia" w:hint="eastAsia"/>
          <w:b/>
          <w:sz w:val="36"/>
          <w:szCs w:val="36"/>
        </w:rPr>
        <w:t>项目绩效评价报告</w:t>
      </w:r>
    </w:p>
    <w:p w:rsidR="00452E9A" w:rsidRPr="0097119B" w:rsidRDefault="00452E9A" w:rsidP="00452E9A">
      <w:pPr>
        <w:topLinePunct/>
        <w:spacing w:line="580" w:lineRule="exact"/>
        <w:rPr>
          <w:rFonts w:ascii="楷体_GB2312" w:eastAsia="楷体_GB2312"/>
          <w:kern w:val="0"/>
        </w:rPr>
      </w:pP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一、评价工作开展及购买服务项目情况</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（一）项目实施背景</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2015年3月1日起施行的《不动产登记暂行条例》，把分散在多个部门的不动产登记职责统一由国土资源部门的不动产登记局一个部门承担。《不动产登记暂行条例》要求建立统一的不动产登记信息平台，实现各级不动产登记机构登记的信息统一管理，确保国家、省、市、县四级登记信息共享。2016年8月底，我市开展不动产统一登记后，对原分散的属于不同系统的房屋、土地、林地等登记数据进行统一，按照不动产登记的相关规定进行整合建库就成了不动产登记的一项重要工作。</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（二）项目立项依据</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《国土资源部办公厅关于印发〈2017年不动产登记完善规范和接入平台工作计划安排〉的函》（川国土资函（2017）309号）、</w:t>
      </w:r>
      <w:r w:rsidRPr="00452E9A">
        <w:rPr>
          <w:rFonts w:ascii="仿宋_GB2312" w:eastAsia="仿宋_GB2312"/>
          <w:kern w:val="0"/>
          <w:sz w:val="30"/>
          <w:szCs w:val="30"/>
        </w:rPr>
        <w:t>《</w:t>
      </w:r>
      <w:r w:rsidRPr="00452E9A">
        <w:rPr>
          <w:rFonts w:ascii="仿宋_GB2312" w:eastAsia="仿宋_GB2312" w:hint="eastAsia"/>
          <w:kern w:val="0"/>
          <w:sz w:val="30"/>
          <w:szCs w:val="30"/>
        </w:rPr>
        <w:t>四川省国土资源厅关于做好我省不动产登记平台升级与平台接入、数据整合调研的通知》（川国土资发（2017）27号）</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（三）项目基本情况</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该项目包括两部分：一、不动产登记信息系统建设及数据整合项目；二、不动产登记系统建设硬件及软件设备采购项目。项目总预算745万元。</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lastRenderedPageBreak/>
        <w:t>（四）购买服务绩效评价实施方案情况（包括选点、评价指标、评价方法、基础数据表等情况）</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根据2020年项目支出绩效评价指标体系采用分级评分</w:t>
      </w:r>
      <w:proofErr w:type="gramStart"/>
      <w:r w:rsidRPr="00452E9A">
        <w:rPr>
          <w:rFonts w:ascii="仿宋_GB2312" w:eastAsia="仿宋_GB2312" w:hint="eastAsia"/>
          <w:kern w:val="0"/>
          <w:sz w:val="30"/>
          <w:szCs w:val="30"/>
        </w:rPr>
        <w:t>法整体</w:t>
      </w:r>
      <w:proofErr w:type="gramEnd"/>
      <w:r w:rsidRPr="00452E9A">
        <w:rPr>
          <w:rFonts w:ascii="仿宋_GB2312" w:eastAsia="仿宋_GB2312" w:hint="eastAsia"/>
          <w:kern w:val="0"/>
          <w:sz w:val="30"/>
          <w:szCs w:val="30"/>
        </w:rPr>
        <w:t>主体，设置了数量指标、质量指标、社会效益指标、满意度指标。</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二、评价结论及绩效分析</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（一）评价结论</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该项目经市财政批准，按照要关要求进行了需求论证、公开招标、签订合同等程序，不动产登记信息系统建设及数据整合项目于2017年开工；不动产登记系统建设硬件及软件设备采购项目已于2018年6月完成，并进行了验收。资金按合同约定的项目进度进行拨付，各项工作在项目实际难度超过预期的情况下有序推进。</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项目绩效评价优秀。</w:t>
      </w:r>
    </w:p>
    <w:p w:rsidR="00452E9A" w:rsidRPr="00452E9A" w:rsidRDefault="00452E9A" w:rsidP="00452E9A">
      <w:pPr>
        <w:topLinePunct/>
        <w:spacing w:line="580" w:lineRule="exact"/>
        <w:ind w:firstLineChars="200" w:firstLine="600"/>
        <w:rPr>
          <w:rFonts w:ascii="楷体_GB2312" w:eastAsia="楷体_GB2312"/>
          <w:kern w:val="0"/>
          <w:sz w:val="30"/>
          <w:szCs w:val="30"/>
        </w:rPr>
      </w:pPr>
      <w:r w:rsidRPr="00452E9A">
        <w:rPr>
          <w:rFonts w:ascii="楷体_GB2312" w:eastAsia="楷体_GB2312" w:hint="eastAsia"/>
          <w:kern w:val="0"/>
          <w:sz w:val="30"/>
          <w:szCs w:val="30"/>
        </w:rPr>
        <w:t>（二）绩效分析</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1.决策管理。该项目属于政府购买服务范畴、决策程序规范、绩效目标明确等。</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2.项目购买与监管。该项目按照公开招标的相关要求和程序进行采购，签订了服务合同，对承接主体进行合理约束，并按项目进度申请与拨付资金。</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3.组织管理。承接主体制定项目实施方案，并按方案组织项目实施和时行阶段总结。</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4.项目绩效。按照不动产统一登记的数据要求，对以前分散的房产、土地、林权等登记数据进行整合，是颁发不动产权证的</w:t>
      </w:r>
      <w:r w:rsidRPr="00452E9A">
        <w:rPr>
          <w:rFonts w:ascii="仿宋_GB2312" w:eastAsia="仿宋_GB2312" w:hint="eastAsia"/>
          <w:kern w:val="0"/>
          <w:sz w:val="30"/>
          <w:szCs w:val="30"/>
        </w:rPr>
        <w:lastRenderedPageBreak/>
        <w:t>重要基础和要求，缩短了办证时限，减少了办证的繁琐程度，提高了老百姓的体验满意度。</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新的不动产登记系统，</w:t>
      </w:r>
      <w:proofErr w:type="gramStart"/>
      <w:r w:rsidRPr="00452E9A">
        <w:rPr>
          <w:rFonts w:ascii="仿宋_GB2312" w:eastAsia="仿宋_GB2312" w:hint="eastAsia"/>
          <w:kern w:val="0"/>
          <w:sz w:val="30"/>
          <w:szCs w:val="30"/>
        </w:rPr>
        <w:t>让登记</w:t>
      </w:r>
      <w:proofErr w:type="gramEnd"/>
      <w:r w:rsidRPr="00452E9A">
        <w:rPr>
          <w:rFonts w:ascii="仿宋_GB2312" w:eastAsia="仿宋_GB2312" w:hint="eastAsia"/>
          <w:kern w:val="0"/>
          <w:sz w:val="30"/>
          <w:szCs w:val="30"/>
        </w:rPr>
        <w:t>工作人员经过简单的培训就能上岗。</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三、存在主要问题</w:t>
      </w:r>
    </w:p>
    <w:p w:rsidR="00452E9A" w:rsidRPr="00452E9A" w:rsidRDefault="00452E9A" w:rsidP="00452E9A">
      <w:pPr>
        <w:topLinePunct/>
        <w:spacing w:line="580" w:lineRule="exact"/>
        <w:ind w:firstLineChars="200" w:firstLine="600"/>
        <w:rPr>
          <w:rFonts w:ascii="仿宋_GB2312" w:eastAsia="仿宋_GB2312"/>
          <w:kern w:val="0"/>
          <w:sz w:val="30"/>
          <w:szCs w:val="30"/>
        </w:rPr>
      </w:pPr>
      <w:r w:rsidRPr="00452E9A">
        <w:rPr>
          <w:rFonts w:ascii="仿宋_GB2312" w:eastAsia="仿宋_GB2312" w:hint="eastAsia"/>
          <w:kern w:val="0"/>
          <w:sz w:val="30"/>
          <w:szCs w:val="30"/>
        </w:rPr>
        <w:t>虽然工作难度大，但是项目推进的速度需要进一步加强。</w:t>
      </w:r>
    </w:p>
    <w:p w:rsidR="00452E9A" w:rsidRPr="00452E9A" w:rsidRDefault="00452E9A" w:rsidP="00452E9A">
      <w:pPr>
        <w:spacing w:line="580" w:lineRule="exact"/>
        <w:ind w:firstLineChars="200" w:firstLine="600"/>
        <w:rPr>
          <w:sz w:val="30"/>
          <w:szCs w:val="30"/>
        </w:rPr>
      </w:pPr>
      <w:r w:rsidRPr="00452E9A">
        <w:rPr>
          <w:rFonts w:ascii="仿宋_GB2312" w:eastAsia="仿宋_GB2312" w:hint="eastAsia"/>
          <w:kern w:val="0"/>
          <w:sz w:val="30"/>
          <w:szCs w:val="30"/>
        </w:rPr>
        <w:t>附：</w:t>
      </w:r>
      <w:r w:rsidRPr="00452E9A">
        <w:rPr>
          <w:rFonts w:ascii="仿宋_GB2312" w:eastAsia="仿宋_GB2312" w:cs="黑体" w:hint="eastAsia"/>
          <w:kern w:val="0"/>
          <w:sz w:val="30"/>
          <w:szCs w:val="30"/>
        </w:rPr>
        <w:t>问卷调查分析</w:t>
      </w:r>
    </w:p>
    <w:p w:rsidR="00E853CE" w:rsidRPr="00452E9A" w:rsidRDefault="00E853CE">
      <w:pPr>
        <w:widowControl/>
        <w:jc w:val="left"/>
        <w:rPr>
          <w:rStyle w:val="1Char"/>
          <w:rFonts w:ascii="黑体" w:eastAsia="黑体" w:hAnsi="黑体"/>
          <w:b w:val="0"/>
          <w:sz w:val="30"/>
          <w:szCs w:val="30"/>
        </w:rPr>
      </w:pPr>
    </w:p>
    <w:p w:rsidR="00F2408F" w:rsidRDefault="00F2408F">
      <w:pPr>
        <w:widowControl/>
        <w:jc w:val="left"/>
        <w:rPr>
          <w:rStyle w:val="1Char"/>
          <w:rFonts w:ascii="黑体" w:eastAsia="黑体" w:hAnsi="黑体"/>
          <w:b w:val="0"/>
        </w:rPr>
      </w:pPr>
      <w:r>
        <w:rPr>
          <w:rStyle w:val="1Char"/>
          <w:rFonts w:ascii="黑体" w:eastAsia="黑体" w:hAnsi="黑体"/>
          <w:b w:val="0"/>
        </w:rPr>
        <w:br w:type="page"/>
      </w: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56"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4"/>
      <w:bookmarkEnd w:id="56"/>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57" w:name="_Toc15396619"/>
      <w:r>
        <w:rPr>
          <w:rFonts w:ascii="仿宋" w:eastAsia="仿宋" w:hAnsi="仿宋" w:hint="eastAsia"/>
          <w:b w:val="0"/>
          <w:color w:val="000000"/>
        </w:rPr>
        <w:t>一、收</w:t>
      </w:r>
      <w:r>
        <w:rPr>
          <w:rStyle w:val="2Char"/>
          <w:rFonts w:ascii="仿宋" w:eastAsia="仿宋" w:hAnsi="仿宋" w:hint="eastAsia"/>
        </w:rPr>
        <w:t>入支出决算总表</w:t>
      </w:r>
      <w:bookmarkEnd w:id="57"/>
    </w:p>
    <w:p w:rsidR="005B5C64" w:rsidRDefault="00204CDE">
      <w:pPr>
        <w:pStyle w:val="2"/>
        <w:rPr>
          <w:rFonts w:ascii="仿宋" w:eastAsia="仿宋" w:hAnsi="仿宋"/>
          <w:color w:val="000000"/>
        </w:rPr>
      </w:pPr>
      <w:bookmarkStart w:id="58"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58"/>
    </w:p>
    <w:p w:rsidR="005B5C64" w:rsidRDefault="00204CDE">
      <w:pPr>
        <w:pStyle w:val="2"/>
        <w:rPr>
          <w:rFonts w:ascii="仿宋" w:eastAsia="仿宋" w:hAnsi="仿宋"/>
          <w:color w:val="000000"/>
        </w:rPr>
      </w:pPr>
      <w:bookmarkStart w:id="5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59"/>
    </w:p>
    <w:p w:rsidR="005B5C64" w:rsidRDefault="00204CDE">
      <w:pPr>
        <w:pStyle w:val="2"/>
        <w:rPr>
          <w:rFonts w:ascii="仿宋" w:eastAsia="仿宋" w:hAnsi="仿宋"/>
          <w:b w:val="0"/>
          <w:color w:val="000000"/>
        </w:rPr>
      </w:pPr>
      <w:bookmarkStart w:id="6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0"/>
    </w:p>
    <w:p w:rsidR="007D1682" w:rsidRDefault="00204CDE">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2" w:name="_Toc15396624"/>
      <w:bookmarkEnd w:id="61"/>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2"/>
    </w:p>
    <w:p w:rsidR="005B5C64" w:rsidRDefault="00204CDE">
      <w:pPr>
        <w:pStyle w:val="2"/>
        <w:rPr>
          <w:rFonts w:ascii="仿宋" w:eastAsia="仿宋" w:hAnsi="仿宋"/>
          <w:color w:val="000000"/>
        </w:rPr>
      </w:pPr>
      <w:bookmarkStart w:id="6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3"/>
    </w:p>
    <w:p w:rsidR="005B5C64" w:rsidRDefault="00204CDE">
      <w:pPr>
        <w:pStyle w:val="2"/>
        <w:rPr>
          <w:rFonts w:ascii="仿宋" w:eastAsia="仿宋" w:hAnsi="仿宋"/>
          <w:color w:val="000000"/>
        </w:rPr>
      </w:pPr>
      <w:bookmarkStart w:id="6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4"/>
    </w:p>
    <w:p w:rsidR="005B5C64" w:rsidRDefault="00204CDE">
      <w:pPr>
        <w:pStyle w:val="2"/>
        <w:rPr>
          <w:rFonts w:ascii="仿宋" w:eastAsia="仿宋" w:hAnsi="仿宋"/>
          <w:color w:val="000000"/>
        </w:rPr>
      </w:pPr>
      <w:bookmarkStart w:id="6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5"/>
    </w:p>
    <w:p w:rsidR="005B5C64" w:rsidRDefault="00204CDE">
      <w:pPr>
        <w:pStyle w:val="2"/>
        <w:rPr>
          <w:rFonts w:ascii="仿宋" w:eastAsia="仿宋" w:hAnsi="仿宋"/>
          <w:color w:val="000000"/>
        </w:rPr>
      </w:pPr>
      <w:bookmarkStart w:id="6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6"/>
    </w:p>
    <w:p w:rsidR="005B5C64" w:rsidRDefault="00204CDE">
      <w:pPr>
        <w:pStyle w:val="2"/>
        <w:rPr>
          <w:rFonts w:ascii="仿宋" w:eastAsia="仿宋" w:hAnsi="仿宋"/>
          <w:color w:val="000000"/>
        </w:rPr>
      </w:pPr>
      <w:bookmarkStart w:id="6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7"/>
    </w:p>
    <w:p w:rsidR="005B5C64" w:rsidRDefault="00204CDE">
      <w:pPr>
        <w:pStyle w:val="2"/>
        <w:rPr>
          <w:rFonts w:ascii="仿宋" w:eastAsia="仿宋" w:hAnsi="仿宋"/>
          <w:color w:val="000000"/>
        </w:rPr>
      </w:pPr>
      <w:bookmarkStart w:id="6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8"/>
    </w:p>
    <w:p w:rsidR="005B5C64" w:rsidRDefault="00204CDE">
      <w:pPr>
        <w:pStyle w:val="2"/>
        <w:rPr>
          <w:rFonts w:ascii="仿宋" w:eastAsia="仿宋" w:hAnsi="仿宋"/>
          <w:color w:val="000000" w:themeColor="text1"/>
        </w:rPr>
      </w:pPr>
      <w:bookmarkStart w:id="6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9"/>
    </w:p>
    <w:sectPr w:rsidR="005B5C64" w:rsidSect="005B5C64">
      <w:headerReference w:type="default" r:id="rId10"/>
      <w:footerReference w:type="default" r:id="rId11"/>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FC" w:rsidRDefault="003B51FC" w:rsidP="005B5C64">
      <w:r>
        <w:separator/>
      </w:r>
    </w:p>
  </w:endnote>
  <w:endnote w:type="continuationSeparator" w:id="0">
    <w:p w:rsidR="003B51FC" w:rsidRDefault="003B51FC"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59014D" w:rsidRDefault="00416CD4">
        <w:pPr>
          <w:pStyle w:val="a5"/>
          <w:jc w:val="center"/>
        </w:pPr>
        <w:r>
          <w:fldChar w:fldCharType="begin"/>
        </w:r>
        <w:r w:rsidR="0059014D">
          <w:instrText>PAGE   \* MERGEFORMAT</w:instrText>
        </w:r>
        <w:r>
          <w:fldChar w:fldCharType="separate"/>
        </w:r>
        <w:r w:rsidR="00461194" w:rsidRPr="00461194">
          <w:rPr>
            <w:noProof/>
            <w:lang w:val="zh-CN"/>
          </w:rPr>
          <w:t>2</w:t>
        </w:r>
        <w:r>
          <w:fldChar w:fldCharType="end"/>
        </w:r>
      </w:p>
    </w:sdtContent>
  </w:sdt>
  <w:p w:rsidR="0059014D" w:rsidRDefault="00590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FC" w:rsidRDefault="003B51FC" w:rsidP="005B5C64">
      <w:r>
        <w:separator/>
      </w:r>
    </w:p>
  </w:footnote>
  <w:footnote w:type="continuationSeparator" w:id="0">
    <w:p w:rsidR="003B51FC" w:rsidRDefault="003B51FC"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4D" w:rsidRDefault="0059014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52013564"/>
    <w:multiLevelType w:val="hybridMultilevel"/>
    <w:tmpl w:val="DC902264"/>
    <w:lvl w:ilvl="0" w:tplc="A8AAED28">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051"/>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3C14"/>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51FC"/>
    <w:rsid w:val="003B688C"/>
    <w:rsid w:val="003C0291"/>
    <w:rsid w:val="003C39AE"/>
    <w:rsid w:val="003C7B60"/>
    <w:rsid w:val="003D0C0F"/>
    <w:rsid w:val="003D1FB2"/>
    <w:rsid w:val="003D66DA"/>
    <w:rsid w:val="003E1310"/>
    <w:rsid w:val="003E6F55"/>
    <w:rsid w:val="00403D9B"/>
    <w:rsid w:val="00406254"/>
    <w:rsid w:val="00416CD4"/>
    <w:rsid w:val="004223DE"/>
    <w:rsid w:val="00434489"/>
    <w:rsid w:val="00437085"/>
    <w:rsid w:val="00443880"/>
    <w:rsid w:val="004464F4"/>
    <w:rsid w:val="00452E9A"/>
    <w:rsid w:val="00461194"/>
    <w:rsid w:val="00471401"/>
    <w:rsid w:val="00473F31"/>
    <w:rsid w:val="0048263A"/>
    <w:rsid w:val="00487E5D"/>
    <w:rsid w:val="004A711F"/>
    <w:rsid w:val="004B199D"/>
    <w:rsid w:val="004B4690"/>
    <w:rsid w:val="004D4572"/>
    <w:rsid w:val="004E0A2D"/>
    <w:rsid w:val="004E206B"/>
    <w:rsid w:val="004E6DF7"/>
    <w:rsid w:val="004F0FBD"/>
    <w:rsid w:val="004F403E"/>
    <w:rsid w:val="00505A47"/>
    <w:rsid w:val="00505ADA"/>
    <w:rsid w:val="00512FDA"/>
    <w:rsid w:val="00520DA0"/>
    <w:rsid w:val="005664BB"/>
    <w:rsid w:val="00566FFA"/>
    <w:rsid w:val="0057481D"/>
    <w:rsid w:val="00575F0B"/>
    <w:rsid w:val="0058486E"/>
    <w:rsid w:val="00585B33"/>
    <w:rsid w:val="0059014D"/>
    <w:rsid w:val="00595A17"/>
    <w:rsid w:val="005B2536"/>
    <w:rsid w:val="005B5C64"/>
    <w:rsid w:val="005C6BD0"/>
    <w:rsid w:val="005C6C4C"/>
    <w:rsid w:val="005D1C8B"/>
    <w:rsid w:val="005D468D"/>
    <w:rsid w:val="005D5CED"/>
    <w:rsid w:val="005E4026"/>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3B57"/>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25F"/>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516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2EE"/>
    <w:rsid w:val="00B736F6"/>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198"/>
    <w:rsid w:val="00C5751C"/>
    <w:rsid w:val="00C61BFC"/>
    <w:rsid w:val="00C62B85"/>
    <w:rsid w:val="00C65438"/>
    <w:rsid w:val="00C91CBB"/>
    <w:rsid w:val="00CB28E2"/>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B5AC3"/>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05EF"/>
    <w:rsid w:val="00F417B1"/>
    <w:rsid w:val="00F45853"/>
    <w:rsid w:val="00F602DF"/>
    <w:rsid w:val="00F70D25"/>
    <w:rsid w:val="00F754A1"/>
    <w:rsid w:val="00F81FD9"/>
    <w:rsid w:val="00F841AA"/>
    <w:rsid w:val="00F84A94"/>
    <w:rsid w:val="00F87E96"/>
    <w:rsid w:val="00FA23E8"/>
    <w:rsid w:val="00FC68B1"/>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1364E-9563-4995-92EE-AEC4D0F6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7481</Words>
  <Characters>1046</Characters>
  <Application>Microsoft Office Word</Application>
  <DocSecurity>0</DocSecurity>
  <Lines>8</Lines>
  <Paragraphs>17</Paragraphs>
  <ScaleCrop>false</ScaleCrop>
  <Company>四川省财政厅</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dell</cp:lastModifiedBy>
  <cp:revision>13</cp:revision>
  <cp:lastPrinted>2020-07-23T02:58:00Z</cp:lastPrinted>
  <dcterms:created xsi:type="dcterms:W3CDTF">2020-10-21T08:52:00Z</dcterms:created>
  <dcterms:modified xsi:type="dcterms:W3CDTF">2020-10-23T01:21:00Z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