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sidR="00FC2EA6">
        <w:rPr>
          <w:rFonts w:ascii="方正小标宋简体" w:eastAsia="方正小标宋简体" w:hAnsi="宋体" w:hint="eastAsia"/>
          <w:color w:val="000000"/>
          <w:sz w:val="72"/>
          <w:szCs w:val="72"/>
        </w:rPr>
        <w:t>广汉市</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5B5C64" w:rsidRDefault="00204CDE">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w:t>
      </w:r>
      <w:r w:rsidR="00FC2EA6">
        <w:rPr>
          <w:rFonts w:ascii="方正小标宋简体" w:eastAsia="方正小标宋简体" w:hAnsi="宋体" w:hint="eastAsia"/>
          <w:color w:val="000000"/>
          <w:sz w:val="52"/>
          <w:szCs w:val="52"/>
        </w:rPr>
        <w:t>广汉市司法局</w:t>
      </w:r>
      <w:r>
        <w:rPr>
          <w:rFonts w:ascii="方正小标宋简体" w:eastAsia="方正小标宋简体" w:hAnsi="宋体" w:hint="eastAsia"/>
          <w:color w:val="000000"/>
          <w:sz w:val="52"/>
          <w:szCs w:val="52"/>
        </w:rPr>
        <w:t>)</w:t>
      </w:r>
    </w:p>
    <w:p w:rsidR="005B5C64" w:rsidRDefault="00204CDE">
      <w:pPr>
        <w:widowControl/>
        <w:jc w:val="center"/>
        <w:rPr>
          <w:rFonts w:ascii="黑体" w:eastAsia="黑体" w:hAnsi="黑体" w:cstheme="minorBidi"/>
          <w:sz w:val="28"/>
          <w:szCs w:val="28"/>
        </w:rPr>
      </w:pPr>
      <w:r>
        <w:rPr>
          <w:rFonts w:ascii="方正小标宋简体" w:eastAsia="方正小标宋简体" w:hAnsi="宋体"/>
          <w:color w:val="000000"/>
          <w:sz w:val="36"/>
          <w:szCs w:val="36"/>
        </w:rPr>
        <w:br w:type="page"/>
      </w:r>
      <w:r w:rsidR="00A8373F">
        <w:rPr>
          <w:rFonts w:ascii="黑体" w:eastAsia="黑体" w:hAnsi="黑体" w:cstheme="minorBidi"/>
          <w:sz w:val="28"/>
          <w:szCs w:val="28"/>
        </w:rPr>
        <w:lastRenderedPageBreak/>
        <w:t xml:space="preserve"> </w:t>
      </w:r>
    </w:p>
    <w:p w:rsidR="005B5C64" w:rsidRDefault="00204CDE">
      <w:pPr>
        <w:pStyle w:val="10"/>
      </w:pPr>
      <w:r>
        <w:rPr>
          <w:rFonts w:hint="eastAsia"/>
        </w:rPr>
        <w:t>公开时间：2020年</w:t>
      </w:r>
      <w:r w:rsidR="00FC2EA6">
        <w:rPr>
          <w:rFonts w:hint="eastAsia"/>
        </w:rPr>
        <w:t>10</w:t>
      </w:r>
      <w:r>
        <w:rPr>
          <w:rFonts w:hint="eastAsia"/>
        </w:rPr>
        <w:t>月</w:t>
      </w:r>
      <w:r w:rsidR="00FC2EA6">
        <w:rPr>
          <w:rFonts w:hint="eastAsia"/>
        </w:rPr>
        <w:t>2</w:t>
      </w:r>
      <w:r w:rsidR="00A8373F">
        <w:rPr>
          <w:rFonts w:hint="eastAsia"/>
        </w:rPr>
        <w:t>9</w:t>
      </w:r>
      <w:r>
        <w:rPr>
          <w:rFonts w:hint="eastAsia"/>
        </w:rPr>
        <w:t>日</w:t>
      </w:r>
    </w:p>
    <w:p w:rsidR="005B5C64" w:rsidRDefault="005B5C64"/>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A5370B" w:rsidRPr="00AA38AB" w:rsidRDefault="00833962" w:rsidP="00A5370B">
      <w:pPr>
        <w:adjustRightInd w:val="0"/>
        <w:snapToGrid w:val="0"/>
        <w:spacing w:line="600" w:lineRule="exact"/>
        <w:ind w:firstLineChars="250" w:firstLine="600"/>
        <w:rPr>
          <w:sz w:val="24"/>
        </w:rPr>
      </w:pPr>
      <w:r w:rsidRPr="00833962">
        <w:rPr>
          <w:rFonts w:hint="eastAsia"/>
          <w:sz w:val="24"/>
        </w:rPr>
        <w:t>一、基本职能及主要工作</w:t>
      </w:r>
      <w:r w:rsidR="00A5370B">
        <w:rPr>
          <w:rFonts w:ascii="仿宋_GB2312" w:eastAsia="仿宋_GB2312" w:hAnsi="仿宋" w:hint="eastAsia"/>
          <w:sz w:val="32"/>
          <w:szCs w:val="32"/>
        </w:rPr>
        <w:t>。</w:t>
      </w:r>
      <w:r w:rsidR="00A5370B" w:rsidRPr="00AA38AB">
        <w:rPr>
          <w:rFonts w:hint="eastAsia"/>
          <w:sz w:val="24"/>
        </w:rPr>
        <w:t>主要职能：</w:t>
      </w:r>
      <w:r w:rsidR="00A5370B" w:rsidRPr="00AA38AB">
        <w:rPr>
          <w:sz w:val="24"/>
        </w:rPr>
        <w:t>承担全面依法治市重大问题的决策研究，协调有关方面提出全面依法治市中长期规划建议，负责有关重大决策部署督察工作。贯彻执行国家、省、德阳市依法行政工作的方针、政策和法律、法规及规章，负责全市依法行政工作的组织协调和监督指导，研究依法行政和政府法治建设中出现的新情况、新问题，提出推进依法行政的具体措施和工作建议。负责市政府重大决策、重要行政措施发布前的合法性审查。负责起草或组织起草以市政府名义发布的规范性文件草案，对由市政府工作部门代市政府起草的规范性文件草案进行合法性审查；按照规定负责乡（镇）政府、市政府工作部门、市政府发布的规范性文件的备案、审查工作；组织清理、评估市政府规范性文件。根据授权承担市政府发布的规范性文件的解释。协调法律、法规、规章执行过程中的矛盾和冲突，负责有关法律、法规、规章和规范性文件执行中的指导。承担统筹推进法治政府建设的责任。依法开展行政执法监督检查工作，受理公民、法人或其他组织的行政执法投诉。指导、监督全市行政复议、行政应诉和行政赔偿工作，承办向市政府申请的行政复议、行政赔偿案件，代理市政府行政</w:t>
      </w:r>
      <w:r w:rsidR="00A5370B" w:rsidRPr="00AA38AB">
        <w:rPr>
          <w:rFonts w:hint="eastAsia"/>
          <w:sz w:val="24"/>
        </w:rPr>
        <w:t>（民事）</w:t>
      </w:r>
      <w:r w:rsidR="00A5370B" w:rsidRPr="00AA38AB">
        <w:rPr>
          <w:sz w:val="24"/>
        </w:rPr>
        <w:t>应诉案件。牵头负责全市行政调解的指导、督促和协调工作。负责组织实施市政府行政行为听证事项，对乡（镇）政府和市政府工作部门听证行为进行指导、监督。拟订全市普及法律常识规划和法治宣传教育计划并组织实施，指导、监督乡</w:t>
      </w:r>
      <w:r w:rsidR="00A5370B" w:rsidRPr="00AA38AB">
        <w:rPr>
          <w:rFonts w:hint="eastAsia"/>
          <w:sz w:val="24"/>
        </w:rPr>
        <w:t>（</w:t>
      </w:r>
      <w:r w:rsidR="00A5370B" w:rsidRPr="00AA38AB">
        <w:rPr>
          <w:sz w:val="24"/>
        </w:rPr>
        <w:t>镇</w:t>
      </w:r>
      <w:r w:rsidR="00A5370B" w:rsidRPr="00AA38AB">
        <w:rPr>
          <w:rFonts w:hint="eastAsia"/>
          <w:sz w:val="24"/>
        </w:rPr>
        <w:t>）</w:t>
      </w:r>
      <w:r w:rsidR="00A5370B" w:rsidRPr="00AA38AB">
        <w:rPr>
          <w:sz w:val="24"/>
        </w:rPr>
        <w:t>、各部门、行业的法治宣传、依法治理和咨询工作，负责组织全市普法相关培训工作。负责社区矫正执行及刑满释放人员安置帮教工作。</w:t>
      </w:r>
      <w:r w:rsidR="00A5370B" w:rsidRPr="00AA38AB">
        <w:rPr>
          <w:rFonts w:hint="eastAsia"/>
          <w:sz w:val="24"/>
        </w:rPr>
        <w:t>负责规划和推进公共法律</w:t>
      </w:r>
      <w:r w:rsidR="00A5370B" w:rsidRPr="00AA38AB">
        <w:rPr>
          <w:rFonts w:hint="eastAsia"/>
          <w:sz w:val="24"/>
        </w:rPr>
        <w:lastRenderedPageBreak/>
        <w:t>服务体系和平台建设工作。统筹全市法律服务资源。</w:t>
      </w:r>
      <w:r w:rsidR="00A5370B" w:rsidRPr="00AA38AB">
        <w:rPr>
          <w:sz w:val="24"/>
        </w:rPr>
        <w:t>指导</w:t>
      </w:r>
      <w:r w:rsidR="00A5370B" w:rsidRPr="00AA38AB">
        <w:rPr>
          <w:rFonts w:hint="eastAsia"/>
          <w:sz w:val="24"/>
        </w:rPr>
        <w:t>监督</w:t>
      </w:r>
      <w:r w:rsidR="00A5370B" w:rsidRPr="00AA38AB">
        <w:rPr>
          <w:sz w:val="24"/>
        </w:rPr>
        <w:t>全市律师</w:t>
      </w:r>
      <w:r w:rsidR="00A5370B" w:rsidRPr="00AA38AB">
        <w:rPr>
          <w:rFonts w:hint="eastAsia"/>
          <w:sz w:val="24"/>
        </w:rPr>
        <w:t>、</w:t>
      </w:r>
      <w:r w:rsidR="00A5370B" w:rsidRPr="00AA38AB">
        <w:rPr>
          <w:sz w:val="24"/>
        </w:rPr>
        <w:t>法律援助</w:t>
      </w:r>
      <w:r w:rsidR="00A5370B" w:rsidRPr="00AA38AB">
        <w:rPr>
          <w:rFonts w:hint="eastAsia"/>
          <w:sz w:val="24"/>
        </w:rPr>
        <w:t>、</w:t>
      </w:r>
      <w:r w:rsidR="00A5370B" w:rsidRPr="00AA38AB">
        <w:rPr>
          <w:sz w:val="24"/>
        </w:rPr>
        <w:t>公证</w:t>
      </w:r>
      <w:r w:rsidR="00A5370B" w:rsidRPr="00AA38AB">
        <w:rPr>
          <w:rFonts w:hint="eastAsia"/>
          <w:sz w:val="24"/>
        </w:rPr>
        <w:t>、</w:t>
      </w:r>
      <w:r w:rsidR="00A5370B" w:rsidRPr="00AA38AB">
        <w:rPr>
          <w:sz w:val="24"/>
        </w:rPr>
        <w:t>仲裁和基层法律服务管理工作</w:t>
      </w:r>
      <w:r w:rsidR="00A5370B" w:rsidRPr="00AA38AB">
        <w:rPr>
          <w:rFonts w:hint="eastAsia"/>
          <w:sz w:val="24"/>
        </w:rPr>
        <w:t>。</w:t>
      </w:r>
      <w:r w:rsidR="00A5370B" w:rsidRPr="00AA38AB">
        <w:rPr>
          <w:sz w:val="24"/>
        </w:rPr>
        <w:t>负责基层司法所管理工作，指导</w:t>
      </w:r>
      <w:r w:rsidR="00A5370B" w:rsidRPr="00AA38AB">
        <w:rPr>
          <w:rFonts w:hint="eastAsia"/>
          <w:sz w:val="24"/>
        </w:rPr>
        <w:t>、</w:t>
      </w:r>
      <w:r w:rsidR="00A5370B" w:rsidRPr="00AA38AB">
        <w:rPr>
          <w:sz w:val="24"/>
        </w:rPr>
        <w:t>监督人民调解工作。负责司法行政系统队伍建设和思想政治工作。</w:t>
      </w:r>
    </w:p>
    <w:p w:rsidR="00A5370B" w:rsidRPr="00AA38AB" w:rsidRDefault="00A5370B" w:rsidP="00A5370B">
      <w:pPr>
        <w:snapToGrid w:val="0"/>
        <w:spacing w:line="600" w:lineRule="exact"/>
        <w:rPr>
          <w:sz w:val="24"/>
        </w:rPr>
      </w:pPr>
      <w:r w:rsidRPr="00AA38AB">
        <w:rPr>
          <w:sz w:val="24"/>
        </w:rPr>
        <w:t>负责职责范围内的安全生产和职业健康、生态环境保护、社会信用体系建设和</w:t>
      </w:r>
      <w:r w:rsidRPr="00AA38AB">
        <w:rPr>
          <w:rFonts w:hint="eastAsia"/>
          <w:sz w:val="24"/>
        </w:rPr>
        <w:t>审批</w:t>
      </w:r>
      <w:r w:rsidRPr="00AA38AB">
        <w:rPr>
          <w:sz w:val="24"/>
        </w:rPr>
        <w:t>服务便民化等工作。按照本部门权责清单履行相关职责。</w:t>
      </w:r>
      <w:r w:rsidRPr="00AA38AB">
        <w:rPr>
          <w:rFonts w:hint="eastAsia"/>
          <w:sz w:val="24"/>
        </w:rPr>
        <w:t>完成</w:t>
      </w:r>
      <w:r w:rsidRPr="00AA38AB">
        <w:rPr>
          <w:sz w:val="24"/>
        </w:rPr>
        <w:t>市委</w:t>
      </w:r>
      <w:r w:rsidRPr="00AA38AB">
        <w:rPr>
          <w:rFonts w:hint="eastAsia"/>
          <w:sz w:val="24"/>
        </w:rPr>
        <w:t>和</w:t>
      </w:r>
      <w:r w:rsidRPr="00AA38AB">
        <w:rPr>
          <w:sz w:val="24"/>
        </w:rPr>
        <w:t>市政府交办的其他</w:t>
      </w:r>
      <w:r w:rsidRPr="00AA38AB">
        <w:rPr>
          <w:rFonts w:hint="eastAsia"/>
          <w:sz w:val="24"/>
        </w:rPr>
        <w:t>任务</w:t>
      </w:r>
      <w:r w:rsidRPr="00AA38AB">
        <w:rPr>
          <w:sz w:val="24"/>
        </w:rPr>
        <w:t>。</w:t>
      </w:r>
    </w:p>
    <w:p w:rsidR="00A5370B" w:rsidRPr="00AA38AB" w:rsidRDefault="00833962" w:rsidP="00A5370B">
      <w:pPr>
        <w:autoSpaceDE w:val="0"/>
        <w:autoSpaceDN w:val="0"/>
        <w:adjustRightInd w:val="0"/>
        <w:spacing w:line="520" w:lineRule="exact"/>
        <w:ind w:firstLineChars="200" w:firstLine="480"/>
        <w:jc w:val="left"/>
        <w:rPr>
          <w:sz w:val="24"/>
        </w:rPr>
      </w:pPr>
      <w:r w:rsidRPr="00833962">
        <w:rPr>
          <w:rFonts w:hint="eastAsia"/>
          <w:sz w:val="24"/>
        </w:rPr>
        <w:t>二、机构设置</w:t>
      </w:r>
      <w:r w:rsidR="00A5370B" w:rsidRPr="00AA38AB">
        <w:rPr>
          <w:rFonts w:hint="eastAsia"/>
          <w:sz w:val="24"/>
        </w:rPr>
        <w:t>机构人员情况</w:t>
      </w:r>
    </w:p>
    <w:p w:rsidR="00A5370B" w:rsidRPr="00AA38AB" w:rsidRDefault="00A5370B" w:rsidP="00AA38AB">
      <w:pPr>
        <w:adjustRightInd w:val="0"/>
        <w:snapToGrid w:val="0"/>
        <w:spacing w:line="520" w:lineRule="exact"/>
        <w:ind w:firstLineChars="200" w:firstLine="480"/>
        <w:rPr>
          <w:sz w:val="24"/>
        </w:rPr>
      </w:pPr>
      <w:r w:rsidRPr="00AA38AB">
        <w:rPr>
          <w:rFonts w:hint="eastAsia"/>
          <w:sz w:val="24"/>
        </w:rPr>
        <w:t>行政编制数为</w:t>
      </w:r>
      <w:r w:rsidRPr="00AA38AB">
        <w:rPr>
          <w:rFonts w:hint="eastAsia"/>
          <w:sz w:val="24"/>
        </w:rPr>
        <w:t>44</w:t>
      </w:r>
      <w:r w:rsidRPr="00AA38AB">
        <w:rPr>
          <w:rFonts w:hint="eastAsia"/>
          <w:sz w:val="24"/>
        </w:rPr>
        <w:t>人，其中政法专项编制数</w:t>
      </w:r>
      <w:r w:rsidRPr="00AA38AB">
        <w:rPr>
          <w:rFonts w:hint="eastAsia"/>
          <w:sz w:val="24"/>
        </w:rPr>
        <w:t>42</w:t>
      </w:r>
      <w:r w:rsidRPr="00AA38AB">
        <w:rPr>
          <w:rFonts w:hint="eastAsia"/>
          <w:sz w:val="24"/>
        </w:rPr>
        <w:t>人、行政工勤编制数</w:t>
      </w:r>
      <w:r w:rsidRPr="00AA38AB">
        <w:rPr>
          <w:rFonts w:hint="eastAsia"/>
          <w:sz w:val="24"/>
        </w:rPr>
        <w:t>2</w:t>
      </w:r>
      <w:r w:rsidRPr="00AA38AB">
        <w:rPr>
          <w:rFonts w:hint="eastAsia"/>
          <w:sz w:val="24"/>
        </w:rPr>
        <w:t>人。年末实有人数为</w:t>
      </w:r>
      <w:r w:rsidRPr="00AA38AB">
        <w:rPr>
          <w:rFonts w:hint="eastAsia"/>
          <w:sz w:val="24"/>
        </w:rPr>
        <w:t>43</w:t>
      </w:r>
      <w:r w:rsidRPr="00AA38AB">
        <w:rPr>
          <w:rFonts w:hint="eastAsia"/>
          <w:sz w:val="24"/>
        </w:rPr>
        <w:t>人（含工勤</w:t>
      </w:r>
      <w:r w:rsidRPr="00AA38AB">
        <w:rPr>
          <w:rFonts w:hint="eastAsia"/>
          <w:sz w:val="24"/>
        </w:rPr>
        <w:t>2</w:t>
      </w:r>
      <w:r w:rsidRPr="00AA38AB">
        <w:rPr>
          <w:rFonts w:hint="eastAsia"/>
          <w:sz w:val="24"/>
        </w:rPr>
        <w:t>人），退休人员</w:t>
      </w:r>
      <w:r w:rsidRPr="00AA38AB">
        <w:rPr>
          <w:rFonts w:hint="eastAsia"/>
          <w:sz w:val="24"/>
        </w:rPr>
        <w:t>32</w:t>
      </w:r>
      <w:r w:rsidRPr="00AA38AB">
        <w:rPr>
          <w:rFonts w:hint="eastAsia"/>
          <w:sz w:val="24"/>
        </w:rPr>
        <w:t>人。</w:t>
      </w:r>
    </w:p>
    <w:p w:rsidR="00A5370B" w:rsidRPr="00AA38AB" w:rsidRDefault="00A5370B" w:rsidP="00AA38AB">
      <w:pPr>
        <w:adjustRightInd w:val="0"/>
        <w:snapToGrid w:val="0"/>
        <w:spacing w:line="520" w:lineRule="exact"/>
        <w:ind w:firstLineChars="200" w:firstLine="480"/>
        <w:rPr>
          <w:sz w:val="24"/>
        </w:rPr>
      </w:pPr>
      <w:r w:rsidRPr="00AA38AB">
        <w:rPr>
          <w:rFonts w:hint="eastAsia"/>
          <w:sz w:val="24"/>
        </w:rPr>
        <w:t>机构人员当年变动情况及原因</w:t>
      </w:r>
    </w:p>
    <w:p w:rsidR="00A5370B" w:rsidRPr="00AA38AB" w:rsidRDefault="00A5370B" w:rsidP="00AA38AB">
      <w:pPr>
        <w:adjustRightInd w:val="0"/>
        <w:snapToGrid w:val="0"/>
        <w:spacing w:line="520" w:lineRule="exact"/>
        <w:ind w:firstLineChars="200" w:firstLine="480"/>
        <w:rPr>
          <w:sz w:val="24"/>
        </w:rPr>
      </w:pPr>
      <w:r w:rsidRPr="00AA38AB">
        <w:rPr>
          <w:rFonts w:hint="eastAsia"/>
          <w:sz w:val="24"/>
        </w:rPr>
        <w:t>2019</w:t>
      </w:r>
      <w:r w:rsidRPr="00AA38AB">
        <w:rPr>
          <w:rFonts w:hint="eastAsia"/>
          <w:sz w:val="24"/>
        </w:rPr>
        <w:t>年新进人员</w:t>
      </w:r>
      <w:r w:rsidRPr="00AA38AB">
        <w:rPr>
          <w:rFonts w:hint="eastAsia"/>
          <w:sz w:val="24"/>
        </w:rPr>
        <w:t>1</w:t>
      </w:r>
      <w:r w:rsidRPr="00AA38AB">
        <w:rPr>
          <w:rFonts w:hint="eastAsia"/>
          <w:sz w:val="24"/>
        </w:rPr>
        <w:t>人、机构改革调入</w:t>
      </w:r>
      <w:r w:rsidRPr="00AA38AB">
        <w:rPr>
          <w:rFonts w:hint="eastAsia"/>
          <w:sz w:val="24"/>
        </w:rPr>
        <w:t>1</w:t>
      </w:r>
      <w:r w:rsidRPr="00AA38AB">
        <w:rPr>
          <w:rFonts w:hint="eastAsia"/>
          <w:sz w:val="24"/>
        </w:rPr>
        <w:t>人，年末实有在职人数比</w:t>
      </w:r>
      <w:r w:rsidRPr="00AA38AB">
        <w:rPr>
          <w:rFonts w:hint="eastAsia"/>
          <w:sz w:val="24"/>
        </w:rPr>
        <w:t>2018</w:t>
      </w:r>
      <w:r w:rsidRPr="00AA38AB">
        <w:rPr>
          <w:rFonts w:hint="eastAsia"/>
          <w:sz w:val="24"/>
        </w:rPr>
        <w:t>年增加</w:t>
      </w:r>
      <w:r w:rsidRPr="00AA38AB">
        <w:rPr>
          <w:rFonts w:hint="eastAsia"/>
          <w:sz w:val="24"/>
        </w:rPr>
        <w:t>1</w:t>
      </w:r>
      <w:r w:rsidRPr="00AA38AB">
        <w:rPr>
          <w:rFonts w:hint="eastAsia"/>
          <w:sz w:val="24"/>
        </w:rPr>
        <w:t>人。</w:t>
      </w:r>
    </w:p>
    <w:p w:rsidR="00416CD4" w:rsidRDefault="00416CD4">
      <w:pPr>
        <w:pStyle w:val="20"/>
        <w:adjustRightInd w:val="0"/>
        <w:snapToGrid w:val="0"/>
        <w:spacing w:line="440" w:lineRule="exact"/>
        <w:jc w:val="left"/>
        <w:rPr>
          <w:rFonts w:ascii="仿宋" w:eastAsia="仿宋" w:hAnsi="仿宋" w:cstheme="minorBidi"/>
          <w:sz w:val="24"/>
        </w:rPr>
      </w:pPr>
    </w:p>
    <w:p w:rsidR="00416CD4" w:rsidRDefault="00833962">
      <w:pPr>
        <w:pStyle w:val="10"/>
        <w:adjustRightInd w:val="0"/>
        <w:snapToGrid w:val="0"/>
        <w:spacing w:before="0" w:line="440" w:lineRule="exact"/>
        <w:jc w:val="left"/>
        <w:rPr>
          <w:sz w:val="24"/>
          <w:szCs w:val="24"/>
        </w:rPr>
      </w:pPr>
      <w:r w:rsidRPr="00833962">
        <w:rPr>
          <w:rFonts w:hint="eastAsia"/>
          <w:sz w:val="24"/>
        </w:rPr>
        <w:t>第二部分度部门决算情况说明</w:t>
      </w:r>
    </w:p>
    <w:p w:rsidR="00C13C74" w:rsidRPr="00BD48B4" w:rsidRDefault="00833962" w:rsidP="00C13C74">
      <w:pPr>
        <w:adjustRightInd w:val="0"/>
        <w:snapToGrid w:val="0"/>
        <w:spacing w:line="520" w:lineRule="exact"/>
        <w:ind w:firstLine="600"/>
        <w:rPr>
          <w:sz w:val="24"/>
        </w:rPr>
      </w:pPr>
      <w:r w:rsidRPr="00833962">
        <w:rPr>
          <w:rFonts w:hint="eastAsia"/>
          <w:sz w:val="24"/>
        </w:rPr>
        <w:t>一、收入支出决算总体情况说明</w:t>
      </w:r>
      <w:r w:rsidR="0029014F">
        <w:rPr>
          <w:rFonts w:hint="eastAsia"/>
          <w:sz w:val="24"/>
        </w:rPr>
        <w:t>。</w:t>
      </w:r>
      <w:r w:rsidR="00C13C74" w:rsidRPr="00BD48B4">
        <w:rPr>
          <w:rFonts w:hint="eastAsia"/>
          <w:sz w:val="24"/>
        </w:rPr>
        <w:t>2019</w:t>
      </w:r>
      <w:r w:rsidR="00C13C74" w:rsidRPr="00BD48B4">
        <w:rPr>
          <w:rFonts w:hint="eastAsia"/>
          <w:sz w:val="24"/>
        </w:rPr>
        <w:t>年</w:t>
      </w:r>
      <w:r w:rsidR="009548D2" w:rsidRPr="00BD48B4">
        <w:rPr>
          <w:rFonts w:hint="eastAsia"/>
          <w:sz w:val="24"/>
        </w:rPr>
        <w:t>总收入为</w:t>
      </w:r>
      <w:r w:rsidR="009548D2" w:rsidRPr="00BD48B4">
        <w:rPr>
          <w:rFonts w:hint="eastAsia"/>
          <w:sz w:val="24"/>
        </w:rPr>
        <w:t>1430.77</w:t>
      </w:r>
      <w:r w:rsidR="009548D2" w:rsidRPr="00BD48B4">
        <w:rPr>
          <w:rFonts w:hint="eastAsia"/>
          <w:sz w:val="24"/>
        </w:rPr>
        <w:t>万元，其中</w:t>
      </w:r>
      <w:r w:rsidR="00C13C74" w:rsidRPr="00BD48B4">
        <w:rPr>
          <w:rFonts w:hint="eastAsia"/>
          <w:sz w:val="24"/>
        </w:rPr>
        <w:t>一般公共预算财政拨款收入</w:t>
      </w:r>
      <w:r w:rsidR="00C13C74" w:rsidRPr="00BD48B4">
        <w:rPr>
          <w:rFonts w:hint="eastAsia"/>
          <w:sz w:val="24"/>
        </w:rPr>
        <w:t>1414.77</w:t>
      </w:r>
      <w:r w:rsidR="00C13C74" w:rsidRPr="00BD48B4">
        <w:rPr>
          <w:rFonts w:hint="eastAsia"/>
          <w:sz w:val="24"/>
        </w:rPr>
        <w:t>万元，其他收入</w:t>
      </w:r>
      <w:r w:rsidR="00C13C74" w:rsidRPr="00BD48B4">
        <w:rPr>
          <w:rFonts w:hint="eastAsia"/>
          <w:sz w:val="24"/>
        </w:rPr>
        <w:t>16.00</w:t>
      </w:r>
      <w:r w:rsidR="00C13C74" w:rsidRPr="00BD48B4">
        <w:rPr>
          <w:rFonts w:hint="eastAsia"/>
          <w:sz w:val="24"/>
        </w:rPr>
        <w:t>万元。</w:t>
      </w:r>
      <w:r w:rsidR="00C13C74" w:rsidRPr="00BD48B4">
        <w:rPr>
          <w:rFonts w:hint="eastAsia"/>
          <w:sz w:val="24"/>
        </w:rPr>
        <w:t>2019</w:t>
      </w:r>
      <w:r w:rsidR="00C13C74" w:rsidRPr="00BD48B4">
        <w:rPr>
          <w:rFonts w:hint="eastAsia"/>
          <w:sz w:val="24"/>
        </w:rPr>
        <w:t>年一般公共预算财政年初预算收入为</w:t>
      </w:r>
      <w:r w:rsidR="00C13C74" w:rsidRPr="00BD48B4">
        <w:rPr>
          <w:rFonts w:hint="eastAsia"/>
          <w:sz w:val="24"/>
        </w:rPr>
        <w:t>923.92</w:t>
      </w:r>
      <w:r w:rsidR="00C13C74" w:rsidRPr="00BD48B4">
        <w:rPr>
          <w:rFonts w:hint="eastAsia"/>
          <w:sz w:val="24"/>
        </w:rPr>
        <w:t>万元，收入决算数</w:t>
      </w:r>
      <w:r w:rsidR="00C13C74" w:rsidRPr="00BD48B4">
        <w:rPr>
          <w:rFonts w:hint="eastAsia"/>
          <w:sz w:val="24"/>
        </w:rPr>
        <w:t>1414.77</w:t>
      </w:r>
      <w:r w:rsidR="00C13C74" w:rsidRPr="00BD48B4">
        <w:rPr>
          <w:rFonts w:hint="eastAsia"/>
          <w:sz w:val="24"/>
        </w:rPr>
        <w:t>万元，收入预、决算差异率</w:t>
      </w:r>
      <w:r w:rsidR="00C13C74" w:rsidRPr="00BD48B4">
        <w:rPr>
          <w:rFonts w:hint="eastAsia"/>
          <w:sz w:val="24"/>
        </w:rPr>
        <w:t>34.69%</w:t>
      </w:r>
      <w:r w:rsidR="00C13C74" w:rsidRPr="00BD48B4">
        <w:rPr>
          <w:rFonts w:hint="eastAsia"/>
          <w:sz w:val="24"/>
        </w:rPr>
        <w:t>。</w:t>
      </w:r>
      <w:r w:rsidR="00C13C74" w:rsidRPr="00BD48B4">
        <w:rPr>
          <w:rFonts w:hint="eastAsia"/>
          <w:sz w:val="24"/>
        </w:rPr>
        <w:t>2019</w:t>
      </w:r>
      <w:r w:rsidR="00C13C74" w:rsidRPr="00BD48B4">
        <w:rPr>
          <w:rFonts w:hint="eastAsia"/>
          <w:sz w:val="24"/>
        </w:rPr>
        <w:t>财政拨款基本支出年初预算数</w:t>
      </w:r>
      <w:r w:rsidR="00C13C74" w:rsidRPr="00BD48B4">
        <w:rPr>
          <w:rFonts w:hint="eastAsia"/>
          <w:sz w:val="24"/>
        </w:rPr>
        <w:t>823.92</w:t>
      </w:r>
      <w:r w:rsidR="00C13C74" w:rsidRPr="00BD48B4">
        <w:rPr>
          <w:rFonts w:hint="eastAsia"/>
          <w:sz w:val="24"/>
        </w:rPr>
        <w:t>万元、决算数</w:t>
      </w:r>
      <w:r w:rsidR="00C13C74" w:rsidRPr="00BD48B4">
        <w:rPr>
          <w:rFonts w:hint="eastAsia"/>
          <w:sz w:val="24"/>
        </w:rPr>
        <w:t>1232.71</w:t>
      </w:r>
      <w:r w:rsidR="00C13C74" w:rsidRPr="00BD48B4">
        <w:rPr>
          <w:rFonts w:hint="eastAsia"/>
          <w:sz w:val="24"/>
        </w:rPr>
        <w:t>万元，预、决算差异率</w:t>
      </w:r>
      <w:r w:rsidR="00C13C74" w:rsidRPr="00BD48B4">
        <w:rPr>
          <w:rFonts w:hint="eastAsia"/>
          <w:sz w:val="24"/>
        </w:rPr>
        <w:t>33.12%</w:t>
      </w:r>
      <w:r w:rsidR="00C13C74" w:rsidRPr="00BD48B4">
        <w:rPr>
          <w:rFonts w:hint="eastAsia"/>
          <w:sz w:val="24"/>
        </w:rPr>
        <w:t>；项目支出年初预算数</w:t>
      </w:r>
      <w:r w:rsidR="00C13C74" w:rsidRPr="00BD48B4">
        <w:rPr>
          <w:rFonts w:hint="eastAsia"/>
          <w:sz w:val="24"/>
        </w:rPr>
        <w:t>100.00</w:t>
      </w:r>
      <w:r w:rsidR="00C13C74" w:rsidRPr="00BD48B4">
        <w:rPr>
          <w:rFonts w:hint="eastAsia"/>
          <w:sz w:val="24"/>
        </w:rPr>
        <w:t>万元、决算数</w:t>
      </w:r>
      <w:r w:rsidR="00C13C74" w:rsidRPr="00BD48B4">
        <w:rPr>
          <w:rFonts w:hint="eastAsia"/>
          <w:sz w:val="24"/>
        </w:rPr>
        <w:t>146.35</w:t>
      </w:r>
      <w:r w:rsidR="00C13C74" w:rsidRPr="00BD48B4">
        <w:rPr>
          <w:rFonts w:hint="eastAsia"/>
          <w:sz w:val="24"/>
        </w:rPr>
        <w:t>万元，预、决算差异率</w:t>
      </w:r>
      <w:r w:rsidR="00C13C74" w:rsidRPr="00BD48B4">
        <w:rPr>
          <w:rFonts w:hint="eastAsia"/>
          <w:sz w:val="24"/>
        </w:rPr>
        <w:t>-46.35%</w:t>
      </w:r>
      <w:r w:rsidR="00C13C74" w:rsidRPr="00BD48B4">
        <w:rPr>
          <w:rFonts w:hint="eastAsia"/>
          <w:sz w:val="24"/>
        </w:rPr>
        <w:t>。其中财政拨款项目支出年初预算调整数</w:t>
      </w:r>
      <w:r w:rsidR="00C13C74" w:rsidRPr="00BD48B4">
        <w:rPr>
          <w:rFonts w:hint="eastAsia"/>
          <w:sz w:val="24"/>
        </w:rPr>
        <w:t>176.35</w:t>
      </w:r>
      <w:r w:rsidR="00C13C74" w:rsidRPr="00BD48B4">
        <w:rPr>
          <w:rFonts w:hint="eastAsia"/>
          <w:sz w:val="24"/>
        </w:rPr>
        <w:t>万元、决算数</w:t>
      </w:r>
      <w:r w:rsidR="00C13C74" w:rsidRPr="00BD48B4">
        <w:rPr>
          <w:rFonts w:hint="eastAsia"/>
          <w:sz w:val="24"/>
        </w:rPr>
        <w:t>146.35</w:t>
      </w:r>
      <w:r w:rsidR="00C13C74" w:rsidRPr="00BD48B4">
        <w:rPr>
          <w:rFonts w:hint="eastAsia"/>
          <w:sz w:val="24"/>
        </w:rPr>
        <w:t>万元，预、决算差异率</w:t>
      </w:r>
      <w:r w:rsidR="00C13C74" w:rsidRPr="00BD48B4">
        <w:rPr>
          <w:rFonts w:hint="eastAsia"/>
          <w:sz w:val="24"/>
        </w:rPr>
        <w:t>17%</w:t>
      </w:r>
      <w:r w:rsidR="00C13C74" w:rsidRPr="00BD48B4">
        <w:rPr>
          <w:rFonts w:hint="eastAsia"/>
          <w:sz w:val="24"/>
        </w:rPr>
        <w:t>。主要原因是业务装备款及办案业务款由中央及省转移支付资金，部分结转</w:t>
      </w:r>
      <w:r w:rsidR="00C13C74" w:rsidRPr="00BD48B4">
        <w:rPr>
          <w:rFonts w:hint="eastAsia"/>
          <w:sz w:val="24"/>
        </w:rPr>
        <w:t>2020</w:t>
      </w:r>
      <w:r w:rsidR="00C13C74" w:rsidRPr="00BD48B4">
        <w:rPr>
          <w:rFonts w:hint="eastAsia"/>
          <w:sz w:val="24"/>
        </w:rPr>
        <w:t>年进行装备采购。</w:t>
      </w:r>
    </w:p>
    <w:p w:rsidR="00416CD4" w:rsidRDefault="00416CD4">
      <w:pPr>
        <w:pStyle w:val="20"/>
        <w:adjustRightInd w:val="0"/>
        <w:snapToGrid w:val="0"/>
        <w:spacing w:line="440" w:lineRule="exact"/>
        <w:jc w:val="left"/>
        <w:rPr>
          <w:rFonts w:ascii="仿宋" w:eastAsia="仿宋" w:hAnsi="仿宋" w:cstheme="minorBidi"/>
          <w:sz w:val="24"/>
        </w:rPr>
      </w:pPr>
    </w:p>
    <w:p w:rsidR="00C13C74" w:rsidRPr="009548D2" w:rsidRDefault="00833962" w:rsidP="00C13C74">
      <w:pPr>
        <w:adjustRightInd w:val="0"/>
        <w:snapToGrid w:val="0"/>
        <w:spacing w:line="520" w:lineRule="exact"/>
        <w:ind w:firstLine="600"/>
        <w:rPr>
          <w:sz w:val="24"/>
        </w:rPr>
      </w:pPr>
      <w:r w:rsidRPr="00833962">
        <w:rPr>
          <w:rFonts w:hint="eastAsia"/>
          <w:sz w:val="24"/>
        </w:rPr>
        <w:t>二、收入决算情况说明</w:t>
      </w:r>
      <w:r w:rsidR="0029014F">
        <w:rPr>
          <w:rFonts w:hint="eastAsia"/>
          <w:sz w:val="24"/>
        </w:rPr>
        <w:t>。</w:t>
      </w:r>
      <w:r w:rsidR="00C13C74" w:rsidRPr="009548D2">
        <w:rPr>
          <w:rFonts w:hint="eastAsia"/>
          <w:sz w:val="24"/>
        </w:rPr>
        <w:t>2019</w:t>
      </w:r>
      <w:r w:rsidR="00C13C74" w:rsidRPr="009548D2">
        <w:rPr>
          <w:rFonts w:hint="eastAsia"/>
          <w:sz w:val="24"/>
        </w:rPr>
        <w:t>年总收入为</w:t>
      </w:r>
      <w:r w:rsidR="00C13C74" w:rsidRPr="009548D2">
        <w:rPr>
          <w:rFonts w:hint="eastAsia"/>
          <w:sz w:val="24"/>
        </w:rPr>
        <w:t>1430.77</w:t>
      </w:r>
      <w:r w:rsidR="00C13C74" w:rsidRPr="009548D2">
        <w:rPr>
          <w:rFonts w:hint="eastAsia"/>
          <w:sz w:val="24"/>
        </w:rPr>
        <w:t>万元，其中财政预算拨款收入</w:t>
      </w:r>
      <w:r w:rsidR="00C13C74" w:rsidRPr="009548D2">
        <w:rPr>
          <w:rFonts w:hint="eastAsia"/>
          <w:sz w:val="24"/>
        </w:rPr>
        <w:t>1414.77</w:t>
      </w:r>
      <w:r w:rsidR="00C13C74" w:rsidRPr="009548D2">
        <w:rPr>
          <w:rFonts w:hint="eastAsia"/>
          <w:sz w:val="24"/>
        </w:rPr>
        <w:t>万元，其他收入</w:t>
      </w:r>
      <w:r w:rsidR="00C13C74" w:rsidRPr="009548D2">
        <w:rPr>
          <w:rFonts w:hint="eastAsia"/>
          <w:sz w:val="24"/>
        </w:rPr>
        <w:t>16</w:t>
      </w:r>
      <w:r w:rsidR="00C13C74" w:rsidRPr="009548D2">
        <w:rPr>
          <w:rFonts w:hint="eastAsia"/>
          <w:sz w:val="24"/>
        </w:rPr>
        <w:t>万元，预算收入占本年收入</w:t>
      </w:r>
      <w:r w:rsidR="00C13C74" w:rsidRPr="009548D2">
        <w:rPr>
          <w:rFonts w:hint="eastAsia"/>
          <w:sz w:val="24"/>
        </w:rPr>
        <w:t>98.88%</w:t>
      </w:r>
      <w:r w:rsidR="00C13C74" w:rsidRPr="009548D2">
        <w:rPr>
          <w:rFonts w:hint="eastAsia"/>
          <w:sz w:val="24"/>
        </w:rPr>
        <w:t>。</w:t>
      </w:r>
    </w:p>
    <w:p w:rsidR="00416CD4" w:rsidRDefault="00416CD4">
      <w:pPr>
        <w:pStyle w:val="20"/>
        <w:adjustRightInd w:val="0"/>
        <w:snapToGrid w:val="0"/>
        <w:spacing w:line="440" w:lineRule="exact"/>
        <w:jc w:val="left"/>
        <w:rPr>
          <w:rFonts w:ascii="仿宋" w:eastAsia="仿宋" w:hAnsi="仿宋" w:cstheme="minorBidi"/>
          <w:sz w:val="24"/>
        </w:rPr>
      </w:pPr>
    </w:p>
    <w:p w:rsidR="00416CD4" w:rsidRPr="00BD48B4" w:rsidRDefault="00833962" w:rsidP="00BD48B4">
      <w:pPr>
        <w:pStyle w:val="20"/>
        <w:adjustRightInd w:val="0"/>
        <w:snapToGrid w:val="0"/>
        <w:spacing w:line="440" w:lineRule="exact"/>
        <w:ind w:leftChars="0" w:left="0" w:firstLineChars="200" w:firstLine="480"/>
        <w:jc w:val="left"/>
        <w:rPr>
          <w:sz w:val="24"/>
        </w:rPr>
      </w:pPr>
      <w:r w:rsidRPr="00833962">
        <w:rPr>
          <w:rFonts w:hint="eastAsia"/>
          <w:sz w:val="24"/>
        </w:rPr>
        <w:lastRenderedPageBreak/>
        <w:t>三、支出决算情况说明</w:t>
      </w:r>
      <w:r w:rsidR="0029014F">
        <w:rPr>
          <w:rFonts w:hint="eastAsia"/>
          <w:sz w:val="24"/>
        </w:rPr>
        <w:t>。</w:t>
      </w:r>
      <w:r w:rsidR="004D465B" w:rsidRPr="00BD48B4">
        <w:rPr>
          <w:rFonts w:hint="eastAsia"/>
          <w:sz w:val="24"/>
        </w:rPr>
        <w:t>2019</w:t>
      </w:r>
      <w:r w:rsidR="004D465B" w:rsidRPr="00BD48B4">
        <w:rPr>
          <w:rFonts w:hint="eastAsia"/>
          <w:sz w:val="24"/>
        </w:rPr>
        <w:t>年支出</w:t>
      </w:r>
      <w:r w:rsidR="004D465B" w:rsidRPr="00BD48B4">
        <w:rPr>
          <w:rFonts w:hint="eastAsia"/>
          <w:sz w:val="24"/>
        </w:rPr>
        <w:t>1385.06</w:t>
      </w:r>
      <w:r w:rsidR="004D465B" w:rsidRPr="00BD48B4">
        <w:rPr>
          <w:rFonts w:hint="eastAsia"/>
          <w:sz w:val="24"/>
        </w:rPr>
        <w:t>万元，其中财政拨款支出</w:t>
      </w:r>
      <w:r w:rsidR="004D465B" w:rsidRPr="00BD48B4">
        <w:rPr>
          <w:rFonts w:hint="eastAsia"/>
          <w:sz w:val="24"/>
        </w:rPr>
        <w:t>1379.06</w:t>
      </w:r>
      <w:r w:rsidR="004D465B" w:rsidRPr="00BD48B4">
        <w:rPr>
          <w:rFonts w:hint="eastAsia"/>
          <w:sz w:val="24"/>
        </w:rPr>
        <w:t>万元，占本年支出</w:t>
      </w:r>
      <w:r w:rsidR="004D465B" w:rsidRPr="00BD48B4">
        <w:rPr>
          <w:rFonts w:hint="eastAsia"/>
          <w:sz w:val="24"/>
        </w:rPr>
        <w:t>99.57%</w:t>
      </w:r>
      <w:r w:rsidR="004D465B" w:rsidRPr="00BD48B4">
        <w:rPr>
          <w:rFonts w:hint="eastAsia"/>
          <w:sz w:val="24"/>
        </w:rPr>
        <w:t>。</w:t>
      </w:r>
      <w:r w:rsidR="004D465B" w:rsidRPr="00BD48B4">
        <w:rPr>
          <w:rFonts w:hint="eastAsia"/>
          <w:sz w:val="24"/>
        </w:rPr>
        <w:t>2019</w:t>
      </w:r>
      <w:r w:rsidR="004D465B" w:rsidRPr="00BD48B4">
        <w:rPr>
          <w:rFonts w:hint="eastAsia"/>
          <w:sz w:val="24"/>
        </w:rPr>
        <w:t>年基本支出</w:t>
      </w:r>
      <w:r w:rsidR="004D465B" w:rsidRPr="00BD48B4">
        <w:rPr>
          <w:rFonts w:hint="eastAsia"/>
          <w:sz w:val="24"/>
        </w:rPr>
        <w:t>1238.71</w:t>
      </w:r>
      <w:r w:rsidR="004D465B" w:rsidRPr="00BD48B4">
        <w:rPr>
          <w:rFonts w:hint="eastAsia"/>
          <w:sz w:val="24"/>
        </w:rPr>
        <w:t>万元，占本年支出</w:t>
      </w:r>
      <w:r w:rsidR="004D465B" w:rsidRPr="00BD48B4">
        <w:rPr>
          <w:rFonts w:hint="eastAsia"/>
          <w:sz w:val="24"/>
        </w:rPr>
        <w:t>89.43%</w:t>
      </w:r>
      <w:r w:rsidR="004D465B" w:rsidRPr="00BD48B4">
        <w:rPr>
          <w:rFonts w:hint="eastAsia"/>
          <w:sz w:val="24"/>
        </w:rPr>
        <w:t>；项目支出</w:t>
      </w:r>
      <w:r w:rsidR="004D465B" w:rsidRPr="00BD48B4">
        <w:rPr>
          <w:rFonts w:hint="eastAsia"/>
          <w:sz w:val="24"/>
        </w:rPr>
        <w:t>146.35</w:t>
      </w:r>
      <w:r w:rsidR="004D465B" w:rsidRPr="00BD48B4">
        <w:rPr>
          <w:rFonts w:hint="eastAsia"/>
          <w:sz w:val="24"/>
        </w:rPr>
        <w:t>万元，占本年支出</w:t>
      </w:r>
      <w:r w:rsidR="004D465B" w:rsidRPr="00BD48B4">
        <w:rPr>
          <w:rFonts w:hint="eastAsia"/>
          <w:sz w:val="24"/>
        </w:rPr>
        <w:t>10.57%</w:t>
      </w:r>
      <w:r w:rsidR="004D465B" w:rsidRPr="00BD48B4">
        <w:rPr>
          <w:rFonts w:hint="eastAsia"/>
          <w:sz w:val="24"/>
        </w:rPr>
        <w:t>。</w:t>
      </w:r>
      <w:r w:rsidR="004D465B" w:rsidRPr="00BD48B4">
        <w:rPr>
          <w:rFonts w:hint="eastAsia"/>
          <w:sz w:val="24"/>
        </w:rPr>
        <w:t>2019</w:t>
      </w:r>
      <w:r w:rsidR="004D465B" w:rsidRPr="00BD48B4">
        <w:rPr>
          <w:rFonts w:hint="eastAsia"/>
          <w:sz w:val="24"/>
        </w:rPr>
        <w:t>年工资福利支出</w:t>
      </w:r>
      <w:r w:rsidR="004D465B" w:rsidRPr="00BD48B4">
        <w:rPr>
          <w:rFonts w:hint="eastAsia"/>
          <w:sz w:val="24"/>
        </w:rPr>
        <w:t>865.15</w:t>
      </w:r>
      <w:r w:rsidR="004D465B" w:rsidRPr="00BD48B4">
        <w:rPr>
          <w:rFonts w:hint="eastAsia"/>
          <w:sz w:val="24"/>
        </w:rPr>
        <w:t>万元，占全年支出</w:t>
      </w:r>
      <w:r w:rsidR="004D465B" w:rsidRPr="00BD48B4">
        <w:rPr>
          <w:rFonts w:hint="eastAsia"/>
          <w:sz w:val="24"/>
        </w:rPr>
        <w:t>62.46%</w:t>
      </w:r>
      <w:r w:rsidR="004D465B" w:rsidRPr="00BD48B4">
        <w:rPr>
          <w:rFonts w:hint="eastAsia"/>
          <w:sz w:val="24"/>
        </w:rPr>
        <w:t>；商品和服务支出</w:t>
      </w:r>
      <w:r w:rsidR="004D465B" w:rsidRPr="00BD48B4">
        <w:rPr>
          <w:rFonts w:hint="eastAsia"/>
          <w:sz w:val="24"/>
        </w:rPr>
        <w:t>363.64</w:t>
      </w:r>
      <w:r w:rsidR="004D465B" w:rsidRPr="00BD48B4">
        <w:rPr>
          <w:rFonts w:hint="eastAsia"/>
          <w:sz w:val="24"/>
        </w:rPr>
        <w:t>万元，占本年支出</w:t>
      </w:r>
      <w:r w:rsidR="004D465B" w:rsidRPr="00BD48B4">
        <w:rPr>
          <w:rFonts w:hint="eastAsia"/>
          <w:sz w:val="24"/>
        </w:rPr>
        <w:t>26.25%</w:t>
      </w:r>
      <w:r w:rsidR="004D465B" w:rsidRPr="00BD48B4">
        <w:rPr>
          <w:rFonts w:hint="eastAsia"/>
          <w:sz w:val="24"/>
        </w:rPr>
        <w:t>；对个人和家庭的补助支出</w:t>
      </w:r>
      <w:r w:rsidR="004D465B" w:rsidRPr="00BD48B4">
        <w:rPr>
          <w:rFonts w:hint="eastAsia"/>
          <w:sz w:val="24"/>
        </w:rPr>
        <w:t>46.62</w:t>
      </w:r>
      <w:r w:rsidR="004D465B" w:rsidRPr="00BD48B4">
        <w:rPr>
          <w:rFonts w:hint="eastAsia"/>
          <w:sz w:val="24"/>
        </w:rPr>
        <w:t>万元，占本年支出</w:t>
      </w:r>
      <w:r w:rsidR="004D465B" w:rsidRPr="00BD48B4">
        <w:rPr>
          <w:rFonts w:hint="eastAsia"/>
          <w:sz w:val="24"/>
        </w:rPr>
        <w:t>3.4%</w:t>
      </w:r>
      <w:r w:rsidR="004D465B" w:rsidRPr="00BD48B4">
        <w:rPr>
          <w:rFonts w:hint="eastAsia"/>
          <w:sz w:val="24"/>
        </w:rPr>
        <w:t>；基本建设性支出</w:t>
      </w:r>
      <w:r w:rsidR="004D465B" w:rsidRPr="00BD48B4">
        <w:rPr>
          <w:rFonts w:hint="eastAsia"/>
          <w:sz w:val="24"/>
        </w:rPr>
        <w:t>14.13</w:t>
      </w:r>
      <w:r w:rsidR="004D465B" w:rsidRPr="00BD48B4">
        <w:rPr>
          <w:rFonts w:hint="eastAsia"/>
          <w:sz w:val="24"/>
        </w:rPr>
        <w:t>万元，占本年支出的</w:t>
      </w:r>
      <w:r w:rsidR="004D465B" w:rsidRPr="00BD48B4">
        <w:rPr>
          <w:rFonts w:hint="eastAsia"/>
          <w:sz w:val="24"/>
        </w:rPr>
        <w:t>1.02%</w:t>
      </w:r>
      <w:r w:rsidR="004D465B" w:rsidRPr="00BD48B4">
        <w:rPr>
          <w:rFonts w:hint="eastAsia"/>
          <w:sz w:val="24"/>
        </w:rPr>
        <w:t>，其他资本性支出</w:t>
      </w:r>
      <w:r w:rsidR="004D465B" w:rsidRPr="00BD48B4">
        <w:rPr>
          <w:rFonts w:hint="eastAsia"/>
          <w:sz w:val="24"/>
        </w:rPr>
        <w:t>132.22</w:t>
      </w:r>
      <w:r w:rsidR="004D465B" w:rsidRPr="00BD48B4">
        <w:rPr>
          <w:rFonts w:hint="eastAsia"/>
          <w:sz w:val="24"/>
        </w:rPr>
        <w:t>万元，占本年支出的</w:t>
      </w:r>
      <w:r w:rsidR="004D465B" w:rsidRPr="00BD48B4">
        <w:rPr>
          <w:rFonts w:hint="eastAsia"/>
          <w:sz w:val="24"/>
        </w:rPr>
        <w:t>9.55%</w:t>
      </w:r>
      <w:r w:rsidR="004D465B" w:rsidRPr="00BD48B4">
        <w:rPr>
          <w:rFonts w:hint="eastAsia"/>
          <w:sz w:val="24"/>
        </w:rPr>
        <w:t>。</w:t>
      </w:r>
    </w:p>
    <w:p w:rsidR="00D47A0B" w:rsidRDefault="00D47A0B" w:rsidP="008A40F4">
      <w:pPr>
        <w:adjustRightInd w:val="0"/>
        <w:snapToGrid w:val="0"/>
        <w:spacing w:line="520" w:lineRule="exact"/>
        <w:ind w:firstLine="600"/>
        <w:rPr>
          <w:sz w:val="24"/>
        </w:rPr>
      </w:pPr>
    </w:p>
    <w:p w:rsidR="008A40F4" w:rsidRPr="00BD48B4" w:rsidRDefault="00833962" w:rsidP="008A40F4">
      <w:pPr>
        <w:adjustRightInd w:val="0"/>
        <w:snapToGrid w:val="0"/>
        <w:spacing w:line="520" w:lineRule="exact"/>
        <w:ind w:firstLine="600"/>
        <w:rPr>
          <w:sz w:val="24"/>
        </w:rPr>
      </w:pPr>
      <w:r w:rsidRPr="00833962">
        <w:rPr>
          <w:rFonts w:hint="eastAsia"/>
          <w:sz w:val="24"/>
        </w:rPr>
        <w:t>四、财政拨款收入支出决算总体情况说明</w:t>
      </w:r>
      <w:r w:rsidR="0029014F">
        <w:rPr>
          <w:rFonts w:hint="eastAsia"/>
          <w:sz w:val="24"/>
        </w:rPr>
        <w:t>。</w:t>
      </w:r>
      <w:r w:rsidR="008A40F4" w:rsidRPr="00BD48B4">
        <w:rPr>
          <w:rFonts w:hint="eastAsia"/>
          <w:sz w:val="24"/>
        </w:rPr>
        <w:t>2019</w:t>
      </w:r>
      <w:r w:rsidR="008A40F4" w:rsidRPr="00BD48B4">
        <w:rPr>
          <w:rFonts w:hint="eastAsia"/>
          <w:sz w:val="24"/>
        </w:rPr>
        <w:t>年总收入为</w:t>
      </w:r>
      <w:r w:rsidR="008A40F4" w:rsidRPr="00BD48B4">
        <w:rPr>
          <w:rFonts w:hint="eastAsia"/>
          <w:sz w:val="24"/>
        </w:rPr>
        <w:t>1430.77</w:t>
      </w:r>
      <w:r w:rsidR="008A40F4" w:rsidRPr="00BD48B4">
        <w:rPr>
          <w:rFonts w:hint="eastAsia"/>
          <w:sz w:val="24"/>
        </w:rPr>
        <w:t>万元，其中财政预算拨款收入</w:t>
      </w:r>
      <w:r w:rsidR="008A40F4" w:rsidRPr="00BD48B4">
        <w:rPr>
          <w:rFonts w:hint="eastAsia"/>
          <w:sz w:val="24"/>
        </w:rPr>
        <w:t>1414.77</w:t>
      </w:r>
      <w:r w:rsidR="008A40F4" w:rsidRPr="00BD48B4">
        <w:rPr>
          <w:rFonts w:hint="eastAsia"/>
          <w:sz w:val="24"/>
        </w:rPr>
        <w:t>万元，其他收入</w:t>
      </w:r>
      <w:r w:rsidR="008A40F4" w:rsidRPr="00BD48B4">
        <w:rPr>
          <w:rFonts w:hint="eastAsia"/>
          <w:sz w:val="24"/>
        </w:rPr>
        <w:t>16</w:t>
      </w:r>
      <w:r w:rsidR="008A40F4" w:rsidRPr="00BD48B4">
        <w:rPr>
          <w:rFonts w:hint="eastAsia"/>
          <w:sz w:val="24"/>
        </w:rPr>
        <w:t>万元，预算收入占本年收入</w:t>
      </w:r>
      <w:r w:rsidR="008A40F4" w:rsidRPr="00BD48B4">
        <w:rPr>
          <w:rFonts w:hint="eastAsia"/>
          <w:sz w:val="24"/>
        </w:rPr>
        <w:t>98.88%</w:t>
      </w:r>
      <w:r w:rsidR="008A40F4" w:rsidRPr="00BD48B4">
        <w:rPr>
          <w:rFonts w:hint="eastAsia"/>
          <w:sz w:val="24"/>
        </w:rPr>
        <w:t>。</w:t>
      </w:r>
    </w:p>
    <w:p w:rsidR="00416CD4" w:rsidRDefault="00416CD4">
      <w:pPr>
        <w:pStyle w:val="20"/>
        <w:adjustRightInd w:val="0"/>
        <w:snapToGrid w:val="0"/>
        <w:spacing w:line="440" w:lineRule="exact"/>
        <w:jc w:val="left"/>
        <w:rPr>
          <w:rFonts w:ascii="仿宋" w:eastAsia="仿宋" w:hAnsi="仿宋" w:cstheme="minorBidi"/>
          <w:sz w:val="24"/>
        </w:rPr>
      </w:pPr>
    </w:p>
    <w:p w:rsidR="008A40F4" w:rsidRPr="00BD48B4" w:rsidRDefault="00833962" w:rsidP="008A40F4">
      <w:pPr>
        <w:adjustRightInd w:val="0"/>
        <w:snapToGrid w:val="0"/>
        <w:spacing w:line="520" w:lineRule="exact"/>
        <w:ind w:firstLine="600"/>
        <w:rPr>
          <w:sz w:val="24"/>
        </w:rPr>
      </w:pPr>
      <w:r w:rsidRPr="00833962">
        <w:rPr>
          <w:rFonts w:hint="eastAsia"/>
          <w:sz w:val="24"/>
        </w:rPr>
        <w:t>五、一般公共预算财政拨款支出决算情况说明</w:t>
      </w:r>
      <w:r w:rsidR="0029014F">
        <w:rPr>
          <w:rFonts w:hint="eastAsia"/>
          <w:sz w:val="24"/>
        </w:rPr>
        <w:t>。</w:t>
      </w:r>
      <w:r w:rsidR="008A40F4" w:rsidRPr="00BD48B4">
        <w:rPr>
          <w:rFonts w:hint="eastAsia"/>
          <w:sz w:val="24"/>
        </w:rPr>
        <w:t>2019</w:t>
      </w:r>
      <w:r w:rsidR="008A40F4" w:rsidRPr="00BD48B4">
        <w:rPr>
          <w:rFonts w:hint="eastAsia"/>
          <w:sz w:val="24"/>
        </w:rPr>
        <w:t>年</w:t>
      </w:r>
      <w:r w:rsidR="008A40F4" w:rsidRPr="00833962">
        <w:rPr>
          <w:rFonts w:hint="eastAsia"/>
          <w:sz w:val="24"/>
        </w:rPr>
        <w:t>一般公共预算财政拨款支出</w:t>
      </w:r>
      <w:r w:rsidR="008A40F4" w:rsidRPr="00BD48B4">
        <w:rPr>
          <w:rFonts w:hint="eastAsia"/>
          <w:sz w:val="24"/>
        </w:rPr>
        <w:t>1379.06</w:t>
      </w:r>
      <w:r w:rsidR="008A40F4" w:rsidRPr="00BD48B4">
        <w:rPr>
          <w:rFonts w:hint="eastAsia"/>
          <w:sz w:val="24"/>
        </w:rPr>
        <w:t>万元，年末财政拨款结转和结余资金</w:t>
      </w:r>
      <w:r w:rsidR="008A40F4" w:rsidRPr="00BD48B4">
        <w:rPr>
          <w:rFonts w:hint="eastAsia"/>
          <w:sz w:val="24"/>
        </w:rPr>
        <w:t>75.92</w:t>
      </w:r>
      <w:r w:rsidR="008A40F4" w:rsidRPr="00BD48B4">
        <w:rPr>
          <w:rFonts w:hint="eastAsia"/>
          <w:sz w:val="24"/>
        </w:rPr>
        <w:t>万元。</w:t>
      </w:r>
    </w:p>
    <w:p w:rsidR="00416CD4" w:rsidRDefault="00416CD4">
      <w:pPr>
        <w:pStyle w:val="20"/>
        <w:adjustRightInd w:val="0"/>
        <w:snapToGrid w:val="0"/>
        <w:spacing w:line="440" w:lineRule="exact"/>
        <w:jc w:val="left"/>
        <w:rPr>
          <w:rFonts w:ascii="仿宋" w:eastAsia="仿宋" w:hAnsi="仿宋" w:cstheme="minorBidi"/>
          <w:sz w:val="24"/>
        </w:rPr>
      </w:pPr>
    </w:p>
    <w:p w:rsidR="003B218B" w:rsidRPr="00C93B0F" w:rsidRDefault="00833962" w:rsidP="004F4DF5">
      <w:pPr>
        <w:pStyle w:val="20"/>
        <w:adjustRightInd w:val="0"/>
        <w:snapToGrid w:val="0"/>
        <w:spacing w:line="440" w:lineRule="exact"/>
        <w:ind w:leftChars="0" w:left="0" w:firstLineChars="200" w:firstLine="480"/>
        <w:jc w:val="left"/>
        <w:rPr>
          <w:sz w:val="24"/>
        </w:rPr>
      </w:pPr>
      <w:r w:rsidRPr="00833962">
        <w:rPr>
          <w:rFonts w:hint="eastAsia"/>
          <w:sz w:val="24"/>
        </w:rPr>
        <w:t>六、一般公共预算财政拨款基本支出决算情况说明</w:t>
      </w:r>
      <w:r w:rsidR="0029014F">
        <w:rPr>
          <w:rFonts w:hint="eastAsia"/>
          <w:sz w:val="24"/>
        </w:rPr>
        <w:t>。</w:t>
      </w:r>
      <w:r w:rsidR="003B218B" w:rsidRPr="00C93B0F">
        <w:rPr>
          <w:rFonts w:hint="eastAsia"/>
          <w:sz w:val="24"/>
        </w:rPr>
        <w:t>2019</w:t>
      </w:r>
      <w:r w:rsidR="003B218B" w:rsidRPr="00C93B0F">
        <w:rPr>
          <w:rFonts w:hint="eastAsia"/>
          <w:sz w:val="24"/>
        </w:rPr>
        <w:t>年</w:t>
      </w:r>
      <w:r w:rsidR="003B218B" w:rsidRPr="00833962">
        <w:rPr>
          <w:rFonts w:hint="eastAsia"/>
          <w:sz w:val="24"/>
        </w:rPr>
        <w:t>一般公共预算财政拨款基本支出</w:t>
      </w:r>
      <w:r w:rsidR="003B218B" w:rsidRPr="00C93B0F">
        <w:rPr>
          <w:rFonts w:hint="eastAsia"/>
          <w:sz w:val="24"/>
        </w:rPr>
        <w:t>1238.71</w:t>
      </w:r>
      <w:r w:rsidR="003B218B" w:rsidRPr="00C93B0F">
        <w:rPr>
          <w:rFonts w:hint="eastAsia"/>
          <w:sz w:val="24"/>
        </w:rPr>
        <w:t>万元，占本年</w:t>
      </w:r>
      <w:r w:rsidR="002913E3" w:rsidRPr="00C93B0F">
        <w:rPr>
          <w:rFonts w:hint="eastAsia"/>
          <w:sz w:val="24"/>
        </w:rPr>
        <w:t>总</w:t>
      </w:r>
      <w:r w:rsidR="003B218B" w:rsidRPr="00C93B0F">
        <w:rPr>
          <w:rFonts w:hint="eastAsia"/>
          <w:sz w:val="24"/>
        </w:rPr>
        <w:t>支出</w:t>
      </w:r>
      <w:r w:rsidR="002913E3" w:rsidRPr="00C93B0F">
        <w:rPr>
          <w:rFonts w:hint="eastAsia"/>
          <w:sz w:val="24"/>
        </w:rPr>
        <w:t>的</w:t>
      </w:r>
      <w:r w:rsidR="002913E3" w:rsidRPr="00C93B0F">
        <w:rPr>
          <w:rFonts w:hint="eastAsia"/>
          <w:sz w:val="24"/>
        </w:rPr>
        <w:t>89.43</w:t>
      </w:r>
      <w:r w:rsidR="003B218B" w:rsidRPr="00C93B0F">
        <w:rPr>
          <w:rFonts w:hint="eastAsia"/>
          <w:sz w:val="24"/>
        </w:rPr>
        <w:t>%</w:t>
      </w:r>
      <w:r w:rsidR="003B218B" w:rsidRPr="00C93B0F">
        <w:rPr>
          <w:rFonts w:hint="eastAsia"/>
          <w:sz w:val="24"/>
        </w:rPr>
        <w:t>；</w:t>
      </w:r>
      <w:r w:rsidR="003B218B" w:rsidRPr="00C93B0F">
        <w:rPr>
          <w:rFonts w:hint="eastAsia"/>
          <w:sz w:val="24"/>
        </w:rPr>
        <w:t xml:space="preserve"> 2019</w:t>
      </w:r>
      <w:r w:rsidR="003B218B" w:rsidRPr="00C93B0F">
        <w:rPr>
          <w:rFonts w:hint="eastAsia"/>
          <w:sz w:val="24"/>
        </w:rPr>
        <w:t>年</w:t>
      </w:r>
      <w:r w:rsidR="00C57B7A" w:rsidRPr="00C93B0F">
        <w:rPr>
          <w:rFonts w:hint="eastAsia"/>
          <w:sz w:val="24"/>
        </w:rPr>
        <w:t>公共安全</w:t>
      </w:r>
      <w:r w:rsidR="003B218B" w:rsidRPr="00C93B0F">
        <w:rPr>
          <w:rFonts w:hint="eastAsia"/>
          <w:sz w:val="24"/>
        </w:rPr>
        <w:t>支出</w:t>
      </w:r>
      <w:r w:rsidR="00E56E86" w:rsidRPr="00C93B0F">
        <w:rPr>
          <w:rFonts w:hint="eastAsia"/>
          <w:sz w:val="24"/>
        </w:rPr>
        <w:t>1043.42</w:t>
      </w:r>
      <w:r w:rsidR="003B218B" w:rsidRPr="00C93B0F">
        <w:rPr>
          <w:rFonts w:hint="eastAsia"/>
          <w:sz w:val="24"/>
        </w:rPr>
        <w:t>万元，占</w:t>
      </w:r>
      <w:r w:rsidR="002913E3" w:rsidRPr="00C93B0F">
        <w:rPr>
          <w:rFonts w:hint="eastAsia"/>
          <w:sz w:val="24"/>
        </w:rPr>
        <w:t>基本</w:t>
      </w:r>
      <w:r w:rsidR="003B218B" w:rsidRPr="00C93B0F">
        <w:rPr>
          <w:rFonts w:hint="eastAsia"/>
          <w:sz w:val="24"/>
        </w:rPr>
        <w:t>支出</w:t>
      </w:r>
      <w:r w:rsidR="002913E3" w:rsidRPr="00C93B0F">
        <w:rPr>
          <w:rFonts w:hint="eastAsia"/>
          <w:sz w:val="24"/>
        </w:rPr>
        <w:t>84.23</w:t>
      </w:r>
      <w:r w:rsidR="003B218B" w:rsidRPr="00C93B0F">
        <w:rPr>
          <w:rFonts w:hint="eastAsia"/>
          <w:sz w:val="24"/>
        </w:rPr>
        <w:t>%</w:t>
      </w:r>
      <w:r w:rsidR="003B218B" w:rsidRPr="00C93B0F">
        <w:rPr>
          <w:rFonts w:hint="eastAsia"/>
          <w:sz w:val="24"/>
        </w:rPr>
        <w:t>；</w:t>
      </w:r>
      <w:r w:rsidR="00E56E86" w:rsidRPr="00C93B0F">
        <w:rPr>
          <w:rFonts w:hint="eastAsia"/>
          <w:sz w:val="24"/>
        </w:rPr>
        <w:t>社会保障和就业</w:t>
      </w:r>
      <w:r w:rsidR="003B218B" w:rsidRPr="00C93B0F">
        <w:rPr>
          <w:rFonts w:hint="eastAsia"/>
          <w:sz w:val="24"/>
        </w:rPr>
        <w:t>支出</w:t>
      </w:r>
      <w:r w:rsidR="00E56E86" w:rsidRPr="00C93B0F">
        <w:rPr>
          <w:rFonts w:hint="eastAsia"/>
          <w:sz w:val="24"/>
        </w:rPr>
        <w:t>114.17</w:t>
      </w:r>
      <w:r w:rsidR="003B218B" w:rsidRPr="00C93B0F">
        <w:rPr>
          <w:rFonts w:hint="eastAsia"/>
          <w:sz w:val="24"/>
        </w:rPr>
        <w:t>万元，占</w:t>
      </w:r>
      <w:r w:rsidR="0018698F" w:rsidRPr="00C93B0F">
        <w:rPr>
          <w:rFonts w:hint="eastAsia"/>
          <w:sz w:val="24"/>
        </w:rPr>
        <w:t>基本</w:t>
      </w:r>
      <w:r w:rsidR="003B218B" w:rsidRPr="00C93B0F">
        <w:rPr>
          <w:rFonts w:hint="eastAsia"/>
          <w:sz w:val="24"/>
        </w:rPr>
        <w:t>支出</w:t>
      </w:r>
      <w:r w:rsidR="002913E3" w:rsidRPr="00C93B0F">
        <w:rPr>
          <w:rFonts w:hint="eastAsia"/>
          <w:sz w:val="24"/>
        </w:rPr>
        <w:t>9.22</w:t>
      </w:r>
      <w:r w:rsidR="003B218B" w:rsidRPr="00C93B0F">
        <w:rPr>
          <w:rFonts w:hint="eastAsia"/>
          <w:sz w:val="24"/>
        </w:rPr>
        <w:t>%</w:t>
      </w:r>
      <w:r w:rsidR="003B218B" w:rsidRPr="00C93B0F">
        <w:rPr>
          <w:rFonts w:hint="eastAsia"/>
          <w:sz w:val="24"/>
        </w:rPr>
        <w:t>；</w:t>
      </w:r>
      <w:r w:rsidR="00E56E86" w:rsidRPr="00C93B0F">
        <w:rPr>
          <w:rFonts w:hint="eastAsia"/>
          <w:sz w:val="24"/>
        </w:rPr>
        <w:t>卫生健康支出</w:t>
      </w:r>
      <w:r w:rsidR="00E56E86" w:rsidRPr="00C93B0F">
        <w:rPr>
          <w:rFonts w:hint="eastAsia"/>
          <w:sz w:val="24"/>
        </w:rPr>
        <w:t>31.14</w:t>
      </w:r>
      <w:r w:rsidR="003B218B" w:rsidRPr="00C93B0F">
        <w:rPr>
          <w:rFonts w:hint="eastAsia"/>
          <w:sz w:val="24"/>
        </w:rPr>
        <w:t>万元，占</w:t>
      </w:r>
      <w:r w:rsidR="0018698F" w:rsidRPr="00C93B0F">
        <w:rPr>
          <w:rFonts w:hint="eastAsia"/>
          <w:sz w:val="24"/>
        </w:rPr>
        <w:t>基本</w:t>
      </w:r>
      <w:r w:rsidR="003B218B" w:rsidRPr="00C93B0F">
        <w:rPr>
          <w:rFonts w:hint="eastAsia"/>
          <w:sz w:val="24"/>
        </w:rPr>
        <w:t>支出</w:t>
      </w:r>
      <w:r w:rsidR="002913E3" w:rsidRPr="00C93B0F">
        <w:rPr>
          <w:rFonts w:hint="eastAsia"/>
          <w:sz w:val="24"/>
        </w:rPr>
        <w:t>2.5</w:t>
      </w:r>
      <w:r w:rsidR="003B218B" w:rsidRPr="00C93B0F">
        <w:rPr>
          <w:rFonts w:hint="eastAsia"/>
          <w:sz w:val="24"/>
        </w:rPr>
        <w:t>%</w:t>
      </w:r>
      <w:r w:rsidR="003B218B" w:rsidRPr="00C93B0F">
        <w:rPr>
          <w:rFonts w:hint="eastAsia"/>
          <w:sz w:val="24"/>
        </w:rPr>
        <w:t>；</w:t>
      </w:r>
      <w:r w:rsidR="00E56E86" w:rsidRPr="00C93B0F">
        <w:rPr>
          <w:rFonts w:hint="eastAsia"/>
          <w:sz w:val="24"/>
        </w:rPr>
        <w:t>住房保障支出</w:t>
      </w:r>
      <w:r w:rsidR="00E56E86" w:rsidRPr="00C93B0F">
        <w:rPr>
          <w:rFonts w:hint="eastAsia"/>
          <w:sz w:val="24"/>
        </w:rPr>
        <w:t>49.98</w:t>
      </w:r>
      <w:r w:rsidR="003B218B" w:rsidRPr="00C93B0F">
        <w:rPr>
          <w:rFonts w:hint="eastAsia"/>
          <w:sz w:val="24"/>
        </w:rPr>
        <w:t>万元，占</w:t>
      </w:r>
      <w:r w:rsidR="0018698F" w:rsidRPr="00C93B0F">
        <w:rPr>
          <w:rFonts w:hint="eastAsia"/>
          <w:sz w:val="24"/>
        </w:rPr>
        <w:t>基本</w:t>
      </w:r>
      <w:r w:rsidR="003B218B" w:rsidRPr="00C93B0F">
        <w:rPr>
          <w:rFonts w:hint="eastAsia"/>
          <w:sz w:val="24"/>
        </w:rPr>
        <w:t>支出的</w:t>
      </w:r>
      <w:r w:rsidR="002913E3" w:rsidRPr="00C93B0F">
        <w:rPr>
          <w:rFonts w:hint="eastAsia"/>
          <w:sz w:val="24"/>
        </w:rPr>
        <w:t>4.03</w:t>
      </w:r>
      <w:r w:rsidR="003B218B" w:rsidRPr="00C93B0F">
        <w:rPr>
          <w:rFonts w:hint="eastAsia"/>
          <w:sz w:val="24"/>
        </w:rPr>
        <w:t>%</w:t>
      </w:r>
      <w:r w:rsidR="00E56E86" w:rsidRPr="00C93B0F">
        <w:rPr>
          <w:rFonts w:hint="eastAsia"/>
          <w:sz w:val="24"/>
        </w:rPr>
        <w:t>。</w:t>
      </w:r>
    </w:p>
    <w:p w:rsidR="00416CD4" w:rsidRDefault="00416CD4">
      <w:pPr>
        <w:pStyle w:val="20"/>
        <w:adjustRightInd w:val="0"/>
        <w:snapToGrid w:val="0"/>
        <w:spacing w:line="440" w:lineRule="exact"/>
        <w:jc w:val="left"/>
        <w:rPr>
          <w:rFonts w:ascii="仿宋" w:eastAsia="仿宋" w:hAnsi="仿宋" w:cstheme="minorBidi"/>
          <w:sz w:val="24"/>
        </w:rPr>
      </w:pPr>
    </w:p>
    <w:p w:rsidR="00D47A0B" w:rsidRDefault="00833962" w:rsidP="004D465B">
      <w:pPr>
        <w:adjustRightInd w:val="0"/>
        <w:snapToGrid w:val="0"/>
        <w:spacing w:line="520" w:lineRule="exact"/>
        <w:ind w:firstLineChars="200" w:firstLine="480"/>
        <w:rPr>
          <w:sz w:val="24"/>
        </w:rPr>
      </w:pPr>
      <w:r w:rsidRPr="00833962">
        <w:rPr>
          <w:rFonts w:hint="eastAsia"/>
          <w:sz w:val="24"/>
        </w:rPr>
        <w:t>七、</w:t>
      </w:r>
      <w:r w:rsidRPr="00833962">
        <w:rPr>
          <w:sz w:val="24"/>
        </w:rPr>
        <w:t>“</w:t>
      </w:r>
      <w:r w:rsidRPr="00833962">
        <w:rPr>
          <w:rFonts w:hint="eastAsia"/>
          <w:sz w:val="24"/>
        </w:rPr>
        <w:t>三公”经费财政拨款支出决算情况说明</w:t>
      </w:r>
      <w:r w:rsidR="0029014F">
        <w:rPr>
          <w:rFonts w:hint="eastAsia"/>
          <w:sz w:val="24"/>
        </w:rPr>
        <w:t>。</w:t>
      </w:r>
    </w:p>
    <w:p w:rsidR="004D465B" w:rsidRPr="00C93B0F" w:rsidRDefault="004D465B" w:rsidP="004D465B">
      <w:pPr>
        <w:adjustRightInd w:val="0"/>
        <w:snapToGrid w:val="0"/>
        <w:spacing w:line="520" w:lineRule="exact"/>
        <w:ind w:firstLineChars="200" w:firstLine="480"/>
        <w:rPr>
          <w:sz w:val="24"/>
        </w:rPr>
      </w:pPr>
      <w:r w:rsidRPr="00C93B0F">
        <w:rPr>
          <w:rFonts w:hint="eastAsia"/>
          <w:sz w:val="24"/>
        </w:rPr>
        <w:t>（</w:t>
      </w:r>
      <w:r w:rsidRPr="00C93B0F">
        <w:rPr>
          <w:rFonts w:hint="eastAsia"/>
          <w:sz w:val="24"/>
        </w:rPr>
        <w:t>1</w:t>
      </w:r>
      <w:r w:rsidRPr="00C93B0F">
        <w:rPr>
          <w:rFonts w:hint="eastAsia"/>
          <w:sz w:val="24"/>
        </w:rPr>
        <w:t>）“三公”经费支出情况：</w:t>
      </w:r>
      <w:r w:rsidRPr="00C93B0F">
        <w:rPr>
          <w:rFonts w:hint="eastAsia"/>
          <w:sz w:val="24"/>
        </w:rPr>
        <w:t>2019</w:t>
      </w:r>
      <w:r w:rsidRPr="00C93B0F">
        <w:rPr>
          <w:rFonts w:hint="eastAsia"/>
          <w:sz w:val="24"/>
        </w:rPr>
        <w:t>年公务用车运行维护费支出</w:t>
      </w:r>
      <w:r w:rsidRPr="00C93B0F">
        <w:rPr>
          <w:rFonts w:hint="eastAsia"/>
          <w:sz w:val="24"/>
        </w:rPr>
        <w:t>13.23</w:t>
      </w:r>
      <w:r w:rsidRPr="00C93B0F">
        <w:rPr>
          <w:rFonts w:hint="eastAsia"/>
          <w:sz w:val="24"/>
        </w:rPr>
        <w:t>万元，</w:t>
      </w:r>
      <w:r w:rsidRPr="00C93B0F">
        <w:rPr>
          <w:rFonts w:hint="eastAsia"/>
          <w:sz w:val="24"/>
        </w:rPr>
        <w:t>2018</w:t>
      </w:r>
      <w:r w:rsidRPr="00C93B0F">
        <w:rPr>
          <w:rFonts w:hint="eastAsia"/>
          <w:sz w:val="24"/>
        </w:rPr>
        <w:t>年公务用车运行维护费支出</w:t>
      </w:r>
      <w:r w:rsidRPr="00C93B0F">
        <w:rPr>
          <w:rFonts w:hint="eastAsia"/>
          <w:sz w:val="24"/>
        </w:rPr>
        <w:t>15.72</w:t>
      </w:r>
      <w:r w:rsidRPr="00C93B0F">
        <w:rPr>
          <w:rFonts w:hint="eastAsia"/>
          <w:sz w:val="24"/>
        </w:rPr>
        <w:t>万元，与</w:t>
      </w:r>
      <w:r w:rsidRPr="00C93B0F">
        <w:rPr>
          <w:rFonts w:hint="eastAsia"/>
          <w:sz w:val="24"/>
        </w:rPr>
        <w:t>2018</w:t>
      </w:r>
      <w:r w:rsidRPr="00C93B0F">
        <w:rPr>
          <w:rFonts w:hint="eastAsia"/>
          <w:sz w:val="24"/>
        </w:rPr>
        <w:t>年相比减少</w:t>
      </w:r>
      <w:r w:rsidRPr="00C93B0F">
        <w:rPr>
          <w:rFonts w:hint="eastAsia"/>
          <w:sz w:val="24"/>
        </w:rPr>
        <w:t>2.49</w:t>
      </w:r>
      <w:r w:rsidRPr="00C93B0F">
        <w:rPr>
          <w:rFonts w:hint="eastAsia"/>
          <w:sz w:val="24"/>
        </w:rPr>
        <w:t>万元，减幅为</w:t>
      </w:r>
      <w:r w:rsidRPr="00C93B0F">
        <w:rPr>
          <w:rFonts w:hint="eastAsia"/>
          <w:sz w:val="24"/>
        </w:rPr>
        <w:t>15.84%</w:t>
      </w:r>
      <w:r w:rsidRPr="00C93B0F">
        <w:rPr>
          <w:rFonts w:hint="eastAsia"/>
          <w:sz w:val="24"/>
        </w:rPr>
        <w:t>。</w:t>
      </w:r>
      <w:r w:rsidRPr="00C93B0F">
        <w:rPr>
          <w:rFonts w:hint="eastAsia"/>
          <w:sz w:val="24"/>
        </w:rPr>
        <w:t>2019</w:t>
      </w:r>
      <w:r w:rsidRPr="00C93B0F">
        <w:rPr>
          <w:rFonts w:hint="eastAsia"/>
          <w:sz w:val="24"/>
        </w:rPr>
        <w:t>年公务用车运行维护费预算数为</w:t>
      </w:r>
      <w:r w:rsidRPr="00C93B0F">
        <w:rPr>
          <w:rFonts w:hint="eastAsia"/>
          <w:sz w:val="24"/>
        </w:rPr>
        <w:t>19.4</w:t>
      </w:r>
      <w:r w:rsidRPr="00C93B0F">
        <w:rPr>
          <w:rFonts w:hint="eastAsia"/>
          <w:sz w:val="24"/>
        </w:rPr>
        <w:t>万元，未超过本年度预算数；</w:t>
      </w:r>
      <w:r w:rsidRPr="00C93B0F">
        <w:rPr>
          <w:rFonts w:hint="eastAsia"/>
          <w:sz w:val="24"/>
        </w:rPr>
        <w:t>2019</w:t>
      </w:r>
      <w:r w:rsidRPr="00C93B0F">
        <w:rPr>
          <w:rFonts w:hint="eastAsia"/>
          <w:sz w:val="24"/>
        </w:rPr>
        <w:t>年公务接待支出费用</w:t>
      </w:r>
      <w:r w:rsidRPr="00C93B0F">
        <w:rPr>
          <w:rFonts w:hint="eastAsia"/>
          <w:sz w:val="24"/>
        </w:rPr>
        <w:t>2.56</w:t>
      </w:r>
      <w:r w:rsidRPr="00C93B0F">
        <w:rPr>
          <w:rFonts w:hint="eastAsia"/>
          <w:sz w:val="24"/>
        </w:rPr>
        <w:t>万元，共接待</w:t>
      </w:r>
      <w:r w:rsidRPr="00C93B0F">
        <w:rPr>
          <w:rFonts w:hint="eastAsia"/>
          <w:sz w:val="24"/>
        </w:rPr>
        <w:t>12</w:t>
      </w:r>
      <w:r w:rsidRPr="00C93B0F">
        <w:rPr>
          <w:rFonts w:hint="eastAsia"/>
          <w:sz w:val="24"/>
        </w:rPr>
        <w:t>批次</w:t>
      </w:r>
      <w:r w:rsidRPr="00C93B0F">
        <w:rPr>
          <w:rFonts w:hint="eastAsia"/>
          <w:sz w:val="24"/>
        </w:rPr>
        <w:t>172</w:t>
      </w:r>
      <w:r w:rsidRPr="00C93B0F">
        <w:rPr>
          <w:rFonts w:hint="eastAsia"/>
          <w:sz w:val="24"/>
        </w:rPr>
        <w:t>人的参观学习和领导视察工作，</w:t>
      </w:r>
      <w:r w:rsidRPr="00C93B0F">
        <w:rPr>
          <w:rFonts w:hint="eastAsia"/>
          <w:sz w:val="24"/>
        </w:rPr>
        <w:t>2018</w:t>
      </w:r>
      <w:r w:rsidRPr="00C93B0F">
        <w:rPr>
          <w:rFonts w:hint="eastAsia"/>
          <w:sz w:val="24"/>
        </w:rPr>
        <w:t>年公务接待支出为</w:t>
      </w:r>
      <w:r w:rsidRPr="00C93B0F">
        <w:rPr>
          <w:rFonts w:hint="eastAsia"/>
          <w:sz w:val="24"/>
        </w:rPr>
        <w:t>2.805</w:t>
      </w:r>
      <w:r w:rsidRPr="00C93B0F">
        <w:rPr>
          <w:rFonts w:hint="eastAsia"/>
          <w:sz w:val="24"/>
        </w:rPr>
        <w:t>万元，与上年比较减少</w:t>
      </w:r>
      <w:r w:rsidRPr="00C93B0F">
        <w:rPr>
          <w:rFonts w:hint="eastAsia"/>
          <w:sz w:val="24"/>
        </w:rPr>
        <w:t>0.245</w:t>
      </w:r>
      <w:r w:rsidRPr="00C93B0F">
        <w:rPr>
          <w:rFonts w:hint="eastAsia"/>
          <w:sz w:val="24"/>
        </w:rPr>
        <w:t>万元，减幅为</w:t>
      </w:r>
      <w:r w:rsidRPr="00C93B0F">
        <w:rPr>
          <w:rFonts w:hint="eastAsia"/>
          <w:sz w:val="24"/>
        </w:rPr>
        <w:t>8.73%</w:t>
      </w:r>
      <w:r w:rsidRPr="00C93B0F">
        <w:rPr>
          <w:rFonts w:hint="eastAsia"/>
          <w:sz w:val="24"/>
        </w:rPr>
        <w:t>。</w:t>
      </w:r>
    </w:p>
    <w:p w:rsidR="004D465B" w:rsidRPr="00C93B0F" w:rsidRDefault="004D465B" w:rsidP="00C93B0F">
      <w:pPr>
        <w:adjustRightInd w:val="0"/>
        <w:snapToGrid w:val="0"/>
        <w:spacing w:line="520" w:lineRule="exact"/>
        <w:ind w:firstLineChars="200" w:firstLine="480"/>
        <w:rPr>
          <w:sz w:val="24"/>
        </w:rPr>
      </w:pPr>
      <w:r w:rsidRPr="00C93B0F">
        <w:rPr>
          <w:rFonts w:hint="eastAsia"/>
          <w:sz w:val="24"/>
        </w:rPr>
        <w:t>（</w:t>
      </w:r>
      <w:r w:rsidRPr="00C93B0F">
        <w:rPr>
          <w:rFonts w:hint="eastAsia"/>
          <w:sz w:val="24"/>
        </w:rPr>
        <w:t>2</w:t>
      </w:r>
      <w:r w:rsidRPr="00C93B0F">
        <w:rPr>
          <w:rFonts w:hint="eastAsia"/>
          <w:sz w:val="24"/>
        </w:rPr>
        <w:t>）会议费支出情况：</w:t>
      </w:r>
      <w:r w:rsidRPr="00C93B0F">
        <w:rPr>
          <w:rFonts w:hint="eastAsia"/>
          <w:sz w:val="24"/>
        </w:rPr>
        <w:t>2019</w:t>
      </w:r>
      <w:r w:rsidRPr="00C93B0F">
        <w:rPr>
          <w:rFonts w:hint="eastAsia"/>
          <w:sz w:val="24"/>
        </w:rPr>
        <w:t>年会议费支出</w:t>
      </w:r>
      <w:r w:rsidRPr="00C93B0F">
        <w:rPr>
          <w:rFonts w:hint="eastAsia"/>
          <w:sz w:val="24"/>
        </w:rPr>
        <w:t>1.64</w:t>
      </w:r>
      <w:r w:rsidRPr="00C93B0F">
        <w:rPr>
          <w:rFonts w:hint="eastAsia"/>
          <w:sz w:val="24"/>
        </w:rPr>
        <w:t>万元，</w:t>
      </w:r>
      <w:r w:rsidRPr="00C93B0F">
        <w:rPr>
          <w:rFonts w:hint="eastAsia"/>
          <w:sz w:val="24"/>
        </w:rPr>
        <w:t>2018</w:t>
      </w:r>
      <w:r w:rsidRPr="00C93B0F">
        <w:rPr>
          <w:rFonts w:hint="eastAsia"/>
          <w:sz w:val="24"/>
        </w:rPr>
        <w:t>年会议费支出</w:t>
      </w:r>
      <w:r w:rsidRPr="00C93B0F">
        <w:rPr>
          <w:rFonts w:hint="eastAsia"/>
          <w:sz w:val="24"/>
        </w:rPr>
        <w:lastRenderedPageBreak/>
        <w:t>1.83</w:t>
      </w:r>
      <w:r w:rsidRPr="00C93B0F">
        <w:rPr>
          <w:rFonts w:hint="eastAsia"/>
          <w:sz w:val="24"/>
        </w:rPr>
        <w:t>万元，同比减少</w:t>
      </w:r>
      <w:r w:rsidRPr="00C93B0F">
        <w:rPr>
          <w:rFonts w:hint="eastAsia"/>
          <w:sz w:val="24"/>
        </w:rPr>
        <w:t>0.19</w:t>
      </w:r>
      <w:r w:rsidRPr="00C93B0F">
        <w:rPr>
          <w:rFonts w:hint="eastAsia"/>
          <w:sz w:val="24"/>
        </w:rPr>
        <w:t>万元，减幅为</w:t>
      </w:r>
      <w:r w:rsidRPr="00C93B0F">
        <w:rPr>
          <w:rFonts w:hint="eastAsia"/>
          <w:sz w:val="24"/>
        </w:rPr>
        <w:t>10.38%</w:t>
      </w:r>
      <w:r w:rsidRPr="00C93B0F">
        <w:rPr>
          <w:rFonts w:hint="eastAsia"/>
          <w:sz w:val="24"/>
        </w:rPr>
        <w:t>。我局继续严格落实中央及省八项规定，精简会议、减少会议次数、厉行节约，从而达到会议费减少。</w:t>
      </w:r>
    </w:p>
    <w:p w:rsidR="004D465B" w:rsidRPr="00C93B0F" w:rsidRDefault="004D465B" w:rsidP="00C93B0F">
      <w:pPr>
        <w:adjustRightInd w:val="0"/>
        <w:snapToGrid w:val="0"/>
        <w:spacing w:line="520" w:lineRule="exact"/>
        <w:ind w:firstLineChars="200" w:firstLine="480"/>
        <w:rPr>
          <w:sz w:val="24"/>
        </w:rPr>
      </w:pPr>
      <w:r w:rsidRPr="00C93B0F">
        <w:rPr>
          <w:rFonts w:hint="eastAsia"/>
          <w:sz w:val="24"/>
        </w:rPr>
        <w:t>（</w:t>
      </w:r>
      <w:r w:rsidRPr="00C93B0F">
        <w:rPr>
          <w:rFonts w:hint="eastAsia"/>
          <w:sz w:val="24"/>
        </w:rPr>
        <w:t>3</w:t>
      </w:r>
      <w:r w:rsidRPr="00C93B0F">
        <w:rPr>
          <w:rFonts w:hint="eastAsia"/>
          <w:sz w:val="24"/>
        </w:rPr>
        <w:t>）培训费支出情况：</w:t>
      </w:r>
      <w:r w:rsidRPr="00C93B0F">
        <w:rPr>
          <w:rFonts w:hint="eastAsia"/>
          <w:sz w:val="24"/>
        </w:rPr>
        <w:t>2019</w:t>
      </w:r>
      <w:r w:rsidRPr="00C93B0F">
        <w:rPr>
          <w:rFonts w:hint="eastAsia"/>
          <w:sz w:val="24"/>
        </w:rPr>
        <w:t>年培训费</w:t>
      </w:r>
      <w:r w:rsidRPr="00C93B0F">
        <w:rPr>
          <w:rFonts w:hint="eastAsia"/>
          <w:sz w:val="24"/>
        </w:rPr>
        <w:t>8.57</w:t>
      </w:r>
      <w:r w:rsidRPr="00C93B0F">
        <w:rPr>
          <w:rFonts w:hint="eastAsia"/>
          <w:sz w:val="24"/>
        </w:rPr>
        <w:t>万元，</w:t>
      </w:r>
      <w:r w:rsidRPr="00C93B0F">
        <w:rPr>
          <w:rFonts w:hint="eastAsia"/>
          <w:sz w:val="24"/>
        </w:rPr>
        <w:t>2018</w:t>
      </w:r>
      <w:r w:rsidRPr="00C93B0F">
        <w:rPr>
          <w:rFonts w:hint="eastAsia"/>
          <w:sz w:val="24"/>
        </w:rPr>
        <w:t>年培训费为</w:t>
      </w:r>
      <w:r w:rsidRPr="00C93B0F">
        <w:rPr>
          <w:rFonts w:hint="eastAsia"/>
          <w:sz w:val="24"/>
        </w:rPr>
        <w:t>7.25</w:t>
      </w:r>
      <w:r w:rsidRPr="00C93B0F">
        <w:rPr>
          <w:rFonts w:hint="eastAsia"/>
          <w:sz w:val="24"/>
        </w:rPr>
        <w:t>万元，与上年相比增加</w:t>
      </w:r>
      <w:r w:rsidRPr="00C93B0F">
        <w:rPr>
          <w:rFonts w:hint="eastAsia"/>
          <w:sz w:val="24"/>
        </w:rPr>
        <w:t>1.32</w:t>
      </w:r>
      <w:r w:rsidRPr="00C93B0F">
        <w:rPr>
          <w:rFonts w:hint="eastAsia"/>
          <w:sz w:val="24"/>
        </w:rPr>
        <w:t>万元，增幅为</w:t>
      </w:r>
      <w:r w:rsidRPr="00C93B0F">
        <w:rPr>
          <w:rFonts w:hint="eastAsia"/>
          <w:sz w:val="24"/>
        </w:rPr>
        <w:t xml:space="preserve"> 18.2%</w:t>
      </w:r>
      <w:r w:rsidRPr="00C93B0F">
        <w:rPr>
          <w:rFonts w:hint="eastAsia"/>
          <w:sz w:val="24"/>
        </w:rPr>
        <w:t>，</w:t>
      </w:r>
      <w:r w:rsidRPr="00C93B0F">
        <w:rPr>
          <w:rFonts w:hint="eastAsia"/>
          <w:sz w:val="24"/>
        </w:rPr>
        <w:t>2019</w:t>
      </w:r>
      <w:r w:rsidRPr="00C93B0F">
        <w:rPr>
          <w:rFonts w:hint="eastAsia"/>
          <w:sz w:val="24"/>
        </w:rPr>
        <w:t>年实施机构改革，新增业务工作从而增加人员学习培训费用。</w:t>
      </w:r>
    </w:p>
    <w:p w:rsidR="00416CD4" w:rsidRDefault="00416CD4">
      <w:pPr>
        <w:pStyle w:val="20"/>
        <w:adjustRightInd w:val="0"/>
        <w:snapToGrid w:val="0"/>
        <w:spacing w:line="440" w:lineRule="exact"/>
        <w:jc w:val="left"/>
        <w:rPr>
          <w:rFonts w:ascii="仿宋" w:eastAsia="仿宋" w:hAnsi="仿宋" w:cstheme="minorBidi"/>
          <w:sz w:val="24"/>
        </w:rPr>
      </w:pP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r w:rsidR="0029014F">
        <w:rPr>
          <w:rFonts w:hint="eastAsia"/>
          <w:sz w:val="24"/>
        </w:rPr>
        <w:t>。</w:t>
      </w:r>
      <w:r w:rsidR="004D465B">
        <w:rPr>
          <w:rFonts w:hint="eastAsia"/>
          <w:sz w:val="24"/>
        </w:rPr>
        <w:t>无政府性基金预算支出。</w:t>
      </w:r>
    </w:p>
    <w:p w:rsidR="00416CD4" w:rsidRDefault="0083396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r w:rsidR="0029014F">
        <w:rPr>
          <w:rFonts w:hint="eastAsia"/>
          <w:sz w:val="24"/>
        </w:rPr>
        <w:t>。</w:t>
      </w:r>
      <w:r w:rsidR="004D465B">
        <w:rPr>
          <w:rFonts w:hint="eastAsia"/>
          <w:sz w:val="24"/>
        </w:rPr>
        <w:t>无国有资本经营预算支出。</w:t>
      </w:r>
    </w:p>
    <w:p w:rsidR="00A8373F" w:rsidRDefault="00833962" w:rsidP="00084AD5">
      <w:pPr>
        <w:spacing w:line="600" w:lineRule="exact"/>
        <w:ind w:firstLineChars="200" w:firstLine="480"/>
        <w:outlineLvl w:val="2"/>
        <w:rPr>
          <w:rFonts w:ascii="仿宋" w:eastAsia="仿宋" w:hAnsi="仿宋" w:hint="eastAsia"/>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0029014F">
        <w:rPr>
          <w:rFonts w:ascii="仿宋" w:eastAsia="仿宋" w:hAnsi="仿宋" w:hint="eastAsia"/>
          <w:sz w:val="24"/>
        </w:rPr>
        <w:t>。</w:t>
      </w:r>
    </w:p>
    <w:p w:rsidR="00084AD5" w:rsidRPr="00D47A0B" w:rsidRDefault="00084AD5" w:rsidP="00084AD5">
      <w:pPr>
        <w:spacing w:line="600" w:lineRule="exact"/>
        <w:ind w:firstLineChars="200" w:firstLine="480"/>
        <w:outlineLvl w:val="2"/>
        <w:rPr>
          <w:sz w:val="24"/>
        </w:rPr>
      </w:pPr>
      <w:r w:rsidRPr="00D47A0B">
        <w:rPr>
          <w:rFonts w:hint="eastAsia"/>
          <w:sz w:val="24"/>
        </w:rPr>
        <w:t>（一）机关运行经费支出情况</w:t>
      </w:r>
    </w:p>
    <w:p w:rsidR="00084AD5" w:rsidRPr="00D47A0B" w:rsidRDefault="00084AD5" w:rsidP="00D47A0B">
      <w:pPr>
        <w:spacing w:line="600" w:lineRule="exact"/>
        <w:ind w:firstLineChars="200" w:firstLine="480"/>
        <w:rPr>
          <w:sz w:val="24"/>
        </w:rPr>
      </w:pPr>
      <w:r w:rsidRPr="00D47A0B">
        <w:rPr>
          <w:sz w:val="24"/>
        </w:rPr>
        <w:t>201</w:t>
      </w:r>
      <w:r w:rsidRPr="00D47A0B">
        <w:rPr>
          <w:rFonts w:hint="eastAsia"/>
          <w:sz w:val="24"/>
        </w:rPr>
        <w:t>9</w:t>
      </w:r>
      <w:r w:rsidRPr="00D47A0B">
        <w:rPr>
          <w:rFonts w:hint="eastAsia"/>
          <w:sz w:val="24"/>
        </w:rPr>
        <w:t>年，广汉市司法局机关运行经费支出</w:t>
      </w:r>
      <w:r w:rsidRPr="00D47A0B">
        <w:rPr>
          <w:rFonts w:hint="eastAsia"/>
          <w:sz w:val="24"/>
        </w:rPr>
        <w:t>956.6</w:t>
      </w:r>
      <w:r w:rsidRPr="00D47A0B">
        <w:rPr>
          <w:rFonts w:hint="eastAsia"/>
          <w:sz w:val="24"/>
        </w:rPr>
        <w:t>万元，比</w:t>
      </w:r>
      <w:r w:rsidRPr="00D47A0B">
        <w:rPr>
          <w:sz w:val="24"/>
        </w:rPr>
        <w:t>201</w:t>
      </w:r>
      <w:r w:rsidRPr="00D47A0B">
        <w:rPr>
          <w:rFonts w:hint="eastAsia"/>
          <w:sz w:val="24"/>
        </w:rPr>
        <w:t>8</w:t>
      </w:r>
      <w:r w:rsidRPr="00D47A0B">
        <w:rPr>
          <w:rFonts w:hint="eastAsia"/>
          <w:sz w:val="24"/>
        </w:rPr>
        <w:t>年增加</w:t>
      </w:r>
      <w:r w:rsidRPr="00D47A0B">
        <w:rPr>
          <w:rFonts w:hint="eastAsia"/>
          <w:sz w:val="24"/>
        </w:rPr>
        <w:t>160.15</w:t>
      </w:r>
      <w:r w:rsidRPr="00D47A0B">
        <w:rPr>
          <w:rFonts w:hint="eastAsia"/>
          <w:sz w:val="24"/>
        </w:rPr>
        <w:t>万元，增长</w:t>
      </w:r>
      <w:r w:rsidRPr="00D47A0B">
        <w:rPr>
          <w:rFonts w:hint="eastAsia"/>
          <w:sz w:val="24"/>
        </w:rPr>
        <w:t>20</w:t>
      </w:r>
      <w:r w:rsidRPr="00D47A0B">
        <w:rPr>
          <w:sz w:val="24"/>
        </w:rPr>
        <w:t>%</w:t>
      </w:r>
      <w:r w:rsidRPr="00D47A0B">
        <w:rPr>
          <w:rFonts w:hint="eastAsia"/>
          <w:sz w:val="24"/>
        </w:rPr>
        <w:t>，主要原因是统一调整了机关运行经费。</w:t>
      </w:r>
    </w:p>
    <w:p w:rsidR="00084AD5" w:rsidRPr="00D47A0B" w:rsidRDefault="00084AD5" w:rsidP="00D47A0B">
      <w:pPr>
        <w:autoSpaceDE w:val="0"/>
        <w:autoSpaceDN w:val="0"/>
        <w:adjustRightInd w:val="0"/>
        <w:spacing w:line="600" w:lineRule="exact"/>
        <w:ind w:firstLineChars="200" w:firstLine="480"/>
        <w:jc w:val="left"/>
        <w:outlineLvl w:val="2"/>
        <w:rPr>
          <w:sz w:val="24"/>
        </w:rPr>
      </w:pPr>
      <w:r w:rsidRPr="00D47A0B">
        <w:rPr>
          <w:rFonts w:hint="eastAsia"/>
          <w:sz w:val="24"/>
        </w:rPr>
        <w:t>（二）政府采购支出情况</w:t>
      </w:r>
    </w:p>
    <w:p w:rsidR="00084AD5" w:rsidRPr="00D47A0B" w:rsidRDefault="00084AD5" w:rsidP="00D47A0B">
      <w:pPr>
        <w:spacing w:line="600" w:lineRule="exact"/>
        <w:ind w:firstLineChars="200" w:firstLine="480"/>
        <w:rPr>
          <w:sz w:val="24"/>
        </w:rPr>
      </w:pPr>
      <w:r w:rsidRPr="00D47A0B">
        <w:rPr>
          <w:sz w:val="24"/>
        </w:rPr>
        <w:t>201</w:t>
      </w:r>
      <w:r w:rsidRPr="00D47A0B">
        <w:rPr>
          <w:rFonts w:hint="eastAsia"/>
          <w:sz w:val="24"/>
        </w:rPr>
        <w:t>9</w:t>
      </w:r>
      <w:r w:rsidRPr="00D47A0B">
        <w:rPr>
          <w:rFonts w:hint="eastAsia"/>
          <w:sz w:val="24"/>
        </w:rPr>
        <w:t>年，广汉市司法局政府采购支出总额</w:t>
      </w:r>
      <w:r w:rsidR="007D0FF4" w:rsidRPr="00D47A0B">
        <w:rPr>
          <w:sz w:val="24"/>
        </w:rPr>
        <w:t>118</w:t>
      </w:r>
      <w:r w:rsidR="007D0FF4" w:rsidRPr="00D47A0B">
        <w:rPr>
          <w:rFonts w:hint="eastAsia"/>
          <w:sz w:val="24"/>
        </w:rPr>
        <w:t>.</w:t>
      </w:r>
      <w:r w:rsidR="007D0FF4" w:rsidRPr="00D47A0B">
        <w:rPr>
          <w:sz w:val="24"/>
        </w:rPr>
        <w:t>5745</w:t>
      </w:r>
      <w:r w:rsidRPr="00D47A0B">
        <w:rPr>
          <w:rFonts w:hint="eastAsia"/>
          <w:sz w:val="24"/>
        </w:rPr>
        <w:t>万元，其中：政府采购货物支出</w:t>
      </w:r>
      <w:r w:rsidR="007D0FF4" w:rsidRPr="00D47A0B">
        <w:rPr>
          <w:rFonts w:hint="eastAsia"/>
          <w:sz w:val="24"/>
        </w:rPr>
        <w:t>118.5745</w:t>
      </w:r>
      <w:r w:rsidR="007D0FF4" w:rsidRPr="00D47A0B">
        <w:rPr>
          <w:rFonts w:hint="eastAsia"/>
          <w:sz w:val="24"/>
        </w:rPr>
        <w:t>万元。</w:t>
      </w:r>
      <w:r w:rsidRPr="00D47A0B">
        <w:rPr>
          <w:rFonts w:hint="eastAsia"/>
          <w:sz w:val="24"/>
        </w:rPr>
        <w:t>主要用于</w:t>
      </w:r>
      <w:r w:rsidR="007D0FF4" w:rsidRPr="00D47A0B">
        <w:rPr>
          <w:rFonts w:hint="eastAsia"/>
          <w:sz w:val="24"/>
        </w:rPr>
        <w:t>司法局指挥中心建设</w:t>
      </w:r>
      <w:r w:rsidRPr="00D47A0B">
        <w:rPr>
          <w:rFonts w:hint="eastAsia"/>
          <w:sz w:val="24"/>
        </w:rPr>
        <w:t>。</w:t>
      </w:r>
    </w:p>
    <w:p w:rsidR="00084AD5" w:rsidRPr="00D47A0B" w:rsidRDefault="00084AD5" w:rsidP="00D47A0B">
      <w:pPr>
        <w:autoSpaceDE w:val="0"/>
        <w:autoSpaceDN w:val="0"/>
        <w:adjustRightInd w:val="0"/>
        <w:spacing w:line="600" w:lineRule="exact"/>
        <w:ind w:firstLineChars="200" w:firstLine="480"/>
        <w:jc w:val="left"/>
        <w:outlineLvl w:val="2"/>
        <w:rPr>
          <w:sz w:val="24"/>
        </w:rPr>
      </w:pPr>
      <w:r w:rsidRPr="00D47A0B">
        <w:rPr>
          <w:rFonts w:hint="eastAsia"/>
          <w:sz w:val="24"/>
        </w:rPr>
        <w:t>（三）国有资产占有使用情况</w:t>
      </w:r>
    </w:p>
    <w:p w:rsidR="00084AD5" w:rsidRPr="00D47A0B" w:rsidRDefault="00084AD5" w:rsidP="00D47A0B">
      <w:pPr>
        <w:autoSpaceDE w:val="0"/>
        <w:autoSpaceDN w:val="0"/>
        <w:adjustRightInd w:val="0"/>
        <w:spacing w:line="600" w:lineRule="exact"/>
        <w:ind w:firstLineChars="200" w:firstLine="480"/>
        <w:jc w:val="left"/>
        <w:rPr>
          <w:sz w:val="24"/>
        </w:rPr>
      </w:pPr>
      <w:r w:rsidRPr="00D47A0B">
        <w:rPr>
          <w:rFonts w:hint="eastAsia"/>
          <w:sz w:val="24"/>
        </w:rPr>
        <w:t>截至</w:t>
      </w:r>
      <w:r w:rsidRPr="00D47A0B">
        <w:rPr>
          <w:sz w:val="24"/>
        </w:rPr>
        <w:t>201</w:t>
      </w:r>
      <w:r w:rsidRPr="00D47A0B">
        <w:rPr>
          <w:rFonts w:hint="eastAsia"/>
          <w:sz w:val="24"/>
        </w:rPr>
        <w:t>9</w:t>
      </w:r>
      <w:r w:rsidRPr="00D47A0B">
        <w:rPr>
          <w:rFonts w:hint="eastAsia"/>
          <w:sz w:val="24"/>
        </w:rPr>
        <w:t>年</w:t>
      </w:r>
      <w:r w:rsidRPr="00D47A0B">
        <w:rPr>
          <w:sz w:val="24"/>
        </w:rPr>
        <w:t>12</w:t>
      </w:r>
      <w:r w:rsidRPr="00D47A0B">
        <w:rPr>
          <w:rFonts w:hint="eastAsia"/>
          <w:sz w:val="24"/>
        </w:rPr>
        <w:t>月</w:t>
      </w:r>
      <w:r w:rsidRPr="00D47A0B">
        <w:rPr>
          <w:sz w:val="24"/>
        </w:rPr>
        <w:t>31</w:t>
      </w:r>
      <w:r w:rsidRPr="00D47A0B">
        <w:rPr>
          <w:rFonts w:hint="eastAsia"/>
          <w:sz w:val="24"/>
        </w:rPr>
        <w:t>日，</w:t>
      </w:r>
      <w:r w:rsidR="008370CD" w:rsidRPr="00D47A0B">
        <w:rPr>
          <w:rFonts w:hint="eastAsia"/>
          <w:sz w:val="24"/>
        </w:rPr>
        <w:t>司法局</w:t>
      </w:r>
      <w:r w:rsidRPr="00D47A0B">
        <w:rPr>
          <w:rFonts w:hint="eastAsia"/>
          <w:sz w:val="24"/>
        </w:rPr>
        <w:t>共有车辆</w:t>
      </w:r>
      <w:r w:rsidR="008370CD" w:rsidRPr="00D47A0B">
        <w:rPr>
          <w:rFonts w:hint="eastAsia"/>
          <w:sz w:val="24"/>
        </w:rPr>
        <w:t>4</w:t>
      </w:r>
      <w:r w:rsidRPr="00D47A0B">
        <w:rPr>
          <w:rFonts w:hint="eastAsia"/>
          <w:sz w:val="24"/>
        </w:rPr>
        <w:t>辆，其中：主要领导干部用车</w:t>
      </w:r>
      <w:r w:rsidR="008370CD" w:rsidRPr="00D47A0B">
        <w:rPr>
          <w:rFonts w:hint="eastAsia"/>
          <w:sz w:val="24"/>
        </w:rPr>
        <w:t>0</w:t>
      </w:r>
      <w:r w:rsidRPr="00D47A0B">
        <w:rPr>
          <w:rFonts w:hint="eastAsia"/>
          <w:sz w:val="24"/>
        </w:rPr>
        <w:t>辆、机要通信用车</w:t>
      </w:r>
      <w:r w:rsidR="008370CD" w:rsidRPr="00D47A0B">
        <w:rPr>
          <w:rFonts w:hint="eastAsia"/>
          <w:sz w:val="24"/>
        </w:rPr>
        <w:t>0</w:t>
      </w:r>
      <w:r w:rsidRPr="00D47A0B">
        <w:rPr>
          <w:rFonts w:hint="eastAsia"/>
          <w:sz w:val="24"/>
        </w:rPr>
        <w:t>辆、应急保障用车</w:t>
      </w:r>
      <w:r w:rsidR="008370CD" w:rsidRPr="00D47A0B">
        <w:rPr>
          <w:rFonts w:hint="eastAsia"/>
          <w:sz w:val="24"/>
        </w:rPr>
        <w:t>0</w:t>
      </w:r>
      <w:r w:rsidRPr="00D47A0B">
        <w:rPr>
          <w:rFonts w:hint="eastAsia"/>
          <w:sz w:val="24"/>
        </w:rPr>
        <w:t>辆、</w:t>
      </w:r>
      <w:r w:rsidR="008370CD" w:rsidRPr="00D47A0B">
        <w:rPr>
          <w:rFonts w:hint="eastAsia"/>
          <w:sz w:val="24"/>
        </w:rPr>
        <w:t>公务</w:t>
      </w:r>
      <w:r w:rsidRPr="00D47A0B">
        <w:rPr>
          <w:rFonts w:hint="eastAsia"/>
          <w:sz w:val="24"/>
        </w:rPr>
        <w:t>用车</w:t>
      </w:r>
      <w:r w:rsidR="008370CD" w:rsidRPr="00D47A0B">
        <w:rPr>
          <w:rFonts w:hint="eastAsia"/>
          <w:sz w:val="24"/>
        </w:rPr>
        <w:t>1</w:t>
      </w:r>
      <w:r w:rsidRPr="00D47A0B">
        <w:rPr>
          <w:rFonts w:hint="eastAsia"/>
          <w:sz w:val="24"/>
        </w:rPr>
        <w:t>辆</w:t>
      </w:r>
      <w:r w:rsidR="008370CD" w:rsidRPr="00D47A0B">
        <w:rPr>
          <w:rFonts w:hint="eastAsia"/>
          <w:sz w:val="24"/>
        </w:rPr>
        <w:t>、执法用车</w:t>
      </w:r>
      <w:r w:rsidR="008370CD" w:rsidRPr="00D47A0B">
        <w:rPr>
          <w:rFonts w:hint="eastAsia"/>
          <w:sz w:val="24"/>
        </w:rPr>
        <w:t>3</w:t>
      </w:r>
      <w:r w:rsidR="008370CD" w:rsidRPr="00D47A0B">
        <w:rPr>
          <w:rFonts w:hint="eastAsia"/>
          <w:sz w:val="24"/>
        </w:rPr>
        <w:t>辆。</w:t>
      </w:r>
    </w:p>
    <w:p w:rsidR="00084AD5" w:rsidRPr="00D47A0B" w:rsidRDefault="00084AD5" w:rsidP="00D47A0B">
      <w:pPr>
        <w:autoSpaceDE w:val="0"/>
        <w:autoSpaceDN w:val="0"/>
        <w:adjustRightInd w:val="0"/>
        <w:spacing w:line="600" w:lineRule="exact"/>
        <w:ind w:firstLineChars="200" w:firstLine="480"/>
        <w:jc w:val="left"/>
        <w:outlineLvl w:val="2"/>
        <w:rPr>
          <w:sz w:val="24"/>
        </w:rPr>
      </w:pPr>
      <w:r w:rsidRPr="00D47A0B">
        <w:rPr>
          <w:rFonts w:hint="eastAsia"/>
          <w:sz w:val="24"/>
        </w:rPr>
        <w:t>（四）预算绩效管理情况。</w:t>
      </w:r>
    </w:p>
    <w:p w:rsidR="00084AD5" w:rsidRPr="00D47A0B" w:rsidRDefault="00084AD5" w:rsidP="00D47A0B">
      <w:pPr>
        <w:spacing w:line="580" w:lineRule="exact"/>
        <w:ind w:firstLineChars="200" w:firstLine="480"/>
        <w:rPr>
          <w:sz w:val="24"/>
        </w:rPr>
      </w:pPr>
      <w:r w:rsidRPr="00D47A0B">
        <w:rPr>
          <w:rFonts w:hint="eastAsia"/>
          <w:sz w:val="24"/>
        </w:rPr>
        <w:t>根据预算绩效管理要求，</w:t>
      </w:r>
      <w:r w:rsidR="008370CD" w:rsidRPr="00D47A0B">
        <w:rPr>
          <w:rFonts w:hint="eastAsia"/>
          <w:sz w:val="24"/>
        </w:rPr>
        <w:t>我局</w:t>
      </w:r>
      <w:r w:rsidRPr="00D47A0B">
        <w:rPr>
          <w:rFonts w:hint="eastAsia"/>
          <w:sz w:val="24"/>
        </w:rPr>
        <w:t>在年初预算编制阶段，组织对</w:t>
      </w:r>
      <w:r w:rsidR="008370CD" w:rsidRPr="00D47A0B">
        <w:rPr>
          <w:rFonts w:hint="eastAsia"/>
          <w:sz w:val="24"/>
        </w:rPr>
        <w:t>1</w:t>
      </w:r>
      <w:r w:rsidRPr="00D47A0B">
        <w:rPr>
          <w:rFonts w:hint="eastAsia"/>
          <w:sz w:val="24"/>
        </w:rPr>
        <w:t>项目（</w:t>
      </w:r>
      <w:r w:rsidR="008370CD" w:rsidRPr="00D47A0B">
        <w:rPr>
          <w:rFonts w:hint="eastAsia"/>
          <w:sz w:val="24"/>
        </w:rPr>
        <w:t>司法局指挥中心建设</w:t>
      </w:r>
      <w:r w:rsidRPr="00D47A0B">
        <w:rPr>
          <w:rFonts w:hint="eastAsia"/>
          <w:sz w:val="24"/>
        </w:rPr>
        <w:t>）开展了预算事前绩效评估，对</w:t>
      </w:r>
      <w:r w:rsidR="008370CD" w:rsidRPr="00D47A0B">
        <w:rPr>
          <w:rFonts w:hint="eastAsia"/>
          <w:sz w:val="24"/>
        </w:rPr>
        <w:t>1</w:t>
      </w:r>
      <w:r w:rsidRPr="00D47A0B">
        <w:rPr>
          <w:rFonts w:hint="eastAsia"/>
          <w:sz w:val="24"/>
        </w:rPr>
        <w:t>个项目编制了绩效目标，预算执行过程中，选取</w:t>
      </w:r>
      <w:r w:rsidR="008370CD" w:rsidRPr="00D47A0B">
        <w:rPr>
          <w:rFonts w:hint="eastAsia"/>
          <w:sz w:val="24"/>
        </w:rPr>
        <w:t>1</w:t>
      </w:r>
      <w:r w:rsidRPr="00D47A0B">
        <w:rPr>
          <w:rFonts w:hint="eastAsia"/>
          <w:sz w:val="24"/>
        </w:rPr>
        <w:t>个项目开展绩效监控，年终执行完毕后，对</w:t>
      </w:r>
      <w:r w:rsidR="008370CD" w:rsidRPr="00D47A0B">
        <w:rPr>
          <w:rFonts w:hint="eastAsia"/>
          <w:sz w:val="24"/>
        </w:rPr>
        <w:t>该</w:t>
      </w:r>
      <w:r w:rsidRPr="00D47A0B">
        <w:rPr>
          <w:rFonts w:hint="eastAsia"/>
          <w:sz w:val="24"/>
        </w:rPr>
        <w:t>个项目开展了绩效目标完成情况自评。</w:t>
      </w:r>
    </w:p>
    <w:p w:rsidR="00416CD4" w:rsidRPr="00D47A0B" w:rsidRDefault="00416CD4">
      <w:pPr>
        <w:adjustRightInd w:val="0"/>
        <w:snapToGrid w:val="0"/>
        <w:spacing w:line="440" w:lineRule="exact"/>
        <w:ind w:firstLineChars="200" w:firstLine="480"/>
        <w:jc w:val="left"/>
        <w:rPr>
          <w:sz w:val="24"/>
        </w:rPr>
      </w:pPr>
    </w:p>
    <w:p w:rsidR="00D47A0B" w:rsidRDefault="00D47A0B">
      <w:pPr>
        <w:pStyle w:val="10"/>
        <w:adjustRightInd w:val="0"/>
        <w:snapToGrid w:val="0"/>
        <w:spacing w:before="0" w:line="440" w:lineRule="exact"/>
        <w:jc w:val="left"/>
        <w:rPr>
          <w:sz w:val="24"/>
        </w:rPr>
      </w:pPr>
    </w:p>
    <w:p w:rsidR="00D47A0B" w:rsidRDefault="00D47A0B">
      <w:pPr>
        <w:pStyle w:val="10"/>
        <w:adjustRightInd w:val="0"/>
        <w:snapToGrid w:val="0"/>
        <w:spacing w:before="0" w:line="440" w:lineRule="exact"/>
        <w:jc w:val="left"/>
        <w:rPr>
          <w:sz w:val="24"/>
        </w:rPr>
      </w:pP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r w:rsidR="004250AA">
        <w:rPr>
          <w:rFonts w:hint="eastAsia"/>
          <w:sz w:val="24"/>
        </w:rPr>
        <w:t>（见决算公开表）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416CD4" w:rsidRDefault="00833962">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八、</w:t>
      </w:r>
      <w:r w:rsidRPr="00833962">
        <w:rPr>
          <w:rFonts w:hint="eastAsia"/>
          <w:sz w:val="24"/>
        </w:rPr>
        <w:t>一般公共预算财政拨款基本支出决算表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九、</w:t>
      </w:r>
      <w:r w:rsidRPr="00833962">
        <w:rPr>
          <w:rFonts w:hint="eastAsia"/>
          <w:sz w:val="24"/>
        </w:rPr>
        <w:t>一般公共预算财政拨款项目支出决算表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416CD4" w:rsidRDefault="00833962">
      <w:pPr>
        <w:widowControl/>
        <w:spacing w:line="440" w:lineRule="exact"/>
        <w:jc w:val="left"/>
        <w:rPr>
          <w:rFonts w:ascii="仿宋" w:eastAsia="仿宋" w:hAnsi="仿宋"/>
          <w:bCs/>
          <w:kern w:val="44"/>
          <w:sz w:val="24"/>
        </w:rPr>
      </w:pPr>
      <w:bookmarkStart w:id="12" w:name="_Toc15377196"/>
      <w:bookmarkStart w:id="13" w:name="_Toc15396599"/>
      <w:r w:rsidRPr="00833962">
        <w:rPr>
          <w:rFonts w:ascii="仿宋" w:eastAsia="仿宋" w:hAnsi="仿宋"/>
          <w:b/>
          <w:sz w:val="24"/>
        </w:rPr>
        <w:br w:type="page"/>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14" w:name="_Toc15396613"/>
      <w:bookmarkStart w:id="15" w:name="_Toc15377225"/>
      <w:bookmarkEnd w:id="12"/>
      <w:bookmarkEnd w:id="13"/>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14"/>
      <w:bookmarkEnd w:id="15"/>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5B5C64" w:rsidRDefault="005B5C64">
      <w:pPr>
        <w:pStyle w:val="Default"/>
        <w:spacing w:line="560" w:lineRule="exact"/>
        <w:ind w:firstLineChars="200" w:firstLine="640"/>
        <w:rPr>
          <w:rFonts w:ascii="仿宋_GB2312" w:eastAsia="仿宋_GB2312" w:cs="黑体"/>
          <w:sz w:val="32"/>
          <w:szCs w:val="32"/>
        </w:rPr>
      </w:pPr>
    </w:p>
    <w:p w:rsidR="005B5C64" w:rsidRDefault="00204CDE">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070A43" w:rsidRDefault="00204CDE" w:rsidP="00942F06">
      <w:pPr>
        <w:spacing w:line="600" w:lineRule="exact"/>
        <w:jc w:val="center"/>
        <w:outlineLvl w:val="0"/>
        <w:rPr>
          <w:rFonts w:ascii="仿宋_GB2312" w:eastAsia="仿宋_GB2312" w:hAnsi="仿宋_GB2312" w:cs="仿宋_GB2312"/>
          <w:sz w:val="32"/>
          <w:szCs w:val="32"/>
        </w:rPr>
      </w:pPr>
      <w:bookmarkStart w:id="16" w:name="_Toc15377226"/>
      <w:r>
        <w:rPr>
          <w:rFonts w:ascii="宋体"/>
          <w:b/>
          <w:color w:val="000000"/>
          <w:sz w:val="44"/>
          <w:szCs w:val="44"/>
        </w:rPr>
        <w:br w:type="page"/>
      </w:r>
    </w:p>
    <w:bookmarkEnd w:id="16"/>
    <w:p w:rsidR="00E853CE" w:rsidRPr="00070A43" w:rsidRDefault="00E853CE">
      <w:pPr>
        <w:widowControl/>
        <w:jc w:val="left"/>
        <w:rPr>
          <w:rStyle w:val="1Char"/>
          <w:rFonts w:ascii="黑体" w:eastAsia="黑体" w:hAnsi="黑体"/>
          <w:b w:val="0"/>
        </w:rPr>
      </w:pPr>
    </w:p>
    <w:sectPr w:rsidR="00E853CE" w:rsidRPr="00070A43" w:rsidSect="005B5C64">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5D4" w:rsidRDefault="007675D4" w:rsidP="005B5C64">
      <w:r>
        <w:separator/>
      </w:r>
    </w:p>
  </w:endnote>
  <w:endnote w:type="continuationSeparator" w:id="0">
    <w:p w:rsidR="007675D4" w:rsidRDefault="007675D4"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59014D" w:rsidRDefault="00863A0B">
        <w:pPr>
          <w:pStyle w:val="a5"/>
          <w:jc w:val="center"/>
        </w:pPr>
        <w:r>
          <w:fldChar w:fldCharType="begin"/>
        </w:r>
        <w:r w:rsidR="0059014D">
          <w:instrText>PAGE   \* MERGEFORMAT</w:instrText>
        </w:r>
        <w:r>
          <w:fldChar w:fldCharType="separate"/>
        </w:r>
        <w:r w:rsidR="00942F06" w:rsidRPr="00942F06">
          <w:rPr>
            <w:noProof/>
            <w:lang w:val="zh-CN"/>
          </w:rPr>
          <w:t>2</w:t>
        </w:r>
        <w:r>
          <w:fldChar w:fldCharType="end"/>
        </w:r>
      </w:p>
    </w:sdtContent>
  </w:sdt>
  <w:p w:rsidR="0059014D" w:rsidRDefault="005901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5D4" w:rsidRDefault="007675D4" w:rsidP="005B5C64">
      <w:r>
        <w:separator/>
      </w:r>
    </w:p>
  </w:footnote>
  <w:footnote w:type="continuationSeparator" w:id="0">
    <w:p w:rsidR="007675D4" w:rsidRDefault="007675D4"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14D" w:rsidRDefault="0059014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84AD5"/>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2629"/>
    <w:rsid w:val="00174518"/>
    <w:rsid w:val="0018106D"/>
    <w:rsid w:val="0018698F"/>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5AB1"/>
    <w:rsid w:val="00280496"/>
    <w:rsid w:val="0029014F"/>
    <w:rsid w:val="002913E3"/>
    <w:rsid w:val="00294DC9"/>
    <w:rsid w:val="00295495"/>
    <w:rsid w:val="002A31DE"/>
    <w:rsid w:val="002A7140"/>
    <w:rsid w:val="002B2613"/>
    <w:rsid w:val="002B5BFD"/>
    <w:rsid w:val="002D19B0"/>
    <w:rsid w:val="002D6D05"/>
    <w:rsid w:val="002F1818"/>
    <w:rsid w:val="002F567B"/>
    <w:rsid w:val="00321386"/>
    <w:rsid w:val="003216A9"/>
    <w:rsid w:val="00335A74"/>
    <w:rsid w:val="0036561B"/>
    <w:rsid w:val="0037013F"/>
    <w:rsid w:val="00380C92"/>
    <w:rsid w:val="003A484F"/>
    <w:rsid w:val="003A4883"/>
    <w:rsid w:val="003B0BE0"/>
    <w:rsid w:val="003B0C1B"/>
    <w:rsid w:val="003B218B"/>
    <w:rsid w:val="003B688C"/>
    <w:rsid w:val="003C0291"/>
    <w:rsid w:val="003C39AE"/>
    <w:rsid w:val="003C7B60"/>
    <w:rsid w:val="003D0C0F"/>
    <w:rsid w:val="003D1FB2"/>
    <w:rsid w:val="003D66DA"/>
    <w:rsid w:val="003E1310"/>
    <w:rsid w:val="003E6F55"/>
    <w:rsid w:val="00406254"/>
    <w:rsid w:val="00416CD4"/>
    <w:rsid w:val="004223DE"/>
    <w:rsid w:val="004250AA"/>
    <w:rsid w:val="00434489"/>
    <w:rsid w:val="00437085"/>
    <w:rsid w:val="00443880"/>
    <w:rsid w:val="004464F4"/>
    <w:rsid w:val="00471401"/>
    <w:rsid w:val="00473F31"/>
    <w:rsid w:val="0048263A"/>
    <w:rsid w:val="00487E5D"/>
    <w:rsid w:val="004A711F"/>
    <w:rsid w:val="004B199D"/>
    <w:rsid w:val="004B4690"/>
    <w:rsid w:val="004D465B"/>
    <w:rsid w:val="004E0A2D"/>
    <w:rsid w:val="004E206B"/>
    <w:rsid w:val="004E6DF7"/>
    <w:rsid w:val="004F0FBD"/>
    <w:rsid w:val="004F403E"/>
    <w:rsid w:val="004F4DF5"/>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5D4"/>
    <w:rsid w:val="00767B7E"/>
    <w:rsid w:val="007770C3"/>
    <w:rsid w:val="00784D24"/>
    <w:rsid w:val="00785FBA"/>
    <w:rsid w:val="00786E4A"/>
    <w:rsid w:val="007875EB"/>
    <w:rsid w:val="0079426B"/>
    <w:rsid w:val="007D0FF4"/>
    <w:rsid w:val="007D1682"/>
    <w:rsid w:val="007D312A"/>
    <w:rsid w:val="007D3F19"/>
    <w:rsid w:val="007E23B0"/>
    <w:rsid w:val="007F1991"/>
    <w:rsid w:val="007F2C2F"/>
    <w:rsid w:val="007F55FC"/>
    <w:rsid w:val="007F5665"/>
    <w:rsid w:val="00800112"/>
    <w:rsid w:val="00813348"/>
    <w:rsid w:val="008253BB"/>
    <w:rsid w:val="00833962"/>
    <w:rsid w:val="0083706E"/>
    <w:rsid w:val="008370CD"/>
    <w:rsid w:val="008408F6"/>
    <w:rsid w:val="008423A5"/>
    <w:rsid w:val="00850625"/>
    <w:rsid w:val="00853718"/>
    <w:rsid w:val="00855221"/>
    <w:rsid w:val="00860645"/>
    <w:rsid w:val="00863A0B"/>
    <w:rsid w:val="00871F71"/>
    <w:rsid w:val="00872FD8"/>
    <w:rsid w:val="00885AF4"/>
    <w:rsid w:val="008939CD"/>
    <w:rsid w:val="008A40F4"/>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2F06"/>
    <w:rsid w:val="00946945"/>
    <w:rsid w:val="00951248"/>
    <w:rsid w:val="0095152F"/>
    <w:rsid w:val="009548D2"/>
    <w:rsid w:val="00954C49"/>
    <w:rsid w:val="00955E37"/>
    <w:rsid w:val="0097099F"/>
    <w:rsid w:val="00971997"/>
    <w:rsid w:val="00971FFC"/>
    <w:rsid w:val="009764D7"/>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1347"/>
    <w:rsid w:val="00A039ED"/>
    <w:rsid w:val="00A04EB0"/>
    <w:rsid w:val="00A13CC1"/>
    <w:rsid w:val="00A16847"/>
    <w:rsid w:val="00A237D8"/>
    <w:rsid w:val="00A268C4"/>
    <w:rsid w:val="00A307CD"/>
    <w:rsid w:val="00A331C8"/>
    <w:rsid w:val="00A35117"/>
    <w:rsid w:val="00A40A00"/>
    <w:rsid w:val="00A4142F"/>
    <w:rsid w:val="00A422EB"/>
    <w:rsid w:val="00A45BB7"/>
    <w:rsid w:val="00A5370B"/>
    <w:rsid w:val="00A56DF2"/>
    <w:rsid w:val="00A56E6E"/>
    <w:rsid w:val="00A67AB5"/>
    <w:rsid w:val="00A733B2"/>
    <w:rsid w:val="00A741C2"/>
    <w:rsid w:val="00A8373F"/>
    <w:rsid w:val="00A91760"/>
    <w:rsid w:val="00A93B00"/>
    <w:rsid w:val="00A93C21"/>
    <w:rsid w:val="00AA16A2"/>
    <w:rsid w:val="00AA38AB"/>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48B4"/>
    <w:rsid w:val="00BF5BD6"/>
    <w:rsid w:val="00C03E31"/>
    <w:rsid w:val="00C13C74"/>
    <w:rsid w:val="00C30E69"/>
    <w:rsid w:val="00C33E72"/>
    <w:rsid w:val="00C354B2"/>
    <w:rsid w:val="00C35554"/>
    <w:rsid w:val="00C42709"/>
    <w:rsid w:val="00C533CC"/>
    <w:rsid w:val="00C5751C"/>
    <w:rsid w:val="00C57B7A"/>
    <w:rsid w:val="00C61BFC"/>
    <w:rsid w:val="00C62B85"/>
    <w:rsid w:val="00C65438"/>
    <w:rsid w:val="00C91CBB"/>
    <w:rsid w:val="00C93B0F"/>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7A0B"/>
    <w:rsid w:val="00D51276"/>
    <w:rsid w:val="00D7035F"/>
    <w:rsid w:val="00DA634F"/>
    <w:rsid w:val="00DA65AC"/>
    <w:rsid w:val="00DB1913"/>
    <w:rsid w:val="00DC410D"/>
    <w:rsid w:val="00DC5A81"/>
    <w:rsid w:val="00DC68CA"/>
    <w:rsid w:val="00DC7CBA"/>
    <w:rsid w:val="00DD1D17"/>
    <w:rsid w:val="00DD73B7"/>
    <w:rsid w:val="00DF28BC"/>
    <w:rsid w:val="00DF34B9"/>
    <w:rsid w:val="00E01053"/>
    <w:rsid w:val="00E07ACF"/>
    <w:rsid w:val="00E10645"/>
    <w:rsid w:val="00E331A1"/>
    <w:rsid w:val="00E33202"/>
    <w:rsid w:val="00E336A9"/>
    <w:rsid w:val="00E472B1"/>
    <w:rsid w:val="00E50624"/>
    <w:rsid w:val="00E568DF"/>
    <w:rsid w:val="00E56E86"/>
    <w:rsid w:val="00E64269"/>
    <w:rsid w:val="00E66797"/>
    <w:rsid w:val="00E82267"/>
    <w:rsid w:val="00E853CE"/>
    <w:rsid w:val="00E867B6"/>
    <w:rsid w:val="00E87F08"/>
    <w:rsid w:val="00EA010F"/>
    <w:rsid w:val="00EC7825"/>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2EA6"/>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B4726-D420-4756-9944-75E0F775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10</Pages>
  <Words>696</Words>
  <Characters>3971</Characters>
  <Application>Microsoft Office Word</Application>
  <DocSecurity>0</DocSecurity>
  <Lines>33</Lines>
  <Paragraphs>9</Paragraphs>
  <ScaleCrop>false</ScaleCrop>
  <Company>四川省财政厅</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67</cp:revision>
  <cp:lastPrinted>2020-07-23T02:58:00Z</cp:lastPrinted>
  <dcterms:created xsi:type="dcterms:W3CDTF">2020-08-04T01:49:00Z</dcterms:created>
  <dcterms:modified xsi:type="dcterms:W3CDTF">2020-10-29T00:51:00Z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