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77A69">
      <w:pPr>
        <w:spacing w:line="60" w:lineRule="atLeast"/>
        <w:jc w:val="center"/>
        <w:rPr>
          <w:rFonts w:eastAsia="方正小标宋简体"/>
          <w:bCs/>
          <w:color w:val="FF0000"/>
          <w:spacing w:val="-57"/>
          <w:sz w:val="116"/>
          <w:szCs w:val="116"/>
        </w:rPr>
      </w:pPr>
    </w:p>
    <w:p w14:paraId="5EB971B6">
      <w:pPr>
        <w:jc w:val="right"/>
        <w:rPr>
          <w:rFonts w:eastAsia="仿宋_GB2312"/>
          <w:sz w:val="32"/>
          <w:szCs w:val="32"/>
        </w:rPr>
      </w:pPr>
    </w:p>
    <w:p w14:paraId="6162C06E">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326</w:t>
      </w:r>
      <w:r>
        <w:rPr>
          <w:rFonts w:eastAsia="仿宋_GB2312"/>
          <w:sz w:val="32"/>
          <w:szCs w:val="32"/>
        </w:rPr>
        <w:t>号</w:t>
      </w:r>
    </w:p>
    <w:p w14:paraId="39329F20">
      <w:pPr>
        <w:spacing w:line="0" w:lineRule="atLeast"/>
        <w:jc w:val="center"/>
        <w:rPr>
          <w:rFonts w:eastAsia="方正小标宋简体"/>
          <w:sz w:val="44"/>
          <w:szCs w:val="44"/>
        </w:rPr>
      </w:pPr>
    </w:p>
    <w:p w14:paraId="515631BC">
      <w:pPr>
        <w:spacing w:line="600" w:lineRule="exact"/>
        <w:jc w:val="center"/>
        <w:rPr>
          <w:rFonts w:eastAsia="方正小标宋简体"/>
          <w:sz w:val="44"/>
          <w:szCs w:val="44"/>
        </w:rPr>
      </w:pPr>
      <w:r>
        <w:rPr>
          <w:rFonts w:eastAsia="方正小标宋简体"/>
          <w:sz w:val="44"/>
          <w:szCs w:val="44"/>
        </w:rPr>
        <w:t>德阳市生态环境局</w:t>
      </w:r>
    </w:p>
    <w:p w14:paraId="5100C3DC">
      <w:pPr>
        <w:spacing w:line="600" w:lineRule="exact"/>
        <w:jc w:val="center"/>
        <w:rPr>
          <w:rFonts w:hint="eastAsia" w:ascii="Times New Roman" w:hAnsi="Times New Roman" w:eastAsia="方正小标宋简体" w:cs="Times New Roman"/>
          <w:sz w:val="44"/>
          <w:szCs w:val="44"/>
          <w:lang w:eastAsia="zh-CN"/>
        </w:rPr>
      </w:pPr>
      <w:r>
        <w:rPr>
          <w:rFonts w:hint="eastAsia" w:eastAsia="方正小标宋简体"/>
          <w:sz w:val="44"/>
          <w:szCs w:val="44"/>
        </w:rPr>
        <w:t>关</w:t>
      </w:r>
      <w:r>
        <w:rPr>
          <w:rFonts w:hint="eastAsia" w:ascii="Times New Roman" w:hAnsi="Times New Roman" w:eastAsia="方正小标宋简体" w:cs="Times New Roman"/>
          <w:sz w:val="44"/>
          <w:szCs w:val="44"/>
        </w:rPr>
        <w:t>于</w:t>
      </w:r>
      <w:r>
        <w:rPr>
          <w:rFonts w:hint="eastAsia" w:ascii="Times New Roman" w:hAnsi="Times New Roman" w:eastAsia="方正小标宋简体" w:cs="Times New Roman"/>
          <w:sz w:val="44"/>
          <w:szCs w:val="44"/>
          <w:lang w:eastAsia="zh-CN"/>
        </w:rPr>
        <w:t>四川省富乾汽车零部件有限公司</w:t>
      </w:r>
    </w:p>
    <w:p w14:paraId="5922BE18">
      <w:pPr>
        <w:spacing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汽车零部件生产车间及配套建设项目</w:t>
      </w:r>
    </w:p>
    <w:p w14:paraId="2DC45451">
      <w:pPr>
        <w:spacing w:line="600" w:lineRule="exact"/>
        <w:jc w:val="center"/>
        <w:rPr>
          <w:rFonts w:eastAsia="方正小标宋简体"/>
          <w:sz w:val="44"/>
          <w:szCs w:val="44"/>
        </w:rPr>
      </w:pPr>
      <w:r>
        <w:rPr>
          <w:rFonts w:eastAsia="方正小标宋简体"/>
          <w:sz w:val="44"/>
          <w:szCs w:val="44"/>
        </w:rPr>
        <w:t>《环境影响报告表》的批复</w:t>
      </w:r>
    </w:p>
    <w:p w14:paraId="3CC572AF">
      <w:pPr>
        <w:spacing w:line="0" w:lineRule="atLeast"/>
        <w:jc w:val="center"/>
        <w:rPr>
          <w:rFonts w:eastAsia="方正小标宋简体"/>
          <w:sz w:val="24"/>
        </w:rPr>
      </w:pPr>
    </w:p>
    <w:p w14:paraId="36C91972">
      <w:pPr>
        <w:spacing w:line="540" w:lineRule="exact"/>
        <w:rPr>
          <w:rFonts w:ascii="仿宋_GB2312" w:eastAsia="仿宋_GB2312"/>
          <w:sz w:val="32"/>
          <w:szCs w:val="32"/>
        </w:rPr>
      </w:pPr>
      <w:r>
        <w:rPr>
          <w:rFonts w:hint="eastAsia" w:ascii="仿宋_GB2312" w:hAnsi="仿宋_GB2312" w:eastAsia="仿宋_GB2312" w:cs="仿宋_GB2312"/>
          <w:sz w:val="32"/>
          <w:szCs w:val="32"/>
          <w:lang w:eastAsia="zh-CN"/>
        </w:rPr>
        <w:t>四川省富乾汽车零部件有限公司</w:t>
      </w:r>
      <w:r>
        <w:rPr>
          <w:rFonts w:hint="eastAsia" w:ascii="仿宋_GB2312" w:eastAsia="仿宋_GB2312"/>
          <w:sz w:val="32"/>
          <w:szCs w:val="32"/>
        </w:rPr>
        <w:t>：</w:t>
      </w:r>
    </w:p>
    <w:p w14:paraId="409DBD0F">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eastAsia="zh-CN"/>
        </w:rPr>
        <w:t>汽车零部件生产车间及配套建设项目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68212A71">
      <w:pPr>
        <w:pStyle w:val="13"/>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该项目为新建项目,拟在广汉市湘潭路七段13号建设，用地面积约为35453平方米。项目内容及规模为：购置注塑机、吹塑机、包覆生产线、植绒生产线、破碎机等生产设备，布设汽车零部件生产线，形成年产注塑类汽车塑料零部件605.7万件、吹塑类汽车塑料零部件30.3万件、包覆类汽车塑料零部件48万件、植绒类汽车塑料零部件16万件的生产能力。项目总投资20000万元，其中环保投资149万元。</w:t>
      </w:r>
    </w:p>
    <w:p w14:paraId="4CC316A9">
      <w:pPr>
        <w:pStyle w:val="7"/>
        <w:widowControl/>
        <w:spacing w:before="0" w:beforeAutospacing="0" w:after="0" w:afterAutospacing="0" w:line="54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 xml:space="preserve"> 项目在四川省投资项目在线审批监管平台进行了备案（备案号：川投资备[2302-510681-04-01-951272] FGQB-0367号），符合国家现行产业政策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根据广汉市国土空间总体规划及四川省富乾汽车零部件有限公司取得的《不动产权证》，项目用地性质为工业用地，选址符合规划。</w:t>
      </w:r>
    </w:p>
    <w:p w14:paraId="0A3D79C7">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05025462">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14:paraId="0B498B18">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4129C3CA">
      <w:pPr>
        <w:pStyle w:val="13"/>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5A59E383">
      <w:pPr>
        <w:pStyle w:val="13"/>
        <w:spacing w:line="540" w:lineRule="exact"/>
        <w:ind w:firstLine="640"/>
        <w:rPr>
          <w:rFonts w:hint="eastAsia" w:ascii="仿宋_GB2312" w:hAnsi="仿宋_GB2312" w:eastAsia="仿宋_GB2312" w:cs="仿宋_GB2312"/>
          <w:kern w:val="2"/>
          <w:sz w:val="32"/>
          <w:szCs w:val="32"/>
          <w:lang w:val="en-US" w:eastAsia="zh-CN" w:bidi="ar-SA"/>
        </w:rPr>
      </w:pPr>
      <w:r>
        <w:rPr>
          <w:rFonts w:eastAsia="仿宋_GB2312"/>
          <w:sz w:val="32"/>
          <w:szCs w:val="32"/>
        </w:rPr>
        <w:t>（三）严格落实并优化报告表提出的各项废气处理措施。</w:t>
      </w:r>
      <w:r>
        <w:rPr>
          <w:rFonts w:hint="eastAsia" w:ascii="仿宋_GB2312" w:hAnsi="仿宋_GB2312" w:eastAsia="仿宋_GB2312" w:cs="仿宋_GB2312"/>
          <w:kern w:val="2"/>
          <w:sz w:val="32"/>
          <w:szCs w:val="32"/>
          <w:lang w:val="en-US" w:eastAsia="zh-CN" w:bidi="ar-SA"/>
        </w:rPr>
        <w:t>设置密闭喷胶、植</w:t>
      </w:r>
      <w:r>
        <w:rPr>
          <w:rFonts w:hint="eastAsia" w:eastAsia="仿宋_GB2312"/>
          <w:sz w:val="32"/>
          <w:szCs w:val="32"/>
          <w:lang w:val="en-US" w:eastAsia="zh-CN"/>
        </w:rPr>
        <w:t>绒车间，落实喷胶、植绒工序的密闭抽风措施以及注塑机、吹塑机和破碎机集气罩捕集装置，确保喷胶有机废气和颗粒物、植绒颗粒物、注塑有机废气和氨气、</w:t>
      </w:r>
      <w:r>
        <w:rPr>
          <w:rFonts w:hint="eastAsia" w:ascii="仿宋_GB2312" w:hAnsi="仿宋_GB2312" w:eastAsia="仿宋_GB2312" w:cs="仿宋_GB2312"/>
          <w:kern w:val="2"/>
          <w:sz w:val="32"/>
          <w:szCs w:val="32"/>
          <w:lang w:val="en-US" w:eastAsia="zh-CN" w:bidi="ar-SA"/>
        </w:rPr>
        <w:t>吹塑有机废气、破碎粉尘经布袋+三级活性炭装置收集处理后由一根15m高排气筒达标排放；确保食堂油烟经静电油烟净化器处理后引至楼顶达标排放；确保备用柴油发电机废气</w:t>
      </w:r>
      <w:r>
        <w:rPr>
          <w:rFonts w:hint="default" w:ascii="仿宋_GB2312" w:hAnsi="仿宋_GB2312" w:eastAsia="仿宋_GB2312" w:cs="仿宋_GB2312"/>
          <w:kern w:val="2"/>
          <w:sz w:val="32"/>
          <w:szCs w:val="32"/>
          <w:lang w:val="en-US" w:eastAsia="zh-CN" w:bidi="ar-SA"/>
        </w:rPr>
        <w:t>经自带的</w:t>
      </w:r>
      <w:r>
        <w:rPr>
          <w:rFonts w:hint="eastAsia" w:ascii="仿宋_GB2312" w:hAnsi="仿宋_GB2312" w:eastAsia="仿宋_GB2312" w:cs="仿宋_GB2312"/>
          <w:kern w:val="2"/>
          <w:sz w:val="32"/>
          <w:szCs w:val="32"/>
          <w:lang w:val="en-US" w:eastAsia="zh-CN" w:bidi="ar-SA"/>
        </w:rPr>
        <w:t>废气处理设施处理后引至屋顶达标排放。</w:t>
      </w:r>
    </w:p>
    <w:p w14:paraId="7A9EEE59">
      <w:pPr>
        <w:pStyle w:val="13"/>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w:t>
      </w:r>
      <w:r>
        <w:rPr>
          <w:rFonts w:hint="eastAsia" w:eastAsia="仿宋_GB2312"/>
          <w:sz w:val="32"/>
          <w:szCs w:val="32"/>
          <w:lang w:eastAsia="zh-CN"/>
        </w:rPr>
        <w:t>项目</w:t>
      </w:r>
      <w:r>
        <w:rPr>
          <w:rFonts w:hint="eastAsia" w:eastAsia="仿宋_GB2312"/>
          <w:sz w:val="32"/>
          <w:szCs w:val="32"/>
          <w:lang w:val="en-US" w:eastAsia="zh-CN"/>
        </w:rPr>
        <w:t>食堂废水、车间地面清洁废水及洗手废水分别经隔油处理后会同生活污水、间接冷却水一并进入拟建预处理池处理达</w:t>
      </w:r>
      <w:r>
        <w:rPr>
          <w:rFonts w:hint="eastAsia" w:ascii="仿宋_GB2312" w:hAnsi="仿宋_GB2312" w:eastAsia="仿宋_GB2312" w:cs="仿宋_GB2312"/>
          <w:color w:val="000000" w:themeColor="text1"/>
          <w:sz w:val="32"/>
          <w:szCs w:val="32"/>
          <w:lang w:eastAsia="zh-CN"/>
          <w14:textFill>
            <w14:solidFill>
              <w14:schemeClr w14:val="tx1"/>
            </w14:solidFill>
          </w14:textFill>
        </w:rPr>
        <w:t>到</w:t>
      </w:r>
      <w:r>
        <w:rPr>
          <w:rFonts w:hint="eastAsia" w:eastAsia="仿宋_GB2312"/>
          <w:sz w:val="32"/>
          <w:szCs w:val="32"/>
        </w:rPr>
        <w:t>《污水综合排放标准》（GB8978-1996）三级标准后排入市政污水管网，再由广汉市第</w:t>
      </w:r>
      <w:r>
        <w:rPr>
          <w:rFonts w:hint="eastAsia" w:eastAsia="仿宋_GB2312"/>
          <w:sz w:val="32"/>
          <w:szCs w:val="32"/>
          <w:lang w:val="en-US" w:eastAsia="zh-CN"/>
        </w:rPr>
        <w:t>二</w:t>
      </w:r>
      <w:r>
        <w:rPr>
          <w:rFonts w:hint="eastAsia" w:eastAsia="仿宋_GB2312"/>
          <w:sz w:val="32"/>
          <w:szCs w:val="32"/>
        </w:rPr>
        <w:t>污水处理厂处理达《四川省岷江、沱江流域水污染物排放标准》（DB51/2311-2016）中工业园区集中式污水处理厂标准后外排。</w:t>
      </w:r>
    </w:p>
    <w:p w14:paraId="5A004912">
      <w:pPr>
        <w:spacing w:line="54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7E0D308D">
      <w:pPr>
        <w:spacing w:line="54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eastAsia="仿宋_GB2312"/>
          <w:sz w:val="32"/>
          <w:szCs w:val="32"/>
          <w:lang w:val="en-US" w:eastAsia="zh-CN"/>
        </w:rPr>
        <w:t>项目废边角料、废包装材料、</w:t>
      </w:r>
      <w:r>
        <w:rPr>
          <w:rFonts w:hint="eastAsia" w:eastAsia="仿宋_GB2312"/>
          <w:sz w:val="32"/>
          <w:szCs w:val="32"/>
          <w:lang w:val="zh-CN" w:eastAsia="zh-CN"/>
        </w:rPr>
        <w:t>粉尘</w:t>
      </w:r>
      <w:r>
        <w:rPr>
          <w:rFonts w:hint="eastAsia" w:eastAsia="仿宋_GB2312"/>
          <w:sz w:val="32"/>
          <w:szCs w:val="32"/>
          <w:lang w:val="en-US" w:eastAsia="zh-CN"/>
        </w:rPr>
        <w:t>经收集后定期外售废品资源回收公司；餐厨垃圾及食堂隔油池油污交有处置能力的处置单位处置。废机油、废油桶、废胶粘剂、废胶桶、油水分离器油污、</w:t>
      </w:r>
      <w:r>
        <w:rPr>
          <w:rFonts w:hint="eastAsia" w:eastAsia="仿宋_GB2312"/>
          <w:sz w:val="32"/>
          <w:szCs w:val="32"/>
          <w:lang w:val="zh-CN" w:eastAsia="zh-CN"/>
        </w:rPr>
        <w:t>含油棉纱手套</w:t>
      </w:r>
      <w:r>
        <w:rPr>
          <w:rFonts w:hint="eastAsia" w:eastAsia="仿宋_GB2312"/>
          <w:sz w:val="32"/>
          <w:szCs w:val="32"/>
          <w:lang w:val="en-US" w:eastAsia="zh-CN"/>
        </w:rPr>
        <w:t>、废活性炭</w:t>
      </w:r>
      <w:r>
        <w:rPr>
          <w:rFonts w:hint="eastAsia" w:eastAsia="仿宋_GB2312"/>
          <w:sz w:val="32"/>
          <w:szCs w:val="32"/>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eastAsia="仿宋_GB2312"/>
          <w:sz w:val="32"/>
          <w:szCs w:val="32"/>
          <w:lang w:val="en-US" w:eastAsia="zh-CN"/>
        </w:rPr>
        <w:t>；生活垃圾交由环卫部门清运</w:t>
      </w:r>
      <w:r>
        <w:rPr>
          <w:rFonts w:hint="eastAsia" w:eastAsia="仿宋_GB2312"/>
          <w:sz w:val="32"/>
          <w:szCs w:val="32"/>
        </w:rPr>
        <w:t>。</w:t>
      </w:r>
    </w:p>
    <w:p w14:paraId="68483254">
      <w:pPr>
        <w:pStyle w:val="13"/>
        <w:spacing w:line="540" w:lineRule="exact"/>
        <w:ind w:firstLine="640"/>
        <w:rPr>
          <w:rFonts w:ascii="Times New Roman" w:hAnsi="Times New Roman" w:eastAsia="仿宋_GB2312" w:cs="Times New Roman"/>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14:textFill>
            <w14:solidFill>
              <w14:schemeClr w14:val="tx1"/>
            </w14:solidFill>
          </w14:textFill>
        </w:rPr>
        <w:t>治措施。</w:t>
      </w:r>
      <w:r>
        <w:rPr>
          <w:rFonts w:ascii="Times New Roman" w:hAnsi="Times New Roman" w:eastAsia="仿宋_GB2312" w:cs="Times New Roman"/>
          <w:sz w:val="32"/>
          <w:szCs w:val="32"/>
        </w:rPr>
        <w:t>项目将</w:t>
      </w:r>
      <w:r>
        <w:rPr>
          <w:rFonts w:hint="eastAsia" w:ascii="Times New Roman" w:hAnsi="Times New Roman" w:eastAsia="仿宋_GB2312" w:cs="Times New Roman"/>
          <w:sz w:val="32"/>
          <w:szCs w:val="32"/>
          <w:lang w:eastAsia="zh-CN"/>
        </w:rPr>
        <w:t>危废暂存间</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隔油池、油水分离器、柴油发电机房、储油间、植绒生产线、喷胶生产线</w:t>
      </w:r>
      <w:r>
        <w:rPr>
          <w:rFonts w:ascii="Times New Roman" w:hAnsi="Times New Roman" w:eastAsia="仿宋_GB2312" w:cs="Times New Roman"/>
          <w:sz w:val="32"/>
          <w:szCs w:val="32"/>
        </w:rPr>
        <w:t>设置为重点防渗区，</w:t>
      </w:r>
      <w:r>
        <w:rPr>
          <w:rFonts w:hint="eastAsia" w:ascii="Times New Roman" w:hAnsi="Times New Roman" w:eastAsia="仿宋_GB2312" w:cs="Times New Roman"/>
          <w:sz w:val="32"/>
          <w:szCs w:val="32"/>
          <w:lang w:val="en-US" w:eastAsia="zh-CN"/>
        </w:rPr>
        <w:t>将注塑生产线、吹塑生产线、地埋式冷水池、原料库房、产品库房、物流转运区、产品检测区、实验室、空压机房、一般固废暂存间、食堂、预处理池设置为一般防渗区，将更衣室、办公楼、厂区道路等设置为简单防渗区，</w:t>
      </w:r>
      <w:r>
        <w:rPr>
          <w:rFonts w:ascii="Times New Roman" w:hAnsi="Times New Roman" w:eastAsia="仿宋_GB2312" w:cs="Times New Roman"/>
          <w:sz w:val="32"/>
          <w:szCs w:val="32"/>
        </w:rPr>
        <w:t>分别采取防渗措施。建立和完善地下水、土壤污染监控制度和环境管理体系，发现问题及时采取措施，避免污染周边地下水和土壤环境。</w:t>
      </w:r>
    </w:p>
    <w:p w14:paraId="1FBC9C5E">
      <w:pPr>
        <w:numPr>
          <w:ilvl w:val="0"/>
          <w:numId w:val="1"/>
        </w:numPr>
        <w:spacing w:line="54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6EA305D4">
      <w:pPr>
        <w:pStyle w:val="13"/>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14E64E8B">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lang w:val="en-US" w:eastAsia="zh-CN"/>
          <w14:textFill>
            <w14:solidFill>
              <w14:schemeClr w14:val="tx1"/>
            </w14:solidFill>
          </w14:textFill>
        </w:rPr>
        <w:t>挥发有机物</w:t>
      </w:r>
      <w:r>
        <w:rPr>
          <w:rFonts w:hint="eastAsia" w:eastAsia="仿宋_GB2312"/>
          <w:color w:val="000000" w:themeColor="text1"/>
          <w:sz w:val="32"/>
          <w:szCs w:val="32"/>
          <w14:textFill>
            <w14:solidFill>
              <w14:schemeClr w14:val="tx1"/>
            </w14:solidFill>
          </w14:textFill>
        </w:rPr>
        <w:t>排放量为</w:t>
      </w:r>
      <w:r>
        <w:rPr>
          <w:rFonts w:hint="eastAsia" w:eastAsia="仿宋_GB2312"/>
          <w:color w:val="000000" w:themeColor="text1"/>
          <w:sz w:val="32"/>
          <w:szCs w:val="32"/>
          <w:lang w:val="en-US" w:eastAsia="zh-CN"/>
          <w14:textFill>
            <w14:solidFill>
              <w14:schemeClr w14:val="tx1"/>
            </w14:solidFill>
          </w14:textFill>
        </w:rPr>
        <w:t>0.196</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14:textFill>
            <w14:solidFill>
              <w14:schemeClr w14:val="tx1"/>
            </w14:solidFill>
          </w14:textFill>
        </w:rPr>
        <w:t>化学需氧量排放量为</w:t>
      </w:r>
      <w:r>
        <w:rPr>
          <w:rFonts w:hint="eastAsia" w:eastAsia="仿宋_GB2312"/>
          <w:color w:val="000000" w:themeColor="text1"/>
          <w:sz w:val="32"/>
          <w:szCs w:val="32"/>
          <w:lang w:val="en-US" w:eastAsia="zh-CN"/>
          <w14:textFill>
            <w14:solidFill>
              <w14:schemeClr w14:val="tx1"/>
            </w14:solidFill>
          </w14:textFill>
        </w:rPr>
        <w:t>0.353</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氨氮排放量为</w:t>
      </w:r>
      <w:r>
        <w:rPr>
          <w:rFonts w:hint="eastAsia" w:eastAsia="仿宋_GB2312"/>
          <w:color w:val="000000" w:themeColor="text1"/>
          <w:sz w:val="32"/>
          <w:szCs w:val="32"/>
          <w:lang w:val="en-US" w:eastAsia="zh-CN"/>
          <w14:textFill>
            <w14:solidFill>
              <w14:schemeClr w14:val="tx1"/>
            </w14:solidFill>
          </w14:textFill>
        </w:rPr>
        <w:t>0.044</w:t>
      </w:r>
      <w:r>
        <w:rPr>
          <w:rFonts w:hint="eastAsia" w:eastAsia="仿宋_GB2312"/>
          <w:color w:val="000000" w:themeColor="text1"/>
          <w:sz w:val="32"/>
          <w:szCs w:val="32"/>
          <w14:textFill>
            <w14:solidFill>
              <w14:schemeClr w14:val="tx1"/>
            </w14:solidFill>
          </w14:textFill>
        </w:rPr>
        <w:t>吨/年。</w:t>
      </w:r>
      <w:r>
        <w:rPr>
          <w:rFonts w:hint="eastAsia" w:ascii="仿宋_GB2312" w:eastAsia="仿宋_GB2312"/>
          <w:sz w:val="32"/>
          <w:szCs w:val="32"/>
        </w:rPr>
        <w:t>其总量控制指标按德阳市广汉生态环境局总量文件执行</w:t>
      </w:r>
      <w:r>
        <w:rPr>
          <w:rFonts w:hint="eastAsia" w:eastAsia="仿宋_GB2312"/>
          <w:color w:val="000000" w:themeColor="text1"/>
          <w:sz w:val="32"/>
          <w:szCs w:val="32"/>
          <w14:textFill>
            <w14:solidFill>
              <w14:schemeClr w14:val="tx1"/>
            </w14:solidFill>
          </w14:textFill>
        </w:rPr>
        <w:t>。</w:t>
      </w:r>
    </w:p>
    <w:p w14:paraId="717E1F82">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341D3ABF">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6CE8DB61">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lang w:val="en-US" w:eastAsia="zh-CN"/>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1BA058DF">
      <w:pPr>
        <w:pStyle w:val="13"/>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24BB11A4">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5BF6F4DB">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1B79EC9A">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795773E8">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15BFF3D3">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lang w:val="en-US" w:eastAsia="zh-CN"/>
        </w:rPr>
        <w:t>11</w:t>
      </w:r>
      <w:r>
        <w:rPr>
          <w:rFonts w:eastAsia="仿宋_GB2312"/>
          <w:spacing w:val="-20"/>
          <w:sz w:val="32"/>
          <w:szCs w:val="32"/>
        </w:rPr>
        <w:t>月</w:t>
      </w:r>
      <w:r>
        <w:rPr>
          <w:rFonts w:hint="eastAsia" w:eastAsia="仿宋_GB2312"/>
          <w:spacing w:val="-20"/>
          <w:sz w:val="32"/>
          <w:szCs w:val="32"/>
          <w:lang w:val="en-US" w:eastAsia="zh-CN"/>
        </w:rPr>
        <w:t>11</w:t>
      </w:r>
      <w:bookmarkStart w:id="0" w:name="_GoBack"/>
      <w:bookmarkEnd w:id="0"/>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34806477-DE2B-4A86-B936-D041CF1461D5}"/>
  </w:font>
  <w:font w:name="仿宋_GB2312">
    <w:panose1 w:val="02010609030101010101"/>
    <w:charset w:val="86"/>
    <w:family w:val="modern"/>
    <w:pitch w:val="default"/>
    <w:sig w:usb0="00000001" w:usb1="080E0000" w:usb2="00000000" w:usb3="00000000" w:csb0="00040000" w:csb1="00000000"/>
    <w:embedRegular r:id="rId2" w:fontKey="{812B58CA-8DBE-4AAB-81B7-204998E79B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183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A0C0B9">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7A0C0B9">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27F7">
    <w:pPr>
      <w:pStyle w:val="4"/>
      <w:framePr w:wrap="around" w:vAnchor="text" w:hAnchor="margin" w:xAlign="center" w:y="1"/>
      <w:rPr>
        <w:rStyle w:val="10"/>
      </w:rPr>
    </w:pPr>
    <w:r>
      <w:fldChar w:fldCharType="begin"/>
    </w:r>
    <w:r>
      <w:rPr>
        <w:rStyle w:val="10"/>
      </w:rPr>
      <w:instrText xml:space="preserve">PAGE  </w:instrText>
    </w:r>
    <w:r>
      <w:fldChar w:fldCharType="end"/>
    </w:r>
  </w:p>
  <w:p w14:paraId="0BAE2C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DD6B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zQ1YTM5Njc1OGNjMWVlMWZhMzM0ZDAwYTIwMGY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74553"/>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91905"/>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jc w:val="center"/>
    </w:pPr>
    <w:rPr>
      <w:rFonts w:hint="eastAsia" w:ascii="方正小标宋简体" w:eastAsia="方正小标宋简体"/>
      <w:sz w:val="36"/>
      <w:szCs w:val="20"/>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styleId="11">
    <w:name w:val="FollowedHyperlink"/>
    <w:autoRedefine/>
    <w:qFormat/>
    <w:uiPriority w:val="0"/>
    <w:rPr>
      <w:color w:val="343434"/>
      <w:u w:val="none"/>
    </w:rPr>
  </w:style>
  <w:style w:type="character" w:styleId="12">
    <w:name w:val="Hyperlink"/>
    <w:autoRedefine/>
    <w:qFormat/>
    <w:uiPriority w:val="0"/>
    <w:rPr>
      <w:color w:val="343434"/>
      <w:u w:val="none"/>
    </w:rPr>
  </w:style>
  <w:style w:type="paragraph" w:customStyle="1" w:styleId="13">
    <w:name w:val="+正文"/>
    <w:basedOn w:val="1"/>
    <w:qFormat/>
    <w:uiPriority w:val="0"/>
    <w:pPr>
      <w:spacing w:line="360" w:lineRule="auto"/>
      <w:ind w:firstLine="200" w:firstLineChars="200"/>
    </w:pPr>
    <w:rPr>
      <w:sz w:val="24"/>
      <w:szCs w:val="28"/>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2560</Words>
  <Characters>2657</Characters>
  <Lines>19</Lines>
  <Paragraphs>5</Paragraphs>
  <TotalTime>33</TotalTime>
  <ScaleCrop>false</ScaleCrop>
  <LinksUpToDate>false</LinksUpToDate>
  <CharactersWithSpaces>2791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晏海艳</cp:lastModifiedBy>
  <cp:lastPrinted>2024-08-30T06:48:00Z</cp:lastPrinted>
  <dcterms:modified xsi:type="dcterms:W3CDTF">2024-11-11T03:47:05Z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26C3C3122689444D8A13BBBA604EE096_13</vt:lpwstr>
  </property>
</Properties>
</file>