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DD2A">
      <w:pPr>
        <w:spacing w:line="60" w:lineRule="atLeast"/>
        <w:jc w:val="center"/>
        <w:rPr>
          <w:rFonts w:eastAsia="方正小标宋简体"/>
          <w:bCs/>
          <w:color w:val="FF0000"/>
          <w:spacing w:val="-57"/>
          <w:sz w:val="116"/>
          <w:szCs w:val="116"/>
        </w:rPr>
      </w:pPr>
    </w:p>
    <w:p w14:paraId="3D33B00D">
      <w:pPr>
        <w:jc w:val="right"/>
        <w:rPr>
          <w:rFonts w:eastAsia="仿宋_GB2312"/>
          <w:sz w:val="32"/>
          <w:szCs w:val="32"/>
        </w:rPr>
      </w:pPr>
    </w:p>
    <w:p w14:paraId="7F229007">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353</w:t>
      </w:r>
      <w:r>
        <w:rPr>
          <w:rFonts w:eastAsia="仿宋_GB2312"/>
          <w:sz w:val="32"/>
          <w:szCs w:val="32"/>
        </w:rPr>
        <w:t>号</w:t>
      </w:r>
    </w:p>
    <w:p w14:paraId="5AE66A83">
      <w:pPr>
        <w:spacing w:line="0" w:lineRule="atLeast"/>
        <w:jc w:val="center"/>
        <w:rPr>
          <w:rFonts w:eastAsia="方正小标宋简体"/>
          <w:sz w:val="44"/>
          <w:szCs w:val="44"/>
        </w:rPr>
      </w:pPr>
    </w:p>
    <w:p w14:paraId="22F4DA25">
      <w:pPr>
        <w:spacing w:line="600" w:lineRule="exact"/>
        <w:jc w:val="center"/>
        <w:rPr>
          <w:rFonts w:eastAsia="方正小标宋简体"/>
          <w:sz w:val="44"/>
          <w:szCs w:val="44"/>
        </w:rPr>
      </w:pPr>
      <w:r>
        <w:rPr>
          <w:rFonts w:eastAsia="方正小标宋简体"/>
          <w:sz w:val="44"/>
          <w:szCs w:val="44"/>
        </w:rPr>
        <w:t>德阳市生态环境局</w:t>
      </w:r>
    </w:p>
    <w:p w14:paraId="2C863A56">
      <w:pPr>
        <w:spacing w:line="600" w:lineRule="exact"/>
        <w:jc w:val="center"/>
        <w:rPr>
          <w:rFonts w:eastAsia="方正小标宋简体"/>
          <w:sz w:val="44"/>
          <w:szCs w:val="44"/>
        </w:rPr>
      </w:pPr>
      <w:r>
        <w:rPr>
          <w:rFonts w:hint="eastAsia" w:eastAsia="方正小标宋简体"/>
          <w:sz w:val="44"/>
          <w:szCs w:val="44"/>
        </w:rPr>
        <w:t>关于</w:t>
      </w:r>
      <w:r>
        <w:rPr>
          <w:rFonts w:hint="eastAsia" w:eastAsia="方正小标宋简体"/>
          <w:sz w:val="44"/>
          <w:szCs w:val="44"/>
          <w:lang w:val="en-US" w:eastAsia="zh-CN"/>
        </w:rPr>
        <w:t>四川铝有铝金属制品有限公司新建铝制品加工项目</w:t>
      </w:r>
      <w:r>
        <w:rPr>
          <w:rFonts w:eastAsia="方正小标宋简体"/>
          <w:sz w:val="44"/>
          <w:szCs w:val="44"/>
        </w:rPr>
        <w:t>《环境影响报告表》的批复</w:t>
      </w:r>
    </w:p>
    <w:p w14:paraId="44950998">
      <w:pPr>
        <w:spacing w:line="0" w:lineRule="atLeast"/>
        <w:jc w:val="center"/>
        <w:rPr>
          <w:rFonts w:eastAsia="方正小标宋简体"/>
          <w:sz w:val="24"/>
        </w:rPr>
      </w:pPr>
    </w:p>
    <w:p w14:paraId="24AD72E9">
      <w:pPr>
        <w:spacing w:line="540" w:lineRule="exact"/>
        <w:rPr>
          <w:rFonts w:ascii="仿宋_GB2312" w:eastAsia="仿宋_GB2312"/>
          <w:sz w:val="32"/>
          <w:szCs w:val="32"/>
        </w:rPr>
      </w:pPr>
      <w:r>
        <w:rPr>
          <w:rFonts w:hint="eastAsia" w:ascii="仿宋_GB2312" w:hAnsi="仿宋_GB2312" w:eastAsia="仿宋_GB2312" w:cs="仿宋_GB2312"/>
          <w:sz w:val="32"/>
          <w:szCs w:val="32"/>
        </w:rPr>
        <w:t>四川铝有铝金属制品有限公司</w:t>
      </w:r>
      <w:r>
        <w:rPr>
          <w:rFonts w:hint="eastAsia" w:ascii="仿宋_GB2312" w:eastAsia="仿宋_GB2312"/>
          <w:sz w:val="32"/>
          <w:szCs w:val="32"/>
        </w:rPr>
        <w:t>：</w:t>
      </w:r>
    </w:p>
    <w:p w14:paraId="03DD3D2A">
      <w:pPr>
        <w:spacing w:line="540" w:lineRule="exact"/>
        <w:ind w:firstLine="640" w:firstLineChars="200"/>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lang w:val="en-US" w:eastAsia="zh-CN"/>
        </w:rPr>
        <w:t>新建铝制品加工项目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2175EB9F">
      <w:pPr>
        <w:pStyle w:val="13"/>
        <w:spacing w:line="540" w:lineRule="exact"/>
        <w:ind w:firstLine="64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w:t>
      </w:r>
      <w:r>
        <w:rPr>
          <w:rFonts w:hint="default" w:ascii="Times New Roman" w:hAnsi="Times New Roman" w:eastAsia="仿宋_GB2312" w:cs="Times New Roman"/>
          <w:sz w:val="32"/>
          <w:szCs w:val="32"/>
        </w:rPr>
        <w:t>该项目为</w:t>
      </w:r>
      <w:r>
        <w:rPr>
          <w:rFonts w:hint="eastAsia" w:eastAsia="仿宋_GB2312" w:cs="Times New Roman"/>
          <w:sz w:val="32"/>
          <w:szCs w:val="32"/>
          <w:lang w:val="en-US" w:eastAsia="zh-CN"/>
        </w:rPr>
        <w:t>新建</w:t>
      </w:r>
      <w:r>
        <w:rPr>
          <w:rFonts w:hint="default" w:ascii="Times New Roman" w:hAnsi="Times New Roman" w:eastAsia="仿宋_GB2312" w:cs="Times New Roman"/>
          <w:sz w:val="32"/>
          <w:szCs w:val="32"/>
        </w:rPr>
        <w:t>补评项目,在广汉市珠海路西二段69号租赁广汉市金鹏废旧物资收购站闲置厂房进行建设，用地面积3200平方米。项目内容及规模为：依托生产车间及相关公辅设施，购置液压冲剪机、数控雕刻机、激光焊接机、氩弧焊机、自动喷涂流水线、手持打磨机等生产设备，布设铝制品生产线，建成后形成年生产铝制品100吨（其中：铝合金大门5万平方米、栏杆3万平方米、凉亭10万平方米）的生产能力。项目总投资45万元，其中环保投资13.6万元。</w:t>
      </w:r>
    </w:p>
    <w:p w14:paraId="1AE4492B">
      <w:pPr>
        <w:pStyle w:val="13"/>
        <w:spacing w:line="540" w:lineRule="exact"/>
        <w:ind w:firstLine="640"/>
        <w:rPr>
          <w:rFonts w:ascii="仿宋_GB2312" w:hAnsi="仿宋_GB2312" w:eastAsia="仿宋_GB2312" w:cs="仿宋_GB2312"/>
          <w:sz w:val="32"/>
          <w:szCs w:val="32"/>
        </w:rPr>
      </w:pPr>
      <w:r>
        <w:rPr>
          <w:rFonts w:hint="eastAsia" w:eastAsia="仿宋_GB2312"/>
          <w:color w:val="000000" w:themeColor="text1"/>
          <w:sz w:val="32"/>
          <w:szCs w:val="32"/>
          <w14:textFill>
            <w14:solidFill>
              <w14:schemeClr w14:val="tx1"/>
            </w14:solidFill>
          </w14:textFill>
        </w:rPr>
        <w:t>项目在四川省投资项目在线审批监管平台进行了备案（备案号：川投资备[2308-510681-04-01-177207] FGQB-0</w:t>
      </w:r>
      <w:r>
        <w:rPr>
          <w:rFonts w:hint="eastAsia" w:eastAsia="仿宋_GB2312"/>
          <w:color w:val="000000" w:themeColor="text1"/>
          <w:sz w:val="32"/>
          <w:szCs w:val="32"/>
          <w:lang w:val="en-US" w:eastAsia="zh-CN"/>
          <w14:textFill>
            <w14:solidFill>
              <w14:schemeClr w14:val="tx1"/>
            </w14:solidFill>
          </w14:textFill>
        </w:rPr>
        <w:t>373</w:t>
      </w:r>
      <w:r>
        <w:rPr>
          <w:rFonts w:hint="eastAsia" w:eastAsia="仿宋_GB2312"/>
          <w:color w:val="000000" w:themeColor="text1"/>
          <w:sz w:val="32"/>
          <w:szCs w:val="32"/>
          <w14:textFill>
            <w14:solidFill>
              <w14:schemeClr w14:val="tx1"/>
            </w14:solidFill>
          </w14:textFill>
        </w:rPr>
        <w:t>号）</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val="zh-CN"/>
        </w:rPr>
        <w:t>；该项目符合德阳市生态环境分区管控相关要求，</w:t>
      </w:r>
      <w:r>
        <w:rPr>
          <w:rFonts w:hint="eastAsia" w:ascii="仿宋_GB2312" w:hAnsi="仿宋_GB2312" w:eastAsia="仿宋_GB2312" w:cs="仿宋_GB2312"/>
          <w:sz w:val="32"/>
          <w:szCs w:val="32"/>
        </w:rPr>
        <w:t>根据德阳高新技术产业开发区规划及广汉市金鹏废旧物资收购站取得的《不动产权证》，项目用地性质为工业用地，选址符合规划。</w:t>
      </w:r>
    </w:p>
    <w:p w14:paraId="6E493882">
      <w:pPr>
        <w:spacing w:line="54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70C3A7B4">
      <w:pPr>
        <w:widowControl/>
        <w:spacing w:line="54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14:paraId="4012E606">
      <w:pPr>
        <w:spacing w:line="540" w:lineRule="exact"/>
        <w:ind w:firstLine="640" w:firstLineChars="200"/>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CC39E84">
      <w:pPr>
        <w:pStyle w:val="13"/>
        <w:spacing w:line="54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05D14F6B">
      <w:pPr>
        <w:pStyle w:val="13"/>
        <w:spacing w:line="540" w:lineRule="exact"/>
        <w:ind w:firstLine="640"/>
        <w:rPr>
          <w:rFonts w:ascii="仿宋_GB2312" w:hAnsi="仿宋_GB2312" w:eastAsia="仿宋_GB2312" w:cs="仿宋_GB2312"/>
          <w:sz w:val="32"/>
          <w:szCs w:val="32"/>
        </w:rPr>
      </w:pPr>
      <w:r>
        <w:rPr>
          <w:rFonts w:eastAsia="仿宋_GB2312"/>
          <w:sz w:val="32"/>
          <w:szCs w:val="32"/>
        </w:rPr>
        <w:t>（三）</w:t>
      </w:r>
      <w:r>
        <w:rPr>
          <w:rFonts w:hint="eastAsia" w:eastAsia="仿宋_GB2312"/>
          <w:sz w:val="32"/>
          <w:szCs w:val="32"/>
          <w:highlight w:val="none"/>
        </w:rPr>
        <w:t>严格落实并优化报告表提出的各项废气处理措施。</w:t>
      </w:r>
      <w:r>
        <w:rPr>
          <w:rFonts w:hint="eastAsia" w:eastAsia="仿宋_GB2312"/>
          <w:sz w:val="32"/>
          <w:szCs w:val="32"/>
        </w:rPr>
        <w:t>落实焊接工序的万向吸气臂+滤筒式焊烟净化器措施，确保焊接烟尘经收集处理后达标排放；设置密闭喷粉室，落实喷粉室负压收集+旋风除尘+滤芯除尘措施，确保喷塑粉尘经收集后回用于生产，其余部分经处理后由1根22米高排气筒达标排放；落实固化房进出口的集气罩+两级活性炭吸附装置，确保固化有机废气及丙烷燃烧废气经收集处理后由1根22米高排气筒达标排放；确保下料、打磨、冲孔成型工序的金属粉尘经车间自然沉降后无组织达标排放，对周边环境不产生影响。</w:t>
      </w:r>
    </w:p>
    <w:p w14:paraId="7C6E08E3">
      <w:pPr>
        <w:pStyle w:val="13"/>
        <w:spacing w:line="54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（四）</w:t>
      </w:r>
      <w:r>
        <w:rPr>
          <w:rFonts w:hint="eastAsia" w:eastAsia="仿宋_GB2312"/>
          <w:sz w:val="32"/>
          <w:szCs w:val="32"/>
        </w:rPr>
        <w:t>严格落实并优化报告表提出的各项废水处理措施。项目员工洗手废水经油水分离器隔油处理后汇同生活污水进入厂区已建预处理池处理达《污水综合排放标准》（GB8978-1996）三级标准后排入市政污水管网，经广汉市第二污水处理厂处理达《四川省岷江、沱江流域水污染物排放标准》（DB51/2311-2016）中工业园区集中式污水处理厂标准后外排。</w:t>
      </w:r>
    </w:p>
    <w:p w14:paraId="70F7B523">
      <w:pPr>
        <w:spacing w:line="540" w:lineRule="exact"/>
        <w:ind w:firstLine="640" w:firstLineChars="200"/>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14:paraId="5960706A">
      <w:pPr>
        <w:spacing w:line="54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废滤芯交由供货商回收处理；收集的喷塑粉尘回用于喷塑工序；废边角料、废包装材料、除尘灰、废焊渣、废金属屑外售废品回收站；废机油、废含油抹布及手套、</w:t>
      </w:r>
      <w:r>
        <w:rPr>
          <w:rFonts w:hint="eastAsia" w:eastAsia="仿宋_GB2312"/>
          <w:sz w:val="32"/>
          <w:szCs w:val="32"/>
          <w:lang w:val="en-US" w:eastAsia="zh-CN"/>
        </w:rPr>
        <w:t>废油桶</w:t>
      </w:r>
      <w:r>
        <w:rPr>
          <w:rFonts w:hint="eastAsia" w:eastAsia="仿宋_GB2312"/>
          <w:sz w:val="32"/>
          <w:szCs w:val="32"/>
        </w:rPr>
        <w:t>、废切削液、废活性炭、车间油水分离器废油脂属于危险废物，须妥善安全收储，落实专人管理，并严格执行转移联单制度，定期交有危废处理资质的单位处置，其暂存区须采取必要的防风、防晒、防雨、防漏、防渗、防腐以及其他环境污染防治措施；生活垃圾交由环卫部门清运。</w:t>
      </w:r>
    </w:p>
    <w:p w14:paraId="0F3B5D8D">
      <w:pPr>
        <w:pStyle w:val="13"/>
        <w:spacing w:line="540" w:lineRule="exact"/>
        <w:ind w:firstLine="640"/>
        <w:rPr>
          <w:rFonts w:eastAsia="仿宋_GB2312"/>
          <w:sz w:val="32"/>
          <w:szCs w:val="32"/>
        </w:rPr>
      </w:pPr>
      <w:r>
        <w:rPr>
          <w:rFonts w:eastAsia="仿宋_GB2312"/>
          <w:sz w:val="32"/>
          <w:szCs w:val="32"/>
        </w:rPr>
        <w:t>（七）严格落实并优化报告表提出的地下水和土壤污染防</w:t>
      </w:r>
      <w:r>
        <w:rPr>
          <w:rFonts w:ascii="仿宋_GB2312" w:hAnsi="仿宋_GB2312" w:eastAsia="仿宋_GB2312" w:cs="仿宋_GB2312"/>
          <w:color w:val="000000" w:themeColor="text1"/>
          <w:sz w:val="32"/>
          <w:szCs w:val="32"/>
          <w14:textFill>
            <w14:solidFill>
              <w14:schemeClr w14:val="tx1"/>
            </w14:solidFill>
          </w14:textFill>
        </w:rPr>
        <w:t>治措施。</w:t>
      </w:r>
      <w:r>
        <w:rPr>
          <w:rFonts w:eastAsia="仿宋_GB2312"/>
          <w:sz w:val="32"/>
          <w:szCs w:val="32"/>
        </w:rPr>
        <w:t>项目将</w:t>
      </w:r>
      <w:r>
        <w:rPr>
          <w:rFonts w:hint="eastAsia" w:ascii="仿宋_GB2312" w:hAnsi="仿宋_GB2312" w:eastAsia="仿宋_GB2312" w:cs="仿宋_GB2312"/>
          <w:color w:val="000000" w:themeColor="text1"/>
          <w:sz w:val="32"/>
          <w:szCs w:val="32"/>
          <w14:textFill>
            <w14:solidFill>
              <w14:schemeClr w14:val="tx1"/>
            </w14:solidFill>
          </w14:textFill>
        </w:rPr>
        <w:t>危险废物暂存间</w:t>
      </w:r>
      <w:r>
        <w:rPr>
          <w:rFonts w:eastAsia="仿宋_GB2312"/>
          <w:sz w:val="32"/>
          <w:szCs w:val="32"/>
        </w:rPr>
        <w:t>设置为重点防渗区，</w:t>
      </w:r>
      <w:r>
        <w:rPr>
          <w:rFonts w:hint="eastAsia" w:eastAsia="仿宋_GB2312"/>
          <w:sz w:val="32"/>
          <w:szCs w:val="32"/>
        </w:rPr>
        <w:t>将生产车间除重点防渗区外的其他区域设置为一般防渗区，将办公区设置为简单防渗区，</w:t>
      </w:r>
      <w:r>
        <w:rPr>
          <w:rFonts w:eastAsia="仿宋_GB2312"/>
          <w:sz w:val="32"/>
          <w:szCs w:val="32"/>
        </w:rPr>
        <w:t>分别采取防渗措施。建立和完善地下水、土壤污染监控制度和环境管理体系，发现问题及时采取措施，避免污染周边地下水和土壤环境。</w:t>
      </w:r>
    </w:p>
    <w:p w14:paraId="5FC84C73">
      <w:pPr>
        <w:numPr>
          <w:ilvl w:val="0"/>
          <w:numId w:val="1"/>
        </w:numPr>
        <w:spacing w:line="540" w:lineRule="exact"/>
        <w:ind w:firstLine="640" w:firstLineChars="200"/>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55C9AFC2">
      <w:pPr>
        <w:pStyle w:val="13"/>
        <w:numPr>
          <w:ilvl w:val="0"/>
          <w:numId w:val="1"/>
        </w:numPr>
        <w:spacing w:line="54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6BAD385A">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三、该项目运营后，</w:t>
      </w:r>
      <w:r>
        <w:rPr>
          <w:rFonts w:hint="eastAsia" w:eastAsia="仿宋_GB2312"/>
          <w:color w:val="000000" w:themeColor="text1"/>
          <w:sz w:val="32"/>
          <w:szCs w:val="32"/>
          <w14:textFill>
            <w14:solidFill>
              <w14:schemeClr w14:val="tx1"/>
            </w14:solidFill>
          </w14:textFill>
        </w:rPr>
        <w:t>挥发有机物排放量为0.</w:t>
      </w:r>
      <w:r>
        <w:rPr>
          <w:rFonts w:hint="eastAsia" w:eastAsia="仿宋_GB2312"/>
          <w:color w:val="000000" w:themeColor="text1"/>
          <w:sz w:val="32"/>
          <w:szCs w:val="32"/>
          <w:lang w:val="en-US" w:eastAsia="zh-CN"/>
          <w14:textFill>
            <w14:solidFill>
              <w14:schemeClr w14:val="tx1"/>
            </w14:solidFill>
          </w14:textFill>
        </w:rPr>
        <w:t>0020</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氮氧化物排放量为0.1192</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化学需氧量</w:t>
      </w:r>
      <w:r>
        <w:rPr>
          <w:rFonts w:hint="eastAsia" w:eastAsia="仿宋_GB2312"/>
          <w:color w:val="000000" w:themeColor="text1"/>
          <w:sz w:val="32"/>
          <w:szCs w:val="32"/>
          <w14:textFill>
            <w14:solidFill>
              <w14:schemeClr w14:val="tx1"/>
            </w14:solidFill>
          </w14:textFill>
        </w:rPr>
        <w:t>排放量为0.</w:t>
      </w:r>
      <w:r>
        <w:rPr>
          <w:rFonts w:hint="eastAsia" w:eastAsia="仿宋_GB2312"/>
          <w:color w:val="000000" w:themeColor="text1"/>
          <w:sz w:val="32"/>
          <w:szCs w:val="32"/>
          <w:lang w:val="en-US" w:eastAsia="zh-CN"/>
          <w14:textFill>
            <w14:solidFill>
              <w14:schemeClr w14:val="tx1"/>
            </w14:solidFill>
          </w14:textFill>
        </w:rPr>
        <w:t>0087</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val="en-US" w:eastAsia="zh-CN"/>
          <w14:textFill>
            <w14:solidFill>
              <w14:schemeClr w14:val="tx1"/>
            </w14:solidFill>
          </w14:textFill>
        </w:rPr>
        <w:t>，氨氮</w:t>
      </w:r>
      <w:r>
        <w:rPr>
          <w:rFonts w:hint="eastAsia" w:eastAsia="仿宋_GB2312"/>
          <w:color w:val="000000" w:themeColor="text1"/>
          <w:sz w:val="32"/>
          <w:szCs w:val="32"/>
          <w14:textFill>
            <w14:solidFill>
              <w14:schemeClr w14:val="tx1"/>
            </w14:solidFill>
          </w14:textFill>
        </w:rPr>
        <w:t>排放量为0.</w:t>
      </w:r>
      <w:r>
        <w:rPr>
          <w:rFonts w:hint="eastAsia" w:eastAsia="仿宋_GB2312"/>
          <w:color w:val="000000" w:themeColor="text1"/>
          <w:sz w:val="32"/>
          <w:szCs w:val="32"/>
          <w:lang w:val="en-US" w:eastAsia="zh-CN"/>
          <w14:textFill>
            <w14:solidFill>
              <w14:schemeClr w14:val="tx1"/>
            </w14:solidFill>
          </w14:textFill>
        </w:rPr>
        <w:t>0011</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14:textFill>
            <w14:solidFill>
              <w14:schemeClr w14:val="tx1"/>
            </w14:solidFill>
          </w14:textFill>
        </w:rPr>
        <w:t>。</w:t>
      </w:r>
      <w:r>
        <w:rPr>
          <w:rFonts w:hint="eastAsia" w:ascii="仿宋_GB2312" w:eastAsia="仿宋_GB2312"/>
          <w:sz w:val="32"/>
          <w:szCs w:val="32"/>
        </w:rPr>
        <w:t>其总量控制指标</w:t>
      </w:r>
      <w:r>
        <w:rPr>
          <w:rFonts w:hint="eastAsia" w:ascii="仿宋_GB2312" w:eastAsia="仿宋_GB2312"/>
          <w:sz w:val="32"/>
          <w:szCs w:val="32"/>
          <w:lang w:val="en-US" w:eastAsia="zh-CN"/>
        </w:rPr>
        <w:t>按</w:t>
      </w:r>
      <w:r>
        <w:rPr>
          <w:rFonts w:hint="eastAsia" w:ascii="仿宋_GB2312" w:eastAsia="仿宋_GB2312"/>
          <w:sz w:val="32"/>
          <w:szCs w:val="32"/>
        </w:rPr>
        <w:t>德阳市广汉生态环境局</w:t>
      </w:r>
      <w:r>
        <w:rPr>
          <w:rFonts w:hint="eastAsia" w:ascii="仿宋_GB2312" w:eastAsia="仿宋_GB2312"/>
          <w:sz w:val="32"/>
          <w:szCs w:val="32"/>
          <w:lang w:val="en-US" w:eastAsia="zh-CN"/>
        </w:rPr>
        <w:t>总量文件执行</w:t>
      </w:r>
      <w:r>
        <w:rPr>
          <w:rFonts w:hint="eastAsia" w:eastAsia="仿宋_GB2312"/>
          <w:color w:val="000000" w:themeColor="text1"/>
          <w:sz w:val="32"/>
          <w:szCs w:val="32"/>
          <w14:textFill>
            <w14:solidFill>
              <w14:schemeClr w14:val="tx1"/>
            </w14:solidFill>
          </w14:textFill>
        </w:rPr>
        <w:t>。</w:t>
      </w:r>
    </w:p>
    <w:p w14:paraId="3D7229B9">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7AE2FE77">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6AF100BB">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w:t>
      </w:r>
      <w:r>
        <w:rPr>
          <w:rFonts w:hint="eastAsia" w:eastAsia="仿宋_GB2312"/>
          <w:color w:val="000000" w:themeColor="text1"/>
          <w:sz w:val="32"/>
          <w:szCs w:val="32"/>
          <w14:textFill>
            <w14:solidFill>
              <w14:schemeClr w14:val="tx1"/>
            </w14:solidFill>
          </w14:textFill>
        </w:rPr>
        <w:t>在实际排污前，</w:t>
      </w:r>
      <w:r>
        <w:rPr>
          <w:rFonts w:eastAsia="仿宋_GB2312"/>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3DC92744">
      <w:pPr>
        <w:pStyle w:val="13"/>
        <w:spacing w:line="54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r>
        <w:rPr>
          <w:rFonts w:hint="eastAsia" w:eastAsia="仿宋_GB2312"/>
          <w:sz w:val="32"/>
          <w:szCs w:val="32"/>
          <w:lang w:eastAsia="zh-CN"/>
        </w:rPr>
        <w:t>，</w:t>
      </w:r>
      <w:r>
        <w:rPr>
          <w:rFonts w:hint="eastAsia" w:eastAsia="仿宋_GB2312"/>
          <w:sz w:val="32"/>
          <w:szCs w:val="32"/>
          <w:lang w:val="en-US" w:eastAsia="zh-CN"/>
        </w:rPr>
        <w:t>严格按照建设项目安全设施竣工验收报告审查专家组评审意见落实丙烷使用场所安全管控措施</w:t>
      </w:r>
      <w:r>
        <w:rPr>
          <w:rFonts w:hint="eastAsia" w:eastAsia="仿宋_GB2312"/>
          <w:color w:val="000000" w:themeColor="text1"/>
          <w:sz w:val="32"/>
          <w:szCs w:val="32"/>
          <w14:textFill>
            <w14:solidFill>
              <w14:schemeClr w14:val="tx1"/>
            </w14:solidFill>
          </w14:textFill>
        </w:rPr>
        <w:t>。</w:t>
      </w:r>
    </w:p>
    <w:p w14:paraId="500A24CB">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72996F93">
      <w:pPr>
        <w:spacing w:line="500" w:lineRule="exact"/>
        <w:ind w:right="241"/>
        <w:jc w:val="center"/>
        <w:rPr>
          <w:rFonts w:eastAsia="仿宋_GB2312"/>
          <w:color w:val="000000" w:themeColor="text1"/>
          <w:sz w:val="32"/>
          <w:szCs w:val="32"/>
          <w14:textFill>
            <w14:solidFill>
              <w14:schemeClr w14:val="tx1"/>
            </w14:solidFill>
          </w14:textFill>
        </w:rPr>
      </w:pPr>
    </w:p>
    <w:p w14:paraId="25231B55">
      <w:pPr>
        <w:spacing w:line="500" w:lineRule="exact"/>
        <w:ind w:right="241"/>
        <w:jc w:val="center"/>
        <w:rPr>
          <w:rFonts w:eastAsia="仿宋_GB2312"/>
          <w:color w:val="000000" w:themeColor="text1"/>
          <w:sz w:val="32"/>
          <w:szCs w:val="32"/>
          <w14:textFill>
            <w14:solidFill>
              <w14:schemeClr w14:val="tx1"/>
            </w14:solidFill>
          </w14:textFill>
        </w:rPr>
      </w:pPr>
    </w:p>
    <w:p w14:paraId="5F063842">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6805D07F">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rPr>
        <w:t>11</w:t>
      </w:r>
      <w:r>
        <w:rPr>
          <w:rFonts w:eastAsia="仿宋_GB2312"/>
          <w:spacing w:val="-20"/>
          <w:sz w:val="32"/>
          <w:szCs w:val="32"/>
        </w:rPr>
        <w:t>月</w:t>
      </w:r>
      <w:r>
        <w:rPr>
          <w:rFonts w:hint="eastAsia" w:eastAsia="仿宋_GB2312"/>
          <w:spacing w:val="-20"/>
          <w:sz w:val="32"/>
          <w:szCs w:val="32"/>
          <w:lang w:val="en-US" w:eastAsia="zh-CN"/>
        </w:rPr>
        <w:t>28</w:t>
      </w:r>
      <w:bookmarkStart w:id="0" w:name="_GoBack"/>
      <w:bookmarkEnd w:id="0"/>
      <w:r>
        <w:rPr>
          <w:rFonts w:eastAsia="仿宋_GB2312"/>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3DCC6F90-C008-4995-BBE0-50131765BE9F}"/>
  </w:font>
  <w:font w:name="仿宋_GB2312">
    <w:panose1 w:val="02010609030101010101"/>
    <w:charset w:val="86"/>
    <w:family w:val="modern"/>
    <w:pitch w:val="default"/>
    <w:sig w:usb0="00000001" w:usb1="080E0000" w:usb2="00000000" w:usb3="00000000" w:csb0="00040000" w:csb1="00000000"/>
    <w:embedRegular r:id="rId2" w:fontKey="{E47E81A3-08AD-49C8-B1B9-19592E43F3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827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70EFF7">
                          <w:pPr>
                            <w:pStyle w:val="4"/>
                            <w:rPr>
                              <w:rStyle w:val="10"/>
                              <w:sz w:val="28"/>
                              <w:szCs w:val="28"/>
                            </w:rPr>
                          </w:pPr>
                          <w:r>
                            <w:rPr>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D70EFF7">
                    <w:pPr>
                      <w:pStyle w:val="4"/>
                      <w:rPr>
                        <w:rStyle w:val="10"/>
                        <w:sz w:val="28"/>
                        <w:szCs w:val="28"/>
                      </w:rPr>
                    </w:pPr>
                    <w:r>
                      <w:rPr>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2FB1">
    <w:pPr>
      <w:pStyle w:val="4"/>
      <w:framePr w:wrap="around" w:vAnchor="text" w:hAnchor="margin" w:xAlign="center" w:y="1"/>
      <w:rPr>
        <w:rStyle w:val="10"/>
      </w:rPr>
    </w:pPr>
    <w:r>
      <w:fldChar w:fldCharType="begin"/>
    </w:r>
    <w:r>
      <w:rPr>
        <w:rStyle w:val="10"/>
      </w:rPr>
      <w:instrText xml:space="preserve">PAGE  </w:instrText>
    </w:r>
    <w:r>
      <w:fldChar w:fldCharType="end"/>
    </w:r>
  </w:p>
  <w:p w14:paraId="145111F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BC71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mFjYmJjMTZkMDMwZDNmNjE3MDY5YzM4ZGIzNmQ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27B0"/>
    <w:rsid w:val="00614605"/>
    <w:rsid w:val="00616979"/>
    <w:rsid w:val="0062156A"/>
    <w:rsid w:val="006256EC"/>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DB2E36"/>
    <w:rsid w:val="02F94AB6"/>
    <w:rsid w:val="030D0562"/>
    <w:rsid w:val="03157416"/>
    <w:rsid w:val="03195159"/>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05DF3"/>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9E61F4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06ED3"/>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8D2538"/>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23149"/>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07BFA"/>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763DB"/>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472BCC"/>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B7128B"/>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0316DF"/>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B510C"/>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E570CD"/>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25094"/>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BB3E83"/>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BFF6BFE"/>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CF678E"/>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jc w:val="center"/>
    </w:pPr>
    <w:rPr>
      <w:rFonts w:hint="eastAsia" w:ascii="方正小标宋简体" w:eastAsia="方正小标宋简体"/>
      <w:sz w:val="36"/>
      <w:szCs w:val="20"/>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styleId="11">
    <w:name w:val="FollowedHyperlink"/>
    <w:autoRedefine/>
    <w:qFormat/>
    <w:uiPriority w:val="0"/>
    <w:rPr>
      <w:color w:val="343434"/>
      <w:u w:val="none"/>
    </w:rPr>
  </w:style>
  <w:style w:type="character" w:styleId="12">
    <w:name w:val="Hyperlink"/>
    <w:autoRedefine/>
    <w:qFormat/>
    <w:uiPriority w:val="0"/>
    <w:rPr>
      <w:color w:val="343434"/>
      <w:u w:val="none"/>
    </w:rPr>
  </w:style>
  <w:style w:type="paragraph" w:customStyle="1" w:styleId="13">
    <w:name w:val="+正文"/>
    <w:basedOn w:val="1"/>
    <w:qFormat/>
    <w:uiPriority w:val="0"/>
    <w:pPr>
      <w:spacing w:line="360" w:lineRule="auto"/>
      <w:ind w:firstLine="200" w:firstLineChars="200"/>
    </w:pPr>
    <w:rPr>
      <w:sz w:val="24"/>
      <w:szCs w:val="28"/>
    </w:rPr>
  </w:style>
  <w:style w:type="character" w:customStyle="1" w:styleId="14">
    <w:name w:val="标准正文 Char"/>
    <w:link w:val="15"/>
    <w:qFormat/>
    <w:uiPriority w:val="0"/>
    <w:rPr>
      <w:rFonts w:eastAsia="宋体"/>
      <w:sz w:val="24"/>
      <w:szCs w:val="24"/>
      <w:lang w:val="en-US" w:eastAsia="zh-CN" w:bidi="ar-SA"/>
    </w:rPr>
  </w:style>
  <w:style w:type="paragraph" w:customStyle="1" w:styleId="15">
    <w:name w:val="标准正文"/>
    <w:link w:val="14"/>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qFormat/>
    <w:uiPriority w:val="0"/>
    <w:rPr>
      <w:rFonts w:eastAsia="宋体" w:cs="宋体"/>
      <w:kern w:val="2"/>
      <w:sz w:val="28"/>
      <w:lang w:val="en-US" w:eastAsia="zh-CN" w:bidi="ar-SA"/>
    </w:rPr>
  </w:style>
  <w:style w:type="paragraph" w:customStyle="1" w:styleId="17">
    <w:name w:val="正文四号"/>
    <w:basedOn w:val="1"/>
    <w:link w:val="16"/>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2560</Words>
  <Characters>2657</Characters>
  <Lines>1</Lines>
  <Paragraphs>5</Paragraphs>
  <TotalTime>0</TotalTime>
  <ScaleCrop>false</ScaleCrop>
  <LinksUpToDate>false</LinksUpToDate>
  <CharactersWithSpaces>2753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2024-08-30T06:48:00Z</cp:lastPrinted>
  <dcterms:modified xsi:type="dcterms:W3CDTF">2024-11-28T00:53:18Z</dcterms:modified>
  <dc:subject>关于四川创智森悦机械有限公司汽车零部件及配件加工项目《环境影响报告表》的批复</dc:subject>
  <dc:title>德环审批[2023]号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49899363B1DC448A8CF1D19E11962366_13</vt:lpwstr>
  </property>
</Properties>
</file>