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DDD2A">
      <w:pPr>
        <w:spacing w:line="60" w:lineRule="atLeast"/>
        <w:jc w:val="center"/>
        <w:rPr>
          <w:rFonts w:eastAsia="方正小标宋简体"/>
          <w:bCs/>
          <w:color w:val="FF0000"/>
          <w:spacing w:val="-57"/>
          <w:sz w:val="116"/>
          <w:szCs w:val="116"/>
        </w:rPr>
      </w:pPr>
    </w:p>
    <w:p w14:paraId="3D33B00D">
      <w:pPr>
        <w:jc w:val="right"/>
        <w:rPr>
          <w:rFonts w:eastAsia="仿宋_GB2312"/>
          <w:sz w:val="32"/>
          <w:szCs w:val="32"/>
        </w:rPr>
      </w:pPr>
    </w:p>
    <w:p w14:paraId="7F229007">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rPr>
        <w:t>4</w:t>
      </w:r>
      <w:r>
        <w:rPr>
          <w:rFonts w:eastAsia="仿宋_GB2312"/>
          <w:color w:val="000000"/>
          <w:sz w:val="32"/>
          <w:szCs w:val="32"/>
        </w:rPr>
        <w:t>〕</w:t>
      </w:r>
      <w:r>
        <w:rPr>
          <w:rFonts w:hint="eastAsia" w:eastAsia="仿宋_GB2312"/>
          <w:color w:val="000000"/>
          <w:sz w:val="32"/>
          <w:szCs w:val="32"/>
          <w:lang w:val="en-US" w:eastAsia="zh-CN"/>
        </w:rPr>
        <w:t>355</w:t>
      </w:r>
      <w:r>
        <w:rPr>
          <w:rFonts w:eastAsia="仿宋_GB2312"/>
          <w:sz w:val="32"/>
          <w:szCs w:val="32"/>
        </w:rPr>
        <w:t>号</w:t>
      </w:r>
    </w:p>
    <w:p w14:paraId="5AE66A83">
      <w:pPr>
        <w:spacing w:line="0" w:lineRule="atLeast"/>
        <w:jc w:val="center"/>
        <w:rPr>
          <w:rFonts w:eastAsia="方正小标宋简体"/>
          <w:sz w:val="44"/>
          <w:szCs w:val="44"/>
        </w:rPr>
      </w:pPr>
    </w:p>
    <w:p w14:paraId="22F4DA25">
      <w:pPr>
        <w:spacing w:line="600" w:lineRule="exact"/>
        <w:jc w:val="center"/>
        <w:rPr>
          <w:rFonts w:eastAsia="方正小标宋简体"/>
          <w:sz w:val="44"/>
          <w:szCs w:val="44"/>
        </w:rPr>
      </w:pPr>
      <w:r>
        <w:rPr>
          <w:rFonts w:eastAsia="方正小标宋简体"/>
          <w:sz w:val="44"/>
          <w:szCs w:val="44"/>
        </w:rPr>
        <w:t>德阳市生态环境局</w:t>
      </w:r>
    </w:p>
    <w:p w14:paraId="0FDF0AD1">
      <w:pPr>
        <w:spacing w:line="600" w:lineRule="exact"/>
        <w:jc w:val="center"/>
        <w:rPr>
          <w:rFonts w:hint="eastAsia" w:eastAsia="方正小标宋简体"/>
          <w:sz w:val="44"/>
          <w:szCs w:val="44"/>
          <w:lang w:val="en-US" w:eastAsia="zh-CN"/>
        </w:rPr>
      </w:pPr>
      <w:r>
        <w:rPr>
          <w:rFonts w:hint="eastAsia" w:eastAsia="方正小标宋简体"/>
          <w:sz w:val="44"/>
          <w:szCs w:val="44"/>
        </w:rPr>
        <w:t>关于</w:t>
      </w:r>
      <w:r>
        <w:rPr>
          <w:rFonts w:hint="eastAsia" w:eastAsia="方正小标宋简体"/>
          <w:sz w:val="44"/>
          <w:szCs w:val="44"/>
          <w:lang w:val="en-US" w:eastAsia="zh-CN"/>
        </w:rPr>
        <w:t>四川昊汉智能装备科技有限公司</w:t>
      </w:r>
    </w:p>
    <w:p w14:paraId="2C863A56">
      <w:pPr>
        <w:spacing w:line="600" w:lineRule="exact"/>
        <w:jc w:val="center"/>
        <w:rPr>
          <w:rFonts w:eastAsia="方正小标宋简体"/>
          <w:sz w:val="44"/>
          <w:szCs w:val="44"/>
        </w:rPr>
      </w:pPr>
      <w:r>
        <w:rPr>
          <w:rFonts w:hint="eastAsia" w:eastAsia="方正小标宋简体"/>
          <w:sz w:val="44"/>
          <w:szCs w:val="44"/>
          <w:lang w:val="en-US" w:eastAsia="zh-CN"/>
        </w:rPr>
        <w:t>四川昊汉智能装备制造项目</w:t>
      </w:r>
      <w:r>
        <w:rPr>
          <w:rFonts w:eastAsia="方正小标宋简体"/>
          <w:sz w:val="44"/>
          <w:szCs w:val="44"/>
        </w:rPr>
        <w:t>《环境影响报告表》的批复</w:t>
      </w:r>
    </w:p>
    <w:p w14:paraId="44950998">
      <w:pPr>
        <w:spacing w:line="0" w:lineRule="atLeast"/>
        <w:jc w:val="center"/>
        <w:rPr>
          <w:rFonts w:eastAsia="方正小标宋简体"/>
          <w:sz w:val="24"/>
        </w:rPr>
      </w:pPr>
    </w:p>
    <w:p w14:paraId="24AD72E9">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hAnsi="仿宋_GB2312" w:eastAsia="仿宋_GB2312" w:cs="仿宋_GB2312"/>
          <w:sz w:val="32"/>
          <w:szCs w:val="32"/>
          <w:lang w:eastAsia="zh-CN"/>
        </w:rPr>
        <w:t>四川昊汉智能装备科技有限公司</w:t>
      </w:r>
      <w:r>
        <w:rPr>
          <w:rFonts w:hint="eastAsia" w:ascii="仿宋_GB2312" w:eastAsia="仿宋_GB2312"/>
          <w:sz w:val="32"/>
          <w:szCs w:val="32"/>
        </w:rPr>
        <w:t>：</w:t>
      </w:r>
    </w:p>
    <w:p w14:paraId="03DD3D2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lang w:eastAsia="zh-CN"/>
        </w:rPr>
        <w:t>四川昊汉智能装备制造项目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2175EB9F">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w:t>
      </w:r>
      <w:r>
        <w:rPr>
          <w:rFonts w:hint="default" w:ascii="Times New Roman" w:hAnsi="Times New Roman" w:eastAsia="仿宋_GB2312" w:cs="Times New Roman"/>
          <w:sz w:val="32"/>
          <w:szCs w:val="32"/>
        </w:rPr>
        <w:t>该项目为新建项目,拟在广汉市阳江路16号购买德阳南控科技产业发展有限公司已建32-2号标准化厂房建设，用地面积1413.76平方米。项目内容及规模为：依托生产车间及相关公辅设施，购置车床、冲床、等离子电焊机、等离子切割机、手磨机、喷漆烤漆房等生产设备，布设产业用纺织制成品、金属结构件、灯用电器附件生产线，项目建成后形成年产窗帘幕布10万平方米、钢结构桁架5000米、TURSS架2000米、灯杆架1000米、基座结构100套的生产能力。项目总投资1500万元，其中环保投资32.2万元。</w:t>
      </w:r>
    </w:p>
    <w:p w14:paraId="1AE4492B">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eastAsia="仿宋_GB2312"/>
          <w:color w:val="000000" w:themeColor="text1"/>
          <w:sz w:val="32"/>
          <w:szCs w:val="32"/>
          <w14:textFill>
            <w14:solidFill>
              <w14:schemeClr w14:val="tx1"/>
            </w14:solidFill>
          </w14:textFill>
        </w:rPr>
        <w:t>项目在四川省投资项目在线审批监管平台进行了备案（备案号：川投资备[2403-510698-04-01-652253] FGQB-0</w:t>
      </w:r>
      <w:r>
        <w:rPr>
          <w:rFonts w:hint="eastAsia" w:eastAsia="仿宋_GB2312"/>
          <w:color w:val="000000" w:themeColor="text1"/>
          <w:sz w:val="32"/>
          <w:szCs w:val="32"/>
          <w:lang w:val="en-US" w:eastAsia="zh-CN"/>
          <w14:textFill>
            <w14:solidFill>
              <w14:schemeClr w14:val="tx1"/>
            </w14:solidFill>
          </w14:textFill>
        </w:rPr>
        <w:t>005</w:t>
      </w:r>
      <w:r>
        <w:rPr>
          <w:rFonts w:hint="eastAsia" w:eastAsia="仿宋_GB2312"/>
          <w:color w:val="000000" w:themeColor="text1"/>
          <w:sz w:val="32"/>
          <w:szCs w:val="32"/>
          <w14:textFill>
            <w14:solidFill>
              <w14:schemeClr w14:val="tx1"/>
            </w14:solidFill>
          </w14:textFill>
        </w:rPr>
        <w:t>号）</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val="zh-CN"/>
        </w:rPr>
        <w:t>；该项目符合德阳市生态环境分区管控相关要求，</w:t>
      </w:r>
      <w:r>
        <w:rPr>
          <w:rFonts w:hint="eastAsia" w:ascii="仿宋_GB2312" w:hAnsi="仿宋_GB2312" w:eastAsia="仿宋_GB2312" w:cs="仿宋_GB2312"/>
          <w:sz w:val="32"/>
          <w:szCs w:val="32"/>
        </w:rPr>
        <w:t>根据德阳高新技术产业开发区规划及德阳南控科技产业发展有限公司取得的《不动产权证》，项目用地性质为工业用地，选址符合规划。</w:t>
      </w:r>
    </w:p>
    <w:p w14:paraId="6E493882">
      <w:pPr>
        <w:keepNext w:val="0"/>
        <w:keepLines w:val="0"/>
        <w:pageBreakBefore w:val="0"/>
        <w:kinsoku/>
        <w:wordWrap/>
        <w:overflowPunct/>
        <w:topLinePunct w:val="0"/>
        <w:autoSpaceDE/>
        <w:autoSpaceDN/>
        <w:bidi w:val="0"/>
        <w:adjustRightInd/>
        <w:snapToGrid/>
        <w:spacing w:line="540" w:lineRule="exact"/>
        <w:ind w:firstLine="615"/>
        <w:textAlignment w:val="auto"/>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70C3A7B4">
      <w:pPr>
        <w:keepNext w:val="0"/>
        <w:keepLines w:val="0"/>
        <w:pageBreakBefore w:val="0"/>
        <w:widowControl/>
        <w:kinsoku/>
        <w:wordWrap/>
        <w:overflowPunct/>
        <w:topLinePunct w:val="0"/>
        <w:autoSpaceDE/>
        <w:autoSpaceDN/>
        <w:bidi w:val="0"/>
        <w:adjustRightInd/>
        <w:snapToGrid/>
        <w:spacing w:line="540" w:lineRule="exact"/>
        <w:ind w:firstLine="570"/>
        <w:jc w:val="left"/>
        <w:textAlignment w:val="auto"/>
        <w:rPr>
          <w:rFonts w:eastAsia="仿宋_GB2312"/>
          <w:kern w:val="0"/>
          <w:sz w:val="32"/>
          <w:szCs w:val="32"/>
        </w:rPr>
      </w:pPr>
      <w:r>
        <w:rPr>
          <w:rFonts w:eastAsia="仿宋_GB2312"/>
          <w:kern w:val="0"/>
          <w:sz w:val="32"/>
          <w:szCs w:val="32"/>
        </w:rPr>
        <w:t xml:space="preserve">二、项目建设及运行中应重点做好以下工作：  </w:t>
      </w:r>
    </w:p>
    <w:p w14:paraId="4012E606">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CC39E84">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05D14F6B">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eastAsia="仿宋_GB2312"/>
          <w:sz w:val="32"/>
          <w:szCs w:val="32"/>
        </w:rPr>
        <w:t>（三）</w:t>
      </w:r>
      <w:r>
        <w:rPr>
          <w:rFonts w:hint="eastAsia" w:eastAsia="仿宋_GB2312"/>
          <w:sz w:val="32"/>
          <w:szCs w:val="32"/>
        </w:rPr>
        <w:t>严格落实并优化报告表提出的各项废气处理措施。设置密闭喷漆烤漆房，落实负压收集+水帘+过滤棉+二级活性炭</w:t>
      </w:r>
      <w:r>
        <w:rPr>
          <w:rFonts w:hint="eastAsia" w:eastAsia="仿宋_GB2312"/>
          <w:sz w:val="32"/>
          <w:szCs w:val="32"/>
          <w:lang w:eastAsia="zh-CN"/>
        </w:rPr>
        <w:t>措施</w:t>
      </w:r>
      <w:r>
        <w:rPr>
          <w:rFonts w:hint="eastAsia" w:eastAsia="仿宋_GB2312"/>
          <w:sz w:val="32"/>
          <w:szCs w:val="32"/>
        </w:rPr>
        <w:t>，确保喷漆、烤漆废气经收集处理后由一根15m高排气筒达标排放；落实切割、打磨、焊接工序的</w:t>
      </w:r>
      <w:r>
        <w:rPr>
          <w:rFonts w:hint="eastAsia" w:eastAsia="仿宋_GB2312"/>
          <w:sz w:val="32"/>
          <w:szCs w:val="32"/>
          <w:lang w:eastAsia="zh-CN"/>
        </w:rPr>
        <w:t>固定工位</w:t>
      </w:r>
      <w:r>
        <w:rPr>
          <w:rFonts w:hint="eastAsia" w:eastAsia="仿宋_GB2312"/>
          <w:sz w:val="32"/>
          <w:szCs w:val="32"/>
          <w:lang w:val="en-US" w:eastAsia="zh-CN"/>
        </w:rPr>
        <w:t>+</w:t>
      </w:r>
      <w:r>
        <w:rPr>
          <w:rFonts w:hint="eastAsia" w:eastAsia="仿宋_GB2312"/>
          <w:sz w:val="32"/>
          <w:szCs w:val="32"/>
        </w:rPr>
        <w:t>集气罩+滤芯除尘器</w:t>
      </w:r>
      <w:r>
        <w:rPr>
          <w:rFonts w:hint="eastAsia" w:eastAsia="仿宋_GB2312"/>
          <w:sz w:val="32"/>
          <w:szCs w:val="32"/>
          <w:lang w:eastAsia="zh-CN"/>
        </w:rPr>
        <w:t>措施</w:t>
      </w:r>
      <w:r>
        <w:rPr>
          <w:rFonts w:hint="eastAsia" w:eastAsia="仿宋_GB2312"/>
          <w:sz w:val="32"/>
          <w:szCs w:val="32"/>
        </w:rPr>
        <w:t>，确保切割、打磨、焊接粉尘经收集处理后由一根15m高排气筒达标排放。</w:t>
      </w:r>
    </w:p>
    <w:p w14:paraId="7C6E08E3">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严格落实并优化报告表提出的各项废水处理措施。项目</w:t>
      </w:r>
      <w:r>
        <w:rPr>
          <w:rFonts w:hint="eastAsia" w:eastAsia="仿宋_GB2312"/>
          <w:sz w:val="32"/>
          <w:szCs w:val="32"/>
          <w:lang w:eastAsia="zh-CN"/>
        </w:rPr>
        <w:t>水帘</w:t>
      </w:r>
      <w:r>
        <w:rPr>
          <w:rFonts w:hint="eastAsia" w:eastAsia="仿宋_GB2312"/>
          <w:sz w:val="32"/>
          <w:szCs w:val="32"/>
        </w:rPr>
        <w:t>用水循环使用，</w:t>
      </w:r>
      <w:r>
        <w:rPr>
          <w:rFonts w:hint="eastAsia" w:eastAsia="仿宋_GB2312"/>
          <w:sz w:val="32"/>
          <w:szCs w:val="32"/>
          <w:lang w:eastAsia="zh-CN"/>
        </w:rPr>
        <w:t>定期清理作为危废处置，不外排</w:t>
      </w:r>
      <w:r>
        <w:rPr>
          <w:rFonts w:hint="eastAsia" w:eastAsia="仿宋_GB2312"/>
          <w:sz w:val="32"/>
          <w:szCs w:val="32"/>
        </w:rPr>
        <w:t>；生活污水经厂区已建预处理池处理达《污水综合排放标准》（GB8978-1996）三级标准后排入市政污水管网，经广汉市第二污水处理厂处理达《四川省岷江、沱江流域水污染物排放标准》（DB51/2311-2016）中工业园区集中式污水处理厂标准后外排。</w:t>
      </w:r>
    </w:p>
    <w:p w14:paraId="70F7B523">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5960706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项目边角料、</w:t>
      </w:r>
      <w:r>
        <w:rPr>
          <w:rFonts w:hint="eastAsia" w:eastAsia="仿宋_GB2312"/>
          <w:sz w:val="32"/>
          <w:szCs w:val="32"/>
          <w:lang w:eastAsia="zh-CN"/>
        </w:rPr>
        <w:t>报废品</w:t>
      </w:r>
      <w:r>
        <w:rPr>
          <w:rFonts w:hint="eastAsia" w:eastAsia="仿宋_GB2312"/>
          <w:sz w:val="32"/>
          <w:szCs w:val="32"/>
        </w:rPr>
        <w:t>经收集后由废品站回收；除尘器收集粉尘、焊渣</w:t>
      </w:r>
      <w:r>
        <w:rPr>
          <w:rFonts w:hint="eastAsia" w:eastAsia="仿宋_GB2312"/>
          <w:sz w:val="32"/>
          <w:szCs w:val="32"/>
          <w:lang w:eastAsia="zh-CN"/>
        </w:rPr>
        <w:t>、废砂轮片收集后</w:t>
      </w:r>
      <w:r>
        <w:rPr>
          <w:rFonts w:hint="eastAsia" w:eastAsia="仿宋_GB2312"/>
          <w:sz w:val="32"/>
          <w:szCs w:val="32"/>
          <w:lang w:val="en-US" w:eastAsia="zh-CN"/>
        </w:rPr>
        <w:t>交由具有处置能力的单位处理；</w:t>
      </w:r>
      <w:r>
        <w:rPr>
          <w:rFonts w:hint="eastAsia" w:eastAsia="仿宋_GB2312"/>
          <w:sz w:val="32"/>
          <w:szCs w:val="32"/>
        </w:rPr>
        <w:t>漆渣、水帘废水、废漆桶、空切削液桶、废活性炭、废过滤棉、含切削液的金属屑、废切削液、废润滑油、废润滑油桶、含油棉纱手套属于危险废物，须妥善安全收储，落实专人管理，并严格执行转移联单制度，定期交有危废处理资质的单位处置，其暂存区须采取必要的防风、防晒、防雨、防漏、防渗、防腐以及其他环境污染防治措施；</w:t>
      </w:r>
      <w:r>
        <w:rPr>
          <w:rFonts w:hint="eastAsia" w:eastAsia="仿宋_GB2312"/>
          <w:sz w:val="32"/>
          <w:szCs w:val="32"/>
          <w:lang w:eastAsia="zh-CN"/>
        </w:rPr>
        <w:t>办公</w:t>
      </w:r>
      <w:r>
        <w:rPr>
          <w:rFonts w:hint="eastAsia" w:eastAsia="仿宋_GB2312"/>
          <w:sz w:val="32"/>
          <w:szCs w:val="32"/>
        </w:rPr>
        <w:t>生活垃圾交由环卫部门清运。</w:t>
      </w:r>
    </w:p>
    <w:p w14:paraId="0F3B5D8D">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w:t>
      </w:r>
      <w:r>
        <w:rPr>
          <w:rFonts w:eastAsia="仿宋_GB2312"/>
          <w:sz w:val="32"/>
          <w:szCs w:val="32"/>
        </w:rPr>
        <w:t>项目将</w:t>
      </w:r>
      <w:r>
        <w:rPr>
          <w:rFonts w:hint="eastAsia" w:eastAsia="仿宋_GB2312"/>
          <w:sz w:val="32"/>
          <w:szCs w:val="32"/>
        </w:rPr>
        <w:t>危废暂存间、危化品间、喷漆房、烤漆房</w:t>
      </w:r>
      <w:r>
        <w:rPr>
          <w:rFonts w:eastAsia="仿宋_GB2312"/>
          <w:sz w:val="32"/>
          <w:szCs w:val="32"/>
        </w:rPr>
        <w:t>设置为重点防渗区，</w:t>
      </w:r>
      <w:r>
        <w:rPr>
          <w:rFonts w:hint="eastAsia" w:eastAsia="仿宋_GB2312"/>
          <w:sz w:val="32"/>
          <w:szCs w:val="32"/>
        </w:rPr>
        <w:t>将除重点防渗区外的生产区设置为一般防渗区，将</w:t>
      </w:r>
      <w:r>
        <w:rPr>
          <w:rFonts w:hint="eastAsia" w:eastAsia="仿宋_GB2312"/>
          <w:sz w:val="32"/>
          <w:szCs w:val="32"/>
          <w:lang w:eastAsia="zh-CN"/>
        </w:rPr>
        <w:t>除重点防渗及一般防渗区外的其余区域</w:t>
      </w:r>
      <w:r>
        <w:rPr>
          <w:rFonts w:hint="eastAsia" w:eastAsia="仿宋_GB2312"/>
          <w:sz w:val="32"/>
          <w:szCs w:val="32"/>
        </w:rPr>
        <w:t>设置为简单防渗区，</w:t>
      </w:r>
      <w:r>
        <w:rPr>
          <w:rFonts w:eastAsia="仿宋_GB2312"/>
          <w:sz w:val="32"/>
          <w:szCs w:val="32"/>
        </w:rPr>
        <w:t>分别采取防渗措施。建立和完善地下水、土壤污染监控制度和环境管理体系，发现问题及时采取措施，避免污染周边地下水和土壤环境。</w:t>
      </w:r>
    </w:p>
    <w:p w14:paraId="5FC84C73">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55C9AFC2">
      <w:pPr>
        <w:pStyle w:val="13"/>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6BAD385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三、该项目运营后，</w:t>
      </w:r>
      <w:r>
        <w:rPr>
          <w:rFonts w:hint="eastAsia" w:eastAsia="仿宋_GB2312"/>
          <w:color w:val="000000" w:themeColor="text1"/>
          <w:sz w:val="32"/>
          <w:szCs w:val="32"/>
          <w14:textFill>
            <w14:solidFill>
              <w14:schemeClr w14:val="tx1"/>
            </w14:solidFill>
          </w14:textFill>
        </w:rPr>
        <w:t>挥发有机物排放量为0.</w:t>
      </w:r>
      <w:r>
        <w:rPr>
          <w:rFonts w:hint="eastAsia" w:eastAsia="仿宋_GB2312"/>
          <w:color w:val="000000" w:themeColor="text1"/>
          <w:sz w:val="32"/>
          <w:szCs w:val="32"/>
          <w:lang w:val="en-US" w:eastAsia="zh-CN"/>
          <w14:textFill>
            <w14:solidFill>
              <w14:schemeClr w14:val="tx1"/>
            </w14:solidFill>
          </w14:textFill>
        </w:rPr>
        <w:t>021</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14:textFill>
            <w14:solidFill>
              <w14:schemeClr w14:val="tx1"/>
            </w14:solidFill>
          </w14:textFill>
        </w:rPr>
        <w:t>。</w:t>
      </w:r>
      <w:r>
        <w:rPr>
          <w:rFonts w:hint="eastAsia" w:ascii="仿宋_GB2312" w:eastAsia="仿宋_GB2312"/>
          <w:sz w:val="32"/>
          <w:szCs w:val="32"/>
        </w:rPr>
        <w:t>其总量控制指标</w:t>
      </w:r>
      <w:r>
        <w:rPr>
          <w:rFonts w:hint="eastAsia" w:ascii="仿宋_GB2312" w:eastAsia="仿宋_GB2312"/>
          <w:sz w:val="32"/>
          <w:szCs w:val="32"/>
          <w:lang w:val="en-US" w:eastAsia="zh-CN"/>
        </w:rPr>
        <w:t>由</w:t>
      </w:r>
      <w:r>
        <w:rPr>
          <w:rFonts w:hint="eastAsia" w:ascii="仿宋_GB2312" w:eastAsia="仿宋_GB2312"/>
          <w:sz w:val="32"/>
          <w:szCs w:val="32"/>
        </w:rPr>
        <w:t>德阳市广汉生态环境局</w:t>
      </w:r>
      <w:r>
        <w:rPr>
          <w:rFonts w:hint="eastAsia" w:ascii="仿宋_GB2312" w:eastAsia="仿宋_GB2312"/>
          <w:sz w:val="32"/>
          <w:szCs w:val="32"/>
          <w:lang w:val="en-US" w:eastAsia="zh-CN"/>
        </w:rPr>
        <w:t>调剂</w:t>
      </w:r>
      <w:r>
        <w:rPr>
          <w:rFonts w:hint="eastAsia" w:eastAsia="仿宋_GB2312"/>
          <w:color w:val="000000" w:themeColor="text1"/>
          <w:sz w:val="32"/>
          <w:szCs w:val="32"/>
          <w14:textFill>
            <w14:solidFill>
              <w14:schemeClr w14:val="tx1"/>
            </w14:solidFill>
          </w14:textFill>
        </w:rPr>
        <w:t>。</w:t>
      </w:r>
    </w:p>
    <w:p w14:paraId="3D7229B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7AE2FE77">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6AF100B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3DC92744">
      <w:pPr>
        <w:pStyle w:val="13"/>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00A24C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72996F93">
      <w:pPr>
        <w:keepNext w:val="0"/>
        <w:keepLines w:val="0"/>
        <w:pageBreakBefore w:val="0"/>
        <w:kinsoku/>
        <w:wordWrap/>
        <w:overflowPunct/>
        <w:topLinePunct w:val="0"/>
        <w:autoSpaceDE/>
        <w:autoSpaceDN/>
        <w:bidi w:val="0"/>
        <w:adjustRightInd/>
        <w:snapToGrid/>
        <w:spacing w:line="560" w:lineRule="exact"/>
        <w:ind w:right="241"/>
        <w:jc w:val="center"/>
        <w:textAlignment w:val="auto"/>
        <w:rPr>
          <w:rFonts w:eastAsia="仿宋_GB2312"/>
          <w:color w:val="000000" w:themeColor="text1"/>
          <w:sz w:val="32"/>
          <w:szCs w:val="32"/>
          <w14:textFill>
            <w14:solidFill>
              <w14:schemeClr w14:val="tx1"/>
            </w14:solidFill>
          </w14:textFill>
        </w:rPr>
      </w:pPr>
      <w:bookmarkStart w:id="0" w:name="_GoBack"/>
      <w:bookmarkEnd w:id="0"/>
    </w:p>
    <w:p w14:paraId="25231B55">
      <w:pPr>
        <w:keepNext w:val="0"/>
        <w:keepLines w:val="0"/>
        <w:pageBreakBefore w:val="0"/>
        <w:kinsoku/>
        <w:wordWrap/>
        <w:overflowPunct/>
        <w:topLinePunct w:val="0"/>
        <w:autoSpaceDE/>
        <w:autoSpaceDN/>
        <w:bidi w:val="0"/>
        <w:adjustRightInd/>
        <w:snapToGrid/>
        <w:spacing w:line="560" w:lineRule="exact"/>
        <w:ind w:right="241"/>
        <w:jc w:val="center"/>
        <w:textAlignment w:val="auto"/>
        <w:rPr>
          <w:rFonts w:eastAsia="仿宋_GB2312"/>
          <w:color w:val="000000" w:themeColor="text1"/>
          <w:sz w:val="32"/>
          <w:szCs w:val="32"/>
          <w14:textFill>
            <w14:solidFill>
              <w14:schemeClr w14:val="tx1"/>
            </w14:solidFill>
          </w14:textFill>
        </w:rPr>
      </w:pPr>
    </w:p>
    <w:p w14:paraId="5F063842">
      <w:pPr>
        <w:keepNext w:val="0"/>
        <w:keepLines w:val="0"/>
        <w:pageBreakBefore w:val="0"/>
        <w:kinsoku/>
        <w:wordWrap/>
        <w:overflowPunct/>
        <w:topLinePunct w:val="0"/>
        <w:autoSpaceDE/>
        <w:autoSpaceDN/>
        <w:bidi w:val="0"/>
        <w:adjustRightInd/>
        <w:snapToGrid/>
        <w:spacing w:line="560" w:lineRule="exact"/>
        <w:ind w:right="241"/>
        <w:jc w:val="center"/>
        <w:textAlignment w:val="auto"/>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6805D07F">
      <w:pPr>
        <w:keepNext w:val="0"/>
        <w:keepLines w:val="0"/>
        <w:pageBreakBefore w:val="0"/>
        <w:tabs>
          <w:tab w:val="left" w:pos="2175"/>
        </w:tabs>
        <w:kinsoku/>
        <w:wordWrap/>
        <w:overflowPunct/>
        <w:topLinePunct w:val="0"/>
        <w:autoSpaceDE/>
        <w:autoSpaceDN/>
        <w:bidi w:val="0"/>
        <w:adjustRightInd/>
        <w:snapToGrid/>
        <w:spacing w:line="560" w:lineRule="exact"/>
        <w:ind w:right="461"/>
        <w:jc w:val="center"/>
        <w:textAlignment w:val="auto"/>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rPr>
        <w:t>4</w:t>
      </w:r>
      <w:r>
        <w:rPr>
          <w:rFonts w:eastAsia="仿宋_GB2312"/>
          <w:spacing w:val="-20"/>
          <w:sz w:val="32"/>
          <w:szCs w:val="32"/>
        </w:rPr>
        <w:t>年</w:t>
      </w:r>
      <w:r>
        <w:rPr>
          <w:rFonts w:hint="eastAsia" w:eastAsia="仿宋_GB2312"/>
          <w:spacing w:val="-20"/>
          <w:sz w:val="32"/>
          <w:szCs w:val="32"/>
        </w:rPr>
        <w:t>11</w:t>
      </w:r>
      <w:r>
        <w:rPr>
          <w:rFonts w:eastAsia="仿宋_GB2312"/>
          <w:spacing w:val="-20"/>
          <w:sz w:val="32"/>
          <w:szCs w:val="32"/>
        </w:rPr>
        <w:t>月</w:t>
      </w:r>
      <w:r>
        <w:rPr>
          <w:rFonts w:hint="eastAsia" w:eastAsia="仿宋_GB2312"/>
          <w:spacing w:val="-20"/>
          <w:sz w:val="32"/>
          <w:szCs w:val="32"/>
          <w:lang w:val="en-US" w:eastAsia="zh-CN"/>
        </w:rPr>
        <w:t>28</w:t>
      </w:r>
      <w:r>
        <w:rPr>
          <w:rFonts w:eastAsia="仿宋_GB2312"/>
          <w:spacing w:val="-20"/>
          <w:sz w:val="32"/>
          <w:szCs w:val="32"/>
        </w:rPr>
        <w:t xml:space="preserve">日 </w:t>
      </w:r>
      <w:r>
        <w:rPr>
          <w:rFonts w:hint="eastAsia" w:eastAsia="仿宋_GB2312"/>
          <w:spacing w:val="-20"/>
          <w:sz w:val="32"/>
          <w:szCs w:val="32"/>
          <w:lang w:val="en-US" w:eastAsia="zh-CN"/>
        </w:rPr>
        <w:t xml:space="preserve">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AA1C0C98-6AF2-49B8-B93C-1D5DD9EAD202}"/>
  </w:font>
  <w:font w:name="仿宋_GB2312">
    <w:panose1 w:val="02010609030101010101"/>
    <w:charset w:val="86"/>
    <w:family w:val="modern"/>
    <w:pitch w:val="default"/>
    <w:sig w:usb0="00000001" w:usb1="080E0000" w:usb2="00000000" w:usb3="00000000" w:csb0="00040000" w:csb1="00000000"/>
    <w:embedRegular r:id="rId2" w:fontKey="{5B84AEC9-69C5-469E-9A9D-0296C36FCB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827D">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70EFF7">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D70EFF7">
                    <w:pPr>
                      <w:pStyle w:val="4"/>
                      <w:rPr>
                        <w:rStyle w:val="10"/>
                        <w:sz w:val="28"/>
                        <w:szCs w:val="28"/>
                      </w:rPr>
                    </w:pPr>
                    <w:r>
                      <w:rPr>
                        <w:rFonts w:hint="eastAsia"/>
                        <w:sz w:val="28"/>
                        <w:szCs w:val="28"/>
                      </w:rPr>
                      <w:t>—</w:t>
                    </w: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2FB1">
    <w:pPr>
      <w:pStyle w:val="4"/>
      <w:framePr w:wrap="around" w:vAnchor="text" w:hAnchor="margin" w:xAlign="center" w:y="1"/>
      <w:rPr>
        <w:rStyle w:val="10"/>
      </w:rPr>
    </w:pPr>
    <w:r>
      <w:fldChar w:fldCharType="begin"/>
    </w:r>
    <w:r>
      <w:rPr>
        <w:rStyle w:val="10"/>
      </w:rPr>
      <w:instrText xml:space="preserve">PAGE  </w:instrText>
    </w:r>
    <w:r>
      <w:fldChar w:fldCharType="end"/>
    </w:r>
  </w:p>
  <w:p w14:paraId="145111F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C713">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BE360A"/>
    <w:rsid w:val="03DB240E"/>
    <w:rsid w:val="03F35905"/>
    <w:rsid w:val="03FF434E"/>
    <w:rsid w:val="04027450"/>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0773A8"/>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165C8"/>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8E1"/>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8D467D"/>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443586"/>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16DF"/>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B510C"/>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BB3E83"/>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autoRedefine/>
    <w:qFormat/>
    <w:uiPriority w:val="0"/>
    <w:pPr>
      <w:jc w:val="center"/>
    </w:pPr>
    <w:rPr>
      <w:rFonts w:hint="eastAsia" w:ascii="方正小标宋简体" w:eastAsia="方正小标宋简体"/>
      <w:sz w:val="36"/>
      <w:szCs w:val="20"/>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page number"/>
    <w:basedOn w:val="9"/>
    <w:qFormat/>
    <w:uiPriority w:val="0"/>
  </w:style>
  <w:style w:type="character" w:styleId="11">
    <w:name w:val="FollowedHyperlink"/>
    <w:autoRedefine/>
    <w:qFormat/>
    <w:uiPriority w:val="0"/>
    <w:rPr>
      <w:color w:val="343434"/>
      <w:u w:val="none"/>
    </w:rPr>
  </w:style>
  <w:style w:type="character" w:styleId="12">
    <w:name w:val="Hyperlink"/>
    <w:autoRedefine/>
    <w:qFormat/>
    <w:uiPriority w:val="0"/>
    <w:rPr>
      <w:color w:val="343434"/>
      <w:u w:val="none"/>
    </w:rPr>
  </w:style>
  <w:style w:type="paragraph" w:customStyle="1" w:styleId="13">
    <w:name w:val="+正文"/>
    <w:basedOn w:val="1"/>
    <w:qFormat/>
    <w:uiPriority w:val="0"/>
    <w:pPr>
      <w:spacing w:line="360" w:lineRule="auto"/>
      <w:ind w:firstLine="200" w:firstLineChars="200"/>
    </w:pPr>
    <w:rPr>
      <w:sz w:val="24"/>
      <w:szCs w:val="28"/>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autoRedefine/>
    <w:qFormat/>
    <w:uiPriority w:val="0"/>
    <w:rPr>
      <w:rFonts w:eastAsia="宋体"/>
      <w:sz w:val="24"/>
      <w:lang w:bidi="ar-SA"/>
    </w:rPr>
  </w:style>
  <w:style w:type="paragraph" w:customStyle="1" w:styleId="19">
    <w:name w:val="【正文】"/>
    <w:basedOn w:val="1"/>
    <w:link w:val="18"/>
    <w:autoRedefine/>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autoRedefine/>
    <w:qFormat/>
    <w:uiPriority w:val="0"/>
    <w:rPr>
      <w:sz w:val="24"/>
    </w:rPr>
  </w:style>
  <w:style w:type="paragraph" w:customStyle="1" w:styleId="21">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autoRedefine/>
    <w:qFormat/>
    <w:uiPriority w:val="0"/>
    <w:rPr>
      <w:sz w:val="24"/>
    </w:rPr>
  </w:style>
  <w:style w:type="paragraph" w:customStyle="1" w:styleId="23">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2447</Words>
  <Characters>2551</Characters>
  <Lines>1</Lines>
  <Paragraphs>5</Paragraphs>
  <TotalTime>2</TotalTime>
  <ScaleCrop>false</ScaleCrop>
  <LinksUpToDate>false</LinksUpToDate>
  <CharactersWithSpaces>2647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2024-08-30T06:48:00Z</cp:lastPrinted>
  <dcterms:modified xsi:type="dcterms:W3CDTF">2024-11-28T00:55:53Z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B802F98C5E904AEEBEF7D7818541780B_13</vt:lpwstr>
  </property>
</Properties>
</file>