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8A5FFB">
      <w:pPr>
        <w:adjustRightInd w:val="0"/>
        <w:snapToGrid w:val="0"/>
        <w:spacing w:line="360" w:lineRule="auto"/>
        <w:jc w:val="center"/>
        <w:outlineLvl w:val="0"/>
        <w:rPr>
          <w:rFonts w:ascii="方正小标宋简体" w:eastAsia="方正小标宋简体" w:hAnsi="宋体"/>
          <w:color w:val="000000"/>
          <w:sz w:val="72"/>
          <w:szCs w:val="72"/>
        </w:rPr>
      </w:pPr>
      <w:bookmarkStart w:id="0" w:name="_Toc15396475"/>
      <w:bookmarkStart w:id="1" w:name="_Toc15396597"/>
      <w:bookmarkStart w:id="2" w:name="_Toc15377193"/>
      <w:bookmarkStart w:id="3" w:name="_Toc15377425"/>
      <w:bookmarkStart w:id="4" w:name="_Toc15378441"/>
      <w:bookmarkStart w:id="5" w:name="_GoBack"/>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0"/>
      <w:bookmarkEnd w:id="1"/>
      <w:bookmarkEnd w:id="2"/>
      <w:bookmarkEnd w:id="3"/>
      <w:bookmarkEnd w:id="4"/>
    </w:p>
    <w:p w:rsidR="003D27E6" w:rsidRDefault="008A5FFB">
      <w:pPr>
        <w:adjustRightInd w:val="0"/>
        <w:snapToGrid w:val="0"/>
        <w:spacing w:line="360" w:lineRule="auto"/>
        <w:jc w:val="center"/>
        <w:outlineLvl w:val="0"/>
        <w:rPr>
          <w:rFonts w:ascii="方正小标宋简体" w:eastAsia="方正小标宋简体" w:hAnsi="宋体" w:cs="方正小标宋简体"/>
          <w:color w:val="000000"/>
          <w:sz w:val="72"/>
          <w:szCs w:val="72"/>
        </w:rPr>
      </w:pPr>
      <w:bookmarkStart w:id="6" w:name="_Toc15377194"/>
      <w:bookmarkStart w:id="7" w:name="_Toc15377426"/>
      <w:bookmarkStart w:id="8" w:name="_Toc15396476"/>
      <w:bookmarkStart w:id="9" w:name="_Toc15378442"/>
      <w:bookmarkStart w:id="10" w:name="_Toc15396598"/>
      <w:r>
        <w:rPr>
          <w:rFonts w:ascii="方正小标宋简体" w:eastAsia="方正小标宋简体" w:hAnsi="宋体" w:hint="eastAsia"/>
          <w:color w:val="000000"/>
          <w:sz w:val="72"/>
          <w:szCs w:val="72"/>
        </w:rPr>
        <w:t>四川省</w:t>
      </w:r>
      <w:bookmarkStart w:id="11" w:name="_Toc15306268"/>
      <w:r>
        <w:rPr>
          <w:rFonts w:ascii="方正小标宋简体" w:eastAsia="方正小标宋简体" w:hAnsi="宋体" w:cs="方正小标宋简体" w:hint="eastAsia"/>
          <w:color w:val="000000"/>
          <w:sz w:val="72"/>
          <w:szCs w:val="72"/>
        </w:rPr>
        <w:t>德阳市广汉市</w:t>
      </w:r>
    </w:p>
    <w:p w:rsidR="003D27E6" w:rsidRDefault="008A5FFB">
      <w:pPr>
        <w:adjustRightInd w:val="0"/>
        <w:snapToGrid w:val="0"/>
        <w:spacing w:line="360" w:lineRule="auto"/>
        <w:jc w:val="center"/>
        <w:outlineLvl w:val="0"/>
        <w:rPr>
          <w:rFonts w:ascii="方正小标宋简体" w:eastAsia="方正小标宋简体" w:hAnsi="宋体" w:cs="方正小标宋简体"/>
          <w:color w:val="000000"/>
          <w:sz w:val="72"/>
          <w:szCs w:val="72"/>
        </w:rPr>
      </w:pPr>
      <w:r>
        <w:rPr>
          <w:rFonts w:ascii="方正小标宋简体" w:eastAsia="方正小标宋简体" w:hAnsi="宋体" w:cs="方正小标宋简体" w:hint="eastAsia"/>
          <w:color w:val="000000"/>
          <w:sz w:val="72"/>
          <w:szCs w:val="72"/>
        </w:rPr>
        <w:t>龙泉山公墓管理处</w:t>
      </w:r>
    </w:p>
    <w:p w:rsidR="003D27E6" w:rsidRDefault="008A5FFB">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bookmarkEnd w:id="5"/>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3D27E6">
      <w:pPr>
        <w:widowControl/>
        <w:jc w:val="center"/>
        <w:rPr>
          <w:rFonts w:ascii="黑体" w:eastAsia="黑体" w:hAnsi="黑体"/>
          <w:color w:val="000000"/>
          <w:sz w:val="48"/>
          <w:szCs w:val="48"/>
        </w:rPr>
      </w:pPr>
    </w:p>
    <w:p w:rsidR="003D27E6" w:rsidRDefault="008A5FFB">
      <w:pPr>
        <w:widowControl/>
        <w:jc w:val="center"/>
        <w:rPr>
          <w:rFonts w:ascii="黑体" w:eastAsia="黑体" w:hAnsi="黑体"/>
          <w:color w:val="000000"/>
          <w:sz w:val="48"/>
          <w:szCs w:val="48"/>
        </w:rPr>
      </w:pPr>
      <w:r>
        <w:rPr>
          <w:rFonts w:ascii="黑体" w:eastAsia="黑体" w:hAnsi="黑体" w:hint="eastAsia"/>
          <w:color w:val="000000"/>
          <w:sz w:val="48"/>
          <w:szCs w:val="48"/>
        </w:rPr>
        <w:lastRenderedPageBreak/>
        <w:t>目录</w:t>
      </w:r>
    </w:p>
    <w:p w:rsidR="003D27E6" w:rsidRDefault="003D27E6">
      <w:pPr>
        <w:widowControl/>
        <w:jc w:val="center"/>
        <w:rPr>
          <w:rFonts w:ascii="黑体" w:eastAsia="黑体" w:hAnsi="黑体" w:cstheme="minorBidi"/>
          <w:sz w:val="28"/>
          <w:szCs w:val="28"/>
        </w:rPr>
      </w:pPr>
    </w:p>
    <w:p w:rsidR="003D27E6" w:rsidRDefault="008A5FFB">
      <w:pPr>
        <w:pStyle w:val="10"/>
      </w:pPr>
      <w:r>
        <w:rPr>
          <w:rFonts w:hint="eastAsia"/>
        </w:rPr>
        <w:t>公开时间：</w:t>
      </w:r>
      <w:r>
        <w:rPr>
          <w:rFonts w:hint="eastAsia"/>
        </w:rPr>
        <w:t>2020</w:t>
      </w:r>
      <w:r>
        <w:rPr>
          <w:rFonts w:hint="eastAsia"/>
        </w:rPr>
        <w:t>年</w:t>
      </w:r>
      <w:r>
        <w:rPr>
          <w:rFonts w:hint="eastAsia"/>
        </w:rPr>
        <w:t>11</w:t>
      </w:r>
      <w:r>
        <w:rPr>
          <w:rFonts w:hint="eastAsia"/>
        </w:rPr>
        <w:t>月</w:t>
      </w:r>
      <w:r>
        <w:rPr>
          <w:rFonts w:hint="eastAsia"/>
        </w:rPr>
        <w:t>3</w:t>
      </w:r>
      <w:r>
        <w:rPr>
          <w:rFonts w:hint="eastAsia"/>
        </w:rPr>
        <w:t>日</w:t>
      </w:r>
    </w:p>
    <w:p w:rsidR="003D27E6" w:rsidRDefault="003D27E6"/>
    <w:p w:rsidR="003D27E6" w:rsidRDefault="008A5FFB">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3D27E6" w:rsidRDefault="008A5FFB">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3D27E6" w:rsidRDefault="008A5FFB">
      <w:pPr>
        <w:pStyle w:val="10"/>
        <w:adjustRightInd w:val="0"/>
        <w:snapToGrid w:val="0"/>
        <w:spacing w:before="0" w:line="440" w:lineRule="exact"/>
        <w:jc w:val="left"/>
        <w:rPr>
          <w:sz w:val="24"/>
          <w:szCs w:val="24"/>
        </w:rPr>
      </w:pPr>
      <w:r>
        <w:rPr>
          <w:rFonts w:hint="eastAsia"/>
          <w:sz w:val="24"/>
        </w:rPr>
        <w:t>第二部分度部门决算情况说明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3D27E6" w:rsidRDefault="008A5FFB">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3D27E6" w:rsidRDefault="008A5FFB">
      <w:pPr>
        <w:adjustRightInd w:val="0"/>
        <w:snapToGrid w:val="0"/>
        <w:spacing w:line="440" w:lineRule="exact"/>
        <w:ind w:firstLineChars="200" w:firstLine="480"/>
        <w:jc w:val="left"/>
        <w:rPr>
          <w:rFonts w:ascii="仿宋" w:eastAsia="仿宋" w:hAnsi="仿宋" w:cstheme="minorBidi"/>
          <w:sz w:val="24"/>
        </w:rPr>
      </w:pPr>
      <w:r>
        <w:rPr>
          <w:rStyle w:val="a9"/>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3D27E6" w:rsidRDefault="008A5FFB">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3D27E6" w:rsidRDefault="008A5FFB">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3D27E6" w:rsidRDefault="008A5FFB">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3D27E6" w:rsidRDefault="008A5FFB">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3D27E6" w:rsidRDefault="008A5FFB">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3D27E6" w:rsidRDefault="008A5FF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3D27E6" w:rsidRDefault="008A5FFB">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w:t>
      </w:r>
      <w:r>
        <w:rPr>
          <w:rFonts w:ascii="仿宋" w:eastAsia="仿宋" w:hAnsi="仿宋"/>
          <w:color w:val="FF0000"/>
          <w:sz w:val="24"/>
        </w:rPr>
        <w:t>注：</w:t>
      </w:r>
      <w:r>
        <w:rPr>
          <w:rFonts w:ascii="仿宋" w:eastAsia="仿宋" w:hAnsi="仿宋" w:hint="eastAsia"/>
          <w:color w:val="FF0000"/>
          <w:sz w:val="24"/>
        </w:rPr>
        <w:t>请部门根据实际注明页码</w:t>
      </w:r>
      <w:r>
        <w:rPr>
          <w:rFonts w:ascii="仿宋" w:eastAsia="仿宋" w:hAnsi="仿宋"/>
          <w:color w:val="FF0000"/>
          <w:sz w:val="24"/>
        </w:rPr>
        <w:t>)</w:t>
      </w:r>
    </w:p>
    <w:p w:rsidR="003D27E6" w:rsidRDefault="008A5FFB">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3D27E6" w:rsidRDefault="008A5FFB">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单位概况</w:t>
      </w:r>
      <w:bookmarkEnd w:id="12"/>
      <w:bookmarkEnd w:id="13"/>
    </w:p>
    <w:p w:rsidR="003D27E6" w:rsidRDefault="008A5FFB">
      <w:pPr>
        <w:pStyle w:val="2"/>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3D27E6" w:rsidRDefault="008A5FFB">
      <w:pPr>
        <w:ind w:firstLineChars="227" w:firstLine="726"/>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r>
        <w:rPr>
          <w:rFonts w:ascii="仿宋" w:eastAsia="仿宋" w:hAnsi="仿宋" w:hint="eastAsia"/>
          <w:bCs/>
          <w:color w:val="000000"/>
          <w:sz w:val="32"/>
          <w:szCs w:val="32"/>
        </w:rPr>
        <w:t>本单位</w:t>
      </w:r>
      <w:r>
        <w:rPr>
          <w:rFonts w:ascii="仿宋" w:eastAsia="仿宋" w:hAnsi="仿宋" w:hint="eastAsia"/>
          <w:kern w:val="0"/>
          <w:sz w:val="32"/>
          <w:szCs w:val="32"/>
        </w:rPr>
        <w:t>主要职责是贯彻执行并宣传上级殡葬方针政策，落实殡葬改革工作任务；负责为本市及周边逝者提供骨灰墓穴安葬服务，并实施统一管理；负责墓穴的建造与销售；负责墓园发展的规划编制、设施建设与管理维护；研究制定公墓发展规划，创新机制探索社会主义经济条件下公墓发展的新模式；负责建立和完善殡葬社会化服务体系一级公墓规范化管理系列服务工作。</w:t>
      </w:r>
    </w:p>
    <w:p w:rsidR="003D27E6" w:rsidRDefault="008A5FFB">
      <w:pPr>
        <w:spacing w:line="560" w:lineRule="exact"/>
        <w:ind w:firstLineChars="200" w:firstLine="640"/>
        <w:rPr>
          <w:rFonts w:ascii="仿宋" w:eastAsia="仿宋" w:hAnsi="仿宋"/>
          <w:bCs/>
          <w:color w:val="FF0000"/>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18"/>
      <w:bookmarkEnd w:id="19"/>
      <w:r>
        <w:rPr>
          <w:rFonts w:ascii="仿宋" w:eastAsia="仿宋" w:hAnsi="仿宋" w:cs="仿宋_GB2312" w:hint="eastAsia"/>
          <w:sz w:val="32"/>
          <w:szCs w:val="32"/>
        </w:rPr>
        <w:t>加快推进公墓二期扩建项目建设，</w:t>
      </w:r>
      <w:r>
        <w:rPr>
          <w:rFonts w:ascii="仿宋" w:eastAsia="仿宋" w:hAnsi="仿宋" w:cs="仿宋_GB2312" w:hint="eastAsia"/>
          <w:sz w:val="32"/>
          <w:szCs w:val="32"/>
        </w:rPr>
        <w:t>2020</w:t>
      </w:r>
      <w:r>
        <w:rPr>
          <w:rFonts w:ascii="仿宋" w:eastAsia="仿宋" w:hAnsi="仿宋" w:cs="仿宋_GB2312" w:hint="eastAsia"/>
          <w:sz w:val="32"/>
          <w:szCs w:val="32"/>
        </w:rPr>
        <w:t>年完成设计及前期准备工作。积极推进绿色生态殡，推行节地生态安葬的任务具体明确、工作措施全面具有可操作性。包括促进公墓大力发展树葬、花葬、草坪葬等多种节地生态葬法。</w:t>
      </w:r>
    </w:p>
    <w:p w:rsidR="003D27E6" w:rsidRDefault="008A5FFB">
      <w:pPr>
        <w:pStyle w:val="2"/>
        <w:rPr>
          <w:rStyle w:val="2Char"/>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3D27E6" w:rsidRDefault="008A5FFB">
      <w:pPr>
        <w:ind w:firstLineChars="227" w:firstLine="726"/>
        <w:rPr>
          <w:rFonts w:ascii="仿宋" w:eastAsia="仿宋" w:hAnsi="仿宋"/>
          <w:sz w:val="32"/>
          <w:szCs w:val="32"/>
        </w:rPr>
      </w:pPr>
      <w:bookmarkStart w:id="22" w:name="_Toc15378448"/>
      <w:bookmarkStart w:id="23" w:name="_Toc15377201"/>
      <w:bookmarkStart w:id="24" w:name="_Toc15306275"/>
      <w:bookmarkStart w:id="25" w:name="_Toc15377432"/>
      <w:r>
        <w:rPr>
          <w:rFonts w:ascii="仿宋" w:eastAsia="仿宋" w:hAnsi="仿宋" w:hint="eastAsia"/>
          <w:kern w:val="0"/>
          <w:sz w:val="32"/>
          <w:szCs w:val="32"/>
        </w:rPr>
        <w:t>广汉市</w:t>
      </w:r>
      <w:r>
        <w:rPr>
          <w:rFonts w:ascii="仿宋" w:eastAsia="仿宋" w:hAnsi="仿宋" w:hint="eastAsia"/>
          <w:sz w:val="32"/>
          <w:szCs w:val="32"/>
        </w:rPr>
        <w:t>龙泉山公墓管理处属于广汉市民政局下属自收自支事业单位。</w:t>
      </w:r>
      <w:r>
        <w:rPr>
          <w:rFonts w:ascii="仿宋" w:eastAsia="仿宋" w:hAnsi="仿宋" w:hint="eastAsia"/>
          <w:sz w:val="32"/>
          <w:szCs w:val="32"/>
        </w:rPr>
        <w:t>2019</w:t>
      </w:r>
      <w:r>
        <w:rPr>
          <w:rFonts w:ascii="仿宋" w:eastAsia="仿宋" w:hAnsi="仿宋" w:hint="eastAsia"/>
          <w:sz w:val="32"/>
          <w:szCs w:val="32"/>
        </w:rPr>
        <w:t>年编制</w:t>
      </w:r>
      <w:r>
        <w:rPr>
          <w:rFonts w:ascii="仿宋" w:eastAsia="仿宋" w:hAnsi="仿宋" w:hint="eastAsia"/>
          <w:sz w:val="32"/>
          <w:szCs w:val="32"/>
        </w:rPr>
        <w:t>5</w:t>
      </w:r>
      <w:r>
        <w:rPr>
          <w:rFonts w:ascii="仿宋" w:eastAsia="仿宋" w:hAnsi="仿宋" w:hint="eastAsia"/>
          <w:sz w:val="32"/>
          <w:szCs w:val="32"/>
        </w:rPr>
        <w:t>名，在职</w:t>
      </w:r>
      <w:r>
        <w:rPr>
          <w:rFonts w:ascii="仿宋" w:eastAsia="仿宋" w:hAnsi="仿宋" w:hint="eastAsia"/>
          <w:sz w:val="32"/>
          <w:szCs w:val="32"/>
        </w:rPr>
        <w:t>2</w:t>
      </w:r>
      <w:r>
        <w:rPr>
          <w:rFonts w:ascii="仿宋" w:eastAsia="仿宋" w:hAnsi="仿宋" w:hint="eastAsia"/>
          <w:sz w:val="32"/>
          <w:szCs w:val="32"/>
        </w:rPr>
        <w:t>人，退休</w:t>
      </w:r>
      <w:r>
        <w:rPr>
          <w:rFonts w:ascii="仿宋" w:eastAsia="仿宋" w:hAnsi="仿宋" w:hint="eastAsia"/>
          <w:sz w:val="32"/>
          <w:szCs w:val="32"/>
        </w:rPr>
        <w:t>3</w:t>
      </w:r>
      <w:r>
        <w:rPr>
          <w:rFonts w:ascii="仿宋" w:eastAsia="仿宋" w:hAnsi="仿宋" w:hint="eastAsia"/>
          <w:sz w:val="32"/>
          <w:szCs w:val="32"/>
        </w:rPr>
        <w:t>人。</w:t>
      </w:r>
    </w:p>
    <w:p w:rsidR="003D27E6" w:rsidRDefault="003D27E6">
      <w:pPr>
        <w:ind w:firstLineChars="227" w:firstLine="726"/>
        <w:rPr>
          <w:rFonts w:ascii="仿宋" w:eastAsia="仿宋" w:hAnsi="仿宋"/>
          <w:sz w:val="32"/>
          <w:szCs w:val="32"/>
        </w:rPr>
      </w:pPr>
    </w:p>
    <w:bookmarkEnd w:id="22"/>
    <w:bookmarkEnd w:id="23"/>
    <w:bookmarkEnd w:id="24"/>
    <w:bookmarkEnd w:id="25"/>
    <w:p w:rsidR="003D27E6" w:rsidRDefault="003D27E6">
      <w:pPr>
        <w:widowControl/>
        <w:jc w:val="left"/>
        <w:rPr>
          <w:rFonts w:ascii="仿宋" w:eastAsia="仿宋" w:hAnsi="仿宋"/>
          <w:color w:val="000000"/>
          <w:kern w:val="0"/>
          <w:sz w:val="32"/>
          <w:szCs w:val="32"/>
        </w:rPr>
      </w:pPr>
    </w:p>
    <w:p w:rsidR="003D27E6" w:rsidRDefault="003D27E6">
      <w:pPr>
        <w:widowControl/>
        <w:jc w:val="left"/>
        <w:rPr>
          <w:rFonts w:ascii="仿宋" w:eastAsia="仿宋" w:hAnsi="仿宋"/>
          <w:color w:val="000000"/>
          <w:kern w:val="0"/>
          <w:sz w:val="32"/>
          <w:szCs w:val="32"/>
        </w:rPr>
      </w:pPr>
    </w:p>
    <w:p w:rsidR="003D27E6" w:rsidRDefault="008A5FFB">
      <w:pPr>
        <w:pStyle w:val="1"/>
        <w:ind w:right="440"/>
        <w:jc w:val="right"/>
        <w:rPr>
          <w:rStyle w:val="1Char"/>
          <w:rFonts w:ascii="黑体" w:eastAsia="黑体" w:hAnsi="黑体"/>
        </w:rPr>
      </w:pPr>
      <w:bookmarkStart w:id="26" w:name="_Toc15396602"/>
      <w:bookmarkStart w:id="27"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26"/>
      <w:bookmarkEnd w:id="27"/>
    </w:p>
    <w:p w:rsidR="003D27E6" w:rsidRDefault="008A5FFB">
      <w:pPr>
        <w:pStyle w:val="aa"/>
        <w:numPr>
          <w:ilvl w:val="0"/>
          <w:numId w:val="1"/>
        </w:numPr>
        <w:spacing w:line="600" w:lineRule="exact"/>
        <w:ind w:firstLineChars="0"/>
        <w:outlineLvl w:val="1"/>
        <w:rPr>
          <w:rStyle w:val="2Char"/>
          <w:rFonts w:ascii="黑体" w:eastAsia="黑体" w:hAnsi="黑体"/>
          <w:b w:val="0"/>
        </w:rPr>
      </w:pPr>
      <w:bookmarkStart w:id="28" w:name="_Toc15377205"/>
      <w:bookmarkStart w:id="29"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8"/>
      <w:bookmarkEnd w:id="29"/>
    </w:p>
    <w:p w:rsidR="003D27E6" w:rsidRDefault="008A5FF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本单位</w:t>
      </w:r>
      <w:r>
        <w:rPr>
          <w:rFonts w:ascii="仿宋" w:eastAsia="仿宋" w:hAnsi="仿宋" w:hint="eastAsia"/>
          <w:color w:val="000000"/>
          <w:sz w:val="32"/>
          <w:szCs w:val="32"/>
        </w:rPr>
        <w:t>2019</w:t>
      </w:r>
      <w:r>
        <w:rPr>
          <w:rFonts w:ascii="仿宋" w:eastAsia="仿宋" w:hAnsi="仿宋" w:hint="eastAsia"/>
          <w:color w:val="000000"/>
          <w:sz w:val="32"/>
          <w:szCs w:val="32"/>
        </w:rPr>
        <w:t>预算收入</w:t>
      </w:r>
      <w:r>
        <w:rPr>
          <w:rFonts w:ascii="仿宋" w:eastAsia="仿宋" w:hAnsi="仿宋" w:hint="eastAsia"/>
          <w:color w:val="000000"/>
          <w:sz w:val="32"/>
          <w:szCs w:val="32"/>
        </w:rPr>
        <w:t>50.08</w:t>
      </w:r>
      <w:r>
        <w:rPr>
          <w:rFonts w:ascii="仿宋" w:eastAsia="仿宋" w:hAnsi="仿宋" w:hint="eastAsia"/>
          <w:color w:val="000000"/>
          <w:sz w:val="32"/>
          <w:szCs w:val="32"/>
        </w:rPr>
        <w:t>万元，年初结转</w:t>
      </w:r>
      <w:r>
        <w:rPr>
          <w:rFonts w:ascii="仿宋" w:eastAsia="仿宋" w:hAnsi="仿宋" w:hint="eastAsia"/>
          <w:color w:val="000000"/>
          <w:sz w:val="32"/>
          <w:szCs w:val="32"/>
        </w:rPr>
        <w:t>971.13</w:t>
      </w:r>
      <w:r>
        <w:rPr>
          <w:rFonts w:ascii="仿宋" w:eastAsia="仿宋" w:hAnsi="仿宋" w:hint="eastAsia"/>
          <w:color w:val="000000"/>
          <w:sz w:val="32"/>
          <w:szCs w:val="32"/>
        </w:rPr>
        <w:t>万元，收入总计</w:t>
      </w:r>
      <w:r>
        <w:rPr>
          <w:rFonts w:ascii="仿宋" w:eastAsia="仿宋" w:hAnsi="仿宋" w:hint="eastAsia"/>
          <w:color w:val="000000"/>
          <w:sz w:val="32"/>
          <w:szCs w:val="32"/>
        </w:rPr>
        <w:t>1021.21</w:t>
      </w:r>
      <w:r>
        <w:rPr>
          <w:rFonts w:ascii="仿宋" w:eastAsia="仿宋" w:hAnsi="仿宋" w:hint="eastAsia"/>
          <w:color w:val="000000"/>
          <w:sz w:val="32"/>
          <w:szCs w:val="32"/>
        </w:rPr>
        <w:t>万元。本单位</w:t>
      </w:r>
      <w:r>
        <w:rPr>
          <w:rFonts w:ascii="仿宋" w:eastAsia="仿宋" w:hAnsi="仿宋" w:hint="eastAsia"/>
          <w:color w:val="000000"/>
          <w:sz w:val="32"/>
          <w:szCs w:val="32"/>
        </w:rPr>
        <w:t>2019</w:t>
      </w:r>
      <w:r>
        <w:rPr>
          <w:rFonts w:ascii="仿宋" w:eastAsia="仿宋" w:hAnsi="仿宋" w:hint="eastAsia"/>
          <w:color w:val="000000"/>
          <w:sz w:val="32"/>
          <w:szCs w:val="32"/>
        </w:rPr>
        <w:t>年决算支出</w:t>
      </w:r>
      <w:r>
        <w:rPr>
          <w:rFonts w:ascii="仿宋" w:eastAsia="仿宋" w:hAnsi="仿宋" w:hint="eastAsia"/>
          <w:color w:val="000000"/>
          <w:sz w:val="32"/>
          <w:szCs w:val="32"/>
        </w:rPr>
        <w:t>863.52</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年相比，收入总计减少</w:t>
      </w:r>
      <w:r>
        <w:rPr>
          <w:rFonts w:ascii="仿宋" w:eastAsia="仿宋" w:hAnsi="仿宋" w:hint="eastAsia"/>
          <w:color w:val="000000"/>
          <w:sz w:val="32"/>
          <w:szCs w:val="32"/>
        </w:rPr>
        <w:t>191.76</w:t>
      </w:r>
      <w:r>
        <w:rPr>
          <w:rFonts w:ascii="仿宋" w:eastAsia="仿宋" w:hAnsi="仿宋" w:hint="eastAsia"/>
          <w:color w:val="000000"/>
          <w:sz w:val="32"/>
          <w:szCs w:val="32"/>
        </w:rPr>
        <w:t>万元，下降</w:t>
      </w:r>
      <w:r>
        <w:rPr>
          <w:rFonts w:ascii="仿宋" w:eastAsia="仿宋" w:hAnsi="仿宋" w:hint="eastAsia"/>
          <w:color w:val="000000"/>
          <w:sz w:val="32"/>
          <w:szCs w:val="32"/>
        </w:rPr>
        <w:t>15.8%</w:t>
      </w:r>
      <w:r>
        <w:rPr>
          <w:rFonts w:ascii="仿宋" w:eastAsia="仿宋" w:hAnsi="仿宋" w:hint="eastAsia"/>
          <w:color w:val="000000"/>
          <w:sz w:val="32"/>
          <w:szCs w:val="32"/>
        </w:rPr>
        <w:t>，支出总计增加</w:t>
      </w:r>
      <w:r>
        <w:rPr>
          <w:rFonts w:ascii="仿宋" w:eastAsia="仿宋" w:hAnsi="仿宋" w:hint="eastAsia"/>
          <w:color w:val="000000"/>
          <w:sz w:val="32"/>
          <w:szCs w:val="32"/>
        </w:rPr>
        <w:t>543.63</w:t>
      </w:r>
      <w:r>
        <w:rPr>
          <w:rFonts w:ascii="仿宋" w:eastAsia="仿宋" w:hAnsi="仿宋" w:hint="eastAsia"/>
          <w:color w:val="000000"/>
          <w:sz w:val="32"/>
          <w:szCs w:val="32"/>
        </w:rPr>
        <w:t>万元，增加</w:t>
      </w:r>
      <w:r>
        <w:rPr>
          <w:rFonts w:ascii="仿宋" w:eastAsia="仿宋" w:hAnsi="仿宋" w:hint="eastAsia"/>
          <w:color w:val="000000"/>
          <w:sz w:val="32"/>
          <w:szCs w:val="32"/>
        </w:rPr>
        <w:t>169.94%</w:t>
      </w:r>
      <w:r>
        <w:rPr>
          <w:rFonts w:ascii="仿宋" w:eastAsia="仿宋" w:hAnsi="仿宋" w:hint="eastAsia"/>
          <w:color w:val="000000"/>
          <w:sz w:val="32"/>
          <w:szCs w:val="32"/>
        </w:rPr>
        <w:t>。主要变动原因是使用存量资金支付公墓扩建项目征地费用</w:t>
      </w:r>
      <w:r>
        <w:rPr>
          <w:rFonts w:ascii="仿宋" w:eastAsia="仿宋" w:hAnsi="仿宋" w:hint="eastAsia"/>
          <w:color w:val="000000"/>
          <w:sz w:val="32"/>
          <w:szCs w:val="32"/>
        </w:rPr>
        <w:t>655</w:t>
      </w:r>
      <w:r>
        <w:rPr>
          <w:rFonts w:ascii="仿宋" w:eastAsia="仿宋" w:hAnsi="仿宋" w:hint="eastAsia"/>
          <w:color w:val="000000"/>
          <w:sz w:val="32"/>
          <w:szCs w:val="32"/>
        </w:rPr>
        <w:t>万元，相应收入减少，支出增加。</w:t>
      </w:r>
    </w:p>
    <w:p w:rsidR="003D27E6" w:rsidRDefault="008A5FFB">
      <w:pPr>
        <w:ind w:firstLineChars="100" w:firstLine="320"/>
        <w:jc w:val="lef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3D27E6" w:rsidRDefault="008A5FFB">
      <w:pPr>
        <w:ind w:firstLineChars="100" w:firstLine="320"/>
        <w:jc w:val="left"/>
        <w:rPr>
          <w:rFonts w:ascii="仿宋" w:eastAsia="仿宋" w:hAnsi="仿宋"/>
          <w:color w:val="000000" w:themeColor="text1"/>
          <w:sz w:val="32"/>
          <w:szCs w:val="32"/>
        </w:rPr>
      </w:pPr>
      <w:r>
        <w:rPr>
          <w:rFonts w:ascii="仿宋" w:eastAsia="仿宋" w:hAnsi="仿宋"/>
          <w:noProof/>
          <w:color w:val="000000" w:themeColor="text1"/>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27E6" w:rsidRDefault="008A5FFB">
      <w:pPr>
        <w:spacing w:line="600" w:lineRule="exact"/>
        <w:ind w:firstLineChars="200" w:firstLine="640"/>
        <w:outlineLvl w:val="1"/>
        <w:rPr>
          <w:rStyle w:val="2Char"/>
          <w:rFonts w:ascii="黑体" w:eastAsia="黑体" w:hAnsi="黑体"/>
          <w:b w:val="0"/>
        </w:rPr>
      </w:pPr>
      <w:bookmarkStart w:id="30" w:name="_Toc15377206"/>
      <w:bookmarkStart w:id="31" w:name="_Toc15396604"/>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30"/>
      <w:bookmarkEnd w:id="31"/>
    </w:p>
    <w:p w:rsidR="003D27E6" w:rsidRDefault="008A5FF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年调整预算收入</w:t>
      </w:r>
      <w:r>
        <w:rPr>
          <w:rFonts w:ascii="仿宋" w:eastAsia="仿宋" w:hAnsi="仿宋" w:hint="eastAsia"/>
          <w:color w:val="000000"/>
          <w:sz w:val="32"/>
          <w:szCs w:val="32"/>
        </w:rPr>
        <w:t>50.08</w:t>
      </w:r>
      <w:r>
        <w:rPr>
          <w:rFonts w:ascii="仿宋" w:eastAsia="仿宋" w:hAnsi="仿宋" w:hint="eastAsia"/>
          <w:color w:val="000000"/>
          <w:sz w:val="32"/>
          <w:szCs w:val="32"/>
        </w:rPr>
        <w:t>万元，年初结转</w:t>
      </w:r>
      <w:r>
        <w:rPr>
          <w:rFonts w:ascii="仿宋" w:eastAsia="仿宋" w:hAnsi="仿宋" w:hint="eastAsia"/>
          <w:color w:val="000000"/>
          <w:sz w:val="32"/>
          <w:szCs w:val="32"/>
        </w:rPr>
        <w:t>971.13</w:t>
      </w:r>
      <w:r>
        <w:rPr>
          <w:rFonts w:ascii="仿宋" w:eastAsia="仿宋" w:hAnsi="仿宋" w:hint="eastAsia"/>
          <w:color w:val="000000"/>
          <w:sz w:val="32"/>
          <w:szCs w:val="32"/>
        </w:rPr>
        <w:t>万元，收入总计</w:t>
      </w:r>
      <w:r>
        <w:rPr>
          <w:rFonts w:ascii="仿宋" w:eastAsia="仿宋" w:hAnsi="仿宋" w:hint="eastAsia"/>
          <w:color w:val="000000"/>
          <w:sz w:val="32"/>
          <w:szCs w:val="32"/>
        </w:rPr>
        <w:t>1021.21</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50.08</w:t>
      </w:r>
      <w:r>
        <w:rPr>
          <w:rFonts w:ascii="仿宋" w:eastAsia="仿宋" w:hAnsi="仿宋" w:hint="eastAsia"/>
          <w:color w:val="000000"/>
          <w:sz w:val="32"/>
          <w:szCs w:val="32"/>
        </w:rPr>
        <w:t>万元，占</w:t>
      </w:r>
      <w:r>
        <w:rPr>
          <w:rFonts w:ascii="仿宋" w:eastAsia="仿宋" w:hAnsi="仿宋" w:hint="eastAsia"/>
          <w:color w:val="000000"/>
          <w:sz w:val="32"/>
          <w:szCs w:val="32"/>
        </w:rPr>
        <w:t>4.9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sz w:val="32"/>
          <w:szCs w:val="32"/>
        </w:rPr>
        <w:t>年初结转结余</w:t>
      </w:r>
      <w:r>
        <w:rPr>
          <w:rFonts w:ascii="仿宋" w:eastAsia="仿宋" w:hAnsi="仿宋" w:hint="eastAsia"/>
          <w:sz w:val="32"/>
          <w:szCs w:val="32"/>
        </w:rPr>
        <w:t>971.13</w:t>
      </w:r>
      <w:r>
        <w:rPr>
          <w:rFonts w:ascii="仿宋" w:eastAsia="仿宋" w:hAnsi="仿宋" w:hint="eastAsia"/>
          <w:color w:val="000000"/>
          <w:sz w:val="32"/>
          <w:szCs w:val="32"/>
        </w:rPr>
        <w:t>万元，占</w:t>
      </w:r>
      <w:r>
        <w:rPr>
          <w:rFonts w:ascii="仿宋" w:eastAsia="仿宋" w:hAnsi="仿宋" w:hint="eastAsia"/>
          <w:color w:val="000000"/>
          <w:sz w:val="32"/>
          <w:szCs w:val="32"/>
        </w:rPr>
        <w:t>95.1</w:t>
      </w:r>
      <w:r>
        <w:rPr>
          <w:rFonts w:ascii="仿宋" w:eastAsia="仿宋" w:hAnsi="仿宋"/>
          <w:color w:val="000000"/>
          <w:sz w:val="32"/>
          <w:szCs w:val="32"/>
        </w:rPr>
        <w:t>%</w:t>
      </w:r>
      <w:r>
        <w:rPr>
          <w:rFonts w:ascii="仿宋" w:eastAsia="仿宋" w:hAnsi="仿宋" w:hint="eastAsia"/>
          <w:color w:val="000000"/>
          <w:sz w:val="32"/>
          <w:szCs w:val="32"/>
        </w:rPr>
        <w:t>。</w:t>
      </w:r>
    </w:p>
    <w:p w:rsidR="003D27E6" w:rsidRDefault="008A5FF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w:t>
      </w:r>
    </w:p>
    <w:p w:rsidR="003D27E6" w:rsidRDefault="008A5FFB">
      <w:pPr>
        <w:ind w:firstLineChars="200" w:firstLine="640"/>
        <w:rPr>
          <w:rFonts w:ascii="仿宋_GB2312" w:eastAsia="仿宋_GB2312"/>
          <w:color w:val="FF0000"/>
          <w:sz w:val="32"/>
          <w:szCs w:val="32"/>
        </w:rPr>
      </w:pPr>
      <w:r>
        <w:rPr>
          <w:rFonts w:ascii="仿宋_GB2312" w:eastAsia="仿宋_GB2312"/>
          <w:noProof/>
          <w:color w:val="FF0000"/>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27E6" w:rsidRDefault="008A5FFB">
      <w:pPr>
        <w:spacing w:line="600" w:lineRule="exact"/>
        <w:ind w:firstLineChars="200" w:firstLine="640"/>
        <w:outlineLvl w:val="1"/>
        <w:rPr>
          <w:rStyle w:val="2Char"/>
          <w:rFonts w:ascii="黑体" w:eastAsia="黑体" w:hAnsi="黑体"/>
          <w:b w:val="0"/>
        </w:rPr>
      </w:pPr>
      <w:bookmarkStart w:id="32" w:name="_Toc15396605"/>
      <w:bookmarkStart w:id="33" w:name="_Toc15377207"/>
      <w:r>
        <w:rPr>
          <w:rFonts w:ascii="黑体" w:eastAsia="黑体" w:hAnsi="黑体" w:hint="eastAsia"/>
          <w:color w:val="000000"/>
          <w:sz w:val="32"/>
          <w:szCs w:val="32"/>
        </w:rPr>
        <w:t>三、支</w:t>
      </w:r>
      <w:r>
        <w:rPr>
          <w:rStyle w:val="2Char"/>
          <w:rFonts w:ascii="黑体" w:eastAsia="黑体" w:hAnsi="黑体" w:hint="eastAsia"/>
          <w:b w:val="0"/>
        </w:rPr>
        <w:t>出决算情况说明</w:t>
      </w:r>
      <w:bookmarkEnd w:id="32"/>
      <w:bookmarkEnd w:id="33"/>
    </w:p>
    <w:p w:rsidR="003D27E6" w:rsidRDefault="008A5FFB">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年决算支出</w:t>
      </w:r>
      <w:r>
        <w:rPr>
          <w:rFonts w:ascii="仿宋" w:eastAsia="仿宋" w:hAnsi="仿宋" w:hint="eastAsia"/>
          <w:color w:val="000000"/>
          <w:sz w:val="32"/>
          <w:szCs w:val="32"/>
        </w:rPr>
        <w:t>863.52</w:t>
      </w:r>
      <w:r>
        <w:rPr>
          <w:rFonts w:ascii="仿宋" w:eastAsia="仿宋" w:hAnsi="仿宋" w:hint="eastAsia"/>
          <w:color w:val="000000"/>
          <w:sz w:val="32"/>
          <w:szCs w:val="32"/>
        </w:rPr>
        <w:t>万元，其中：基本支出</w:t>
      </w:r>
      <w:r>
        <w:rPr>
          <w:rFonts w:ascii="仿宋" w:eastAsia="仿宋" w:hAnsi="仿宋" w:hint="eastAsia"/>
          <w:color w:val="000000"/>
          <w:sz w:val="32"/>
          <w:szCs w:val="32"/>
        </w:rPr>
        <w:t>195.39</w:t>
      </w:r>
      <w:r>
        <w:rPr>
          <w:rFonts w:ascii="仿宋" w:eastAsia="仿宋" w:hAnsi="仿宋" w:hint="eastAsia"/>
          <w:color w:val="000000"/>
          <w:sz w:val="32"/>
          <w:szCs w:val="32"/>
        </w:rPr>
        <w:t>万元，占</w:t>
      </w:r>
      <w:r>
        <w:rPr>
          <w:rFonts w:ascii="仿宋" w:eastAsia="仿宋" w:hAnsi="仿宋" w:hint="eastAsia"/>
          <w:color w:val="000000"/>
          <w:sz w:val="32"/>
          <w:szCs w:val="32"/>
        </w:rPr>
        <w:t>22.63</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668.13</w:t>
      </w:r>
      <w:r>
        <w:rPr>
          <w:rFonts w:ascii="仿宋" w:eastAsia="仿宋" w:hAnsi="仿宋" w:hint="eastAsia"/>
          <w:color w:val="000000"/>
          <w:sz w:val="32"/>
          <w:szCs w:val="32"/>
        </w:rPr>
        <w:t>万元，占</w:t>
      </w:r>
      <w:r>
        <w:rPr>
          <w:rFonts w:ascii="仿宋" w:eastAsia="仿宋" w:hAnsi="仿宋" w:hint="eastAsia"/>
          <w:color w:val="000000"/>
          <w:sz w:val="32"/>
          <w:szCs w:val="32"/>
        </w:rPr>
        <w:t>77.37</w:t>
      </w:r>
      <w:r>
        <w:rPr>
          <w:rFonts w:ascii="仿宋" w:eastAsia="仿宋" w:hAnsi="仿宋"/>
          <w:color w:val="000000"/>
          <w:sz w:val="32"/>
          <w:szCs w:val="32"/>
        </w:rPr>
        <w:t>%</w:t>
      </w:r>
      <w:r>
        <w:rPr>
          <w:rFonts w:ascii="仿宋" w:eastAsia="仿宋" w:hAnsi="仿宋" w:hint="eastAsia"/>
          <w:color w:val="000000"/>
          <w:sz w:val="32"/>
          <w:szCs w:val="32"/>
        </w:rPr>
        <w:t>。</w:t>
      </w:r>
    </w:p>
    <w:p w:rsidR="003D27E6" w:rsidRDefault="008A5FF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w:t>
      </w:r>
    </w:p>
    <w:p w:rsidR="003D27E6" w:rsidRDefault="008A5FFB">
      <w:pPr>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27E6" w:rsidRDefault="008A5FFB">
      <w:pPr>
        <w:spacing w:line="600" w:lineRule="exact"/>
        <w:ind w:firstLineChars="200" w:firstLine="640"/>
        <w:outlineLvl w:val="1"/>
        <w:rPr>
          <w:rStyle w:val="2Char"/>
          <w:rFonts w:ascii="黑体" w:eastAsia="黑体" w:hAnsi="黑体"/>
          <w:b w:val="0"/>
        </w:rPr>
      </w:pPr>
      <w:bookmarkStart w:id="34" w:name="_Toc15377208"/>
      <w:bookmarkStart w:id="35"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4"/>
      <w:bookmarkEnd w:id="35"/>
    </w:p>
    <w:p w:rsidR="003D27E6" w:rsidRDefault="008A5FF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lastRenderedPageBreak/>
        <w:t>201</w:t>
      </w:r>
      <w:r>
        <w:rPr>
          <w:rFonts w:ascii="仿宋" w:eastAsia="仿宋" w:hAnsi="仿宋" w:hint="eastAsia"/>
          <w:color w:val="000000"/>
          <w:sz w:val="32"/>
          <w:szCs w:val="32"/>
        </w:rPr>
        <w:t>9</w:t>
      </w:r>
      <w:r>
        <w:rPr>
          <w:rFonts w:ascii="仿宋" w:eastAsia="仿宋" w:hAnsi="仿宋" w:hint="eastAsia"/>
          <w:color w:val="000000"/>
          <w:sz w:val="32"/>
          <w:szCs w:val="32"/>
        </w:rPr>
        <w:t>年财政拨款收入</w:t>
      </w:r>
      <w:r>
        <w:rPr>
          <w:rFonts w:ascii="仿宋" w:eastAsia="仿宋" w:hAnsi="仿宋" w:hint="eastAsia"/>
          <w:color w:val="000000"/>
          <w:sz w:val="32"/>
          <w:szCs w:val="32"/>
        </w:rPr>
        <w:t>1021.21</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年相比，收入减少</w:t>
      </w:r>
      <w:r>
        <w:rPr>
          <w:rFonts w:ascii="仿宋" w:eastAsia="仿宋" w:hAnsi="仿宋" w:hint="eastAsia"/>
          <w:color w:val="000000"/>
          <w:sz w:val="32"/>
          <w:szCs w:val="32"/>
        </w:rPr>
        <w:t>191.76</w:t>
      </w:r>
      <w:r>
        <w:rPr>
          <w:rFonts w:ascii="仿宋" w:eastAsia="仿宋" w:hAnsi="仿宋" w:hint="eastAsia"/>
          <w:color w:val="000000"/>
          <w:sz w:val="32"/>
          <w:szCs w:val="32"/>
        </w:rPr>
        <w:t>万元，下降</w:t>
      </w:r>
      <w:r>
        <w:rPr>
          <w:rFonts w:ascii="仿宋" w:eastAsia="仿宋" w:hAnsi="仿宋" w:hint="eastAsia"/>
          <w:color w:val="000000"/>
          <w:sz w:val="32"/>
          <w:szCs w:val="32"/>
        </w:rPr>
        <w:t>15.8%</w:t>
      </w:r>
      <w:r>
        <w:rPr>
          <w:rFonts w:ascii="仿宋" w:eastAsia="仿宋" w:hAnsi="仿宋" w:hint="eastAsia"/>
          <w:color w:val="000000"/>
          <w:sz w:val="32"/>
          <w:szCs w:val="32"/>
        </w:rPr>
        <w:t>。</w:t>
      </w:r>
      <w:r>
        <w:rPr>
          <w:rFonts w:ascii="仿宋" w:eastAsia="仿宋" w:hAnsi="仿宋" w:hint="eastAsia"/>
          <w:color w:val="000000"/>
          <w:sz w:val="32"/>
          <w:szCs w:val="32"/>
        </w:rPr>
        <w:t>2019</w:t>
      </w:r>
      <w:r>
        <w:rPr>
          <w:rFonts w:ascii="仿宋" w:eastAsia="仿宋" w:hAnsi="仿宋" w:hint="eastAsia"/>
          <w:color w:val="000000"/>
          <w:sz w:val="32"/>
          <w:szCs w:val="32"/>
        </w:rPr>
        <w:t>年财政拨款支出</w:t>
      </w:r>
      <w:r>
        <w:rPr>
          <w:rFonts w:ascii="仿宋" w:eastAsia="仿宋" w:hAnsi="仿宋" w:hint="eastAsia"/>
          <w:color w:val="000000"/>
          <w:sz w:val="32"/>
          <w:szCs w:val="32"/>
        </w:rPr>
        <w:t>863.52</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年相比，支出增加</w:t>
      </w:r>
      <w:r>
        <w:rPr>
          <w:rFonts w:ascii="仿宋" w:eastAsia="仿宋" w:hAnsi="仿宋" w:hint="eastAsia"/>
          <w:color w:val="000000"/>
          <w:sz w:val="32"/>
          <w:szCs w:val="32"/>
        </w:rPr>
        <w:t>543.63</w:t>
      </w:r>
      <w:r>
        <w:rPr>
          <w:rFonts w:ascii="仿宋" w:eastAsia="仿宋" w:hAnsi="仿宋" w:hint="eastAsia"/>
          <w:color w:val="000000"/>
          <w:sz w:val="32"/>
          <w:szCs w:val="32"/>
        </w:rPr>
        <w:t>万元，增加</w:t>
      </w:r>
      <w:r>
        <w:rPr>
          <w:rFonts w:ascii="仿宋" w:eastAsia="仿宋" w:hAnsi="仿宋" w:hint="eastAsia"/>
          <w:color w:val="000000"/>
          <w:sz w:val="32"/>
          <w:szCs w:val="32"/>
        </w:rPr>
        <w:t>169.94%</w:t>
      </w:r>
      <w:r>
        <w:rPr>
          <w:rFonts w:ascii="仿宋" w:eastAsia="仿宋" w:hAnsi="仿宋" w:hint="eastAsia"/>
          <w:color w:val="000000"/>
          <w:sz w:val="32"/>
          <w:szCs w:val="32"/>
        </w:rPr>
        <w:t>。主要变动原因是使用存量资金支付公墓扩建项目征地费用</w:t>
      </w:r>
      <w:r>
        <w:rPr>
          <w:rFonts w:ascii="仿宋" w:eastAsia="仿宋" w:hAnsi="仿宋" w:hint="eastAsia"/>
          <w:color w:val="000000"/>
          <w:sz w:val="32"/>
          <w:szCs w:val="32"/>
        </w:rPr>
        <w:t>655</w:t>
      </w:r>
      <w:r>
        <w:rPr>
          <w:rFonts w:ascii="仿宋" w:eastAsia="仿宋" w:hAnsi="仿宋" w:hint="eastAsia"/>
          <w:color w:val="000000"/>
          <w:sz w:val="32"/>
          <w:szCs w:val="32"/>
        </w:rPr>
        <w:t>万元，相应收入减少，支出增加。</w:t>
      </w:r>
    </w:p>
    <w:p w:rsidR="003D27E6" w:rsidRDefault="008A5FF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w:t>
      </w:r>
    </w:p>
    <w:p w:rsidR="003D27E6" w:rsidRDefault="008A5FFB">
      <w:pPr>
        <w:ind w:firstLine="641"/>
        <w:rPr>
          <w:rFonts w:ascii="仿宋" w:eastAsia="仿宋" w:hAnsi="仿宋"/>
          <w:b/>
          <w:color w:val="00B050"/>
          <w:sz w:val="32"/>
          <w:szCs w:val="32"/>
        </w:rPr>
      </w:pPr>
      <w:r>
        <w:rPr>
          <w:rFonts w:ascii="仿宋" w:eastAsia="仿宋" w:hAnsi="仿宋"/>
          <w:b/>
          <w:noProof/>
          <w:color w:val="00B050"/>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27E6" w:rsidRDefault="008A5FFB">
      <w:pPr>
        <w:spacing w:line="600" w:lineRule="exact"/>
        <w:ind w:firstLineChars="200" w:firstLine="640"/>
        <w:outlineLvl w:val="1"/>
        <w:rPr>
          <w:rStyle w:val="2Char"/>
          <w:rFonts w:ascii="黑体" w:eastAsia="黑体" w:hAnsi="黑体"/>
          <w:b w:val="0"/>
        </w:rPr>
      </w:pPr>
      <w:bookmarkStart w:id="36" w:name="_Toc15396607"/>
      <w:bookmarkStart w:id="37"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6"/>
      <w:bookmarkEnd w:id="37"/>
    </w:p>
    <w:p w:rsidR="003D27E6" w:rsidRDefault="008A5FFB">
      <w:pPr>
        <w:spacing w:line="600" w:lineRule="exact"/>
        <w:ind w:firstLineChars="200" w:firstLine="643"/>
        <w:outlineLvl w:val="2"/>
        <w:rPr>
          <w:rFonts w:ascii="仿宋" w:eastAsia="仿宋" w:hAnsi="仿宋"/>
          <w:b/>
          <w:color w:val="000000"/>
          <w:sz w:val="32"/>
          <w:szCs w:val="32"/>
        </w:rPr>
      </w:pPr>
      <w:bookmarkStart w:id="38" w:name="_Toc15377210"/>
      <w:r>
        <w:rPr>
          <w:rFonts w:ascii="仿宋" w:eastAsia="仿宋" w:hAnsi="仿宋" w:hint="eastAsia"/>
          <w:b/>
          <w:color w:val="000000"/>
          <w:sz w:val="32"/>
          <w:szCs w:val="32"/>
        </w:rPr>
        <w:t>（一）一般公共预算财政拨款支出决算总体情况</w:t>
      </w:r>
      <w:bookmarkEnd w:id="38"/>
    </w:p>
    <w:p w:rsidR="003D27E6" w:rsidRDefault="008A5FFB">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863.52</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543.63</w:t>
      </w:r>
      <w:r>
        <w:rPr>
          <w:rFonts w:ascii="仿宋" w:eastAsia="仿宋" w:hAnsi="仿宋" w:hint="eastAsia"/>
          <w:color w:val="000000"/>
          <w:sz w:val="32"/>
          <w:szCs w:val="32"/>
        </w:rPr>
        <w:t>万元，增长</w:t>
      </w:r>
      <w:r>
        <w:rPr>
          <w:rFonts w:ascii="仿宋" w:eastAsia="仿宋" w:hAnsi="仿宋" w:hint="eastAsia"/>
          <w:color w:val="000000"/>
          <w:sz w:val="32"/>
          <w:szCs w:val="32"/>
        </w:rPr>
        <w:t>169.94</w:t>
      </w:r>
      <w:r>
        <w:rPr>
          <w:rFonts w:ascii="仿宋" w:eastAsia="仿宋" w:hAnsi="仿宋"/>
          <w:color w:val="000000"/>
          <w:sz w:val="32"/>
          <w:szCs w:val="32"/>
        </w:rPr>
        <w:t>%</w:t>
      </w:r>
      <w:r>
        <w:rPr>
          <w:rFonts w:ascii="仿宋" w:eastAsia="仿宋" w:hAnsi="仿宋" w:hint="eastAsia"/>
          <w:color w:val="000000"/>
          <w:sz w:val="32"/>
          <w:szCs w:val="32"/>
        </w:rPr>
        <w:t>。主要变动原因是公墓扩建项目征地支出</w:t>
      </w:r>
      <w:r>
        <w:rPr>
          <w:rFonts w:ascii="仿宋" w:eastAsia="仿宋" w:hAnsi="仿宋" w:hint="eastAsia"/>
          <w:color w:val="000000"/>
          <w:sz w:val="32"/>
          <w:szCs w:val="32"/>
        </w:rPr>
        <w:t>655</w:t>
      </w:r>
      <w:r>
        <w:rPr>
          <w:rFonts w:ascii="仿宋" w:eastAsia="仿宋" w:hAnsi="仿宋" w:hint="eastAsia"/>
          <w:color w:val="000000"/>
          <w:sz w:val="32"/>
          <w:szCs w:val="32"/>
        </w:rPr>
        <w:t>万元。</w:t>
      </w:r>
    </w:p>
    <w:p w:rsidR="003D27E6" w:rsidRDefault="008A5FF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w:t>
      </w:r>
    </w:p>
    <w:p w:rsidR="003D27E6" w:rsidRDefault="008A5FFB">
      <w:pPr>
        <w:ind w:firstLineChars="200" w:firstLine="640"/>
        <w:rPr>
          <w:rFonts w:ascii="仿宋" w:eastAsia="仿宋" w:hAnsi="仿宋"/>
          <w:color w:val="000000" w:themeColor="text1"/>
          <w:sz w:val="32"/>
          <w:szCs w:val="32"/>
        </w:rPr>
      </w:pPr>
      <w:r>
        <w:rPr>
          <w:rFonts w:ascii="仿宋" w:eastAsia="仿宋" w:hAnsi="仿宋"/>
          <w:noProof/>
          <w:color w:val="000000" w:themeColor="text1"/>
          <w:sz w:val="32"/>
          <w:szCs w:val="32"/>
        </w:rPr>
        <w:lastRenderedPageBreak/>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27E6" w:rsidRDefault="008A5FFB">
      <w:pPr>
        <w:spacing w:line="600" w:lineRule="exact"/>
        <w:ind w:firstLineChars="200" w:firstLine="643"/>
        <w:outlineLvl w:val="2"/>
        <w:rPr>
          <w:rFonts w:ascii="仿宋" w:eastAsia="仿宋" w:hAnsi="仿宋"/>
          <w:b/>
          <w:color w:val="000000"/>
          <w:sz w:val="32"/>
          <w:szCs w:val="32"/>
        </w:rPr>
      </w:pPr>
      <w:bookmarkStart w:id="39" w:name="_Toc15377211"/>
      <w:r>
        <w:rPr>
          <w:rFonts w:ascii="仿宋" w:eastAsia="仿宋" w:hAnsi="仿宋" w:hint="eastAsia"/>
          <w:b/>
          <w:color w:val="000000"/>
          <w:sz w:val="32"/>
          <w:szCs w:val="32"/>
        </w:rPr>
        <w:t>（二）一般公共预算财政拨款支出决算结构情况</w:t>
      </w:r>
      <w:bookmarkEnd w:id="39"/>
    </w:p>
    <w:p w:rsidR="003D27E6" w:rsidRDefault="008A5FFB">
      <w:pPr>
        <w:spacing w:line="600" w:lineRule="exact"/>
        <w:ind w:firstLine="640"/>
        <w:rPr>
          <w:rFonts w:ascii="仿宋" w:eastAsia="仿宋" w:hAnsi="仿宋"/>
          <w:b/>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863.52</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859.93</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99.58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color w:val="000000" w:themeColor="text1"/>
          <w:sz w:val="32"/>
          <w:szCs w:val="32"/>
        </w:rPr>
        <w:t>1.44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0.17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住房保障支出</w:t>
      </w:r>
      <w:r>
        <w:rPr>
          <w:rFonts w:ascii="仿宋" w:eastAsia="仿宋" w:hAnsi="仿宋" w:hint="eastAsia"/>
          <w:color w:val="000000" w:themeColor="text1"/>
          <w:sz w:val="32"/>
          <w:szCs w:val="32"/>
        </w:rPr>
        <w:t>2.15</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0.25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3D27E6" w:rsidRDefault="008A5FF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w:t>
      </w:r>
    </w:p>
    <w:p w:rsidR="003D27E6" w:rsidRDefault="008A5FFB">
      <w:pPr>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27E6" w:rsidRDefault="008A5FFB">
      <w:pPr>
        <w:spacing w:line="600" w:lineRule="exact"/>
        <w:ind w:firstLineChars="200" w:firstLine="643"/>
        <w:outlineLvl w:val="2"/>
        <w:rPr>
          <w:rFonts w:ascii="仿宋" w:eastAsia="仿宋" w:hAnsi="仿宋"/>
          <w:b/>
          <w:color w:val="000000"/>
          <w:sz w:val="32"/>
          <w:szCs w:val="32"/>
        </w:rPr>
      </w:pPr>
      <w:bookmarkStart w:id="40" w:name="_Toc15377212"/>
      <w:r>
        <w:rPr>
          <w:rFonts w:ascii="仿宋" w:eastAsia="仿宋" w:hAnsi="仿宋" w:hint="eastAsia"/>
          <w:b/>
          <w:color w:val="000000"/>
          <w:sz w:val="32"/>
          <w:szCs w:val="32"/>
        </w:rPr>
        <w:lastRenderedPageBreak/>
        <w:t>（三）一般公共预算财政拨款支出决算具体情况</w:t>
      </w:r>
      <w:bookmarkEnd w:id="40"/>
    </w:p>
    <w:p w:rsidR="003D27E6" w:rsidRDefault="008A5FFB">
      <w:pPr>
        <w:spacing w:line="600" w:lineRule="exact"/>
        <w:ind w:firstLineChars="200" w:firstLine="643"/>
        <w:outlineLvl w:val="2"/>
        <w:rPr>
          <w:rFonts w:ascii="仿宋" w:eastAsia="仿宋" w:hAnsi="仿宋"/>
          <w:color w:val="FF0000"/>
          <w:sz w:val="32"/>
          <w:szCs w:val="32"/>
        </w:rPr>
      </w:pPr>
      <w:bookmarkStart w:id="41" w:name="_Toc15377213"/>
      <w:bookmarkStart w:id="42" w:name="_Toc15377444"/>
      <w:bookmarkStart w:id="43" w:name="_Toc15378460"/>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年般公共预算支出决算数为</w:t>
      </w:r>
      <w:r>
        <w:rPr>
          <w:rFonts w:ascii="仿宋" w:eastAsia="仿宋" w:hAnsi="仿宋" w:hint="eastAsia"/>
          <w:b/>
          <w:color w:val="000000" w:themeColor="text1"/>
          <w:sz w:val="32"/>
          <w:szCs w:val="32"/>
        </w:rPr>
        <w:t>863.52</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w:t>
      </w:r>
      <w:r>
        <w:rPr>
          <w:rStyle w:val="a8"/>
          <w:rFonts w:ascii="仿宋" w:eastAsia="仿宋" w:hAnsi="仿宋" w:hint="eastAsia"/>
          <w:bCs/>
          <w:color w:val="000000"/>
          <w:sz w:val="32"/>
          <w:szCs w:val="32"/>
        </w:rPr>
        <w:t>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41"/>
      <w:bookmarkEnd w:id="42"/>
      <w:bookmarkEnd w:id="43"/>
    </w:p>
    <w:p w:rsidR="003D27E6" w:rsidRDefault="008A5FFB">
      <w:pPr>
        <w:numPr>
          <w:ilvl w:val="0"/>
          <w:numId w:val="2"/>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社会保障和就业（类）行政事业单位离退休（款）事业单位离退休（项）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3.45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w:t>
      </w:r>
    </w:p>
    <w:p w:rsidR="003D27E6" w:rsidRDefault="008A5FFB">
      <w:pPr>
        <w:numPr>
          <w:ilvl w:val="0"/>
          <w:numId w:val="2"/>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社会保障和就业（类）行政事业单位离退休（款）</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机关事业单位基本养老保险缴费支出（项）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0.8</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w:t>
      </w:r>
    </w:p>
    <w:p w:rsidR="003D27E6" w:rsidRDefault="008A5FFB">
      <w:pPr>
        <w:numPr>
          <w:ilvl w:val="0"/>
          <w:numId w:val="2"/>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社会保障和就业（类）行政事业单位离退休（款）</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机关事业单位职业年金缴费支出（项）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0.92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w:t>
      </w:r>
    </w:p>
    <w:p w:rsidR="003D27E6" w:rsidRDefault="008A5FFB">
      <w:pPr>
        <w:numPr>
          <w:ilvl w:val="0"/>
          <w:numId w:val="2"/>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社会保障和就业（类）社会福利（款）殡葬（项）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854.76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w:t>
      </w:r>
    </w:p>
    <w:p w:rsidR="003D27E6" w:rsidRDefault="008A5FFB">
      <w:pPr>
        <w:numPr>
          <w:ilvl w:val="0"/>
          <w:numId w:val="2"/>
        </w:num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卫生健康（类）行政事业单位医疗（款）事业单位医疗（项）</w:t>
      </w:r>
      <w:r>
        <w:rPr>
          <w:rStyle w:val="a8"/>
          <w:rFonts w:ascii="仿宋" w:eastAsia="仿宋" w:hAnsi="仿宋" w:hint="eastAsia"/>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0.66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hint="eastAsia"/>
          <w:b w:val="0"/>
          <w:bCs/>
          <w:color w:val="000000"/>
          <w:sz w:val="32"/>
          <w:szCs w:val="32"/>
        </w:rPr>
        <w:t>，决算数等于预算数。</w:t>
      </w:r>
    </w:p>
    <w:p w:rsidR="003D27E6" w:rsidRDefault="008A5FFB">
      <w:pPr>
        <w:numPr>
          <w:ilvl w:val="0"/>
          <w:numId w:val="2"/>
        </w:num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卫生健康（类）行政事业单位医疗（款）公务员医疗补助（项）</w:t>
      </w:r>
      <w:r>
        <w:rPr>
          <w:rStyle w:val="a8"/>
          <w:rFonts w:ascii="仿宋" w:eastAsia="仿宋" w:hAnsi="仿宋" w:hint="eastAsia"/>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0.72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hint="eastAsia"/>
          <w:b w:val="0"/>
          <w:bCs/>
          <w:color w:val="000000"/>
          <w:sz w:val="32"/>
          <w:szCs w:val="32"/>
        </w:rPr>
        <w:t>，决算数等于预算数。</w:t>
      </w:r>
    </w:p>
    <w:p w:rsidR="003D27E6" w:rsidRDefault="008A5FFB">
      <w:pPr>
        <w:numPr>
          <w:ilvl w:val="0"/>
          <w:numId w:val="2"/>
        </w:num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卫生健康（类）其他卫生健康支出（款）其他卫生健康支出（项）</w:t>
      </w:r>
      <w:r>
        <w:rPr>
          <w:rStyle w:val="a8"/>
          <w:rFonts w:ascii="仿宋" w:eastAsia="仿宋" w:hAnsi="仿宋" w:hint="eastAsia"/>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0.05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hint="eastAsia"/>
          <w:b w:val="0"/>
          <w:bCs/>
          <w:color w:val="000000"/>
          <w:sz w:val="32"/>
          <w:szCs w:val="32"/>
        </w:rPr>
        <w:t>%</w:t>
      </w:r>
      <w:r>
        <w:rPr>
          <w:rStyle w:val="a8"/>
          <w:rFonts w:ascii="仿宋" w:eastAsia="仿宋" w:hAnsi="仿宋" w:hint="eastAsia"/>
          <w:b w:val="0"/>
          <w:bCs/>
          <w:color w:val="000000"/>
          <w:sz w:val="32"/>
          <w:szCs w:val="32"/>
        </w:rPr>
        <w:t>，决</w:t>
      </w:r>
      <w:r>
        <w:rPr>
          <w:rStyle w:val="a8"/>
          <w:rFonts w:ascii="仿宋" w:eastAsia="仿宋" w:hAnsi="仿宋" w:hint="eastAsia"/>
          <w:b w:val="0"/>
          <w:bCs/>
          <w:color w:val="000000"/>
          <w:sz w:val="32"/>
          <w:szCs w:val="32"/>
        </w:rPr>
        <w:lastRenderedPageBreak/>
        <w:t>算数等于预算数。</w:t>
      </w:r>
    </w:p>
    <w:p w:rsidR="003D27E6" w:rsidRDefault="008A5FFB">
      <w:pPr>
        <w:numPr>
          <w:ilvl w:val="0"/>
          <w:numId w:val="2"/>
        </w:numPr>
        <w:spacing w:line="600" w:lineRule="exact"/>
        <w:ind w:firstLineChars="200" w:firstLine="643"/>
        <w:rPr>
          <w:rStyle w:val="a8"/>
          <w:rFonts w:ascii="仿宋" w:eastAsia="仿宋" w:hAnsi="仿宋"/>
          <w:bCs/>
          <w:color w:val="000000"/>
          <w:sz w:val="32"/>
          <w:szCs w:val="32"/>
        </w:rPr>
      </w:pPr>
      <w:r>
        <w:rPr>
          <w:rStyle w:val="a8"/>
          <w:rFonts w:ascii="仿宋" w:eastAsia="仿宋" w:hAnsi="仿宋" w:hint="eastAsia"/>
          <w:bCs/>
          <w:color w:val="000000"/>
          <w:sz w:val="32"/>
          <w:szCs w:val="32"/>
        </w:rPr>
        <w:t>住房保障（类）住房改革支出（款）住房公积金（项）</w:t>
      </w:r>
      <w:r>
        <w:rPr>
          <w:rStyle w:val="a8"/>
          <w:rFonts w:ascii="仿宋" w:eastAsia="仿宋" w:hAnsi="仿宋" w:hint="eastAsia"/>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2.15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hint="eastAsia"/>
          <w:b w:val="0"/>
          <w:bCs/>
          <w:color w:val="000000"/>
          <w:sz w:val="32"/>
          <w:szCs w:val="32"/>
        </w:rPr>
        <w:t>，决算数等于预算数。</w:t>
      </w:r>
    </w:p>
    <w:p w:rsidR="003D27E6" w:rsidRDefault="008A5FFB">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3D27E6" w:rsidRDefault="008A5FFB">
      <w:pPr>
        <w:tabs>
          <w:tab w:val="right" w:pos="8306"/>
        </w:tabs>
        <w:spacing w:line="600" w:lineRule="exact"/>
        <w:ind w:firstLine="640"/>
        <w:outlineLvl w:val="1"/>
        <w:rPr>
          <w:rStyle w:val="2Char"/>
        </w:rPr>
      </w:pPr>
      <w:bookmarkStart w:id="44" w:name="_Toc15396608"/>
      <w:bookmarkStart w:id="45"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4"/>
      <w:bookmarkEnd w:id="45"/>
      <w:r>
        <w:rPr>
          <w:rStyle w:val="2Char"/>
          <w:rFonts w:ascii="黑体" w:eastAsia="黑体" w:hAnsi="黑体"/>
          <w:b w:val="0"/>
        </w:rPr>
        <w:tab/>
      </w:r>
    </w:p>
    <w:p w:rsidR="003D27E6" w:rsidRDefault="008A5FFB">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195.39</w:t>
      </w:r>
      <w:r>
        <w:rPr>
          <w:rFonts w:ascii="仿宋" w:eastAsia="仿宋" w:hAnsi="仿宋" w:hint="eastAsia"/>
          <w:color w:val="000000"/>
          <w:sz w:val="32"/>
          <w:szCs w:val="32"/>
        </w:rPr>
        <w:t>万元，其中：</w:t>
      </w:r>
    </w:p>
    <w:p w:rsidR="003D27E6" w:rsidRDefault="008A5FFB">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111.75</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83.64</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w:t>
      </w:r>
      <w:r>
        <w:rPr>
          <w:rFonts w:ascii="仿宋" w:eastAsia="仿宋" w:hAnsi="仿宋" w:hint="eastAsia"/>
          <w:color w:val="000000"/>
          <w:sz w:val="32"/>
          <w:szCs w:val="32"/>
        </w:rPr>
        <w:t>其他交通费、税金及附加费用、其他商品和服务支出、办公设备购置、专用设备购置、信息网络及软件购置更新、其他资本性支出等。</w:t>
      </w:r>
    </w:p>
    <w:p w:rsidR="003D27E6" w:rsidRDefault="008A5FFB">
      <w:pPr>
        <w:spacing w:line="600" w:lineRule="exact"/>
        <w:ind w:firstLine="640"/>
        <w:outlineLvl w:val="1"/>
        <w:rPr>
          <w:rStyle w:val="2Char"/>
          <w:rFonts w:ascii="黑体" w:eastAsia="黑体" w:hAnsi="黑体"/>
          <w:b w:val="0"/>
        </w:rPr>
      </w:pPr>
      <w:bookmarkStart w:id="46" w:name="_Toc15396609"/>
      <w:bookmarkStart w:id="47"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6"/>
      <w:bookmarkEnd w:id="47"/>
    </w:p>
    <w:p w:rsidR="003D27E6" w:rsidRDefault="008A5FFB">
      <w:pPr>
        <w:spacing w:line="600" w:lineRule="exact"/>
        <w:ind w:firstLine="640"/>
        <w:outlineLvl w:val="2"/>
        <w:rPr>
          <w:rFonts w:ascii="仿宋" w:eastAsia="仿宋" w:hAnsi="仿宋"/>
          <w:b/>
          <w:color w:val="000000"/>
          <w:sz w:val="32"/>
          <w:szCs w:val="32"/>
        </w:rPr>
      </w:pPr>
      <w:bookmarkStart w:id="48" w:name="_Toc15377216"/>
      <w:r>
        <w:rPr>
          <w:rFonts w:ascii="仿宋" w:eastAsia="仿宋" w:hAnsi="仿宋" w:hint="eastAsia"/>
          <w:b/>
          <w:color w:val="000000"/>
          <w:sz w:val="32"/>
          <w:szCs w:val="32"/>
        </w:rPr>
        <w:lastRenderedPageBreak/>
        <w:t>（一）“三公”经费财政拨款支出决算总体情况说明</w:t>
      </w:r>
      <w:bookmarkEnd w:id="48"/>
    </w:p>
    <w:p w:rsidR="003D27E6" w:rsidRDefault="008A5FF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6.78</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，决算数与预算数持平。</w:t>
      </w:r>
    </w:p>
    <w:p w:rsidR="003D27E6" w:rsidRDefault="008A5FFB">
      <w:pPr>
        <w:spacing w:line="600" w:lineRule="exact"/>
        <w:ind w:firstLine="640"/>
        <w:outlineLvl w:val="2"/>
        <w:rPr>
          <w:rFonts w:ascii="仿宋" w:eastAsia="仿宋" w:hAnsi="仿宋"/>
          <w:b/>
          <w:color w:val="000000"/>
          <w:sz w:val="32"/>
          <w:szCs w:val="32"/>
        </w:rPr>
      </w:pPr>
      <w:bookmarkStart w:id="49" w:name="_Toc15377217"/>
      <w:r>
        <w:rPr>
          <w:rFonts w:ascii="仿宋" w:eastAsia="仿宋" w:hAnsi="仿宋" w:hint="eastAsia"/>
          <w:b/>
          <w:color w:val="000000"/>
          <w:sz w:val="32"/>
          <w:szCs w:val="32"/>
        </w:rPr>
        <w:t>（二）“三公”经费财政拨款支出决算具体情况说明</w:t>
      </w:r>
      <w:bookmarkEnd w:id="49"/>
    </w:p>
    <w:p w:rsidR="003D27E6" w:rsidRDefault="008A5FFB">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6</w:t>
      </w:r>
      <w:r>
        <w:rPr>
          <w:rFonts w:ascii="仿宋" w:eastAsia="仿宋" w:hAnsi="仿宋" w:hint="eastAsia"/>
          <w:color w:val="000000"/>
          <w:sz w:val="32"/>
          <w:szCs w:val="32"/>
        </w:rPr>
        <w:t>万元，占</w:t>
      </w:r>
      <w:r>
        <w:rPr>
          <w:rFonts w:ascii="仿宋" w:eastAsia="仿宋" w:hAnsi="仿宋" w:hint="eastAsia"/>
          <w:color w:val="000000"/>
          <w:sz w:val="32"/>
          <w:szCs w:val="32"/>
        </w:rPr>
        <w:t>88.5</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0.78</w:t>
      </w:r>
      <w:r>
        <w:rPr>
          <w:rFonts w:ascii="仿宋" w:eastAsia="仿宋" w:hAnsi="仿宋" w:hint="eastAsia"/>
          <w:color w:val="000000"/>
          <w:sz w:val="32"/>
          <w:szCs w:val="32"/>
        </w:rPr>
        <w:t>万元，占</w:t>
      </w:r>
      <w:r>
        <w:rPr>
          <w:rFonts w:ascii="仿宋" w:eastAsia="仿宋" w:hAnsi="仿宋" w:hint="eastAsia"/>
          <w:color w:val="000000"/>
          <w:sz w:val="32"/>
          <w:szCs w:val="32"/>
        </w:rPr>
        <w:t>11.5</w:t>
      </w:r>
      <w:r>
        <w:rPr>
          <w:rFonts w:ascii="仿宋" w:eastAsia="仿宋" w:hAnsi="仿宋"/>
          <w:color w:val="000000"/>
          <w:sz w:val="32"/>
          <w:szCs w:val="32"/>
        </w:rPr>
        <w:t>%</w:t>
      </w:r>
      <w:r>
        <w:rPr>
          <w:rFonts w:ascii="仿宋" w:eastAsia="仿宋" w:hAnsi="仿宋" w:hint="eastAsia"/>
          <w:color w:val="000000"/>
          <w:sz w:val="32"/>
          <w:szCs w:val="32"/>
        </w:rPr>
        <w:t>。具体情况如下：</w:t>
      </w:r>
    </w:p>
    <w:p w:rsidR="003D27E6" w:rsidRDefault="008A5FFB">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w:t>
      </w:r>
    </w:p>
    <w:p w:rsidR="003D27E6" w:rsidRDefault="008A5FFB">
      <w:pPr>
        <w:ind w:firstLine="641"/>
        <w:rPr>
          <w:rFonts w:ascii="仿宋" w:eastAsia="仿宋" w:hAnsi="仿宋"/>
          <w:color w:val="000000"/>
          <w:sz w:val="32"/>
          <w:szCs w:val="32"/>
        </w:rPr>
      </w:pPr>
      <w:r>
        <w:rPr>
          <w:rFonts w:ascii="仿宋" w:eastAsia="仿宋" w:hAnsi="仿宋" w:hint="eastAsia"/>
          <w:noProof/>
          <w:color w:val="000000"/>
          <w:sz w:val="32"/>
          <w:szCs w:val="32"/>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D27E6" w:rsidRDefault="008A5FFB">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3D27E6" w:rsidRDefault="008A5FF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6</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。公务用车购置及运行维护费支出决算与</w:t>
      </w: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8</w:t>
      </w:r>
      <w:r>
        <w:rPr>
          <w:rStyle w:val="a8"/>
          <w:rFonts w:ascii="仿宋" w:eastAsia="仿宋" w:hAnsi="仿宋" w:hint="eastAsia"/>
          <w:b w:val="0"/>
          <w:bCs/>
          <w:color w:val="000000"/>
          <w:sz w:val="32"/>
          <w:szCs w:val="32"/>
        </w:rPr>
        <w:t>年持平。</w:t>
      </w:r>
    </w:p>
    <w:p w:rsidR="003D27E6" w:rsidRDefault="008A5FF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全年按规定更新购置公务用车</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辆，金额</w:t>
      </w:r>
      <w:r>
        <w:rPr>
          <w:rStyle w:val="a8"/>
          <w:rFonts w:ascii="仿宋" w:eastAsia="仿宋" w:hAnsi="仿宋" w:hint="eastAsia"/>
          <w:b w:val="0"/>
          <w:bCs/>
          <w:color w:val="000000"/>
          <w:sz w:val="32"/>
          <w:szCs w:val="32"/>
        </w:rPr>
        <w:t>0</w:t>
      </w:r>
      <w:r>
        <w:rPr>
          <w:rStyle w:val="a8"/>
          <w:rFonts w:ascii="仿宋" w:eastAsia="仿宋" w:hAnsi="仿宋"/>
          <w:b w:val="0"/>
          <w:bCs/>
          <w:color w:val="000000"/>
          <w:sz w:val="32"/>
          <w:szCs w:val="32"/>
        </w:rPr>
        <w:t>元。</w:t>
      </w:r>
      <w:r>
        <w:rPr>
          <w:rStyle w:val="a8"/>
          <w:rFonts w:ascii="仿宋" w:eastAsia="仿宋" w:hAnsi="仿宋" w:hint="eastAsia"/>
          <w:b w:val="0"/>
          <w:bCs/>
          <w:color w:val="000000"/>
          <w:sz w:val="32"/>
          <w:szCs w:val="32"/>
        </w:rPr>
        <w:t>截至</w:t>
      </w: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年</w:t>
      </w:r>
      <w:r>
        <w:rPr>
          <w:rStyle w:val="a8"/>
          <w:rFonts w:ascii="仿宋" w:eastAsia="仿宋" w:hAnsi="仿宋"/>
          <w:b w:val="0"/>
          <w:bCs/>
          <w:color w:val="000000"/>
          <w:sz w:val="32"/>
          <w:szCs w:val="32"/>
        </w:rPr>
        <w:t>12</w:t>
      </w:r>
      <w:r>
        <w:rPr>
          <w:rStyle w:val="a8"/>
          <w:rFonts w:ascii="仿宋" w:eastAsia="仿宋" w:hAnsi="仿宋" w:hint="eastAsia"/>
          <w:b w:val="0"/>
          <w:bCs/>
          <w:color w:val="000000"/>
          <w:sz w:val="32"/>
          <w:szCs w:val="32"/>
        </w:rPr>
        <w:t>月底，单位共有</w:t>
      </w:r>
      <w:r>
        <w:rPr>
          <w:rStyle w:val="a8"/>
          <w:rFonts w:ascii="仿宋" w:eastAsia="仿宋" w:hAnsi="仿宋" w:hint="eastAsia"/>
          <w:b w:val="0"/>
          <w:bCs/>
          <w:color w:val="000000"/>
          <w:sz w:val="32"/>
          <w:szCs w:val="32"/>
        </w:rPr>
        <w:lastRenderedPageBreak/>
        <w:t>公务用车</w:t>
      </w:r>
      <w:r>
        <w:rPr>
          <w:rStyle w:val="a8"/>
          <w:rFonts w:ascii="仿宋" w:eastAsia="仿宋" w:hAnsi="仿宋" w:hint="eastAsia"/>
          <w:b w:val="0"/>
          <w:bCs/>
          <w:color w:val="000000"/>
          <w:sz w:val="32"/>
          <w:szCs w:val="32"/>
        </w:rPr>
        <w:t>2</w:t>
      </w:r>
      <w:r>
        <w:rPr>
          <w:rStyle w:val="a8"/>
          <w:rFonts w:ascii="仿宋" w:eastAsia="仿宋" w:hAnsi="仿宋" w:hint="eastAsia"/>
          <w:b w:val="0"/>
          <w:bCs/>
          <w:color w:val="000000"/>
          <w:sz w:val="32"/>
          <w:szCs w:val="32"/>
        </w:rPr>
        <w:t>辆，其中：其他用车</w:t>
      </w:r>
      <w:r>
        <w:rPr>
          <w:rStyle w:val="a8"/>
          <w:rFonts w:ascii="仿宋" w:eastAsia="仿宋" w:hAnsi="仿宋" w:hint="eastAsia"/>
          <w:b w:val="0"/>
          <w:bCs/>
          <w:color w:val="000000"/>
          <w:sz w:val="32"/>
          <w:szCs w:val="32"/>
        </w:rPr>
        <w:t>2</w:t>
      </w:r>
      <w:r>
        <w:rPr>
          <w:rStyle w:val="a8"/>
          <w:rFonts w:ascii="仿宋" w:eastAsia="仿宋" w:hAnsi="仿宋" w:hint="eastAsia"/>
          <w:b w:val="0"/>
          <w:bCs/>
          <w:color w:val="000000"/>
          <w:sz w:val="32"/>
          <w:szCs w:val="32"/>
        </w:rPr>
        <w:t>辆。</w:t>
      </w:r>
    </w:p>
    <w:p w:rsidR="003D27E6" w:rsidRDefault="008A5FFB">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主要用于公益性骨灰安放设施建设项目及单位日常工作所需的公务用车燃料费、维修费、过路过桥费、保险费等支出。</w:t>
      </w:r>
    </w:p>
    <w:p w:rsidR="003D27E6" w:rsidRDefault="008A5FFB">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0.78</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。公务接待费支出决算比</w:t>
      </w: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8</w:t>
      </w:r>
      <w:r>
        <w:rPr>
          <w:rStyle w:val="a8"/>
          <w:rFonts w:ascii="仿宋" w:eastAsia="仿宋" w:hAnsi="仿宋" w:hint="eastAsia"/>
          <w:b w:val="0"/>
          <w:bCs/>
          <w:color w:val="000000"/>
          <w:sz w:val="32"/>
          <w:szCs w:val="32"/>
        </w:rPr>
        <w:t>年减少</w:t>
      </w:r>
      <w:r>
        <w:rPr>
          <w:rStyle w:val="a8"/>
          <w:rFonts w:ascii="仿宋" w:eastAsia="仿宋" w:hAnsi="仿宋" w:hint="eastAsia"/>
          <w:b w:val="0"/>
          <w:bCs/>
          <w:color w:val="000000"/>
          <w:sz w:val="32"/>
          <w:szCs w:val="32"/>
        </w:rPr>
        <w:t>0.46</w:t>
      </w:r>
      <w:r>
        <w:rPr>
          <w:rStyle w:val="a8"/>
          <w:rFonts w:ascii="仿宋" w:eastAsia="仿宋" w:hAnsi="仿宋" w:hint="eastAsia"/>
          <w:b w:val="0"/>
          <w:bCs/>
          <w:color w:val="000000"/>
          <w:sz w:val="32"/>
          <w:szCs w:val="32"/>
        </w:rPr>
        <w:t>万元，下降</w:t>
      </w:r>
      <w:r>
        <w:rPr>
          <w:rStyle w:val="a8"/>
          <w:rFonts w:ascii="仿宋" w:eastAsia="仿宋" w:hAnsi="仿宋" w:hint="eastAsia"/>
          <w:b w:val="0"/>
          <w:bCs/>
          <w:color w:val="000000"/>
          <w:sz w:val="32"/>
          <w:szCs w:val="32"/>
        </w:rPr>
        <w:t>37.1</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。主要原因是参观交流学习单位及人员减少。其中：</w:t>
      </w:r>
    </w:p>
    <w:p w:rsidR="003D27E6" w:rsidRDefault="008A5FFB">
      <w:pPr>
        <w:spacing w:line="600" w:lineRule="exact"/>
        <w:ind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国内公务接待支出</w:t>
      </w:r>
      <w:r>
        <w:rPr>
          <w:rStyle w:val="a8"/>
          <w:rFonts w:ascii="仿宋" w:eastAsia="仿宋" w:hAnsi="仿宋" w:hint="eastAsia"/>
          <w:b w:val="0"/>
          <w:bCs/>
          <w:color w:val="000000"/>
          <w:sz w:val="32"/>
          <w:szCs w:val="32"/>
        </w:rPr>
        <w:t>0.78</w:t>
      </w:r>
      <w:r>
        <w:rPr>
          <w:rStyle w:val="a8"/>
          <w:rFonts w:ascii="仿宋" w:eastAsia="仿宋" w:hAnsi="仿宋" w:hint="eastAsia"/>
          <w:b w:val="0"/>
          <w:bCs/>
          <w:color w:val="000000"/>
          <w:sz w:val="32"/>
          <w:szCs w:val="32"/>
        </w:rPr>
        <w:t>万元，主要用于接待人员用餐费。国内公务接待</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批次，</w:t>
      </w:r>
      <w:r>
        <w:rPr>
          <w:rStyle w:val="a8"/>
          <w:rFonts w:ascii="仿宋" w:eastAsia="仿宋" w:hAnsi="仿宋" w:hint="eastAsia"/>
          <w:b w:val="0"/>
          <w:bCs/>
          <w:color w:val="000000"/>
          <w:sz w:val="32"/>
          <w:szCs w:val="32"/>
        </w:rPr>
        <w:t>74</w:t>
      </w:r>
      <w:r>
        <w:rPr>
          <w:rStyle w:val="a8"/>
          <w:rFonts w:ascii="仿宋" w:eastAsia="仿宋" w:hAnsi="仿宋" w:hint="eastAsia"/>
          <w:b w:val="0"/>
          <w:bCs/>
          <w:color w:val="000000"/>
          <w:sz w:val="32"/>
          <w:szCs w:val="32"/>
        </w:rPr>
        <w:t>人次（不包括陪同人员），共计支出</w:t>
      </w:r>
      <w:r>
        <w:rPr>
          <w:rStyle w:val="a8"/>
          <w:rFonts w:ascii="仿宋" w:eastAsia="仿宋" w:hAnsi="仿宋" w:hint="eastAsia"/>
          <w:b w:val="0"/>
          <w:bCs/>
          <w:color w:val="000000"/>
          <w:sz w:val="32"/>
          <w:szCs w:val="32"/>
        </w:rPr>
        <w:t>0.78</w:t>
      </w:r>
      <w:r>
        <w:rPr>
          <w:rStyle w:val="a8"/>
          <w:rFonts w:ascii="仿宋" w:eastAsia="仿宋" w:hAnsi="仿宋" w:hint="eastAsia"/>
          <w:b w:val="0"/>
          <w:bCs/>
          <w:color w:val="000000"/>
          <w:sz w:val="32"/>
          <w:szCs w:val="32"/>
        </w:rPr>
        <w:t>万元，具体内容包括：</w:t>
      </w:r>
    </w:p>
    <w:p w:rsidR="003D27E6" w:rsidRDefault="008A5FFB">
      <w:pPr>
        <w:spacing w:line="600" w:lineRule="exact"/>
        <w:ind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(1).</w:t>
      </w:r>
      <w:r>
        <w:rPr>
          <w:rStyle w:val="a8"/>
          <w:rFonts w:ascii="仿宋" w:eastAsia="仿宋" w:hAnsi="仿宋" w:hint="eastAsia"/>
          <w:b w:val="0"/>
          <w:bCs/>
          <w:color w:val="000000"/>
          <w:sz w:val="32"/>
          <w:szCs w:val="32"/>
        </w:rPr>
        <w:t>接待内江市中区民政局调研殡葬综合改革试点工作和公益性公墓建设情况，接待</w:t>
      </w:r>
      <w:r>
        <w:rPr>
          <w:rStyle w:val="a8"/>
          <w:rFonts w:ascii="仿宋" w:eastAsia="仿宋" w:hAnsi="仿宋" w:hint="eastAsia"/>
          <w:b w:val="0"/>
          <w:bCs/>
          <w:color w:val="000000"/>
          <w:sz w:val="32"/>
          <w:szCs w:val="32"/>
        </w:rPr>
        <w:t>12</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1240</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(2).</w:t>
      </w:r>
      <w:r>
        <w:rPr>
          <w:rStyle w:val="a8"/>
          <w:rFonts w:ascii="仿宋" w:eastAsia="仿宋" w:hAnsi="仿宋" w:hint="eastAsia"/>
          <w:b w:val="0"/>
          <w:bCs/>
          <w:color w:val="000000"/>
          <w:sz w:val="32"/>
          <w:szCs w:val="32"/>
        </w:rPr>
        <w:t>接待什邡市青山公墓考察学习公墓管理情况，接待</w:t>
      </w:r>
      <w:r>
        <w:rPr>
          <w:rStyle w:val="a8"/>
          <w:rFonts w:ascii="仿宋" w:eastAsia="仿宋" w:hAnsi="仿宋" w:hint="eastAsia"/>
          <w:b w:val="0"/>
          <w:bCs/>
          <w:color w:val="000000"/>
          <w:sz w:val="32"/>
          <w:szCs w:val="32"/>
        </w:rPr>
        <w:t>8</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858</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(3).</w:t>
      </w:r>
      <w:r>
        <w:rPr>
          <w:rStyle w:val="a8"/>
          <w:rFonts w:ascii="仿宋" w:eastAsia="仿宋" w:hAnsi="仿宋" w:hint="eastAsia"/>
          <w:b w:val="0"/>
          <w:bCs/>
          <w:color w:val="000000"/>
          <w:sz w:val="32"/>
          <w:szCs w:val="32"/>
        </w:rPr>
        <w:t>接待中江县殡仪馆交流学习清明节前期工作，接待</w:t>
      </w:r>
      <w:r>
        <w:rPr>
          <w:rStyle w:val="a8"/>
          <w:rFonts w:ascii="仿宋" w:eastAsia="仿宋" w:hAnsi="仿宋" w:hint="eastAsia"/>
          <w:b w:val="0"/>
          <w:bCs/>
          <w:color w:val="000000"/>
          <w:sz w:val="32"/>
          <w:szCs w:val="32"/>
        </w:rPr>
        <w:t>7</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886</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(4).</w:t>
      </w:r>
      <w:r>
        <w:rPr>
          <w:rStyle w:val="a8"/>
          <w:rFonts w:ascii="仿宋" w:eastAsia="仿宋" w:hAnsi="仿宋" w:hint="eastAsia"/>
          <w:b w:val="0"/>
          <w:bCs/>
          <w:color w:val="000000"/>
          <w:sz w:val="32"/>
          <w:szCs w:val="32"/>
        </w:rPr>
        <w:t>接待内江市民政局学习殡葬改革有关工作，接待</w:t>
      </w:r>
      <w:r>
        <w:rPr>
          <w:rStyle w:val="a8"/>
          <w:rFonts w:ascii="仿宋" w:eastAsia="仿宋" w:hAnsi="仿宋" w:hint="eastAsia"/>
          <w:b w:val="0"/>
          <w:bCs/>
          <w:color w:val="000000"/>
          <w:sz w:val="32"/>
          <w:szCs w:val="32"/>
        </w:rPr>
        <w:t>11</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830</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(5).</w:t>
      </w:r>
      <w:r>
        <w:rPr>
          <w:rStyle w:val="a8"/>
          <w:rFonts w:ascii="仿宋" w:eastAsia="仿宋" w:hAnsi="仿宋" w:hint="eastAsia"/>
          <w:b w:val="0"/>
          <w:bCs/>
          <w:color w:val="000000"/>
          <w:sz w:val="32"/>
          <w:szCs w:val="32"/>
        </w:rPr>
        <w:t>接待广安市前锋区民政局交流学习殡葬改革有关工作，接待</w:t>
      </w:r>
      <w:r>
        <w:rPr>
          <w:rStyle w:val="a8"/>
          <w:rFonts w:ascii="仿宋" w:eastAsia="仿宋" w:hAnsi="仿宋" w:hint="eastAsia"/>
          <w:b w:val="0"/>
          <w:bCs/>
          <w:color w:val="000000"/>
          <w:sz w:val="32"/>
          <w:szCs w:val="32"/>
        </w:rPr>
        <w:t>7</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846</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(6).</w:t>
      </w:r>
      <w:r>
        <w:rPr>
          <w:rStyle w:val="a8"/>
          <w:rFonts w:ascii="仿宋" w:eastAsia="仿宋" w:hAnsi="仿宋" w:hint="eastAsia"/>
          <w:b w:val="0"/>
          <w:bCs/>
          <w:color w:val="000000"/>
          <w:sz w:val="32"/>
          <w:szCs w:val="32"/>
        </w:rPr>
        <w:t>接待什邡市民政局交流学习公墓建设及管理工作，接待</w:t>
      </w:r>
      <w:r>
        <w:rPr>
          <w:rStyle w:val="a8"/>
          <w:rFonts w:ascii="仿宋" w:eastAsia="仿宋" w:hAnsi="仿宋" w:hint="eastAsia"/>
          <w:b w:val="0"/>
          <w:bCs/>
          <w:color w:val="000000"/>
          <w:sz w:val="32"/>
          <w:szCs w:val="32"/>
        </w:rPr>
        <w:t>8</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780</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(7).</w:t>
      </w:r>
      <w:r>
        <w:rPr>
          <w:rStyle w:val="a8"/>
          <w:rFonts w:ascii="仿宋" w:eastAsia="仿宋" w:hAnsi="仿宋" w:hint="eastAsia"/>
          <w:b w:val="0"/>
          <w:bCs/>
          <w:color w:val="000000"/>
          <w:sz w:val="32"/>
          <w:szCs w:val="32"/>
        </w:rPr>
        <w:t>接待绵竹市民政局考察学习公益性</w:t>
      </w:r>
      <w:r>
        <w:rPr>
          <w:rStyle w:val="a8"/>
          <w:rFonts w:ascii="仿宋" w:eastAsia="仿宋" w:hAnsi="仿宋" w:hint="eastAsia"/>
          <w:b w:val="0"/>
          <w:bCs/>
          <w:color w:val="000000"/>
          <w:sz w:val="32"/>
          <w:szCs w:val="32"/>
        </w:rPr>
        <w:t>公墓建设情况，接待</w:t>
      </w:r>
      <w:r>
        <w:rPr>
          <w:rStyle w:val="a8"/>
          <w:rFonts w:ascii="仿宋" w:eastAsia="仿宋" w:hAnsi="仿宋" w:hint="eastAsia"/>
          <w:b w:val="0"/>
          <w:bCs/>
          <w:color w:val="000000"/>
          <w:sz w:val="32"/>
          <w:szCs w:val="32"/>
        </w:rPr>
        <w:t>7</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800</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(8).</w:t>
      </w:r>
      <w:r>
        <w:rPr>
          <w:rStyle w:val="a8"/>
          <w:rFonts w:ascii="仿宋" w:eastAsia="仿宋" w:hAnsi="仿宋" w:hint="eastAsia"/>
          <w:b w:val="0"/>
          <w:bCs/>
          <w:color w:val="000000"/>
          <w:sz w:val="32"/>
          <w:szCs w:val="32"/>
        </w:rPr>
        <w:t>接待罗江区民政局考察学习公益性公墓建设情况，接待</w:t>
      </w:r>
      <w:r>
        <w:rPr>
          <w:rStyle w:val="a8"/>
          <w:rFonts w:ascii="仿宋" w:eastAsia="仿宋" w:hAnsi="仿宋" w:hint="eastAsia"/>
          <w:b w:val="0"/>
          <w:bCs/>
          <w:color w:val="000000"/>
          <w:sz w:val="32"/>
          <w:szCs w:val="32"/>
        </w:rPr>
        <w:t>7</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805</w:t>
      </w:r>
      <w:r>
        <w:rPr>
          <w:rStyle w:val="a8"/>
          <w:rFonts w:ascii="仿宋" w:eastAsia="仿宋" w:hAnsi="仿宋" w:hint="eastAsia"/>
          <w:b w:val="0"/>
          <w:bCs/>
          <w:color w:val="000000"/>
          <w:sz w:val="32"/>
          <w:szCs w:val="32"/>
        </w:rPr>
        <w:t>元；</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接待什邡市民政局考察学习公益性公墓建设情况，接待</w:t>
      </w:r>
      <w:r>
        <w:rPr>
          <w:rStyle w:val="a8"/>
          <w:rFonts w:ascii="仿宋" w:eastAsia="仿宋" w:hAnsi="仿宋" w:hint="eastAsia"/>
          <w:b w:val="0"/>
          <w:bCs/>
          <w:color w:val="000000"/>
          <w:sz w:val="32"/>
          <w:szCs w:val="32"/>
        </w:rPr>
        <w:t>7</w:t>
      </w:r>
      <w:r>
        <w:rPr>
          <w:rStyle w:val="a8"/>
          <w:rFonts w:ascii="仿宋" w:eastAsia="仿宋" w:hAnsi="仿宋" w:hint="eastAsia"/>
          <w:b w:val="0"/>
          <w:bCs/>
          <w:color w:val="000000"/>
          <w:sz w:val="32"/>
          <w:szCs w:val="32"/>
        </w:rPr>
        <w:t>人，金额</w:t>
      </w:r>
      <w:r>
        <w:rPr>
          <w:rStyle w:val="a8"/>
          <w:rFonts w:ascii="仿宋" w:eastAsia="仿宋" w:hAnsi="仿宋" w:hint="eastAsia"/>
          <w:b w:val="0"/>
          <w:bCs/>
          <w:color w:val="000000"/>
          <w:sz w:val="32"/>
          <w:szCs w:val="32"/>
        </w:rPr>
        <w:t>716</w:t>
      </w:r>
      <w:r>
        <w:rPr>
          <w:rStyle w:val="a8"/>
          <w:rFonts w:ascii="仿宋" w:eastAsia="仿宋" w:hAnsi="仿宋" w:hint="eastAsia"/>
          <w:b w:val="0"/>
          <w:bCs/>
          <w:color w:val="000000"/>
          <w:sz w:val="32"/>
          <w:szCs w:val="32"/>
        </w:rPr>
        <w:t>元。</w:t>
      </w:r>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lastRenderedPageBreak/>
        <w:t>外事接待支出</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w:t>
      </w:r>
    </w:p>
    <w:p w:rsidR="003D27E6" w:rsidRDefault="008A5FFB">
      <w:pPr>
        <w:spacing w:line="600" w:lineRule="exact"/>
        <w:ind w:firstLine="640"/>
        <w:outlineLvl w:val="1"/>
        <w:rPr>
          <w:rStyle w:val="2Char"/>
          <w:rFonts w:ascii="黑体" w:eastAsia="黑体" w:hAnsi="黑体"/>
        </w:rPr>
      </w:pPr>
      <w:bookmarkStart w:id="50" w:name="_Toc15396610"/>
      <w:bookmarkStart w:id="51"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50"/>
      <w:bookmarkEnd w:id="51"/>
    </w:p>
    <w:p w:rsidR="003D27E6" w:rsidRDefault="008A5FFB">
      <w:pPr>
        <w:spacing w:line="600" w:lineRule="exact"/>
        <w:ind w:firstLineChars="200" w:firstLine="640"/>
        <w:rPr>
          <w:rStyle w:val="a8"/>
          <w:rFonts w:ascii="仿宋" w:eastAsia="仿宋" w:hAnsi="仿宋"/>
          <w:bCs/>
        </w:rPr>
      </w:pP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年政府性基金预算拨款支出</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w:t>
      </w:r>
    </w:p>
    <w:p w:rsidR="003D27E6" w:rsidRDefault="008A5FFB">
      <w:pPr>
        <w:numPr>
          <w:ilvl w:val="0"/>
          <w:numId w:val="3"/>
        </w:numPr>
        <w:spacing w:line="600" w:lineRule="exact"/>
        <w:ind w:firstLine="640"/>
        <w:outlineLvl w:val="1"/>
        <w:rPr>
          <w:rStyle w:val="2Char"/>
          <w:rFonts w:ascii="黑体" w:eastAsia="黑体" w:hAnsi="黑体"/>
          <w:b w:val="0"/>
        </w:rPr>
      </w:pPr>
      <w:bookmarkStart w:id="52" w:name="_Toc15377219"/>
      <w:bookmarkStart w:id="53" w:name="_Toc15396611"/>
      <w:r>
        <w:rPr>
          <w:rStyle w:val="2Char"/>
          <w:rFonts w:ascii="黑体" w:eastAsia="黑体" w:hAnsi="黑体" w:hint="eastAsia"/>
          <w:b w:val="0"/>
        </w:rPr>
        <w:t>国有资本经营预算支出决算情况说明</w:t>
      </w:r>
      <w:bookmarkEnd w:id="52"/>
      <w:bookmarkEnd w:id="53"/>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年国有资本经营预算拨款支出</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w:t>
      </w:r>
    </w:p>
    <w:p w:rsidR="003D27E6" w:rsidRDefault="008A5FFB">
      <w:pPr>
        <w:spacing w:line="600" w:lineRule="exact"/>
        <w:ind w:firstLineChars="250" w:firstLine="800"/>
        <w:outlineLvl w:val="1"/>
        <w:rPr>
          <w:rStyle w:val="2Char"/>
          <w:rFonts w:ascii="黑体" w:eastAsia="黑体" w:hAnsi="黑体"/>
        </w:rPr>
      </w:pPr>
      <w:bookmarkStart w:id="54" w:name="_Toc15396612"/>
      <w:bookmarkStart w:id="55"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4"/>
      <w:bookmarkEnd w:id="55"/>
    </w:p>
    <w:p w:rsidR="003D27E6" w:rsidRDefault="008A5FFB">
      <w:pPr>
        <w:spacing w:line="600" w:lineRule="exact"/>
        <w:ind w:firstLineChars="200" w:firstLine="643"/>
        <w:outlineLvl w:val="2"/>
        <w:rPr>
          <w:rFonts w:ascii="仿宋" w:eastAsia="仿宋" w:hAnsi="仿宋"/>
          <w:color w:val="000000"/>
          <w:sz w:val="32"/>
          <w:szCs w:val="32"/>
        </w:rPr>
      </w:pPr>
      <w:bookmarkStart w:id="56" w:name="_Toc15377222"/>
      <w:r>
        <w:rPr>
          <w:rFonts w:ascii="仿宋" w:eastAsia="仿宋" w:hAnsi="仿宋" w:hint="eastAsia"/>
          <w:b/>
          <w:color w:val="000000"/>
          <w:sz w:val="32"/>
          <w:szCs w:val="32"/>
        </w:rPr>
        <w:t>（一）机关运行经费支出情况</w:t>
      </w:r>
      <w:bookmarkEnd w:id="56"/>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年，单位机关运行经费支出</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w:t>
      </w:r>
    </w:p>
    <w:p w:rsidR="003D27E6" w:rsidRDefault="008A5FF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7" w:name="_Toc15377223"/>
      <w:r>
        <w:rPr>
          <w:rFonts w:ascii="仿宋" w:eastAsia="仿宋" w:hAnsi="仿宋" w:hint="eastAsia"/>
          <w:b/>
          <w:color w:val="000000"/>
          <w:sz w:val="32"/>
          <w:szCs w:val="32"/>
        </w:rPr>
        <w:t>（二）政府采购支出情况</w:t>
      </w:r>
      <w:bookmarkEnd w:id="57"/>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年，单位政府采购支出总额</w:t>
      </w:r>
      <w:r>
        <w:rPr>
          <w:rStyle w:val="a8"/>
          <w:rFonts w:ascii="仿宋" w:eastAsia="仿宋" w:hAnsi="仿宋" w:hint="eastAsia"/>
          <w:b w:val="0"/>
          <w:bCs/>
          <w:color w:val="000000"/>
          <w:sz w:val="32"/>
          <w:szCs w:val="32"/>
        </w:rPr>
        <w:t>49.9</w:t>
      </w:r>
      <w:r>
        <w:rPr>
          <w:rStyle w:val="a8"/>
          <w:rFonts w:ascii="仿宋" w:eastAsia="仿宋" w:hAnsi="仿宋" w:hint="eastAsia"/>
          <w:b w:val="0"/>
          <w:bCs/>
          <w:color w:val="000000"/>
          <w:sz w:val="32"/>
          <w:szCs w:val="32"/>
        </w:rPr>
        <w:t>万元，其中：政府采购服务支出</w:t>
      </w:r>
      <w:r>
        <w:rPr>
          <w:rStyle w:val="a8"/>
          <w:rFonts w:ascii="仿宋" w:eastAsia="仿宋" w:hAnsi="仿宋" w:hint="eastAsia"/>
          <w:b w:val="0"/>
          <w:bCs/>
          <w:color w:val="000000"/>
          <w:sz w:val="32"/>
          <w:szCs w:val="32"/>
        </w:rPr>
        <w:t>49.9</w:t>
      </w:r>
      <w:r>
        <w:rPr>
          <w:rStyle w:val="a8"/>
          <w:rFonts w:ascii="仿宋" w:eastAsia="仿宋" w:hAnsi="仿宋" w:hint="eastAsia"/>
          <w:b w:val="0"/>
          <w:bCs/>
          <w:color w:val="000000"/>
          <w:sz w:val="32"/>
          <w:szCs w:val="32"/>
        </w:rPr>
        <w:t>万元。主要用于墓区环境卫生及绿化养护服务工作。授予中小企业合同金额</w:t>
      </w:r>
      <w:r>
        <w:rPr>
          <w:rStyle w:val="a8"/>
          <w:rFonts w:ascii="仿宋" w:eastAsia="仿宋" w:hAnsi="仿宋" w:hint="eastAsia"/>
          <w:b w:val="0"/>
          <w:bCs/>
          <w:color w:val="000000"/>
          <w:sz w:val="32"/>
          <w:szCs w:val="32"/>
        </w:rPr>
        <w:t>49.9</w:t>
      </w:r>
      <w:r>
        <w:rPr>
          <w:rStyle w:val="a8"/>
          <w:rFonts w:ascii="仿宋" w:eastAsia="仿宋" w:hAnsi="仿宋" w:hint="eastAsia"/>
          <w:b w:val="0"/>
          <w:bCs/>
          <w:color w:val="000000"/>
          <w:sz w:val="32"/>
          <w:szCs w:val="32"/>
        </w:rPr>
        <w:t>万元，占政府采购支出总额的</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，其中：授予小微企业合同金额</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万元，占政府采购支出总额的</w:t>
      </w:r>
      <w:r>
        <w:rPr>
          <w:rStyle w:val="a8"/>
          <w:rFonts w:ascii="仿宋" w:eastAsia="仿宋" w:hAnsi="仿宋" w:hint="eastAsia"/>
          <w:b w:val="0"/>
          <w:bCs/>
          <w:color w:val="000000"/>
          <w:sz w:val="32"/>
          <w:szCs w:val="32"/>
        </w:rPr>
        <w:t>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3D27E6" w:rsidRDefault="008A5FF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8" w:name="_Toc15377224"/>
      <w:r>
        <w:rPr>
          <w:rFonts w:ascii="仿宋" w:eastAsia="仿宋" w:hAnsi="仿宋" w:hint="eastAsia"/>
          <w:b/>
          <w:color w:val="000000"/>
          <w:sz w:val="32"/>
          <w:szCs w:val="32"/>
        </w:rPr>
        <w:t>（三）国有资产占有使用情况</w:t>
      </w:r>
      <w:bookmarkEnd w:id="58"/>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截至</w:t>
      </w:r>
      <w:r>
        <w:rPr>
          <w:rStyle w:val="a8"/>
          <w:rFonts w:ascii="仿宋" w:eastAsia="仿宋" w:hAnsi="仿宋"/>
          <w:b w:val="0"/>
          <w:bCs/>
          <w:color w:val="000000"/>
          <w:sz w:val="32"/>
          <w:szCs w:val="32"/>
        </w:rPr>
        <w:t>201</w:t>
      </w:r>
      <w:r>
        <w:rPr>
          <w:rStyle w:val="a8"/>
          <w:rFonts w:ascii="仿宋" w:eastAsia="仿宋" w:hAnsi="仿宋" w:hint="eastAsia"/>
          <w:b w:val="0"/>
          <w:bCs/>
          <w:color w:val="000000"/>
          <w:sz w:val="32"/>
          <w:szCs w:val="32"/>
        </w:rPr>
        <w:t>9</w:t>
      </w:r>
      <w:r>
        <w:rPr>
          <w:rStyle w:val="a8"/>
          <w:rFonts w:ascii="仿宋" w:eastAsia="仿宋" w:hAnsi="仿宋" w:hint="eastAsia"/>
          <w:b w:val="0"/>
          <w:bCs/>
          <w:color w:val="000000"/>
          <w:sz w:val="32"/>
          <w:szCs w:val="32"/>
        </w:rPr>
        <w:t>年</w:t>
      </w:r>
      <w:r>
        <w:rPr>
          <w:rStyle w:val="a8"/>
          <w:rFonts w:ascii="仿宋" w:eastAsia="仿宋" w:hAnsi="仿宋"/>
          <w:b w:val="0"/>
          <w:bCs/>
          <w:color w:val="000000"/>
          <w:sz w:val="32"/>
          <w:szCs w:val="32"/>
        </w:rPr>
        <w:t>12</w:t>
      </w:r>
      <w:r>
        <w:rPr>
          <w:rStyle w:val="a8"/>
          <w:rFonts w:ascii="仿宋" w:eastAsia="仿宋" w:hAnsi="仿宋" w:hint="eastAsia"/>
          <w:b w:val="0"/>
          <w:bCs/>
          <w:color w:val="000000"/>
          <w:sz w:val="32"/>
          <w:szCs w:val="32"/>
        </w:rPr>
        <w:t>月</w:t>
      </w:r>
      <w:r>
        <w:rPr>
          <w:rStyle w:val="a8"/>
          <w:rFonts w:ascii="仿宋" w:eastAsia="仿宋" w:hAnsi="仿宋"/>
          <w:b w:val="0"/>
          <w:bCs/>
          <w:color w:val="000000"/>
          <w:sz w:val="32"/>
          <w:szCs w:val="32"/>
        </w:rPr>
        <w:t>31</w:t>
      </w:r>
      <w:r>
        <w:rPr>
          <w:rStyle w:val="a8"/>
          <w:rFonts w:ascii="仿宋" w:eastAsia="仿宋" w:hAnsi="仿宋" w:hint="eastAsia"/>
          <w:b w:val="0"/>
          <w:bCs/>
          <w:color w:val="000000"/>
          <w:sz w:val="32"/>
          <w:szCs w:val="32"/>
        </w:rPr>
        <w:t>日，单位共有车辆</w:t>
      </w:r>
      <w:r>
        <w:rPr>
          <w:rStyle w:val="a8"/>
          <w:rFonts w:ascii="仿宋" w:eastAsia="仿宋" w:hAnsi="仿宋" w:hint="eastAsia"/>
          <w:b w:val="0"/>
          <w:bCs/>
          <w:color w:val="000000"/>
          <w:sz w:val="32"/>
          <w:szCs w:val="32"/>
        </w:rPr>
        <w:t>2</w:t>
      </w:r>
      <w:r>
        <w:rPr>
          <w:rStyle w:val="a8"/>
          <w:rFonts w:ascii="仿宋" w:eastAsia="仿宋" w:hAnsi="仿宋" w:hint="eastAsia"/>
          <w:b w:val="0"/>
          <w:bCs/>
          <w:color w:val="000000"/>
          <w:sz w:val="32"/>
          <w:szCs w:val="32"/>
        </w:rPr>
        <w:t>辆，其中：其他用车</w:t>
      </w:r>
      <w:r>
        <w:rPr>
          <w:rStyle w:val="a8"/>
          <w:rFonts w:ascii="仿宋" w:eastAsia="仿宋" w:hAnsi="仿宋" w:hint="eastAsia"/>
          <w:b w:val="0"/>
          <w:bCs/>
          <w:color w:val="000000"/>
          <w:sz w:val="32"/>
          <w:szCs w:val="32"/>
        </w:rPr>
        <w:t>2</w:t>
      </w:r>
      <w:r>
        <w:rPr>
          <w:rStyle w:val="a8"/>
          <w:rFonts w:ascii="仿宋" w:eastAsia="仿宋" w:hAnsi="仿宋" w:hint="eastAsia"/>
          <w:b w:val="0"/>
          <w:bCs/>
          <w:color w:val="000000"/>
          <w:sz w:val="32"/>
          <w:szCs w:val="32"/>
        </w:rPr>
        <w:t>辆，其他用车主要是用于单位人员外出办事使用。单价</w:t>
      </w:r>
      <w:r>
        <w:rPr>
          <w:rStyle w:val="a8"/>
          <w:rFonts w:ascii="仿宋" w:eastAsia="仿宋" w:hAnsi="仿宋"/>
          <w:b w:val="0"/>
          <w:bCs/>
          <w:color w:val="000000"/>
          <w:sz w:val="32"/>
          <w:szCs w:val="32"/>
        </w:rPr>
        <w:t>50</w:t>
      </w:r>
      <w:r>
        <w:rPr>
          <w:rStyle w:val="a8"/>
          <w:rFonts w:ascii="仿宋" w:eastAsia="仿宋" w:hAnsi="仿宋" w:hint="eastAsia"/>
          <w:b w:val="0"/>
          <w:bCs/>
          <w:color w:val="000000"/>
          <w:sz w:val="32"/>
          <w:szCs w:val="32"/>
        </w:rPr>
        <w:t>万元以上通用设备</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台（套），单价</w:t>
      </w:r>
      <w:r>
        <w:rPr>
          <w:rStyle w:val="a8"/>
          <w:rFonts w:ascii="仿宋" w:eastAsia="仿宋" w:hAnsi="仿宋"/>
          <w:b w:val="0"/>
          <w:bCs/>
          <w:color w:val="000000"/>
          <w:sz w:val="32"/>
          <w:szCs w:val="32"/>
        </w:rPr>
        <w:t>100</w:t>
      </w:r>
      <w:r>
        <w:rPr>
          <w:rStyle w:val="a8"/>
          <w:rFonts w:ascii="仿宋" w:eastAsia="仿宋" w:hAnsi="仿宋" w:hint="eastAsia"/>
          <w:b w:val="0"/>
          <w:bCs/>
          <w:color w:val="000000"/>
          <w:sz w:val="32"/>
          <w:szCs w:val="32"/>
        </w:rPr>
        <w:t>万元以上专用设备</w:t>
      </w:r>
      <w:r>
        <w:rPr>
          <w:rStyle w:val="a8"/>
          <w:rFonts w:ascii="仿宋" w:eastAsia="仿宋" w:hAnsi="仿宋" w:hint="eastAsia"/>
          <w:b w:val="0"/>
          <w:bCs/>
          <w:color w:val="000000"/>
          <w:sz w:val="32"/>
          <w:szCs w:val="32"/>
        </w:rPr>
        <w:t>0</w:t>
      </w:r>
      <w:r>
        <w:rPr>
          <w:rStyle w:val="a8"/>
          <w:rFonts w:ascii="仿宋" w:eastAsia="仿宋" w:hAnsi="仿宋" w:hint="eastAsia"/>
          <w:b w:val="0"/>
          <w:bCs/>
          <w:color w:val="000000"/>
          <w:sz w:val="32"/>
          <w:szCs w:val="32"/>
        </w:rPr>
        <w:t>台（套）。</w:t>
      </w:r>
    </w:p>
    <w:p w:rsidR="003D27E6" w:rsidRDefault="008A5FFB">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根据预算绩效管理要求，本单位在年初</w:t>
      </w:r>
      <w:r>
        <w:rPr>
          <w:rStyle w:val="a8"/>
          <w:rFonts w:ascii="仿宋" w:eastAsia="仿宋" w:hAnsi="仿宋" w:hint="eastAsia"/>
          <w:b w:val="0"/>
          <w:bCs/>
          <w:color w:val="000000"/>
          <w:sz w:val="32"/>
          <w:szCs w:val="32"/>
        </w:rPr>
        <w:t>预算编制阶段，组织对龙泉山公墓卫生绿化项目、龙泉山公墓改扩建项目开展了预算事前绩效评估，编制了绩效目标，预算执行过程中，</w:t>
      </w:r>
      <w:r>
        <w:rPr>
          <w:rStyle w:val="a8"/>
          <w:rFonts w:ascii="仿宋" w:eastAsia="仿宋" w:hAnsi="仿宋" w:hint="eastAsia"/>
          <w:b w:val="0"/>
          <w:bCs/>
          <w:color w:val="000000"/>
          <w:sz w:val="32"/>
          <w:szCs w:val="32"/>
        </w:rPr>
        <w:lastRenderedPageBreak/>
        <w:t>开展了绩效监控，年终执行完毕后，开展了绩效目标完成情况自评。</w:t>
      </w:r>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本单位按要求对</w:t>
      </w:r>
      <w:r>
        <w:rPr>
          <w:rStyle w:val="a8"/>
          <w:rFonts w:ascii="仿宋" w:eastAsia="仿宋" w:hAnsi="仿宋" w:hint="eastAsia"/>
          <w:b w:val="0"/>
          <w:bCs/>
          <w:color w:val="000000"/>
          <w:sz w:val="32"/>
          <w:szCs w:val="32"/>
        </w:rPr>
        <w:t>2019</w:t>
      </w:r>
      <w:r>
        <w:rPr>
          <w:rStyle w:val="a8"/>
          <w:rFonts w:ascii="仿宋" w:eastAsia="仿宋" w:hAnsi="仿宋" w:hint="eastAsia"/>
          <w:b w:val="0"/>
          <w:bCs/>
          <w:color w:val="000000"/>
          <w:sz w:val="32"/>
          <w:szCs w:val="32"/>
        </w:rPr>
        <w:t>年部门整体支出开展绩效自评，从评价情况来看单位在</w:t>
      </w:r>
      <w:r>
        <w:rPr>
          <w:rStyle w:val="a8"/>
          <w:rFonts w:ascii="仿宋" w:eastAsia="仿宋" w:hAnsi="仿宋" w:hint="eastAsia"/>
          <w:b w:val="0"/>
          <w:bCs/>
          <w:sz w:val="32"/>
          <w:szCs w:val="32"/>
        </w:rPr>
        <w:t>推进人文殡葬、强化墓区管理</w:t>
      </w:r>
      <w:r>
        <w:rPr>
          <w:rFonts w:ascii="仿宋" w:eastAsia="仿宋" w:hAnsi="仿宋" w:hint="eastAsia"/>
          <w:bCs/>
          <w:sz w:val="32"/>
          <w:szCs w:val="32"/>
        </w:rPr>
        <w:t>目标任务完成较好</w:t>
      </w:r>
      <w:r>
        <w:rPr>
          <w:rStyle w:val="a8"/>
          <w:rFonts w:ascii="仿宋" w:eastAsia="仿宋" w:hAnsi="仿宋" w:hint="eastAsia"/>
          <w:b w:val="0"/>
          <w:bCs/>
          <w:color w:val="000000"/>
          <w:sz w:val="32"/>
          <w:szCs w:val="32"/>
        </w:rPr>
        <w:t>。本单位还自行组织了对卫生绿化项目、改扩建项目支出绩效评价（绩效评价报告详见附件）。</w:t>
      </w:r>
    </w:p>
    <w:p w:rsidR="003D27E6" w:rsidRDefault="008A5FFB">
      <w:pPr>
        <w:spacing w:line="600" w:lineRule="exact"/>
        <w:ind w:firstLineChars="200" w:firstLine="640"/>
        <w:rPr>
          <w:rStyle w:val="a8"/>
          <w:rFonts w:ascii="仿宋" w:eastAsia="仿宋" w:hAnsi="仿宋"/>
          <w:b w:val="0"/>
          <w:bCs/>
          <w:color w:val="000000"/>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Pr>
          <w:rStyle w:val="a8"/>
          <w:rFonts w:ascii="仿宋" w:eastAsia="仿宋" w:hAnsi="仿宋" w:hint="eastAsia"/>
          <w:bCs/>
          <w:color w:val="000000"/>
        </w:rPr>
        <w:t xml:space="preserve"> </w:t>
      </w:r>
      <w:r>
        <w:rPr>
          <w:rStyle w:val="a8"/>
          <w:rFonts w:ascii="仿宋" w:eastAsia="仿宋" w:hAnsi="仿宋" w:hint="eastAsia"/>
          <w:b w:val="0"/>
          <w:bCs/>
          <w:color w:val="000000"/>
          <w:sz w:val="32"/>
          <w:szCs w:val="32"/>
        </w:rPr>
        <w:t xml:space="preserve"> </w:t>
      </w:r>
      <w:r>
        <w:rPr>
          <w:rStyle w:val="a8"/>
          <w:rFonts w:ascii="仿宋" w:eastAsia="仿宋" w:hAnsi="仿宋" w:hint="eastAsia"/>
          <w:b w:val="0"/>
          <w:bCs/>
          <w:color w:val="000000"/>
          <w:sz w:val="32"/>
          <w:szCs w:val="32"/>
        </w:rPr>
        <w:t>本单位在</w:t>
      </w:r>
      <w:r>
        <w:rPr>
          <w:rStyle w:val="a8"/>
          <w:rFonts w:ascii="仿宋" w:eastAsia="仿宋" w:hAnsi="仿宋" w:hint="eastAsia"/>
          <w:b w:val="0"/>
          <w:bCs/>
          <w:color w:val="000000"/>
          <w:sz w:val="32"/>
          <w:szCs w:val="32"/>
        </w:rPr>
        <w:t>2019</w:t>
      </w:r>
      <w:r>
        <w:rPr>
          <w:rStyle w:val="a8"/>
          <w:rFonts w:ascii="仿宋" w:eastAsia="仿宋" w:hAnsi="仿宋" w:hint="eastAsia"/>
          <w:b w:val="0"/>
          <w:bCs/>
          <w:color w:val="000000"/>
          <w:sz w:val="32"/>
          <w:szCs w:val="32"/>
        </w:rPr>
        <w:t>年度部门决算中反映龙泉山公墓卫生绿化项目、龙泉山公墓改扩建项目等项目绩效目标实际完成情况。</w:t>
      </w:r>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w:t>
      </w:r>
      <w:r>
        <w:rPr>
          <w:rStyle w:val="a8"/>
          <w:rFonts w:ascii="仿宋" w:eastAsia="仿宋" w:hAnsi="仿宋" w:hint="eastAsia"/>
          <w:b w:val="0"/>
          <w:bCs/>
          <w:color w:val="000000"/>
          <w:sz w:val="32"/>
          <w:szCs w:val="32"/>
        </w:rPr>
        <w:t>1</w:t>
      </w:r>
      <w:r>
        <w:rPr>
          <w:rStyle w:val="a8"/>
          <w:rFonts w:ascii="仿宋" w:eastAsia="仿宋" w:hAnsi="仿宋" w:hint="eastAsia"/>
          <w:b w:val="0"/>
          <w:bCs/>
          <w:color w:val="000000"/>
          <w:sz w:val="32"/>
          <w:szCs w:val="32"/>
        </w:rPr>
        <w:t>）龙泉山公墓卫生绿化项目绩效目标完成情况综述。项目全年预算数</w:t>
      </w:r>
      <w:r>
        <w:rPr>
          <w:rStyle w:val="a8"/>
          <w:rFonts w:ascii="仿宋" w:eastAsia="仿宋" w:hAnsi="仿宋" w:hint="eastAsia"/>
          <w:b w:val="0"/>
          <w:bCs/>
          <w:color w:val="000000"/>
          <w:sz w:val="32"/>
          <w:szCs w:val="32"/>
        </w:rPr>
        <w:t>28.8</w:t>
      </w:r>
      <w:r>
        <w:rPr>
          <w:rStyle w:val="a8"/>
          <w:rFonts w:ascii="仿宋" w:eastAsia="仿宋" w:hAnsi="仿宋" w:hint="eastAsia"/>
          <w:b w:val="0"/>
          <w:bCs/>
          <w:color w:val="000000"/>
          <w:sz w:val="32"/>
          <w:szCs w:val="32"/>
        </w:rPr>
        <w:t>万元，执行数为</w:t>
      </w:r>
      <w:r>
        <w:rPr>
          <w:rStyle w:val="a8"/>
          <w:rFonts w:ascii="仿宋" w:eastAsia="仿宋" w:hAnsi="仿宋" w:hint="eastAsia"/>
          <w:b w:val="0"/>
          <w:bCs/>
          <w:color w:val="000000"/>
          <w:sz w:val="32"/>
          <w:szCs w:val="32"/>
        </w:rPr>
        <w:t>28.8</w:t>
      </w:r>
      <w:r>
        <w:rPr>
          <w:rStyle w:val="a8"/>
          <w:rFonts w:ascii="仿宋" w:eastAsia="仿宋" w:hAnsi="仿宋" w:hint="eastAsia"/>
          <w:b w:val="0"/>
          <w:bCs/>
          <w:color w:val="000000"/>
          <w:sz w:val="32"/>
          <w:szCs w:val="32"/>
        </w:rPr>
        <w:t>万元，完成预算的</w:t>
      </w:r>
      <w:r>
        <w:rPr>
          <w:rStyle w:val="a8"/>
          <w:rFonts w:ascii="仿宋" w:eastAsia="仿宋" w:hAnsi="仿宋" w:hint="eastAsia"/>
          <w:b w:val="0"/>
          <w:bCs/>
          <w:color w:val="000000"/>
          <w:sz w:val="32"/>
          <w:szCs w:val="32"/>
        </w:rPr>
        <w:t>100%</w:t>
      </w:r>
      <w:r>
        <w:rPr>
          <w:rStyle w:val="a8"/>
          <w:rFonts w:ascii="仿宋" w:eastAsia="仿宋" w:hAnsi="仿宋" w:hint="eastAsia"/>
          <w:b w:val="0"/>
          <w:bCs/>
          <w:color w:val="000000"/>
          <w:sz w:val="32"/>
          <w:szCs w:val="32"/>
        </w:rPr>
        <w:t>。通过项目实施，保障了墓区范围内卫生维护及绿化养护，确保群众前来有一个整洁优雅的祭祀环境。</w:t>
      </w:r>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w:t>
      </w:r>
      <w:r>
        <w:rPr>
          <w:rStyle w:val="a8"/>
          <w:rFonts w:ascii="仿宋" w:eastAsia="仿宋" w:hAnsi="仿宋" w:hint="eastAsia"/>
          <w:b w:val="0"/>
          <w:bCs/>
          <w:color w:val="000000"/>
          <w:sz w:val="32"/>
          <w:szCs w:val="32"/>
        </w:rPr>
        <w:t>2</w:t>
      </w:r>
      <w:r>
        <w:rPr>
          <w:rStyle w:val="a8"/>
          <w:rFonts w:ascii="仿宋" w:eastAsia="仿宋" w:hAnsi="仿宋" w:hint="eastAsia"/>
          <w:b w:val="0"/>
          <w:bCs/>
          <w:color w:val="000000"/>
          <w:sz w:val="32"/>
          <w:szCs w:val="32"/>
        </w:rPr>
        <w:t>）龙泉山公墓改扩建项目绩效目标完成情况综述。项目全年预算数</w:t>
      </w:r>
      <w:r>
        <w:rPr>
          <w:rStyle w:val="a8"/>
          <w:rFonts w:ascii="仿宋" w:eastAsia="仿宋" w:hAnsi="仿宋" w:hint="eastAsia"/>
          <w:b w:val="0"/>
          <w:bCs/>
          <w:color w:val="000000"/>
          <w:sz w:val="32"/>
          <w:szCs w:val="32"/>
        </w:rPr>
        <w:t>655</w:t>
      </w:r>
      <w:r>
        <w:rPr>
          <w:rStyle w:val="a8"/>
          <w:rFonts w:ascii="仿宋" w:eastAsia="仿宋" w:hAnsi="仿宋" w:hint="eastAsia"/>
          <w:b w:val="0"/>
          <w:bCs/>
          <w:color w:val="000000"/>
          <w:sz w:val="32"/>
          <w:szCs w:val="32"/>
        </w:rPr>
        <w:t>万元，执行数为</w:t>
      </w:r>
      <w:r>
        <w:rPr>
          <w:rStyle w:val="a8"/>
          <w:rFonts w:ascii="仿宋" w:eastAsia="仿宋" w:hAnsi="仿宋" w:hint="eastAsia"/>
          <w:b w:val="0"/>
          <w:bCs/>
          <w:color w:val="000000"/>
          <w:sz w:val="32"/>
          <w:szCs w:val="32"/>
        </w:rPr>
        <w:t>655</w:t>
      </w:r>
      <w:r>
        <w:rPr>
          <w:rStyle w:val="a8"/>
          <w:rFonts w:ascii="仿宋" w:eastAsia="仿宋" w:hAnsi="仿宋" w:hint="eastAsia"/>
          <w:b w:val="0"/>
          <w:bCs/>
          <w:color w:val="000000"/>
          <w:sz w:val="32"/>
          <w:szCs w:val="32"/>
        </w:rPr>
        <w:t>万元，完成预算的</w:t>
      </w:r>
      <w:r>
        <w:rPr>
          <w:rStyle w:val="a8"/>
          <w:rFonts w:ascii="仿宋" w:eastAsia="仿宋" w:hAnsi="仿宋" w:hint="eastAsia"/>
          <w:b w:val="0"/>
          <w:bCs/>
          <w:color w:val="000000"/>
          <w:sz w:val="32"/>
          <w:szCs w:val="32"/>
        </w:rPr>
        <w:t>100%</w:t>
      </w:r>
      <w:r>
        <w:rPr>
          <w:rStyle w:val="a8"/>
          <w:rFonts w:ascii="仿宋" w:eastAsia="仿宋" w:hAnsi="仿宋" w:hint="eastAsia"/>
          <w:b w:val="0"/>
          <w:bCs/>
          <w:color w:val="000000"/>
          <w:sz w:val="32"/>
          <w:szCs w:val="32"/>
        </w:rPr>
        <w:t>。通过项目实施，征用土地</w:t>
      </w:r>
      <w:r>
        <w:rPr>
          <w:rStyle w:val="a8"/>
          <w:rFonts w:ascii="仿宋" w:eastAsia="仿宋" w:hAnsi="仿宋" w:hint="eastAsia"/>
          <w:b w:val="0"/>
          <w:bCs/>
          <w:color w:val="000000"/>
          <w:sz w:val="32"/>
          <w:szCs w:val="32"/>
        </w:rPr>
        <w:t>181.81</w:t>
      </w:r>
      <w:r>
        <w:rPr>
          <w:rStyle w:val="a8"/>
          <w:rFonts w:ascii="仿宋" w:eastAsia="仿宋" w:hAnsi="仿宋" w:hint="eastAsia"/>
          <w:b w:val="0"/>
          <w:bCs/>
          <w:color w:val="000000"/>
          <w:sz w:val="32"/>
          <w:szCs w:val="32"/>
        </w:rPr>
        <w:t>亩、租用土地</w:t>
      </w:r>
      <w:r>
        <w:rPr>
          <w:rStyle w:val="a8"/>
          <w:rFonts w:ascii="仿宋" w:eastAsia="仿宋" w:hAnsi="仿宋" w:hint="eastAsia"/>
          <w:b w:val="0"/>
          <w:bCs/>
          <w:color w:val="000000"/>
          <w:sz w:val="32"/>
          <w:szCs w:val="32"/>
        </w:rPr>
        <w:t>7.84</w:t>
      </w:r>
      <w:r>
        <w:rPr>
          <w:rStyle w:val="a8"/>
          <w:rFonts w:ascii="仿宋" w:eastAsia="仿宋" w:hAnsi="仿宋" w:hint="eastAsia"/>
          <w:b w:val="0"/>
          <w:bCs/>
          <w:color w:val="000000"/>
          <w:sz w:val="32"/>
          <w:szCs w:val="32"/>
        </w:rPr>
        <w:t>亩，保障了我市群众的安葬</w:t>
      </w:r>
      <w:r>
        <w:rPr>
          <w:rStyle w:val="a8"/>
          <w:rFonts w:ascii="仿宋" w:eastAsia="仿宋" w:hAnsi="仿宋" w:hint="eastAsia"/>
          <w:b w:val="0"/>
          <w:bCs/>
          <w:color w:val="000000"/>
          <w:sz w:val="32"/>
          <w:szCs w:val="32"/>
        </w:rPr>
        <w:t>需求。</w:t>
      </w:r>
    </w:p>
    <w:p w:rsidR="003D27E6" w:rsidRDefault="003D27E6">
      <w:pPr>
        <w:spacing w:line="600" w:lineRule="exact"/>
        <w:ind w:firstLineChars="200" w:firstLine="640"/>
        <w:rPr>
          <w:rStyle w:val="a8"/>
          <w:rFonts w:ascii="仿宋" w:eastAsia="仿宋" w:hAnsi="仿宋"/>
          <w:b w:val="0"/>
          <w:bCs/>
          <w:color w:val="000000"/>
          <w:sz w:val="32"/>
          <w:szCs w:val="32"/>
        </w:rPr>
      </w:pPr>
    </w:p>
    <w:p w:rsidR="003D27E6" w:rsidRDefault="003D27E6">
      <w:pPr>
        <w:spacing w:line="600" w:lineRule="exact"/>
        <w:ind w:firstLineChars="200" w:firstLine="640"/>
        <w:rPr>
          <w:rStyle w:val="a8"/>
          <w:rFonts w:ascii="仿宋" w:eastAsia="仿宋" w:hAnsi="仿宋"/>
          <w:b w:val="0"/>
          <w:bCs/>
          <w:color w:val="000000"/>
          <w:sz w:val="32"/>
          <w:szCs w:val="32"/>
        </w:rPr>
      </w:pPr>
    </w:p>
    <w:p w:rsidR="003D27E6" w:rsidRDefault="003D27E6">
      <w:pPr>
        <w:spacing w:line="600" w:lineRule="exact"/>
        <w:ind w:firstLineChars="200" w:firstLine="640"/>
        <w:rPr>
          <w:rStyle w:val="a8"/>
          <w:rFonts w:ascii="仿宋" w:eastAsia="仿宋" w:hAnsi="仿宋"/>
          <w:b w:val="0"/>
          <w:bCs/>
          <w:color w:val="000000"/>
          <w:sz w:val="32"/>
          <w:szCs w:val="32"/>
        </w:rPr>
      </w:pPr>
    </w:p>
    <w:p w:rsidR="003D27E6" w:rsidRDefault="003D27E6">
      <w:pPr>
        <w:spacing w:line="600" w:lineRule="exact"/>
        <w:ind w:firstLineChars="200" w:firstLine="640"/>
        <w:rPr>
          <w:rStyle w:val="a8"/>
          <w:rFonts w:ascii="仿宋" w:eastAsia="仿宋" w:hAnsi="仿宋"/>
          <w:b w:val="0"/>
          <w:bCs/>
          <w:color w:val="000000"/>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546"/>
        <w:gridCol w:w="1211"/>
        <w:gridCol w:w="1025"/>
        <w:gridCol w:w="2392"/>
        <w:gridCol w:w="2394"/>
        <w:gridCol w:w="2392"/>
      </w:tblGrid>
      <w:tr w:rsidR="003D27E6">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3D27E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龙泉山公墓卫生绿化项目</w:t>
            </w:r>
          </w:p>
        </w:tc>
      </w:tr>
      <w:tr w:rsidR="003D27E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广汉市龙泉山公墓管理处</w:t>
            </w:r>
          </w:p>
        </w:tc>
      </w:tr>
      <w:tr w:rsidR="003D27E6">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28.8</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28.8</w:t>
            </w:r>
            <w:r>
              <w:rPr>
                <w:rFonts w:ascii="宋体" w:hAnsi="宋体" w:cs="宋体" w:hint="eastAsia"/>
                <w:color w:val="000000"/>
                <w:sz w:val="24"/>
              </w:rPr>
              <w:t>万元</w:t>
            </w:r>
          </w:p>
        </w:tc>
      </w:tr>
      <w:tr w:rsidR="003D27E6">
        <w:trPr>
          <w:trHeight w:val="27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28.8</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28.8</w:t>
            </w:r>
            <w:r>
              <w:rPr>
                <w:rFonts w:ascii="宋体" w:hAnsi="宋体" w:cs="宋体" w:hint="eastAsia"/>
                <w:color w:val="000000"/>
                <w:sz w:val="24"/>
              </w:rPr>
              <w:t>万元</w:t>
            </w:r>
          </w:p>
        </w:tc>
      </w:tr>
      <w:tr w:rsidR="003D27E6">
        <w:trPr>
          <w:trHeight w:val="1115"/>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r>
      <w:tr w:rsidR="003D27E6">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D27E6">
        <w:trPr>
          <w:trHeight w:val="1227"/>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该项目涉及墓区内所有卫生及绿化养护工作，包含对墓套的日常清洁及周边绿化及树种更换等。</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能够按照服务内容对卫生和绿化进行养护</w:t>
            </w:r>
          </w:p>
        </w:tc>
      </w:tr>
      <w:tr w:rsidR="003D27E6">
        <w:trPr>
          <w:trHeight w:val="1042"/>
          <w:jc w:val="center"/>
        </w:trPr>
        <w:tc>
          <w:tcPr>
            <w:tcW w:w="5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3D27E6">
        <w:trPr>
          <w:trHeight w:val="953"/>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服务面积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&gt;4</w:t>
            </w:r>
            <w:r>
              <w:rPr>
                <w:rFonts w:ascii="宋体" w:hAnsi="宋体" w:cs="宋体" w:hint="eastAsia"/>
                <w:color w:val="000000"/>
                <w:sz w:val="24"/>
              </w:rPr>
              <w:t>万余平方米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&gt;4</w:t>
            </w:r>
            <w:r>
              <w:rPr>
                <w:rFonts w:ascii="宋体" w:hAnsi="宋体" w:cs="宋体" w:hint="eastAsia"/>
                <w:color w:val="000000"/>
                <w:sz w:val="24"/>
              </w:rPr>
              <w:t>万余平方米</w:t>
            </w:r>
          </w:p>
        </w:tc>
      </w:tr>
      <w:tr w:rsidR="003D27E6">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验收合格率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r>
      <w:tr w:rsidR="003D27E6">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完成及时性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3D27E6">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29</w:t>
            </w:r>
            <w:r>
              <w:rPr>
                <w:rFonts w:ascii="宋体" w:hAns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hint="eastAsia"/>
                <w:color w:val="000000"/>
                <w:sz w:val="24"/>
              </w:rPr>
              <w:t>28.8</w:t>
            </w:r>
            <w:r>
              <w:rPr>
                <w:rFonts w:ascii="宋体" w:hAnsi="宋体" w:cs="宋体" w:hint="eastAsia"/>
                <w:color w:val="000000"/>
                <w:sz w:val="24"/>
              </w:rPr>
              <w:t>万</w:t>
            </w:r>
          </w:p>
        </w:tc>
      </w:tr>
      <w:tr w:rsidR="003D27E6">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环境服务保障率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r>
      <w:tr w:rsidR="003D27E6">
        <w:trPr>
          <w:trHeight w:val="1050"/>
          <w:jc w:val="center"/>
        </w:trPr>
        <w:tc>
          <w:tcPr>
            <w:tcW w:w="5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职工满意率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Arial" w:hAnsi="Arial" w:cs="Arial" w:hint="eastAsia"/>
                <w:color w:val="000000"/>
                <w:sz w:val="24"/>
              </w:rPr>
              <w:t>95%</w:t>
            </w:r>
          </w:p>
        </w:tc>
      </w:tr>
      <w:tr w:rsidR="003D27E6">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3D27E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龙泉山公墓改扩建项目</w:t>
            </w:r>
          </w:p>
        </w:tc>
      </w:tr>
      <w:tr w:rsidR="003D27E6">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广汉市龙泉山公墓管理处</w:t>
            </w:r>
          </w:p>
        </w:tc>
      </w:tr>
      <w:tr w:rsidR="003D27E6">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655</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655</w:t>
            </w:r>
            <w:r>
              <w:rPr>
                <w:rFonts w:ascii="宋体" w:hAnsi="宋体" w:cs="宋体" w:hint="eastAsia"/>
                <w:color w:val="000000"/>
                <w:sz w:val="24"/>
              </w:rPr>
              <w:t>万元</w:t>
            </w:r>
          </w:p>
        </w:tc>
      </w:tr>
      <w:tr w:rsidR="003D27E6">
        <w:trPr>
          <w:trHeight w:val="276"/>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655</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655</w:t>
            </w:r>
            <w:r>
              <w:rPr>
                <w:rFonts w:ascii="宋体" w:hAnsi="宋体" w:cs="宋体" w:hint="eastAsia"/>
                <w:color w:val="000000"/>
                <w:sz w:val="24"/>
              </w:rPr>
              <w:t>万元</w:t>
            </w:r>
          </w:p>
        </w:tc>
      </w:tr>
      <w:tr w:rsidR="003D27E6">
        <w:trPr>
          <w:trHeight w:val="1511"/>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c>
          <w:tcPr>
            <w:tcW w:w="223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r>
      <w:tr w:rsidR="003D27E6">
        <w:trPr>
          <w:trHeight w:val="276"/>
          <w:jc w:val="center"/>
        </w:trPr>
        <w:tc>
          <w:tcPr>
            <w:tcW w:w="54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D27E6">
        <w:trPr>
          <w:trHeight w:val="1159"/>
          <w:jc w:val="center"/>
        </w:trPr>
        <w:tc>
          <w:tcPr>
            <w:tcW w:w="54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jc w:val="center"/>
              <w:rPr>
                <w:rFonts w:ascii="宋体" w:hAnsi="宋体" w:cs="宋体"/>
                <w:color w:val="000000"/>
                <w:sz w:val="24"/>
              </w:rPr>
            </w:pPr>
          </w:p>
        </w:tc>
        <w:tc>
          <w:tcPr>
            <w:tcW w:w="46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征用土地面积</w:t>
            </w:r>
            <w:r>
              <w:rPr>
                <w:rFonts w:ascii="宋体" w:hAnsi="宋体" w:cs="宋体" w:hint="eastAsia"/>
                <w:color w:val="000000"/>
                <w:sz w:val="24"/>
              </w:rPr>
              <w:t>190</w:t>
            </w:r>
            <w:r>
              <w:rPr>
                <w:rFonts w:ascii="宋体" w:hAnsi="宋体" w:cs="宋体" w:hint="eastAsia"/>
                <w:color w:val="000000"/>
                <w:sz w:val="24"/>
              </w:rPr>
              <w:t>亩左右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征用土地</w:t>
            </w:r>
            <w:r>
              <w:rPr>
                <w:rFonts w:ascii="宋体" w:hAnsi="宋体" w:cs="宋体" w:hint="eastAsia"/>
                <w:color w:val="000000"/>
                <w:sz w:val="24"/>
              </w:rPr>
              <w:t>181.81</w:t>
            </w:r>
            <w:r>
              <w:rPr>
                <w:rFonts w:ascii="宋体" w:hAnsi="宋体" w:cs="宋体" w:hint="eastAsia"/>
                <w:color w:val="000000"/>
                <w:sz w:val="24"/>
              </w:rPr>
              <w:t>亩、租用土地</w:t>
            </w:r>
            <w:r>
              <w:rPr>
                <w:rFonts w:ascii="宋体" w:hAnsi="宋体" w:cs="宋体" w:hint="eastAsia"/>
                <w:color w:val="000000"/>
                <w:sz w:val="24"/>
              </w:rPr>
              <w:t>7.84</w:t>
            </w:r>
            <w:r>
              <w:rPr>
                <w:rFonts w:ascii="宋体" w:hAnsi="宋体" w:cs="宋体" w:hint="eastAsia"/>
                <w:color w:val="000000"/>
                <w:sz w:val="24"/>
              </w:rPr>
              <w:t>亩</w:t>
            </w:r>
          </w:p>
        </w:tc>
      </w:tr>
      <w:tr w:rsidR="003D27E6">
        <w:trPr>
          <w:trHeight w:val="1042"/>
          <w:jc w:val="center"/>
        </w:trPr>
        <w:tc>
          <w:tcPr>
            <w:tcW w:w="54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3D27E6">
        <w:trPr>
          <w:trHeight w:val="953"/>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征地面积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181.81</w:t>
            </w:r>
            <w:r>
              <w:rPr>
                <w:rFonts w:ascii="宋体" w:hAnsi="宋体" w:cs="宋体" w:hint="eastAsia"/>
                <w:color w:val="000000"/>
                <w:sz w:val="24"/>
              </w:rPr>
              <w:t>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181.81</w:t>
            </w:r>
            <w:r>
              <w:rPr>
                <w:rFonts w:ascii="宋体" w:hAnsi="宋体" w:cs="宋体" w:hint="eastAsia"/>
                <w:color w:val="000000"/>
                <w:sz w:val="24"/>
              </w:rPr>
              <w:t>亩</w:t>
            </w:r>
          </w:p>
        </w:tc>
      </w:tr>
      <w:tr w:rsidR="003D27E6">
        <w:trPr>
          <w:trHeight w:val="1297"/>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租地面积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7.84</w:t>
            </w:r>
            <w:r>
              <w:rPr>
                <w:rFonts w:ascii="宋体" w:hAnsi="宋体" w:cs="宋体" w:hint="eastAsia"/>
                <w:color w:val="000000"/>
                <w:sz w:val="24"/>
              </w:rPr>
              <w:t>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7.84</w:t>
            </w:r>
            <w:r>
              <w:rPr>
                <w:rFonts w:ascii="宋体" w:hAnsi="宋体" w:cs="宋体" w:hint="eastAsia"/>
                <w:color w:val="000000"/>
                <w:sz w:val="24"/>
              </w:rPr>
              <w:t>亩</w:t>
            </w:r>
          </w:p>
        </w:tc>
      </w:tr>
      <w:tr w:rsidR="003D27E6">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完成及时性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及时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及时</w:t>
            </w:r>
          </w:p>
        </w:tc>
      </w:tr>
      <w:tr w:rsidR="003D27E6">
        <w:trPr>
          <w:trHeight w:val="1042"/>
          <w:jc w:val="center"/>
        </w:trPr>
        <w:tc>
          <w:tcPr>
            <w:tcW w:w="546" w:type="dxa"/>
            <w:vMerge/>
            <w:tcBorders>
              <w:left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成本控制数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655</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655</w:t>
            </w:r>
            <w:r>
              <w:rPr>
                <w:rFonts w:ascii="宋体" w:hAnsi="宋体" w:cs="宋体" w:hint="eastAsia"/>
                <w:color w:val="000000"/>
                <w:sz w:val="24"/>
              </w:rPr>
              <w:t>万元</w:t>
            </w:r>
          </w:p>
        </w:tc>
      </w:tr>
      <w:tr w:rsidR="003D27E6">
        <w:trPr>
          <w:trHeight w:val="1050"/>
          <w:jc w:val="center"/>
        </w:trPr>
        <w:tc>
          <w:tcPr>
            <w:tcW w:w="54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D27E6" w:rsidRDefault="003D27E6">
            <w:pPr>
              <w:widowControl/>
              <w:jc w:val="center"/>
              <w:textAlignment w:val="center"/>
              <w:rPr>
                <w:rFonts w:ascii="宋体" w:hAnsi="宋体" w:cs="宋体"/>
                <w:color w:val="000000"/>
                <w:sz w:val="24"/>
              </w:rPr>
            </w:pPr>
          </w:p>
        </w:tc>
        <w:tc>
          <w:tcPr>
            <w:tcW w:w="12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宋体" w:hAnsi="宋体" w:cs="宋体" w:hint="eastAsia"/>
                <w:color w:val="000000"/>
                <w:sz w:val="24"/>
              </w:rPr>
              <w:t>被征地群众满意率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80%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D27E6" w:rsidRDefault="008A5FFB">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80%</w:t>
            </w:r>
          </w:p>
        </w:tc>
      </w:tr>
    </w:tbl>
    <w:p w:rsidR="003D27E6" w:rsidRDefault="003D27E6">
      <w:pPr>
        <w:spacing w:line="580" w:lineRule="exact"/>
        <w:ind w:left="630"/>
        <w:rPr>
          <w:rFonts w:ascii="楷体_GB2312" w:eastAsia="楷体_GB2312" w:hAnsi="楷体_GB2312" w:cs="楷体_GB2312"/>
          <w:sz w:val="32"/>
          <w:szCs w:val="32"/>
        </w:rPr>
      </w:pPr>
    </w:p>
    <w:p w:rsidR="003D27E6" w:rsidRDefault="003D27E6">
      <w:pPr>
        <w:spacing w:line="580" w:lineRule="exact"/>
        <w:ind w:left="630"/>
        <w:rPr>
          <w:rFonts w:ascii="楷体_GB2312" w:eastAsia="楷体_GB2312" w:hAnsi="楷体_GB2312" w:cs="楷体_GB2312"/>
          <w:sz w:val="32"/>
          <w:szCs w:val="32"/>
        </w:rPr>
      </w:pPr>
    </w:p>
    <w:p w:rsidR="003D27E6" w:rsidRDefault="008A5FFB">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部门绩效评价结果。</w:t>
      </w:r>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本单位按要求对</w:t>
      </w:r>
      <w:r>
        <w:rPr>
          <w:rStyle w:val="a8"/>
          <w:rFonts w:ascii="仿宋" w:eastAsia="仿宋" w:hAnsi="仿宋" w:hint="eastAsia"/>
          <w:b w:val="0"/>
          <w:bCs/>
          <w:color w:val="000000"/>
          <w:sz w:val="32"/>
          <w:szCs w:val="32"/>
        </w:rPr>
        <w:t>2019</w:t>
      </w:r>
      <w:r>
        <w:rPr>
          <w:rStyle w:val="a8"/>
          <w:rFonts w:ascii="仿宋" w:eastAsia="仿宋" w:hAnsi="仿宋" w:hint="eastAsia"/>
          <w:b w:val="0"/>
          <w:bCs/>
          <w:color w:val="000000"/>
          <w:sz w:val="32"/>
          <w:szCs w:val="32"/>
        </w:rPr>
        <w:t>年部门整体支出绩效评价情况开展自评，《广汉市龙泉山公墓管理处</w:t>
      </w:r>
      <w:r>
        <w:rPr>
          <w:rStyle w:val="a8"/>
          <w:rFonts w:ascii="仿宋" w:eastAsia="仿宋" w:hAnsi="仿宋" w:hint="eastAsia"/>
          <w:b w:val="0"/>
          <w:bCs/>
          <w:color w:val="000000"/>
          <w:sz w:val="32"/>
          <w:szCs w:val="32"/>
        </w:rPr>
        <w:t>2019</w:t>
      </w:r>
      <w:r>
        <w:rPr>
          <w:rStyle w:val="a8"/>
          <w:rFonts w:ascii="仿宋" w:eastAsia="仿宋" w:hAnsi="仿宋" w:hint="eastAsia"/>
          <w:b w:val="0"/>
          <w:bCs/>
          <w:color w:val="000000"/>
          <w:sz w:val="32"/>
          <w:szCs w:val="32"/>
        </w:rPr>
        <w:t>年部门整体支出绩效评价报告》见附件（附件</w:t>
      </w:r>
      <w:r>
        <w:rPr>
          <w:rStyle w:val="a8"/>
          <w:rFonts w:ascii="仿宋" w:eastAsia="仿宋" w:hAnsi="仿宋" w:hint="eastAsia"/>
          <w:b w:val="0"/>
          <w:bCs/>
          <w:color w:val="000000"/>
          <w:sz w:val="32"/>
          <w:szCs w:val="32"/>
        </w:rPr>
        <w:t>1</w:t>
      </w:r>
      <w:r>
        <w:rPr>
          <w:rStyle w:val="a8"/>
          <w:rFonts w:ascii="仿宋" w:eastAsia="仿宋" w:hAnsi="仿宋" w:hint="eastAsia"/>
          <w:b w:val="0"/>
          <w:bCs/>
          <w:color w:val="000000"/>
          <w:sz w:val="32"/>
          <w:szCs w:val="32"/>
        </w:rPr>
        <w:t>）。</w:t>
      </w:r>
    </w:p>
    <w:p w:rsidR="003D27E6" w:rsidRDefault="008A5FFB">
      <w:pPr>
        <w:spacing w:line="600" w:lineRule="exact"/>
        <w:ind w:firstLineChars="200" w:firstLine="640"/>
        <w:rPr>
          <w:rStyle w:val="a8"/>
          <w:rFonts w:ascii="仿宋" w:eastAsia="仿宋" w:hAnsi="仿宋"/>
          <w:b w:val="0"/>
          <w:bCs/>
          <w:color w:val="000000"/>
          <w:sz w:val="32"/>
          <w:szCs w:val="32"/>
        </w:rPr>
      </w:pPr>
      <w:r>
        <w:rPr>
          <w:rStyle w:val="a8"/>
          <w:rFonts w:ascii="仿宋" w:eastAsia="仿宋" w:hAnsi="仿宋" w:hint="eastAsia"/>
          <w:b w:val="0"/>
          <w:bCs/>
          <w:color w:val="000000"/>
          <w:sz w:val="32"/>
          <w:szCs w:val="32"/>
        </w:rPr>
        <w:t>本部门自行组织对龙泉山公墓卫生绿化项目、龙泉山公墓改扩建项目开展了绩效评价，项目</w:t>
      </w:r>
      <w:r>
        <w:rPr>
          <w:rStyle w:val="a8"/>
          <w:rFonts w:ascii="仿宋" w:eastAsia="仿宋" w:hAnsi="仿宋" w:hint="eastAsia"/>
          <w:b w:val="0"/>
          <w:bCs/>
          <w:color w:val="000000"/>
          <w:sz w:val="32"/>
          <w:szCs w:val="32"/>
        </w:rPr>
        <w:t>2019</w:t>
      </w:r>
      <w:r>
        <w:rPr>
          <w:rStyle w:val="a8"/>
          <w:rFonts w:ascii="仿宋" w:eastAsia="仿宋" w:hAnsi="仿宋" w:hint="eastAsia"/>
          <w:b w:val="0"/>
          <w:bCs/>
          <w:color w:val="000000"/>
          <w:sz w:val="32"/>
          <w:szCs w:val="32"/>
        </w:rPr>
        <w:t>年绩效评价报告见附件（附件</w:t>
      </w:r>
      <w:r>
        <w:rPr>
          <w:rStyle w:val="a8"/>
          <w:rFonts w:ascii="仿宋" w:eastAsia="仿宋" w:hAnsi="仿宋" w:hint="eastAsia"/>
          <w:b w:val="0"/>
          <w:bCs/>
          <w:color w:val="000000"/>
          <w:sz w:val="32"/>
          <w:szCs w:val="32"/>
        </w:rPr>
        <w:t>2</w:t>
      </w:r>
      <w:r>
        <w:rPr>
          <w:rStyle w:val="a8"/>
          <w:rFonts w:ascii="仿宋" w:eastAsia="仿宋" w:hAnsi="仿宋" w:hint="eastAsia"/>
          <w:b w:val="0"/>
          <w:bCs/>
          <w:color w:val="000000"/>
          <w:sz w:val="32"/>
          <w:szCs w:val="32"/>
        </w:rPr>
        <w:t>）。（非涉密部门均需公开部门整体支出评价报告，部门自行组织的绩效评价情况根据部门实际公开，若未组织项目绩效评价，则只需说明部门整体支出绩效评价情况）</w:t>
      </w:r>
    </w:p>
    <w:p w:rsidR="003D27E6" w:rsidRDefault="008A5FFB">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3D27E6" w:rsidRDefault="008A5FFB">
      <w:pPr>
        <w:numPr>
          <w:ilvl w:val="0"/>
          <w:numId w:val="4"/>
        </w:numPr>
        <w:spacing w:line="600" w:lineRule="exact"/>
        <w:ind w:firstLineChars="150" w:firstLine="660"/>
        <w:jc w:val="center"/>
        <w:outlineLvl w:val="0"/>
        <w:rPr>
          <w:rStyle w:val="1Char"/>
          <w:rFonts w:ascii="黑体" w:eastAsia="黑体" w:hAnsi="黑体"/>
          <w:b w:val="0"/>
        </w:rPr>
      </w:pPr>
      <w:bookmarkStart w:id="59" w:name="_Toc15377225"/>
      <w:bookmarkStart w:id="60"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9"/>
      <w:bookmarkEnd w:id="60"/>
    </w:p>
    <w:p w:rsidR="003D27E6" w:rsidRDefault="008A5FFB">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3D27E6" w:rsidRDefault="008A5FFB">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3D27E6" w:rsidRDefault="008A5FF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社会保障和就业（类）行政事业单位离退休（款）</w:t>
      </w:r>
      <w:r>
        <w:rPr>
          <w:rFonts w:ascii="仿宋_GB2312" w:eastAsia="仿宋_GB2312" w:hint="eastAsia"/>
          <w:sz w:val="32"/>
          <w:szCs w:val="32"/>
        </w:rPr>
        <w:t>事业单位离退休</w:t>
      </w:r>
      <w:r>
        <w:rPr>
          <w:rFonts w:ascii="仿宋_GB2312" w:eastAsia="仿宋_GB2312"/>
          <w:sz w:val="32"/>
          <w:szCs w:val="32"/>
        </w:rPr>
        <w:t>（项）</w:t>
      </w:r>
      <w:r>
        <w:rPr>
          <w:rFonts w:ascii="仿宋_GB2312" w:eastAsia="仿宋_GB2312"/>
          <w:sz w:val="32"/>
          <w:szCs w:val="32"/>
        </w:rPr>
        <w:t>:</w:t>
      </w:r>
      <w:r>
        <w:rPr>
          <w:rFonts w:ascii="仿宋_GB2312" w:eastAsia="仿宋_GB2312"/>
          <w:sz w:val="32"/>
          <w:szCs w:val="32"/>
        </w:rPr>
        <w:t> </w:t>
      </w:r>
      <w:r>
        <w:rPr>
          <w:rFonts w:ascii="仿宋_GB2312" w:eastAsia="仿宋_GB2312"/>
          <w:sz w:val="32"/>
          <w:szCs w:val="32"/>
        </w:rPr>
        <w:t>反映事业单位</w:t>
      </w:r>
      <w:r>
        <w:rPr>
          <w:rFonts w:ascii="仿宋_GB2312" w:eastAsia="仿宋_GB2312" w:hint="eastAsia"/>
          <w:sz w:val="32"/>
          <w:szCs w:val="32"/>
        </w:rPr>
        <w:t>开支的离</w:t>
      </w:r>
      <w:r>
        <w:rPr>
          <w:rFonts w:ascii="仿宋_GB2312" w:eastAsia="仿宋_GB2312" w:hint="eastAsia"/>
          <w:sz w:val="32"/>
          <w:szCs w:val="32"/>
        </w:rPr>
        <w:t>退休经费</w:t>
      </w:r>
      <w:r>
        <w:rPr>
          <w:rFonts w:ascii="仿宋_GB2312" w:eastAsia="仿宋_GB2312"/>
          <w:sz w:val="32"/>
          <w:szCs w:val="32"/>
        </w:rPr>
        <w:t>。</w:t>
      </w:r>
      <w:r>
        <w:rPr>
          <w:rFonts w:ascii="仿宋_GB2312" w:eastAsia="仿宋_GB2312"/>
          <w:sz w:val="32"/>
          <w:szCs w:val="32"/>
        </w:rPr>
        <w:br/>
      </w:r>
      <w:r>
        <w:rPr>
          <w:rFonts w:ascii="仿宋_GB2312" w:eastAsia="仿宋_GB2312" w:hint="eastAsia"/>
          <w:sz w:val="32"/>
          <w:szCs w:val="32"/>
        </w:rPr>
        <w:t xml:space="preserve">    4</w:t>
      </w:r>
      <w:r>
        <w:rPr>
          <w:rFonts w:ascii="仿宋_GB2312" w:eastAsia="仿宋_GB2312"/>
          <w:sz w:val="32"/>
          <w:szCs w:val="32"/>
        </w:rPr>
        <w:t>.</w:t>
      </w:r>
      <w:r>
        <w:rPr>
          <w:rFonts w:ascii="仿宋_GB2312" w:eastAsia="仿宋_GB2312"/>
          <w:sz w:val="32"/>
          <w:szCs w:val="32"/>
        </w:rPr>
        <w:t>社会保障和就业（类）行政事业单位离退休（款）机关事业单位基本养老保险缴费支出（项）</w:t>
      </w:r>
      <w:r>
        <w:rPr>
          <w:rFonts w:ascii="仿宋_GB2312" w:eastAsia="仿宋_GB2312"/>
          <w:sz w:val="32"/>
          <w:szCs w:val="32"/>
        </w:rPr>
        <w:t>:</w:t>
      </w:r>
      <w:r>
        <w:rPr>
          <w:rFonts w:ascii="仿宋_GB2312" w:eastAsia="仿宋_GB2312"/>
          <w:sz w:val="32"/>
          <w:szCs w:val="32"/>
        </w:rPr>
        <w:t> </w:t>
      </w:r>
      <w:r>
        <w:rPr>
          <w:rFonts w:ascii="仿宋_GB2312" w:eastAsia="仿宋_GB2312"/>
          <w:sz w:val="32"/>
          <w:szCs w:val="32"/>
        </w:rPr>
        <w:t>反映机关事业单位实施养老保险制度由单位缴纳的基本养老保险费支出。</w:t>
      </w:r>
      <w:r>
        <w:rPr>
          <w:rFonts w:ascii="仿宋_GB2312" w:eastAsia="仿宋_GB2312" w:hint="eastAsia"/>
          <w:sz w:val="32"/>
          <w:szCs w:val="32"/>
        </w:rPr>
        <w:t xml:space="preserve">        </w:t>
      </w:r>
    </w:p>
    <w:p w:rsidR="003D27E6" w:rsidRDefault="008A5FF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sz w:val="32"/>
          <w:szCs w:val="32"/>
        </w:rPr>
        <w:t>社会保障和就业（类）行政事业单位离退休（款）机关事业单位职业年金缴费支出（项）</w:t>
      </w:r>
      <w:r>
        <w:rPr>
          <w:rFonts w:ascii="仿宋_GB2312" w:eastAsia="仿宋_GB2312"/>
          <w:sz w:val="32"/>
          <w:szCs w:val="32"/>
        </w:rPr>
        <w:t>:</w:t>
      </w:r>
      <w:r>
        <w:rPr>
          <w:rFonts w:ascii="仿宋_GB2312" w:eastAsia="仿宋_GB2312"/>
          <w:sz w:val="32"/>
          <w:szCs w:val="32"/>
        </w:rPr>
        <w:t> </w:t>
      </w:r>
      <w:r>
        <w:rPr>
          <w:rFonts w:ascii="仿宋_GB2312" w:eastAsia="仿宋_GB2312"/>
          <w:sz w:val="32"/>
          <w:szCs w:val="32"/>
        </w:rPr>
        <w:t>反映机关事业单位实施养老保险制度由单位缴纳的职业年金支出。</w:t>
      </w:r>
    </w:p>
    <w:p w:rsidR="003D27E6" w:rsidRDefault="008A5FFB">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t xml:space="preserve"> </w:t>
      </w:r>
      <w:r>
        <w:rPr>
          <w:rFonts w:ascii="仿宋_GB2312" w:eastAsia="仿宋_GB2312"/>
          <w:color w:val="000000"/>
          <w:sz w:val="32"/>
          <w:szCs w:val="32"/>
        </w:rPr>
        <w:t>社会保障和就业（类）</w:t>
      </w:r>
      <w:r>
        <w:rPr>
          <w:rFonts w:ascii="仿宋_GB2312" w:eastAsia="仿宋_GB2312" w:hint="eastAsia"/>
          <w:color w:val="000000"/>
          <w:sz w:val="32"/>
          <w:szCs w:val="32"/>
        </w:rPr>
        <w:t>社会福利</w:t>
      </w:r>
      <w:r>
        <w:rPr>
          <w:rFonts w:ascii="仿宋_GB2312" w:eastAsia="仿宋_GB2312"/>
          <w:color w:val="000000"/>
          <w:sz w:val="32"/>
          <w:szCs w:val="32"/>
        </w:rPr>
        <w:t>（款）</w:t>
      </w:r>
      <w:r>
        <w:rPr>
          <w:rFonts w:ascii="仿宋_GB2312" w:eastAsia="仿宋_GB2312" w:hint="eastAsia"/>
          <w:color w:val="000000"/>
          <w:sz w:val="32"/>
          <w:szCs w:val="32"/>
        </w:rPr>
        <w:t>殡葬</w:t>
      </w:r>
      <w:r>
        <w:rPr>
          <w:rFonts w:ascii="仿宋_GB2312" w:eastAsia="仿宋_GB2312"/>
          <w:color w:val="000000"/>
          <w:sz w:val="32"/>
          <w:szCs w:val="32"/>
        </w:rPr>
        <w:t>（项）</w:t>
      </w:r>
      <w:r>
        <w:rPr>
          <w:rFonts w:ascii="仿宋_GB2312" w:eastAsia="仿宋_GB2312"/>
          <w:color w:val="000000"/>
          <w:sz w:val="32"/>
          <w:szCs w:val="32"/>
        </w:rPr>
        <w:t>:</w:t>
      </w:r>
      <w:r>
        <w:rPr>
          <w:rFonts w:ascii="仿宋_GB2312" w:eastAsia="仿宋_GB2312"/>
          <w:color w:val="000000"/>
          <w:sz w:val="32"/>
          <w:szCs w:val="32"/>
        </w:rPr>
        <w:t> </w:t>
      </w:r>
      <w:r>
        <w:rPr>
          <w:rFonts w:ascii="仿宋_GB2312" w:eastAsia="仿宋_GB2312" w:hint="eastAsia"/>
          <w:color w:val="000000"/>
          <w:sz w:val="32"/>
          <w:szCs w:val="32"/>
        </w:rPr>
        <w:t>反映殡葬管理和殡葬服务方面的支出，包括民政部门直属的殡仪馆、公墓、殡葬管理服务机构的支出</w:t>
      </w:r>
      <w:r>
        <w:rPr>
          <w:rFonts w:ascii="仿宋_GB2312" w:eastAsia="仿宋_GB2312"/>
          <w:color w:val="000000"/>
          <w:sz w:val="32"/>
          <w:szCs w:val="32"/>
        </w:rPr>
        <w:t>。</w:t>
      </w:r>
    </w:p>
    <w:p w:rsidR="003D27E6" w:rsidRDefault="008A5FFB">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color w:val="000000"/>
          <w:sz w:val="32"/>
          <w:szCs w:val="32"/>
        </w:rPr>
        <w:t>.</w:t>
      </w:r>
      <w:r>
        <w:rPr>
          <w:rFonts w:ascii="仿宋_GB2312" w:eastAsia="仿宋_GB2312" w:hint="eastAsia"/>
          <w:color w:val="000000"/>
          <w:sz w:val="32"/>
          <w:szCs w:val="32"/>
        </w:rPr>
        <w:t>卫生健康支出（类）行政事业单位医疗（款）事业单位医疗（项）：反映财政部门安排的事业单位基本医疗保险缴费经费、未参加医疗保险的事业单位的公费医疗经费，按国家规定享受离退休人员待遇的医疗经费。</w:t>
      </w:r>
    </w:p>
    <w:p w:rsidR="003D27E6" w:rsidRDefault="008A5FFB">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 xml:space="preserve"> </w:t>
      </w:r>
      <w:r>
        <w:rPr>
          <w:rFonts w:ascii="仿宋_GB2312" w:eastAsia="仿宋_GB2312" w:hint="eastAsia"/>
          <w:color w:val="000000"/>
          <w:sz w:val="32"/>
          <w:szCs w:val="32"/>
        </w:rPr>
        <w:t>卫生健康支出（类）行政事业单位医疗（款）公务员医疗补助（项）：反映财政部门安排的公务员医疗补助经费。</w:t>
      </w:r>
    </w:p>
    <w:p w:rsidR="003D27E6" w:rsidRDefault="008A5FFB">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9.</w:t>
      </w:r>
      <w:r>
        <w:rPr>
          <w:rFonts w:ascii="仿宋_GB2312" w:eastAsia="仿宋_GB2312" w:hint="eastAsia"/>
          <w:color w:val="000000"/>
          <w:sz w:val="32"/>
          <w:szCs w:val="32"/>
        </w:rPr>
        <w:t>卫生健康支出（类）其他卫生健康支出（款）其他卫生健康支出（项）：反映除卫生健康支出项目以外其他用于卫生健康方面的支出。</w:t>
      </w:r>
    </w:p>
    <w:p w:rsidR="003D27E6" w:rsidRDefault="008A5FFB">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住房保障支出（类）住房改革支出（款）住房公积金（项）</w:t>
      </w:r>
      <w:r>
        <w:rPr>
          <w:rFonts w:ascii="仿宋_GB2312" w:eastAsia="仿宋_GB2312"/>
          <w:color w:val="000000"/>
          <w:sz w:val="32"/>
          <w:szCs w:val="32"/>
        </w:rPr>
        <w:t>:</w:t>
      </w:r>
      <w:r>
        <w:rPr>
          <w:rFonts w:ascii="仿宋_GB2312" w:eastAsia="仿宋_GB2312"/>
          <w:color w:val="000000"/>
          <w:sz w:val="32"/>
          <w:szCs w:val="32"/>
        </w:rPr>
        <w:t>反映行政事业单位按人力资源和社</w:t>
      </w:r>
      <w:r>
        <w:rPr>
          <w:rFonts w:ascii="仿宋_GB2312" w:eastAsia="仿宋_GB2312"/>
          <w:color w:val="000000"/>
          <w:sz w:val="32"/>
          <w:szCs w:val="32"/>
        </w:rPr>
        <w:t>会保障部、财政部规定的基本工资和津贴补贴以及规定比例为职工缴纳的住房公积金。</w:t>
      </w:r>
    </w:p>
    <w:p w:rsidR="003D27E6" w:rsidRDefault="008A5FFB">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9</w:t>
      </w:r>
      <w:r>
        <w:rPr>
          <w:rFonts w:ascii="仿宋" w:eastAsia="仿宋" w:hAnsi="仿宋" w:hint="eastAsia"/>
          <w:b/>
          <w:color w:val="000000"/>
          <w:sz w:val="32"/>
          <w:szCs w:val="32"/>
        </w:rPr>
        <w:t>年政府收支分类科目》增减内容。）</w:t>
      </w:r>
    </w:p>
    <w:p w:rsidR="003D27E6" w:rsidRDefault="008A5FFB">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3D27E6" w:rsidRDefault="008A5FFB">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3D27E6" w:rsidRDefault="008A5FFB">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w:t>
      </w:r>
      <w:r>
        <w:rPr>
          <w:rFonts w:ascii="仿宋_GB2312" w:eastAsia="仿宋_GB2312" w:hint="eastAsia"/>
          <w:sz w:val="32"/>
          <w:szCs w:val="32"/>
        </w:rPr>
        <w:t>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D27E6" w:rsidRDefault="008A5FFB">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3D27E6" w:rsidRDefault="008A5FFB">
      <w:pPr>
        <w:spacing w:line="600" w:lineRule="exact"/>
        <w:jc w:val="center"/>
        <w:outlineLvl w:val="0"/>
        <w:rPr>
          <w:rStyle w:val="1Char"/>
          <w:rFonts w:ascii="黑体" w:eastAsia="黑体" w:hAnsi="黑体"/>
          <w:b w:val="0"/>
        </w:rPr>
      </w:pPr>
      <w:bookmarkStart w:id="61" w:name="_Toc15377226"/>
      <w:r>
        <w:rPr>
          <w:rFonts w:ascii="宋体"/>
          <w:b/>
          <w:color w:val="000000"/>
          <w:sz w:val="44"/>
          <w:szCs w:val="44"/>
        </w:rPr>
        <w:br w:type="page"/>
      </w:r>
      <w:bookmarkStart w:id="62"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62"/>
    </w:p>
    <w:p w:rsidR="003D27E6" w:rsidRDefault="008A5FFB">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3D27E6" w:rsidRDefault="008A5FFB">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广汉市龙泉山公墓管理处</w:t>
      </w:r>
    </w:p>
    <w:p w:rsidR="003D27E6" w:rsidRDefault="008A5FFB">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3D27E6" w:rsidRDefault="003D27E6">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3D27E6" w:rsidRDefault="008A5FF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3D27E6" w:rsidRDefault="008A5FFB">
      <w:pPr>
        <w:ind w:firstLineChars="227" w:firstLine="726"/>
        <w:rPr>
          <w:rFonts w:ascii="仿宋" w:eastAsia="仿宋" w:hAnsi="仿宋"/>
          <w:sz w:val="32"/>
          <w:szCs w:val="32"/>
        </w:rPr>
      </w:pPr>
      <w:r>
        <w:rPr>
          <w:rFonts w:ascii="仿宋_GB2312" w:eastAsia="仿宋_GB2312" w:hAnsi="宋体" w:cs="宋体" w:hint="eastAsia"/>
          <w:color w:val="000000"/>
          <w:kern w:val="0"/>
          <w:sz w:val="32"/>
          <w:szCs w:val="32"/>
          <w:shd w:val="clear" w:color="auto" w:fill="FFFFFF"/>
          <w:lang w:val="zh-CN"/>
        </w:rPr>
        <w:t>（一）机构组成。</w:t>
      </w:r>
      <w:r>
        <w:rPr>
          <w:rFonts w:ascii="仿宋" w:eastAsia="仿宋" w:hAnsi="仿宋" w:hint="eastAsia"/>
          <w:kern w:val="0"/>
          <w:sz w:val="32"/>
          <w:szCs w:val="32"/>
        </w:rPr>
        <w:t>广汉市</w:t>
      </w:r>
      <w:r>
        <w:rPr>
          <w:rFonts w:ascii="仿宋" w:eastAsia="仿宋" w:hAnsi="仿宋" w:hint="eastAsia"/>
          <w:sz w:val="32"/>
          <w:szCs w:val="32"/>
        </w:rPr>
        <w:t>龙泉山公墓服务处属于广汉市民政局下属自收自支事业单位，位于广汉市连山镇龙泉村。</w:t>
      </w:r>
    </w:p>
    <w:p w:rsidR="003D27E6" w:rsidRDefault="008A5FFB">
      <w:pPr>
        <w:ind w:firstLineChars="227" w:firstLine="726"/>
        <w:rPr>
          <w:rFonts w:ascii="仿宋" w:eastAsia="仿宋" w:hAnsi="仿宋"/>
          <w:kern w:val="0"/>
          <w:sz w:val="32"/>
          <w:szCs w:val="32"/>
        </w:rPr>
      </w:pPr>
      <w:r>
        <w:rPr>
          <w:rFonts w:ascii="仿宋_GB2312" w:eastAsia="仿宋_GB2312" w:hAnsi="宋体" w:cs="宋体" w:hint="eastAsia"/>
          <w:color w:val="000000"/>
          <w:kern w:val="0"/>
          <w:sz w:val="32"/>
          <w:szCs w:val="32"/>
          <w:shd w:val="clear" w:color="auto" w:fill="FFFFFF"/>
          <w:lang w:val="zh-CN"/>
        </w:rPr>
        <w:t>（二）机构职能。</w:t>
      </w:r>
      <w:r>
        <w:rPr>
          <w:rFonts w:ascii="仿宋" w:eastAsia="仿宋" w:hAnsi="仿宋" w:hint="eastAsia"/>
          <w:kern w:val="0"/>
          <w:sz w:val="32"/>
          <w:szCs w:val="32"/>
        </w:rPr>
        <w:t>主要职责是贯彻执行并宣传上级殡葬方针政策，落实殡葬改革工作任务；负责为本市及周边逝者提供骨灰墓穴安葬服务，并实施统一管理；负责墓穴的建造与销售；负责墓园发展的规划编制、设施建设与管理维护；研究制定公墓发展规划，创新机制探索社会主义经济条件下公墓发展的新模式；负责建立和完善殡葬社会化服务体系一级公墓规范化管理系列服务工作。</w:t>
      </w:r>
    </w:p>
    <w:p w:rsidR="003D27E6" w:rsidRDefault="008A5FFB">
      <w:pPr>
        <w:ind w:firstLineChars="227" w:firstLine="726"/>
        <w:rPr>
          <w:rFonts w:ascii="仿宋" w:eastAsia="仿宋" w:hAnsi="仿宋"/>
          <w:sz w:val="32"/>
          <w:szCs w:val="32"/>
        </w:rPr>
      </w:pPr>
      <w:r>
        <w:rPr>
          <w:rFonts w:ascii="仿宋_GB2312" w:eastAsia="仿宋_GB2312" w:hAnsi="宋体" w:cs="宋体" w:hint="eastAsia"/>
          <w:color w:val="000000"/>
          <w:kern w:val="0"/>
          <w:sz w:val="32"/>
          <w:szCs w:val="32"/>
          <w:shd w:val="clear" w:color="auto" w:fill="FFFFFF"/>
          <w:lang w:val="zh-CN"/>
        </w:rPr>
        <w:t>（三）人员概况。</w:t>
      </w:r>
      <w:r>
        <w:rPr>
          <w:rFonts w:ascii="仿宋" w:eastAsia="仿宋" w:hAnsi="仿宋" w:hint="eastAsia"/>
          <w:sz w:val="32"/>
          <w:szCs w:val="32"/>
        </w:rPr>
        <w:t>编办核定编制人数</w:t>
      </w:r>
      <w:r>
        <w:rPr>
          <w:rFonts w:ascii="仿宋" w:eastAsia="仿宋" w:hAnsi="仿宋" w:hint="eastAsia"/>
          <w:sz w:val="32"/>
          <w:szCs w:val="32"/>
        </w:rPr>
        <w:t>5</w:t>
      </w:r>
      <w:r>
        <w:rPr>
          <w:rFonts w:ascii="仿宋" w:eastAsia="仿宋" w:hAnsi="仿宋" w:hint="eastAsia"/>
          <w:sz w:val="32"/>
          <w:szCs w:val="32"/>
        </w:rPr>
        <w:t>人，现有在编人员</w:t>
      </w:r>
      <w:r>
        <w:rPr>
          <w:rFonts w:ascii="仿宋" w:eastAsia="仿宋" w:hAnsi="仿宋" w:hint="eastAsia"/>
          <w:sz w:val="32"/>
          <w:szCs w:val="32"/>
        </w:rPr>
        <w:t>2</w:t>
      </w:r>
      <w:r>
        <w:rPr>
          <w:rFonts w:ascii="仿宋" w:eastAsia="仿宋" w:hAnsi="仿宋" w:hint="eastAsia"/>
          <w:sz w:val="32"/>
          <w:szCs w:val="32"/>
        </w:rPr>
        <w:t>人。</w:t>
      </w:r>
    </w:p>
    <w:p w:rsidR="003D27E6" w:rsidRDefault="008A5FF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3D27E6" w:rsidRDefault="008A5FFB">
      <w:pPr>
        <w:ind w:firstLineChars="227" w:firstLine="726"/>
        <w:rPr>
          <w:rFonts w:ascii="仿宋" w:eastAsia="仿宋" w:hAnsi="仿宋"/>
          <w:sz w:val="32"/>
          <w:szCs w:val="32"/>
        </w:rPr>
      </w:pPr>
      <w:r>
        <w:rPr>
          <w:rFonts w:ascii="仿宋_GB2312" w:eastAsia="仿宋_GB2312" w:hAnsi="宋体" w:cs="宋体" w:hint="eastAsia"/>
          <w:color w:val="000000"/>
          <w:kern w:val="0"/>
          <w:sz w:val="32"/>
          <w:szCs w:val="32"/>
          <w:shd w:val="clear" w:color="auto" w:fill="FFFFFF"/>
          <w:lang w:val="zh-CN"/>
        </w:rPr>
        <w:t>（一）部门财政资金收入情况。</w:t>
      </w:r>
      <w:r>
        <w:rPr>
          <w:rFonts w:ascii="仿宋" w:eastAsia="仿宋" w:hAnsi="仿宋" w:hint="eastAsia"/>
          <w:sz w:val="32"/>
          <w:szCs w:val="32"/>
        </w:rPr>
        <w:t>2019</w:t>
      </w:r>
      <w:r>
        <w:rPr>
          <w:rFonts w:ascii="仿宋" w:eastAsia="仿宋" w:hAnsi="仿宋" w:hint="eastAsia"/>
          <w:sz w:val="32"/>
          <w:szCs w:val="32"/>
        </w:rPr>
        <w:t>年决算收入合计</w:t>
      </w:r>
      <w:r>
        <w:rPr>
          <w:rFonts w:ascii="仿宋" w:eastAsia="仿宋" w:hAnsi="仿宋" w:hint="eastAsia"/>
          <w:sz w:val="32"/>
          <w:szCs w:val="32"/>
        </w:rPr>
        <w:t>1021.21</w:t>
      </w:r>
      <w:r>
        <w:rPr>
          <w:rFonts w:ascii="仿宋" w:eastAsia="仿宋" w:hAnsi="仿宋" w:hint="eastAsia"/>
          <w:sz w:val="32"/>
          <w:szCs w:val="32"/>
        </w:rPr>
        <w:t>万元，其中当年一般公共预</w:t>
      </w:r>
      <w:r>
        <w:rPr>
          <w:rFonts w:ascii="仿宋" w:eastAsia="仿宋" w:hAnsi="仿宋" w:hint="eastAsia"/>
          <w:sz w:val="32"/>
          <w:szCs w:val="32"/>
        </w:rPr>
        <w:t>算财政拨款收入</w:t>
      </w:r>
      <w:r>
        <w:rPr>
          <w:rFonts w:ascii="仿宋" w:eastAsia="仿宋" w:hAnsi="仿宋" w:hint="eastAsia"/>
          <w:sz w:val="32"/>
          <w:szCs w:val="32"/>
        </w:rPr>
        <w:t>50.08</w:t>
      </w:r>
      <w:r>
        <w:rPr>
          <w:rFonts w:ascii="仿宋" w:eastAsia="仿宋" w:hAnsi="仿宋" w:hint="eastAsia"/>
          <w:sz w:val="32"/>
          <w:szCs w:val="32"/>
        </w:rPr>
        <w:t>万元，年初结转结余</w:t>
      </w:r>
      <w:r>
        <w:rPr>
          <w:rFonts w:ascii="仿宋" w:eastAsia="仿宋" w:hAnsi="仿宋" w:hint="eastAsia"/>
          <w:sz w:val="32"/>
          <w:szCs w:val="32"/>
        </w:rPr>
        <w:t>971.12</w:t>
      </w:r>
      <w:r>
        <w:rPr>
          <w:rFonts w:ascii="仿宋" w:eastAsia="仿宋" w:hAnsi="仿宋" w:hint="eastAsia"/>
          <w:sz w:val="32"/>
          <w:szCs w:val="32"/>
        </w:rPr>
        <w:t>万元（其中</w:t>
      </w:r>
      <w:r>
        <w:rPr>
          <w:rFonts w:ascii="仿宋" w:eastAsia="仿宋" w:hAnsi="仿宋" w:hint="eastAsia"/>
          <w:sz w:val="32"/>
          <w:szCs w:val="32"/>
        </w:rPr>
        <w:t>655</w:t>
      </w:r>
      <w:r>
        <w:rPr>
          <w:rFonts w:ascii="仿宋" w:eastAsia="仿宋" w:hAnsi="仿宋" w:hint="eastAsia"/>
          <w:sz w:val="32"/>
          <w:szCs w:val="32"/>
        </w:rPr>
        <w:t>万元为收回的存量资金安排）。</w:t>
      </w:r>
    </w:p>
    <w:p w:rsidR="003D27E6" w:rsidRDefault="008A5FF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（二）部门财政资金支出情况。</w:t>
      </w:r>
      <w:r>
        <w:rPr>
          <w:rFonts w:ascii="仿宋" w:eastAsia="仿宋" w:hAnsi="仿宋" w:hint="eastAsia"/>
          <w:sz w:val="32"/>
          <w:szCs w:val="32"/>
        </w:rPr>
        <w:t>2019</w:t>
      </w:r>
      <w:r>
        <w:rPr>
          <w:rFonts w:ascii="仿宋" w:eastAsia="仿宋" w:hAnsi="仿宋" w:hint="eastAsia"/>
          <w:sz w:val="32"/>
          <w:szCs w:val="32"/>
        </w:rPr>
        <w:t>年决算支出合计</w:t>
      </w:r>
      <w:r>
        <w:rPr>
          <w:rFonts w:ascii="仿宋" w:eastAsia="仿宋" w:hAnsi="仿宋" w:hint="eastAsia"/>
          <w:sz w:val="32"/>
          <w:szCs w:val="32"/>
        </w:rPr>
        <w:t>863.52</w:t>
      </w:r>
      <w:r>
        <w:rPr>
          <w:rFonts w:ascii="仿宋" w:eastAsia="仿宋" w:hAnsi="仿宋" w:hint="eastAsia"/>
          <w:sz w:val="32"/>
          <w:szCs w:val="32"/>
        </w:rPr>
        <w:t>万元，基本支出</w:t>
      </w:r>
      <w:r>
        <w:rPr>
          <w:rFonts w:ascii="仿宋" w:eastAsia="仿宋" w:hAnsi="仿宋" w:hint="eastAsia"/>
          <w:sz w:val="32"/>
          <w:szCs w:val="32"/>
        </w:rPr>
        <w:t>195.39</w:t>
      </w:r>
      <w:r>
        <w:rPr>
          <w:rFonts w:ascii="仿宋" w:eastAsia="仿宋" w:hAnsi="仿宋" w:hint="eastAsia"/>
          <w:sz w:val="32"/>
          <w:szCs w:val="32"/>
        </w:rPr>
        <w:t>万元，项目支出</w:t>
      </w:r>
      <w:r>
        <w:rPr>
          <w:rFonts w:ascii="仿宋" w:eastAsia="仿宋" w:hAnsi="仿宋" w:hint="eastAsia"/>
          <w:sz w:val="32"/>
          <w:szCs w:val="32"/>
        </w:rPr>
        <w:t>668.13</w:t>
      </w:r>
      <w:r>
        <w:rPr>
          <w:rFonts w:ascii="仿宋" w:eastAsia="仿宋" w:hAnsi="仿宋" w:hint="eastAsia"/>
          <w:sz w:val="32"/>
          <w:szCs w:val="32"/>
        </w:rPr>
        <w:t>万元。</w:t>
      </w:r>
    </w:p>
    <w:p w:rsidR="003D27E6" w:rsidRDefault="008A5FF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3D27E6" w:rsidRDefault="008A5FF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3D27E6" w:rsidRDefault="008A5FFB">
      <w:pPr>
        <w:autoSpaceDE w:val="0"/>
        <w:autoSpaceDN w:val="0"/>
        <w:adjustRightInd w:val="0"/>
        <w:spacing w:line="580" w:lineRule="exact"/>
        <w:ind w:firstLineChars="200" w:firstLine="640"/>
        <w:jc w:val="left"/>
        <w:rPr>
          <w:rFonts w:ascii="楷体" w:eastAsia="楷体" w:hAnsi="楷体"/>
          <w:kern w:val="0"/>
          <w:sz w:val="32"/>
          <w:szCs w:val="32"/>
        </w:rPr>
      </w:pPr>
      <w:r>
        <w:rPr>
          <w:rFonts w:ascii="楷体" w:eastAsia="楷体" w:hAnsi="楷体" w:hint="eastAsia"/>
          <w:kern w:val="0"/>
          <w:sz w:val="32"/>
          <w:szCs w:val="32"/>
        </w:rPr>
        <w:t>（一）单位财务管理情况</w:t>
      </w:r>
    </w:p>
    <w:p w:rsidR="003D27E6" w:rsidRDefault="008A5FFB">
      <w:pPr>
        <w:autoSpaceDE w:val="0"/>
        <w:autoSpaceDN w:val="0"/>
        <w:adjustRightInd w:val="0"/>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严格按照年初预算安排</w:t>
      </w:r>
      <w:r>
        <w:rPr>
          <w:rFonts w:ascii="仿宋" w:eastAsia="仿宋" w:hAnsi="仿宋" w:hint="eastAsia"/>
          <w:kern w:val="0"/>
          <w:sz w:val="32"/>
          <w:szCs w:val="32"/>
        </w:rPr>
        <w:t>,</w:t>
      </w:r>
      <w:r>
        <w:rPr>
          <w:rFonts w:ascii="仿宋" w:eastAsia="仿宋" w:hAnsi="仿宋" w:hint="eastAsia"/>
          <w:kern w:val="0"/>
          <w:sz w:val="32"/>
          <w:szCs w:val="32"/>
        </w:rPr>
        <w:t>严格执行中央八项规定和省、市十项规定</w:t>
      </w:r>
      <w:r>
        <w:rPr>
          <w:rFonts w:ascii="仿宋" w:eastAsia="仿宋" w:hAnsi="仿宋" w:hint="eastAsia"/>
          <w:kern w:val="0"/>
          <w:sz w:val="32"/>
          <w:szCs w:val="32"/>
        </w:rPr>
        <w:t>,</w:t>
      </w:r>
      <w:r>
        <w:rPr>
          <w:rFonts w:ascii="仿宋" w:eastAsia="仿宋" w:hAnsi="仿宋" w:hint="eastAsia"/>
          <w:kern w:val="0"/>
          <w:sz w:val="32"/>
          <w:szCs w:val="32"/>
        </w:rPr>
        <w:t>厉行节约规范使用预算资金。收入上，严格执行</w:t>
      </w:r>
      <w:r>
        <w:rPr>
          <w:rFonts w:ascii="仿宋" w:eastAsia="仿宋" w:hint="eastAsia"/>
          <w:kern w:val="0"/>
          <w:sz w:val="32"/>
          <w:szCs w:val="32"/>
        </w:rPr>
        <w:t> </w:t>
      </w:r>
      <w:r>
        <w:rPr>
          <w:rFonts w:ascii="仿宋" w:eastAsia="仿宋" w:hAnsi="仿宋" w:hint="eastAsia"/>
          <w:kern w:val="0"/>
          <w:sz w:val="32"/>
          <w:szCs w:val="32"/>
        </w:rPr>
        <w:t>"</w:t>
      </w:r>
      <w:r>
        <w:rPr>
          <w:rFonts w:ascii="仿宋" w:eastAsia="仿宋" w:hAnsi="仿宋" w:hint="eastAsia"/>
          <w:kern w:val="0"/>
          <w:sz w:val="32"/>
          <w:szCs w:val="32"/>
        </w:rPr>
        <w:t>收支两条线</w:t>
      </w:r>
      <w:r>
        <w:rPr>
          <w:rFonts w:ascii="仿宋" w:eastAsia="仿宋" w:hAnsi="仿宋" w:hint="eastAsia"/>
          <w:kern w:val="0"/>
          <w:sz w:val="32"/>
          <w:szCs w:val="32"/>
        </w:rPr>
        <w:t>"</w:t>
      </w:r>
      <w:r>
        <w:rPr>
          <w:rFonts w:ascii="仿宋" w:eastAsia="仿宋" w:hAnsi="仿宋" w:hint="eastAsia"/>
          <w:kern w:val="0"/>
          <w:sz w:val="32"/>
          <w:szCs w:val="32"/>
        </w:rPr>
        <w:t>管理制度，按规定使用非税票据并直接缴入国库，无隐瞒收入和其他违反国家收费管理规定的行为。在支出管理中</w:t>
      </w:r>
      <w:r>
        <w:rPr>
          <w:rFonts w:ascii="仿宋" w:eastAsia="仿宋" w:hAnsi="仿宋" w:hint="eastAsia"/>
          <w:kern w:val="0"/>
          <w:sz w:val="32"/>
          <w:szCs w:val="32"/>
        </w:rPr>
        <w:t>,</w:t>
      </w:r>
      <w:r>
        <w:rPr>
          <w:rFonts w:ascii="仿宋" w:eastAsia="仿宋" w:hint="eastAsia"/>
          <w:kern w:val="0"/>
          <w:sz w:val="32"/>
          <w:szCs w:val="32"/>
        </w:rPr>
        <w:t> </w:t>
      </w:r>
      <w:r>
        <w:rPr>
          <w:rFonts w:ascii="仿宋" w:eastAsia="仿宋" w:hAnsi="仿宋" w:hint="eastAsia"/>
          <w:kern w:val="0"/>
          <w:sz w:val="32"/>
          <w:szCs w:val="32"/>
        </w:rPr>
        <w:t>认真执行国库集中支付、政府采购、公务卡报销、重点工作和大额支付上会集体决策等相关财务管理制度。认真做好每月与银行、财政国库的对账工作，加强动态监控，保障单位各项工作顺利开展。</w:t>
      </w:r>
    </w:p>
    <w:p w:rsidR="003D27E6" w:rsidRDefault="008A5FFB">
      <w:pPr>
        <w:autoSpaceDE w:val="0"/>
        <w:autoSpaceDN w:val="0"/>
        <w:adjustRightInd w:val="0"/>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（二）</w:t>
      </w:r>
      <w:r>
        <w:rPr>
          <w:rFonts w:ascii="楷体" w:eastAsia="楷体" w:hAnsi="楷体" w:hint="eastAsia"/>
          <w:kern w:val="0"/>
          <w:sz w:val="32"/>
          <w:szCs w:val="32"/>
        </w:rPr>
        <w:t>“三公”经费控制情况</w:t>
      </w:r>
    </w:p>
    <w:p w:rsidR="003D27E6" w:rsidRDefault="00524B7E">
      <w:pPr>
        <w:autoSpaceDE w:val="0"/>
        <w:autoSpaceDN w:val="0"/>
        <w:adjustRightInd w:val="0"/>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“三公”经费</w:t>
      </w:r>
      <w:r w:rsidR="008A5FFB">
        <w:rPr>
          <w:rFonts w:ascii="仿宋" w:eastAsia="仿宋" w:hAnsi="仿宋" w:hint="eastAsia"/>
          <w:kern w:val="0"/>
          <w:sz w:val="32"/>
          <w:szCs w:val="32"/>
        </w:rPr>
        <w:t>预算数为</w:t>
      </w:r>
      <w:r w:rsidR="008A5FFB">
        <w:rPr>
          <w:rFonts w:ascii="仿宋" w:eastAsia="仿宋" w:hAnsi="仿宋" w:hint="eastAsia"/>
          <w:kern w:val="0"/>
          <w:sz w:val="32"/>
          <w:szCs w:val="32"/>
        </w:rPr>
        <w:t>7.5</w:t>
      </w:r>
      <w:r w:rsidR="008A5FFB">
        <w:rPr>
          <w:rFonts w:ascii="仿宋" w:eastAsia="仿宋" w:hAnsi="仿宋" w:hint="eastAsia"/>
          <w:kern w:val="0"/>
          <w:sz w:val="32"/>
          <w:szCs w:val="32"/>
        </w:rPr>
        <w:t>万元，实际支出数为</w:t>
      </w:r>
      <w:r w:rsidR="008A5FFB">
        <w:rPr>
          <w:rFonts w:ascii="仿宋" w:eastAsia="仿宋" w:hAnsi="仿宋" w:hint="eastAsia"/>
          <w:kern w:val="0"/>
          <w:sz w:val="32"/>
          <w:szCs w:val="32"/>
        </w:rPr>
        <w:t>6.78</w:t>
      </w:r>
      <w:r w:rsidR="008A5FFB">
        <w:rPr>
          <w:rFonts w:ascii="仿宋" w:eastAsia="仿宋" w:hAnsi="仿宋" w:hint="eastAsia"/>
          <w:kern w:val="0"/>
          <w:sz w:val="32"/>
          <w:szCs w:val="32"/>
        </w:rPr>
        <w:t>万元，完成预算</w:t>
      </w:r>
      <w:r w:rsidR="008A5FFB">
        <w:rPr>
          <w:rFonts w:ascii="仿宋" w:eastAsia="仿宋" w:hAnsi="仿宋" w:hint="eastAsia"/>
          <w:kern w:val="0"/>
          <w:sz w:val="32"/>
          <w:szCs w:val="32"/>
        </w:rPr>
        <w:t>90.4%</w:t>
      </w:r>
      <w:r w:rsidR="008A5FFB">
        <w:rPr>
          <w:rFonts w:ascii="仿宋" w:eastAsia="仿宋" w:hAnsi="仿宋" w:hint="eastAsia"/>
          <w:kern w:val="0"/>
          <w:sz w:val="32"/>
          <w:szCs w:val="32"/>
        </w:rPr>
        <w:t>。其中：公务接待费预算</w:t>
      </w:r>
      <w:r w:rsidR="008A5FFB">
        <w:rPr>
          <w:rFonts w:ascii="仿宋" w:eastAsia="仿宋" w:hAnsi="仿宋" w:hint="eastAsia"/>
          <w:kern w:val="0"/>
          <w:sz w:val="32"/>
          <w:szCs w:val="32"/>
        </w:rPr>
        <w:t>1.5</w:t>
      </w:r>
      <w:r w:rsidR="008A5FFB">
        <w:rPr>
          <w:rFonts w:ascii="仿宋" w:eastAsia="仿宋" w:hAnsi="仿宋" w:hint="eastAsia"/>
          <w:kern w:val="0"/>
          <w:sz w:val="32"/>
          <w:szCs w:val="32"/>
        </w:rPr>
        <w:t>万元，实际支出</w:t>
      </w:r>
      <w:r w:rsidR="008A5FFB">
        <w:rPr>
          <w:rFonts w:ascii="仿宋" w:eastAsia="仿宋" w:hAnsi="仿宋" w:hint="eastAsia"/>
          <w:kern w:val="0"/>
          <w:sz w:val="32"/>
          <w:szCs w:val="32"/>
        </w:rPr>
        <w:t>0.78</w:t>
      </w:r>
      <w:r w:rsidR="008A5FFB">
        <w:rPr>
          <w:rFonts w:ascii="仿宋" w:eastAsia="仿宋" w:hAnsi="仿宋" w:hint="eastAsia"/>
          <w:kern w:val="0"/>
          <w:sz w:val="32"/>
          <w:szCs w:val="32"/>
        </w:rPr>
        <w:t>万元，完成预算</w:t>
      </w:r>
      <w:r w:rsidR="008A5FFB">
        <w:rPr>
          <w:rFonts w:ascii="仿宋" w:eastAsia="仿宋" w:hAnsi="仿宋" w:hint="eastAsia"/>
          <w:kern w:val="0"/>
          <w:sz w:val="32"/>
          <w:szCs w:val="32"/>
        </w:rPr>
        <w:t>52%</w:t>
      </w:r>
      <w:r w:rsidR="008A5FFB">
        <w:rPr>
          <w:rFonts w:ascii="仿宋" w:eastAsia="仿宋" w:hAnsi="仿宋" w:hint="eastAsia"/>
          <w:kern w:val="0"/>
          <w:sz w:val="32"/>
          <w:szCs w:val="32"/>
        </w:rPr>
        <w:t>。公务用车运行费预算数</w:t>
      </w:r>
      <w:r w:rsidR="008A5FFB">
        <w:rPr>
          <w:rFonts w:ascii="仿宋" w:eastAsia="仿宋" w:hAnsi="仿宋" w:hint="eastAsia"/>
          <w:kern w:val="0"/>
          <w:sz w:val="32"/>
          <w:szCs w:val="32"/>
        </w:rPr>
        <w:t>6</w:t>
      </w:r>
      <w:r w:rsidR="008A5FFB">
        <w:rPr>
          <w:rFonts w:ascii="仿宋" w:eastAsia="仿宋" w:hAnsi="仿宋" w:hint="eastAsia"/>
          <w:kern w:val="0"/>
          <w:sz w:val="32"/>
          <w:szCs w:val="32"/>
        </w:rPr>
        <w:t>万元，实际支出数</w:t>
      </w:r>
      <w:r w:rsidR="008A5FFB">
        <w:rPr>
          <w:rFonts w:ascii="仿宋" w:eastAsia="仿宋" w:hAnsi="仿宋" w:hint="eastAsia"/>
          <w:kern w:val="0"/>
          <w:sz w:val="32"/>
          <w:szCs w:val="32"/>
        </w:rPr>
        <w:t>6</w:t>
      </w:r>
      <w:r w:rsidR="008A5FFB">
        <w:rPr>
          <w:rFonts w:ascii="仿宋" w:eastAsia="仿宋" w:hAnsi="仿宋" w:hint="eastAsia"/>
          <w:kern w:val="0"/>
          <w:sz w:val="32"/>
          <w:szCs w:val="32"/>
        </w:rPr>
        <w:t>万元，完成预算</w:t>
      </w:r>
      <w:r w:rsidR="008A5FFB">
        <w:rPr>
          <w:rFonts w:ascii="仿宋" w:eastAsia="仿宋" w:hAnsi="仿宋" w:hint="eastAsia"/>
          <w:kern w:val="0"/>
          <w:sz w:val="32"/>
          <w:szCs w:val="32"/>
        </w:rPr>
        <w:t>1</w:t>
      </w:r>
      <w:r w:rsidR="008A5FFB">
        <w:rPr>
          <w:rFonts w:ascii="仿宋" w:eastAsia="仿宋" w:hAnsi="仿宋" w:hint="eastAsia"/>
          <w:kern w:val="0"/>
          <w:sz w:val="32"/>
          <w:szCs w:val="32"/>
        </w:rPr>
        <w:t>00%</w:t>
      </w:r>
      <w:r w:rsidR="008A5FFB">
        <w:rPr>
          <w:rFonts w:ascii="仿宋" w:eastAsia="仿宋" w:hAnsi="仿宋" w:hint="eastAsia"/>
          <w:kern w:val="0"/>
          <w:sz w:val="32"/>
          <w:szCs w:val="32"/>
        </w:rPr>
        <w:t>。全年无公务出国情况。</w:t>
      </w:r>
    </w:p>
    <w:p w:rsidR="003D27E6" w:rsidRDefault="008A5FFB">
      <w:pPr>
        <w:autoSpaceDE w:val="0"/>
        <w:autoSpaceDN w:val="0"/>
        <w:adjustRightInd w:val="0"/>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（三）</w:t>
      </w:r>
      <w:r>
        <w:rPr>
          <w:rFonts w:ascii="楷体" w:eastAsia="楷体" w:hAnsi="楷体" w:hint="eastAsia"/>
          <w:kern w:val="0"/>
          <w:sz w:val="32"/>
          <w:szCs w:val="32"/>
        </w:rPr>
        <w:t>固定资产管理情况</w:t>
      </w:r>
    </w:p>
    <w:p w:rsidR="003D27E6" w:rsidRDefault="008A5FFB">
      <w:pPr>
        <w:autoSpaceDE w:val="0"/>
        <w:autoSpaceDN w:val="0"/>
        <w:adjustRightInd w:val="0"/>
        <w:spacing w:line="580" w:lineRule="exact"/>
        <w:ind w:firstLineChars="200" w:firstLine="640"/>
        <w:rPr>
          <w:rFonts w:ascii="仿宋" w:eastAsia="仿宋" w:hAnsi="仿宋"/>
          <w:kern w:val="0"/>
          <w:sz w:val="32"/>
          <w:szCs w:val="32"/>
        </w:rPr>
      </w:pPr>
      <w:r>
        <w:rPr>
          <w:rFonts w:ascii="仿宋" w:eastAsia="仿宋" w:hAnsi="仿宋" w:hint="eastAsia"/>
          <w:kern w:val="0"/>
          <w:sz w:val="32"/>
          <w:szCs w:val="32"/>
        </w:rPr>
        <w:t>严格按照上级部门关于新增资产配置流程、处置审批制度等相关文件要求，做好固定资产采买、报废、调整等相关管理工作。资产录入固定资产管理系统，建资产管理卡片，及时更新资产管理信息系统数据，做到账实相符、账卡相符。</w:t>
      </w:r>
      <w:r>
        <w:rPr>
          <w:rFonts w:ascii="仿宋" w:eastAsia="仿宋" w:hAnsi="仿宋" w:hint="eastAsia"/>
          <w:kern w:val="0"/>
          <w:sz w:val="32"/>
          <w:szCs w:val="32"/>
        </w:rPr>
        <w:t>2019</w:t>
      </w:r>
      <w:r>
        <w:rPr>
          <w:rFonts w:ascii="仿宋" w:eastAsia="仿宋" w:hAnsi="仿宋" w:hint="eastAsia"/>
          <w:kern w:val="0"/>
          <w:sz w:val="32"/>
          <w:szCs w:val="32"/>
        </w:rPr>
        <w:t>年底固定资产原值为</w:t>
      </w:r>
      <w:r>
        <w:rPr>
          <w:rFonts w:ascii="仿宋" w:eastAsia="仿宋" w:hAnsi="仿宋" w:hint="eastAsia"/>
          <w:kern w:val="0"/>
          <w:sz w:val="32"/>
          <w:szCs w:val="32"/>
        </w:rPr>
        <w:t>471.67</w:t>
      </w:r>
      <w:r>
        <w:rPr>
          <w:rFonts w:ascii="仿宋" w:eastAsia="仿宋" w:hAnsi="仿宋" w:hint="eastAsia"/>
          <w:kern w:val="0"/>
          <w:sz w:val="32"/>
          <w:szCs w:val="32"/>
        </w:rPr>
        <w:t>万元，固定资产净值</w:t>
      </w:r>
      <w:r>
        <w:rPr>
          <w:rFonts w:ascii="仿宋" w:eastAsia="仿宋" w:hAnsi="仿宋" w:hint="eastAsia"/>
          <w:kern w:val="0"/>
          <w:sz w:val="32"/>
          <w:szCs w:val="32"/>
        </w:rPr>
        <w:t>61.06</w:t>
      </w:r>
      <w:r>
        <w:rPr>
          <w:rFonts w:ascii="仿宋" w:eastAsia="仿宋" w:hAnsi="仿宋" w:hint="eastAsia"/>
          <w:kern w:val="0"/>
          <w:sz w:val="32"/>
          <w:szCs w:val="32"/>
        </w:rPr>
        <w:lastRenderedPageBreak/>
        <w:t>万元，在建工程数为</w:t>
      </w:r>
      <w:r>
        <w:rPr>
          <w:rFonts w:ascii="仿宋" w:eastAsia="仿宋" w:hAnsi="仿宋" w:hint="eastAsia"/>
          <w:kern w:val="0"/>
          <w:sz w:val="32"/>
          <w:szCs w:val="32"/>
        </w:rPr>
        <w:t>393.32</w:t>
      </w:r>
      <w:r>
        <w:rPr>
          <w:rFonts w:ascii="仿宋" w:eastAsia="仿宋" w:hAnsi="仿宋" w:hint="eastAsia"/>
          <w:kern w:val="0"/>
          <w:sz w:val="32"/>
          <w:szCs w:val="32"/>
        </w:rPr>
        <w:t>万元，无形资产</w:t>
      </w:r>
      <w:r>
        <w:rPr>
          <w:rFonts w:ascii="仿宋" w:eastAsia="仿宋" w:hAnsi="仿宋" w:hint="eastAsia"/>
          <w:kern w:val="0"/>
          <w:sz w:val="32"/>
          <w:szCs w:val="32"/>
        </w:rPr>
        <w:t>44.9</w:t>
      </w:r>
      <w:r>
        <w:rPr>
          <w:rFonts w:ascii="仿宋" w:eastAsia="仿宋" w:hAnsi="仿宋" w:hint="eastAsia"/>
          <w:kern w:val="0"/>
          <w:sz w:val="32"/>
          <w:szCs w:val="32"/>
        </w:rPr>
        <w:t>万元。</w:t>
      </w:r>
    </w:p>
    <w:p w:rsidR="003D27E6" w:rsidRDefault="008A5FFB">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3D27E6" w:rsidRDefault="008A5FFB">
      <w:pPr>
        <w:spacing w:line="58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3D27E6" w:rsidRDefault="008A5FFB">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绩效评价总体结论（包括指标体系及评分表）。</w:t>
      </w:r>
    </w:p>
    <w:p w:rsidR="003D27E6" w:rsidRDefault="008A5FF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按照预算绩效管理要求，本单位对</w:t>
      </w:r>
      <w:r>
        <w:rPr>
          <w:rFonts w:ascii="仿宋" w:eastAsia="仿宋" w:hAnsi="仿宋" w:hint="eastAsia"/>
          <w:kern w:val="0"/>
          <w:sz w:val="32"/>
          <w:szCs w:val="32"/>
        </w:rPr>
        <w:t>2019</w:t>
      </w:r>
      <w:r>
        <w:rPr>
          <w:rFonts w:ascii="仿宋" w:eastAsia="仿宋" w:hAnsi="仿宋" w:hint="eastAsia"/>
          <w:kern w:val="0"/>
          <w:sz w:val="32"/>
          <w:szCs w:val="32"/>
        </w:rPr>
        <w:t>年整体支出开展绩效自评，自评得</w:t>
      </w:r>
      <w:r>
        <w:rPr>
          <w:rFonts w:ascii="仿宋" w:eastAsia="仿宋" w:hAnsi="仿宋" w:hint="eastAsia"/>
          <w:kern w:val="0"/>
          <w:sz w:val="32"/>
          <w:szCs w:val="32"/>
        </w:rPr>
        <w:t>97</w:t>
      </w:r>
      <w:r>
        <w:rPr>
          <w:rFonts w:ascii="仿宋" w:eastAsia="仿宋" w:hAnsi="仿宋" w:hint="eastAsia"/>
          <w:kern w:val="0"/>
          <w:sz w:val="32"/>
          <w:szCs w:val="32"/>
        </w:rPr>
        <w:t>分。</w:t>
      </w:r>
    </w:p>
    <w:p w:rsidR="003D27E6" w:rsidRDefault="008A5FFB">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（二）存在问题。第一，</w:t>
      </w:r>
      <w:r>
        <w:rPr>
          <w:rFonts w:ascii="仿宋" w:eastAsia="仿宋" w:hAnsi="仿宋" w:hint="eastAsia"/>
          <w:kern w:val="0"/>
          <w:sz w:val="32"/>
          <w:szCs w:val="32"/>
        </w:rPr>
        <w:t>预算编制不够完善</w:t>
      </w:r>
      <w:r>
        <w:rPr>
          <w:rFonts w:ascii="仿宋" w:eastAsia="仿宋" w:hAnsi="仿宋" w:hint="eastAsia"/>
          <w:kern w:val="0"/>
          <w:sz w:val="32"/>
          <w:szCs w:val="32"/>
        </w:rPr>
        <w:t>,</w:t>
      </w:r>
      <w:r>
        <w:rPr>
          <w:rFonts w:ascii="仿宋" w:eastAsia="仿宋" w:hAnsi="仿宋" w:hint="eastAsia"/>
          <w:kern w:val="0"/>
          <w:sz w:val="32"/>
          <w:szCs w:val="32"/>
        </w:rPr>
        <w:t>个别项目进度缓慢、绩效管理工作有待加强等问题。</w:t>
      </w:r>
      <w:r>
        <w:rPr>
          <w:rFonts w:ascii="仿宋_GB2312" w:eastAsia="仿宋_GB2312" w:hAnsi="宋体" w:cs="宋体" w:hint="eastAsia"/>
          <w:color w:val="000000"/>
          <w:kern w:val="0"/>
          <w:sz w:val="32"/>
          <w:szCs w:val="32"/>
          <w:shd w:val="clear" w:color="auto" w:fill="FFFFFF"/>
          <w:lang w:val="zh-CN"/>
        </w:rPr>
        <w:t>第二，</w:t>
      </w:r>
      <w:r>
        <w:rPr>
          <w:rFonts w:ascii="仿宋" w:eastAsia="仿宋" w:hAnsi="仿宋" w:hint="eastAsia"/>
          <w:kern w:val="0"/>
          <w:sz w:val="32"/>
          <w:szCs w:val="32"/>
        </w:rPr>
        <w:t>资金使用计划有待细化。</w:t>
      </w:r>
    </w:p>
    <w:p w:rsidR="003D27E6" w:rsidRDefault="008A5FFB">
      <w:pPr>
        <w:spacing w:line="580" w:lineRule="exact"/>
        <w:ind w:firstLineChars="200" w:firstLine="640"/>
        <w:rPr>
          <w:rFonts w:ascii="仿宋" w:eastAsia="仿宋" w:hAnsi="仿宋"/>
          <w:kern w:val="0"/>
          <w:sz w:val="32"/>
          <w:szCs w:val="32"/>
        </w:rPr>
      </w:pPr>
      <w:r>
        <w:rPr>
          <w:rFonts w:ascii="仿宋_GB2312" w:eastAsia="仿宋_GB2312" w:hAnsi="宋体" w:cs="宋体" w:hint="eastAsia"/>
          <w:color w:val="000000"/>
          <w:kern w:val="0"/>
          <w:sz w:val="32"/>
          <w:szCs w:val="32"/>
          <w:shd w:val="clear" w:color="auto" w:fill="FFFFFF"/>
          <w:lang w:val="zh-CN"/>
        </w:rPr>
        <w:t>（三）改进建议。</w:t>
      </w:r>
      <w:r>
        <w:rPr>
          <w:rFonts w:ascii="仿宋" w:eastAsia="仿宋" w:hAnsi="仿宋" w:hint="eastAsia"/>
          <w:kern w:val="0"/>
          <w:sz w:val="32"/>
          <w:szCs w:val="32"/>
        </w:rPr>
        <w:t>加强项目进度的跟踪，及时对项目进行绩效评价，确保项目绩效目标的完成。</w:t>
      </w: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3D27E6">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D27E6" w:rsidRDefault="008A5FFB">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3D27E6" w:rsidRDefault="008A5FFB">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广汉市龙泉山公墓改扩建项目支出</w:t>
      </w:r>
    </w:p>
    <w:p w:rsidR="003D27E6" w:rsidRDefault="008A5FFB">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2019</w:t>
      </w:r>
      <w:r>
        <w:rPr>
          <w:rFonts w:ascii="方正小标宋简体" w:eastAsia="方正小标宋简体" w:hAnsi="方正小标宋_GBK" w:hint="eastAsia"/>
          <w:sz w:val="44"/>
          <w:szCs w:val="44"/>
        </w:rPr>
        <w:t>年绩效评价报告</w:t>
      </w:r>
    </w:p>
    <w:p w:rsidR="003D27E6" w:rsidRDefault="003D27E6">
      <w:pPr>
        <w:autoSpaceDE w:val="0"/>
        <w:autoSpaceDN w:val="0"/>
        <w:adjustRightInd w:val="0"/>
        <w:spacing w:line="580" w:lineRule="exact"/>
        <w:ind w:firstLineChars="200" w:firstLine="640"/>
        <w:jc w:val="left"/>
        <w:rPr>
          <w:rFonts w:ascii="仿宋_GB2312" w:eastAsia="仿宋_GB2312"/>
          <w:sz w:val="32"/>
          <w:szCs w:val="32"/>
        </w:rPr>
      </w:pPr>
    </w:p>
    <w:p w:rsidR="003D27E6" w:rsidRDefault="008A5FFB">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3D27E6" w:rsidRDefault="008A5FFB">
      <w:pPr>
        <w:numPr>
          <w:ilvl w:val="0"/>
          <w:numId w:val="5"/>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项目政策目标、年度绩效目标简述</w:t>
      </w:r>
    </w:p>
    <w:p w:rsidR="003D27E6" w:rsidRDefault="008A5FFB">
      <w:pPr>
        <w:autoSpaceDE w:val="0"/>
        <w:autoSpaceDN w:val="0"/>
        <w:adjustRightInd w:val="0"/>
        <w:spacing w:line="580" w:lineRule="exact"/>
        <w:jc w:val="left"/>
        <w:rPr>
          <w:rFonts w:ascii="楷体_GB2312" w:eastAsia="仿宋"/>
          <w:sz w:val="32"/>
          <w:szCs w:val="32"/>
        </w:rPr>
      </w:pPr>
      <w:r>
        <w:rPr>
          <w:rFonts w:ascii="楷体_GB2312" w:eastAsia="楷体_GB2312" w:hint="eastAsia"/>
          <w:sz w:val="32"/>
          <w:szCs w:val="32"/>
        </w:rPr>
        <w:t xml:space="preserve">     </w:t>
      </w:r>
      <w:r>
        <w:rPr>
          <w:rFonts w:ascii="仿宋" w:eastAsia="仿宋" w:hAnsi="仿宋" w:hint="eastAsia"/>
          <w:sz w:val="32"/>
          <w:szCs w:val="32"/>
        </w:rPr>
        <w:t>龙泉山公墓自</w:t>
      </w:r>
      <w:r>
        <w:rPr>
          <w:rFonts w:ascii="仿宋" w:eastAsia="仿宋" w:hAnsi="仿宋" w:hint="eastAsia"/>
          <w:sz w:val="32"/>
          <w:szCs w:val="32"/>
        </w:rPr>
        <w:t>1989</w:t>
      </w:r>
      <w:r>
        <w:rPr>
          <w:rFonts w:ascii="仿宋" w:eastAsia="仿宋" w:hAnsi="仿宋" w:hint="eastAsia"/>
          <w:sz w:val="32"/>
          <w:szCs w:val="32"/>
        </w:rPr>
        <w:t>年建成以来，已使用整整</w:t>
      </w:r>
      <w:r>
        <w:rPr>
          <w:rFonts w:ascii="仿宋" w:eastAsia="仿宋" w:hAnsi="仿宋" w:hint="eastAsia"/>
          <w:sz w:val="32"/>
          <w:szCs w:val="32"/>
        </w:rPr>
        <w:t>30</w:t>
      </w:r>
      <w:r>
        <w:rPr>
          <w:rFonts w:ascii="仿宋" w:eastAsia="仿宋" w:hAnsi="仿宋" w:hint="eastAsia"/>
          <w:sz w:val="32"/>
          <w:szCs w:val="32"/>
        </w:rPr>
        <w:t>年，现已无剩余土地可用，今后难以保障广汉市民的安葬需求，急需扩建龙泉山公墓。</w:t>
      </w:r>
    </w:p>
    <w:p w:rsidR="003D27E6" w:rsidRDefault="008A5FFB">
      <w:pPr>
        <w:numPr>
          <w:ilvl w:val="0"/>
          <w:numId w:val="6"/>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资金管理办法制定情况、申报项目的条件、范围与支持方式概况</w:t>
      </w:r>
    </w:p>
    <w:p w:rsidR="003D27E6" w:rsidRDefault="008A5FFB">
      <w:pPr>
        <w:autoSpaceDE w:val="0"/>
        <w:autoSpaceDN w:val="0"/>
        <w:adjustRightInd w:val="0"/>
        <w:spacing w:line="580" w:lineRule="exact"/>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龙泉山公墓服务处实行自收自支管理模式，收支两条线，在征地费用支付过程中严格按照财务管理制度要求执行。</w:t>
      </w:r>
    </w:p>
    <w:p w:rsidR="003D27E6" w:rsidRDefault="008A5FFB">
      <w:pPr>
        <w:numPr>
          <w:ilvl w:val="0"/>
          <w:numId w:val="6"/>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项目资金使用情况（建议表格体现）</w:t>
      </w:r>
      <w:r>
        <w:rPr>
          <w:rFonts w:ascii="楷体_GB2312" w:eastAsia="楷体_GB2312" w:hint="eastAsia"/>
          <w:sz w:val="32"/>
          <w:szCs w:val="32"/>
        </w:rPr>
        <w:t xml:space="preserve">  </w:t>
      </w:r>
    </w:p>
    <w:tbl>
      <w:tblPr>
        <w:tblStyle w:val="a7"/>
        <w:tblpPr w:leftFromText="180" w:rightFromText="180" w:vertAnchor="text" w:horzAnchor="page" w:tblpX="1773" w:tblpY="9"/>
        <w:tblOverlap w:val="never"/>
        <w:tblW w:w="0" w:type="auto"/>
        <w:tblLook w:val="04A0"/>
      </w:tblPr>
      <w:tblGrid>
        <w:gridCol w:w="2142"/>
        <w:gridCol w:w="2119"/>
        <w:gridCol w:w="2142"/>
        <w:gridCol w:w="2119"/>
      </w:tblGrid>
      <w:tr w:rsidR="003D27E6">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时间</w:t>
            </w:r>
          </w:p>
        </w:tc>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项目</w:t>
            </w:r>
          </w:p>
        </w:tc>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金额（万元）</w:t>
            </w:r>
          </w:p>
        </w:tc>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备注</w:t>
            </w:r>
          </w:p>
        </w:tc>
      </w:tr>
      <w:tr w:rsidR="003D27E6">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2019</w:t>
            </w:r>
          </w:p>
        </w:tc>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征地费用</w:t>
            </w:r>
          </w:p>
        </w:tc>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650</w:t>
            </w:r>
          </w:p>
        </w:tc>
        <w:tc>
          <w:tcPr>
            <w:tcW w:w="2265" w:type="dxa"/>
            <w:vAlign w:val="center"/>
          </w:tcPr>
          <w:p w:rsidR="003D27E6" w:rsidRDefault="003D27E6">
            <w:pPr>
              <w:autoSpaceDE w:val="0"/>
              <w:autoSpaceDN w:val="0"/>
              <w:adjustRightInd w:val="0"/>
              <w:spacing w:line="580" w:lineRule="exact"/>
              <w:jc w:val="center"/>
              <w:rPr>
                <w:rFonts w:ascii="黑体" w:eastAsia="黑体" w:cs="黑体"/>
                <w:kern w:val="0"/>
                <w:sz w:val="28"/>
                <w:szCs w:val="28"/>
              </w:rPr>
            </w:pPr>
          </w:p>
        </w:tc>
      </w:tr>
      <w:tr w:rsidR="003D27E6">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2019</w:t>
            </w:r>
          </w:p>
        </w:tc>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工作经费</w:t>
            </w:r>
          </w:p>
        </w:tc>
        <w:tc>
          <w:tcPr>
            <w:tcW w:w="2265" w:type="dxa"/>
            <w:vAlign w:val="center"/>
          </w:tcPr>
          <w:p w:rsidR="003D27E6" w:rsidRDefault="008A5FFB">
            <w:pPr>
              <w:autoSpaceDE w:val="0"/>
              <w:autoSpaceDN w:val="0"/>
              <w:adjustRightInd w:val="0"/>
              <w:spacing w:line="580" w:lineRule="exact"/>
              <w:jc w:val="center"/>
              <w:rPr>
                <w:rFonts w:ascii="黑体" w:eastAsia="黑体" w:cs="黑体"/>
                <w:kern w:val="0"/>
                <w:sz w:val="28"/>
                <w:szCs w:val="28"/>
              </w:rPr>
            </w:pPr>
            <w:r>
              <w:rPr>
                <w:rFonts w:ascii="黑体" w:eastAsia="黑体" w:cs="黑体" w:hint="eastAsia"/>
                <w:kern w:val="0"/>
                <w:sz w:val="28"/>
                <w:szCs w:val="28"/>
              </w:rPr>
              <w:t>5</w:t>
            </w:r>
          </w:p>
        </w:tc>
        <w:tc>
          <w:tcPr>
            <w:tcW w:w="2265" w:type="dxa"/>
            <w:vAlign w:val="center"/>
          </w:tcPr>
          <w:p w:rsidR="003D27E6" w:rsidRDefault="003D27E6">
            <w:pPr>
              <w:autoSpaceDE w:val="0"/>
              <w:autoSpaceDN w:val="0"/>
              <w:adjustRightInd w:val="0"/>
              <w:spacing w:line="580" w:lineRule="exact"/>
              <w:jc w:val="center"/>
              <w:rPr>
                <w:rFonts w:ascii="黑体" w:eastAsia="黑体" w:cs="黑体"/>
                <w:kern w:val="0"/>
                <w:sz w:val="28"/>
                <w:szCs w:val="28"/>
              </w:rPr>
            </w:pPr>
          </w:p>
        </w:tc>
      </w:tr>
    </w:tbl>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公墓改扩建项目资金年中由收回财政存量资金安排实施，下达指标</w:t>
      </w:r>
      <w:r>
        <w:rPr>
          <w:rFonts w:ascii="仿宋" w:eastAsia="仿宋" w:hAnsi="仿宋" w:hint="eastAsia"/>
          <w:sz w:val="32"/>
          <w:szCs w:val="32"/>
        </w:rPr>
        <w:t>6933175</w:t>
      </w:r>
      <w:r>
        <w:rPr>
          <w:rFonts w:ascii="仿宋" w:eastAsia="仿宋" w:hAnsi="仿宋" w:hint="eastAsia"/>
          <w:sz w:val="32"/>
          <w:szCs w:val="32"/>
        </w:rPr>
        <w:t>元，已支付</w:t>
      </w:r>
      <w:r>
        <w:rPr>
          <w:rFonts w:ascii="仿宋" w:eastAsia="仿宋" w:hAnsi="仿宋" w:hint="eastAsia"/>
          <w:sz w:val="32"/>
          <w:szCs w:val="32"/>
        </w:rPr>
        <w:t>6550000</w:t>
      </w:r>
      <w:r>
        <w:rPr>
          <w:rFonts w:ascii="仿宋" w:eastAsia="仿宋" w:hAnsi="仿宋" w:hint="eastAsia"/>
          <w:sz w:val="32"/>
          <w:szCs w:val="32"/>
        </w:rPr>
        <w:t>元，执行率达</w:t>
      </w:r>
      <w:r>
        <w:rPr>
          <w:rFonts w:ascii="仿宋" w:eastAsia="仿宋" w:hAnsi="仿宋" w:hint="eastAsia"/>
          <w:sz w:val="32"/>
          <w:szCs w:val="32"/>
        </w:rPr>
        <w:t>94.5%</w:t>
      </w:r>
      <w:r>
        <w:rPr>
          <w:rFonts w:ascii="仿宋" w:eastAsia="仿宋" w:hAnsi="仿宋" w:hint="eastAsia"/>
          <w:sz w:val="32"/>
          <w:szCs w:val="32"/>
        </w:rPr>
        <w:t>。项目结转资金</w:t>
      </w:r>
      <w:r>
        <w:rPr>
          <w:rFonts w:ascii="仿宋" w:eastAsia="仿宋" w:hAnsi="仿宋" w:hint="eastAsia"/>
          <w:sz w:val="32"/>
          <w:szCs w:val="32"/>
        </w:rPr>
        <w:t>383175</w:t>
      </w:r>
      <w:r>
        <w:rPr>
          <w:rFonts w:ascii="仿宋" w:eastAsia="仿宋" w:hAnsi="仿宋" w:hint="eastAsia"/>
          <w:sz w:val="32"/>
          <w:szCs w:val="32"/>
        </w:rPr>
        <w:t>元。</w:t>
      </w:r>
    </w:p>
    <w:p w:rsidR="003D27E6" w:rsidRDefault="008A5FFB">
      <w:pPr>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二、评价工作基本情况</w:t>
      </w:r>
    </w:p>
    <w:p w:rsidR="003D27E6" w:rsidRDefault="008A5FFB">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（一）评价方法</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征地主体为连山镇人民政府，由民政局社会事务科和龙</w:t>
      </w:r>
      <w:r>
        <w:rPr>
          <w:rFonts w:ascii="仿宋" w:eastAsia="仿宋" w:hAnsi="仿宋" w:hint="eastAsia"/>
          <w:sz w:val="32"/>
          <w:szCs w:val="32"/>
        </w:rPr>
        <w:lastRenderedPageBreak/>
        <w:t>泉山公墓服务处监管及跟踪征地进度。</w:t>
      </w:r>
    </w:p>
    <w:p w:rsidR="003D27E6" w:rsidRDefault="008A5FFB">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（二）评价指标</w:t>
      </w:r>
    </w:p>
    <w:p w:rsidR="003D27E6" w:rsidRDefault="008A5FFB">
      <w:pPr>
        <w:spacing w:line="540" w:lineRule="exact"/>
        <w:ind w:firstLineChars="200" w:firstLine="640"/>
        <w:rPr>
          <w:rFonts w:ascii="仿宋" w:eastAsia="仿宋" w:hAnsi="仿宋"/>
          <w:sz w:val="32"/>
          <w:szCs w:val="32"/>
        </w:rPr>
      </w:pPr>
      <w:r>
        <w:rPr>
          <w:rFonts w:ascii="仿宋" w:eastAsia="仿宋" w:hAnsi="仿宋" w:hint="eastAsia"/>
          <w:sz w:val="32"/>
          <w:szCs w:val="32"/>
        </w:rPr>
        <w:t>一、图斑红线内征地面积</w:t>
      </w:r>
      <w:r>
        <w:rPr>
          <w:rFonts w:ascii="仿宋" w:eastAsia="仿宋" w:hAnsi="仿宋" w:hint="eastAsia"/>
          <w:sz w:val="32"/>
          <w:szCs w:val="32"/>
        </w:rPr>
        <w:t>181.81</w:t>
      </w:r>
      <w:r>
        <w:rPr>
          <w:rFonts w:ascii="仿宋" w:eastAsia="仿宋" w:hAnsi="仿宋" w:hint="eastAsia"/>
          <w:sz w:val="32"/>
          <w:szCs w:val="32"/>
        </w:rPr>
        <w:t>亩，其中耕地面积预计有</w:t>
      </w:r>
      <w:r>
        <w:rPr>
          <w:rFonts w:ascii="仿宋" w:eastAsia="仿宋" w:hAnsi="仿宋" w:hint="eastAsia"/>
          <w:sz w:val="32"/>
          <w:szCs w:val="32"/>
        </w:rPr>
        <w:t>109.09</w:t>
      </w:r>
      <w:r>
        <w:rPr>
          <w:rFonts w:ascii="仿宋" w:eastAsia="仿宋" w:hAnsi="仿宋" w:hint="eastAsia"/>
          <w:sz w:val="32"/>
          <w:szCs w:val="32"/>
        </w:rPr>
        <w:t>亩；非耕地面积</w:t>
      </w:r>
      <w:r>
        <w:rPr>
          <w:rFonts w:ascii="仿宋" w:eastAsia="仿宋" w:hAnsi="仿宋" w:hint="eastAsia"/>
          <w:sz w:val="32"/>
          <w:szCs w:val="32"/>
        </w:rPr>
        <w:t>72.72</w:t>
      </w:r>
      <w:r>
        <w:rPr>
          <w:rFonts w:ascii="仿宋" w:eastAsia="仿宋" w:hAnsi="仿宋" w:hint="eastAsia"/>
          <w:sz w:val="32"/>
          <w:szCs w:val="32"/>
        </w:rPr>
        <w:t>亩，租地面积</w:t>
      </w:r>
      <w:r>
        <w:rPr>
          <w:rFonts w:ascii="仿宋" w:eastAsia="仿宋" w:hAnsi="仿宋" w:hint="eastAsia"/>
          <w:sz w:val="32"/>
          <w:szCs w:val="32"/>
        </w:rPr>
        <w:t>7.84</w:t>
      </w:r>
      <w:r>
        <w:rPr>
          <w:rFonts w:ascii="仿宋" w:eastAsia="仿宋" w:hAnsi="仿宋" w:hint="eastAsia"/>
          <w:sz w:val="32"/>
          <w:szCs w:val="32"/>
        </w:rPr>
        <w:t>亩。</w:t>
      </w:r>
    </w:p>
    <w:p w:rsidR="003D27E6" w:rsidRDefault="008A5FFB">
      <w:pPr>
        <w:spacing w:line="540" w:lineRule="exact"/>
        <w:ind w:firstLineChars="181" w:firstLine="579"/>
        <w:rPr>
          <w:rFonts w:ascii="仿宋" w:eastAsia="仿宋" w:hAnsi="仿宋"/>
          <w:sz w:val="32"/>
          <w:szCs w:val="32"/>
        </w:rPr>
      </w:pPr>
      <w:r>
        <w:rPr>
          <w:rFonts w:ascii="仿宋" w:eastAsia="仿宋" w:hAnsi="仿宋" w:hint="eastAsia"/>
          <w:sz w:val="32"/>
          <w:szCs w:val="32"/>
        </w:rPr>
        <w:t>二、图斑红线外预计租地面积</w:t>
      </w:r>
      <w:r>
        <w:rPr>
          <w:rFonts w:ascii="仿宋" w:eastAsia="仿宋" w:hAnsi="仿宋" w:hint="eastAsia"/>
          <w:sz w:val="32"/>
          <w:szCs w:val="32"/>
        </w:rPr>
        <w:t>44.89</w:t>
      </w:r>
      <w:r>
        <w:rPr>
          <w:rFonts w:ascii="仿宋" w:eastAsia="仿宋" w:hAnsi="仿宋" w:hint="eastAsia"/>
          <w:sz w:val="32"/>
          <w:szCs w:val="32"/>
        </w:rPr>
        <w:t>亩。</w:t>
      </w:r>
    </w:p>
    <w:p w:rsidR="003D27E6" w:rsidRDefault="008A5FFB">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三、评价结论及绩效分析</w:t>
      </w:r>
    </w:p>
    <w:p w:rsidR="003D27E6" w:rsidRDefault="008A5FFB">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截</w:t>
      </w:r>
      <w:r>
        <w:rPr>
          <w:rFonts w:ascii="仿宋" w:eastAsia="仿宋" w:hAnsi="仿宋" w:hint="eastAsia"/>
          <w:sz w:val="32"/>
          <w:szCs w:val="32"/>
        </w:rPr>
        <w:t>至</w:t>
      </w:r>
      <w:r>
        <w:rPr>
          <w:rFonts w:ascii="仿宋" w:eastAsia="仿宋" w:hAnsi="仿宋" w:hint="eastAsia"/>
          <w:sz w:val="32"/>
          <w:szCs w:val="32"/>
        </w:rPr>
        <w:t>目前连山镇人民政府已完成发放土地补偿款，青苗费及地面附作物费用正在摸底。</w:t>
      </w:r>
    </w:p>
    <w:p w:rsidR="003D27E6" w:rsidRDefault="008A5FFB">
      <w:pPr>
        <w:autoSpaceDE w:val="0"/>
        <w:autoSpaceDN w:val="0"/>
        <w:adjustRightInd w:val="0"/>
        <w:spacing w:line="580" w:lineRule="exact"/>
        <w:ind w:firstLineChars="200" w:firstLine="640"/>
        <w:jc w:val="left"/>
        <w:rPr>
          <w:rFonts w:ascii="仿宋_GB2312" w:eastAsia="仿宋_GB2312"/>
          <w:sz w:val="32"/>
          <w:szCs w:val="32"/>
        </w:rPr>
      </w:pPr>
      <w:r>
        <w:rPr>
          <w:rFonts w:ascii="楷体_GB2312" w:eastAsia="楷体_GB2312" w:hint="eastAsia"/>
          <w:sz w:val="32"/>
          <w:szCs w:val="32"/>
        </w:rPr>
        <w:t>（二）绩效分析</w:t>
      </w:r>
    </w:p>
    <w:p w:rsidR="003D27E6" w:rsidRDefault="008A5FFB">
      <w:pPr>
        <w:spacing w:line="540" w:lineRule="exact"/>
        <w:ind w:firstLineChars="200" w:firstLine="640"/>
        <w:rPr>
          <w:rFonts w:ascii="仿宋" w:eastAsia="仿宋" w:hAnsi="仿宋"/>
          <w:sz w:val="32"/>
          <w:szCs w:val="32"/>
        </w:rPr>
      </w:pPr>
      <w:r>
        <w:rPr>
          <w:rFonts w:ascii="仿宋" w:eastAsia="仿宋" w:hAnsi="仿宋" w:hint="eastAsia"/>
          <w:sz w:val="32"/>
          <w:szCs w:val="32"/>
        </w:rPr>
        <w:t>一、图斑红线内征地面积</w:t>
      </w:r>
      <w:r>
        <w:rPr>
          <w:rFonts w:ascii="仿宋" w:eastAsia="仿宋" w:hAnsi="仿宋" w:hint="eastAsia"/>
          <w:sz w:val="32"/>
          <w:szCs w:val="32"/>
        </w:rPr>
        <w:t>181.81</w:t>
      </w:r>
      <w:r>
        <w:rPr>
          <w:rFonts w:ascii="仿宋" w:eastAsia="仿宋" w:hAnsi="仿宋" w:hint="eastAsia"/>
          <w:sz w:val="32"/>
          <w:szCs w:val="32"/>
        </w:rPr>
        <w:t>亩，其中耕地面积预计有</w:t>
      </w:r>
      <w:r>
        <w:rPr>
          <w:rFonts w:ascii="仿宋" w:eastAsia="仿宋" w:hAnsi="仿宋" w:hint="eastAsia"/>
          <w:sz w:val="32"/>
          <w:szCs w:val="32"/>
        </w:rPr>
        <w:t>109.09</w:t>
      </w:r>
      <w:r>
        <w:rPr>
          <w:rFonts w:ascii="仿宋" w:eastAsia="仿宋" w:hAnsi="仿宋" w:hint="eastAsia"/>
          <w:sz w:val="32"/>
          <w:szCs w:val="32"/>
        </w:rPr>
        <w:t>亩，征地费预计</w:t>
      </w:r>
      <w:r>
        <w:rPr>
          <w:rFonts w:ascii="仿宋" w:eastAsia="仿宋" w:hAnsi="仿宋" w:hint="eastAsia"/>
          <w:sz w:val="32"/>
          <w:szCs w:val="32"/>
        </w:rPr>
        <w:t>489.5618</w:t>
      </w:r>
      <w:r>
        <w:rPr>
          <w:rFonts w:ascii="仿宋" w:eastAsia="仿宋" w:hAnsi="仿宋" w:hint="eastAsia"/>
          <w:sz w:val="32"/>
          <w:szCs w:val="32"/>
        </w:rPr>
        <w:t>万元；非耕地面积</w:t>
      </w:r>
      <w:r>
        <w:rPr>
          <w:rFonts w:ascii="仿宋" w:eastAsia="仿宋" w:hAnsi="仿宋" w:hint="eastAsia"/>
          <w:sz w:val="32"/>
          <w:szCs w:val="32"/>
        </w:rPr>
        <w:t>72.72</w:t>
      </w:r>
      <w:r>
        <w:rPr>
          <w:rFonts w:ascii="仿宋" w:eastAsia="仿宋" w:hAnsi="仿宋" w:hint="eastAsia"/>
          <w:sz w:val="32"/>
          <w:szCs w:val="32"/>
        </w:rPr>
        <w:t>亩，征地费预计</w:t>
      </w:r>
      <w:r>
        <w:rPr>
          <w:rFonts w:ascii="仿宋" w:eastAsia="仿宋" w:hAnsi="仿宋" w:hint="eastAsia"/>
          <w:sz w:val="32"/>
          <w:szCs w:val="32"/>
        </w:rPr>
        <w:t>156.2413</w:t>
      </w:r>
      <w:r>
        <w:rPr>
          <w:rFonts w:ascii="仿宋" w:eastAsia="仿宋" w:hAnsi="仿宋" w:hint="eastAsia"/>
          <w:sz w:val="32"/>
          <w:szCs w:val="32"/>
        </w:rPr>
        <w:t>万元。租地面积</w:t>
      </w:r>
      <w:r>
        <w:rPr>
          <w:rFonts w:ascii="仿宋" w:eastAsia="仿宋" w:hAnsi="仿宋" w:hint="eastAsia"/>
          <w:sz w:val="32"/>
          <w:szCs w:val="32"/>
        </w:rPr>
        <w:t>7.84</w:t>
      </w:r>
      <w:r>
        <w:rPr>
          <w:rFonts w:ascii="仿宋" w:eastAsia="仿宋" w:hAnsi="仿宋" w:hint="eastAsia"/>
          <w:sz w:val="32"/>
          <w:szCs w:val="32"/>
        </w:rPr>
        <w:t>亩，租地费预计</w:t>
      </w:r>
      <w:r>
        <w:rPr>
          <w:rFonts w:ascii="仿宋" w:eastAsia="仿宋" w:hAnsi="仿宋" w:hint="eastAsia"/>
          <w:sz w:val="32"/>
          <w:szCs w:val="32"/>
        </w:rPr>
        <w:t>1.2544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年。</w:t>
      </w:r>
    </w:p>
    <w:p w:rsidR="003D27E6" w:rsidRDefault="008A5FFB">
      <w:pPr>
        <w:spacing w:line="540" w:lineRule="exact"/>
        <w:ind w:firstLineChars="181" w:firstLine="579"/>
        <w:rPr>
          <w:rFonts w:ascii="仿宋" w:eastAsia="仿宋" w:hAnsi="仿宋"/>
          <w:sz w:val="32"/>
          <w:szCs w:val="32"/>
        </w:rPr>
      </w:pPr>
      <w:r>
        <w:rPr>
          <w:rFonts w:ascii="仿宋" w:eastAsia="仿宋" w:hAnsi="仿宋" w:hint="eastAsia"/>
          <w:sz w:val="32"/>
          <w:szCs w:val="32"/>
        </w:rPr>
        <w:t>二、图斑红线外预计租地面积</w:t>
      </w:r>
      <w:r>
        <w:rPr>
          <w:rFonts w:ascii="仿宋" w:eastAsia="仿宋" w:hAnsi="仿宋" w:hint="eastAsia"/>
          <w:sz w:val="32"/>
          <w:szCs w:val="32"/>
        </w:rPr>
        <w:t>44.89</w:t>
      </w:r>
      <w:r>
        <w:rPr>
          <w:rFonts w:ascii="仿宋" w:eastAsia="仿宋" w:hAnsi="仿宋" w:hint="eastAsia"/>
          <w:sz w:val="32"/>
          <w:szCs w:val="32"/>
        </w:rPr>
        <w:t>亩，其中租地面积</w:t>
      </w:r>
      <w:r>
        <w:rPr>
          <w:rFonts w:ascii="仿宋" w:eastAsia="仿宋" w:hAnsi="仿宋" w:hint="eastAsia"/>
          <w:sz w:val="32"/>
          <w:szCs w:val="32"/>
        </w:rPr>
        <w:t>44.89</w:t>
      </w:r>
      <w:r>
        <w:rPr>
          <w:rFonts w:ascii="仿宋" w:eastAsia="仿宋" w:hAnsi="仿宋" w:hint="eastAsia"/>
          <w:sz w:val="32"/>
          <w:szCs w:val="32"/>
        </w:rPr>
        <w:t>亩，租地费预计</w:t>
      </w:r>
      <w:r>
        <w:rPr>
          <w:rFonts w:ascii="仿宋" w:eastAsia="仿宋" w:hAnsi="仿宋" w:hint="eastAsia"/>
          <w:sz w:val="32"/>
          <w:szCs w:val="32"/>
        </w:rPr>
        <w:t>7.1824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年。</w:t>
      </w:r>
    </w:p>
    <w:p w:rsidR="003D27E6" w:rsidRDefault="008A5FFB">
      <w:pPr>
        <w:autoSpaceDE w:val="0"/>
        <w:autoSpaceDN w:val="0"/>
        <w:adjustRightInd w:val="0"/>
        <w:spacing w:line="580" w:lineRule="exact"/>
        <w:ind w:firstLineChars="200" w:firstLine="640"/>
        <w:jc w:val="left"/>
        <w:rPr>
          <w:rFonts w:ascii="仿宋_GB2312" w:eastAsia="仿宋"/>
          <w:sz w:val="32"/>
          <w:szCs w:val="32"/>
        </w:rPr>
      </w:pPr>
      <w:r>
        <w:rPr>
          <w:rFonts w:ascii="仿宋" w:eastAsia="仿宋" w:hAnsi="仿宋" w:hint="eastAsia"/>
          <w:sz w:val="32"/>
          <w:szCs w:val="32"/>
        </w:rPr>
        <w:t>以上预算费用合计</w:t>
      </w:r>
      <w:r>
        <w:rPr>
          <w:rFonts w:ascii="仿宋" w:eastAsia="仿宋" w:hAnsi="仿宋" w:hint="eastAsia"/>
          <w:sz w:val="32"/>
          <w:szCs w:val="32"/>
        </w:rPr>
        <w:t>654.2399</w:t>
      </w:r>
      <w:r>
        <w:rPr>
          <w:rFonts w:ascii="仿宋" w:eastAsia="仿宋" w:hAnsi="仿宋" w:hint="eastAsia"/>
          <w:sz w:val="32"/>
          <w:szCs w:val="32"/>
        </w:rPr>
        <w:t>万元（其中：征地费用</w:t>
      </w:r>
      <w:r>
        <w:rPr>
          <w:rFonts w:ascii="仿宋" w:eastAsia="仿宋" w:hAnsi="仿宋" w:hint="eastAsia"/>
          <w:sz w:val="32"/>
          <w:szCs w:val="32"/>
        </w:rPr>
        <w:t>645.8031</w:t>
      </w:r>
      <w:r>
        <w:rPr>
          <w:rFonts w:ascii="仿宋" w:eastAsia="仿宋" w:hAnsi="仿宋" w:hint="eastAsia"/>
          <w:sz w:val="32"/>
          <w:szCs w:val="32"/>
        </w:rPr>
        <w:t>万元，租地费用</w:t>
      </w:r>
      <w:r>
        <w:rPr>
          <w:rFonts w:ascii="仿宋" w:eastAsia="仿宋" w:hAnsi="仿宋" w:hint="eastAsia"/>
          <w:sz w:val="32"/>
          <w:szCs w:val="32"/>
        </w:rPr>
        <w:t>8.4368</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年）。前</w:t>
      </w:r>
      <w:r>
        <w:rPr>
          <w:rFonts w:ascii="仿宋" w:eastAsia="仿宋" w:hAnsi="仿宋" w:hint="eastAsia"/>
          <w:sz w:val="32"/>
          <w:szCs w:val="32"/>
        </w:rPr>
        <w:t>期市财政拨付到龙泉山公墓管理处征地费共计</w:t>
      </w:r>
      <w:r>
        <w:rPr>
          <w:rFonts w:ascii="仿宋" w:eastAsia="仿宋" w:hAnsi="仿宋" w:hint="eastAsia"/>
          <w:sz w:val="32"/>
          <w:szCs w:val="32"/>
        </w:rPr>
        <w:t>693.3175</w:t>
      </w:r>
      <w:r>
        <w:rPr>
          <w:rFonts w:ascii="仿宋" w:eastAsia="仿宋" w:hAnsi="仿宋" w:hint="eastAsia"/>
          <w:sz w:val="32"/>
          <w:szCs w:val="32"/>
        </w:rPr>
        <w:t>万元，经请示民政局用此款项拨付</w:t>
      </w:r>
      <w:r>
        <w:rPr>
          <w:rFonts w:ascii="仿宋" w:eastAsia="仿宋" w:hAnsi="仿宋" w:hint="eastAsia"/>
          <w:sz w:val="32"/>
          <w:szCs w:val="32"/>
        </w:rPr>
        <w:t>650</w:t>
      </w:r>
      <w:r>
        <w:rPr>
          <w:rFonts w:ascii="仿宋" w:eastAsia="仿宋" w:hAnsi="仿宋" w:hint="eastAsia"/>
          <w:sz w:val="32"/>
          <w:szCs w:val="32"/>
        </w:rPr>
        <w:t>万元给连山镇人民政府用于龙泉山公墓扩建。</w:t>
      </w:r>
    </w:p>
    <w:p w:rsidR="003D27E6" w:rsidRDefault="003D27E6">
      <w:pPr>
        <w:spacing w:line="580" w:lineRule="exact"/>
        <w:ind w:firstLineChars="200" w:firstLine="640"/>
        <w:rPr>
          <w:rFonts w:ascii="仿宋_GB2312" w:eastAsia="仿宋_GB2312" w:hAnsi="仿宋_GB2312" w:cs="仿宋_GB2312"/>
          <w:sz w:val="32"/>
          <w:szCs w:val="32"/>
        </w:rPr>
      </w:pPr>
    </w:p>
    <w:p w:rsidR="003D27E6" w:rsidRDefault="003D27E6">
      <w:pPr>
        <w:spacing w:line="580" w:lineRule="exact"/>
        <w:ind w:firstLineChars="200" w:firstLine="640"/>
        <w:rPr>
          <w:rFonts w:ascii="仿宋_GB2312" w:eastAsia="仿宋_GB2312" w:hAnsi="仿宋_GB2312" w:cs="仿宋_GB2312"/>
          <w:sz w:val="32"/>
          <w:szCs w:val="32"/>
        </w:rPr>
      </w:pPr>
    </w:p>
    <w:p w:rsidR="003D27E6" w:rsidRDefault="003D27E6">
      <w:pPr>
        <w:spacing w:line="580" w:lineRule="exact"/>
        <w:ind w:firstLineChars="200" w:firstLine="640"/>
        <w:rPr>
          <w:rFonts w:ascii="仿宋_GB2312" w:eastAsia="仿宋_GB2312" w:hAnsi="仿宋_GB2312" w:cs="仿宋_GB2312"/>
          <w:sz w:val="32"/>
          <w:szCs w:val="32"/>
        </w:rPr>
      </w:pPr>
    </w:p>
    <w:p w:rsidR="003D27E6" w:rsidRDefault="008A5FFB">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lastRenderedPageBreak/>
        <w:t>广汉市龙泉山公墓卫生绿化项目支出</w:t>
      </w:r>
    </w:p>
    <w:p w:rsidR="003D27E6" w:rsidRDefault="008A5FFB">
      <w:pPr>
        <w:autoSpaceDE w:val="0"/>
        <w:autoSpaceDN w:val="0"/>
        <w:adjustRightInd w:val="0"/>
        <w:spacing w:line="580" w:lineRule="exact"/>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2019</w:t>
      </w:r>
      <w:r>
        <w:rPr>
          <w:rFonts w:ascii="方正小标宋简体" w:eastAsia="方正小标宋简体" w:hAnsi="方正小标宋_GBK" w:hint="eastAsia"/>
          <w:sz w:val="44"/>
          <w:szCs w:val="44"/>
        </w:rPr>
        <w:t>年绩效评价报告</w:t>
      </w:r>
    </w:p>
    <w:p w:rsidR="003D27E6" w:rsidRDefault="008A5FFB">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一、项目基本情况</w:t>
      </w:r>
    </w:p>
    <w:p w:rsidR="003D27E6" w:rsidRDefault="008A5FFB">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（一）项目政策目标、年度绩效目标简述</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公墓卫生绿化项目涉及墓区所有卫生及绿化养护工作，包含对墓套的日常清洁及周边的绿化养护及树种更换等，确保丧属任何时间前来祭祀都有一个整洁优雅的祭祀环境。</w:t>
      </w:r>
    </w:p>
    <w:p w:rsidR="003D27E6" w:rsidRDefault="008A5FFB">
      <w:pPr>
        <w:numPr>
          <w:ilvl w:val="0"/>
          <w:numId w:val="6"/>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资金管理办法制定情况、申报项目的条件、范围与支持方式概况</w:t>
      </w:r>
    </w:p>
    <w:p w:rsidR="003D27E6" w:rsidRDefault="008A5FFB">
      <w:pPr>
        <w:autoSpaceDE w:val="0"/>
        <w:autoSpaceDN w:val="0"/>
        <w:adjustRightInd w:val="0"/>
        <w:spacing w:line="580" w:lineRule="exact"/>
        <w:jc w:val="left"/>
        <w:rPr>
          <w:rFonts w:ascii="仿宋" w:eastAsia="仿宋" w:hAnsi="仿宋"/>
          <w:sz w:val="32"/>
          <w:szCs w:val="32"/>
        </w:rPr>
      </w:pPr>
      <w:r>
        <w:rPr>
          <w:rFonts w:ascii="楷体_GB2312" w:eastAsia="楷体_GB2312"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按照广财办〔</w:t>
      </w: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31</w:t>
      </w:r>
      <w:r>
        <w:rPr>
          <w:rFonts w:ascii="仿宋" w:eastAsia="仿宋" w:hAnsi="仿宋" w:hint="eastAsia"/>
          <w:sz w:val="32"/>
          <w:szCs w:val="32"/>
        </w:rPr>
        <w:t>号《关于进一步完善政府采购资金支付程序的通知》要求对项目进行验收、申报，按季度采取财政直接支付形式支付。</w:t>
      </w:r>
    </w:p>
    <w:p w:rsidR="003D27E6" w:rsidRDefault="008A5FFB">
      <w:pPr>
        <w:numPr>
          <w:ilvl w:val="0"/>
          <w:numId w:val="6"/>
        </w:num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项目资金使用情况（建议表格体现）</w:t>
      </w:r>
      <w:r>
        <w:rPr>
          <w:rFonts w:ascii="楷体_GB2312" w:eastAsia="楷体_GB2312" w:hint="eastAsia"/>
          <w:sz w:val="32"/>
          <w:szCs w:val="32"/>
        </w:rPr>
        <w:t xml:space="preserve">  </w:t>
      </w:r>
    </w:p>
    <w:tbl>
      <w:tblPr>
        <w:tblStyle w:val="a7"/>
        <w:tblpPr w:leftFromText="180" w:rightFromText="180" w:vertAnchor="text" w:horzAnchor="page" w:tblpX="1773" w:tblpY="9"/>
        <w:tblOverlap w:val="never"/>
        <w:tblW w:w="0" w:type="auto"/>
        <w:tblLook w:val="04A0"/>
      </w:tblPr>
      <w:tblGrid>
        <w:gridCol w:w="2223"/>
        <w:gridCol w:w="2190"/>
        <w:gridCol w:w="4109"/>
      </w:tblGrid>
      <w:tr w:rsidR="003D27E6">
        <w:tc>
          <w:tcPr>
            <w:tcW w:w="2265"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时间</w:t>
            </w:r>
          </w:p>
        </w:tc>
        <w:tc>
          <w:tcPr>
            <w:tcW w:w="2265"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金额（元）</w:t>
            </w:r>
          </w:p>
        </w:tc>
        <w:tc>
          <w:tcPr>
            <w:tcW w:w="4367"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备注</w:t>
            </w:r>
          </w:p>
        </w:tc>
      </w:tr>
      <w:tr w:rsidR="003D27E6">
        <w:tc>
          <w:tcPr>
            <w:tcW w:w="2265"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2019.1.24</w:t>
            </w:r>
          </w:p>
        </w:tc>
        <w:tc>
          <w:tcPr>
            <w:tcW w:w="2265" w:type="dxa"/>
          </w:tcPr>
          <w:p w:rsidR="003D27E6" w:rsidRDefault="008A5FFB">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70500</w:t>
            </w:r>
          </w:p>
        </w:tc>
        <w:tc>
          <w:tcPr>
            <w:tcW w:w="4367"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Cs w:val="21"/>
              </w:rPr>
              <w:t>支付</w:t>
            </w:r>
            <w:r>
              <w:rPr>
                <w:rFonts w:ascii="黑体" w:eastAsia="黑体" w:cs="黑体" w:hint="eastAsia"/>
                <w:kern w:val="0"/>
                <w:szCs w:val="21"/>
              </w:rPr>
              <w:t>2018</w:t>
            </w:r>
            <w:r>
              <w:rPr>
                <w:rFonts w:ascii="黑体" w:eastAsia="黑体" w:cs="黑体" w:hint="eastAsia"/>
                <w:kern w:val="0"/>
                <w:szCs w:val="21"/>
              </w:rPr>
              <w:t>年四季度费用，合同已到期</w:t>
            </w:r>
          </w:p>
        </w:tc>
      </w:tr>
      <w:tr w:rsidR="003D27E6">
        <w:tc>
          <w:tcPr>
            <w:tcW w:w="2265"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2019.1.24</w:t>
            </w:r>
          </w:p>
        </w:tc>
        <w:tc>
          <w:tcPr>
            <w:tcW w:w="2265" w:type="dxa"/>
          </w:tcPr>
          <w:p w:rsidR="003D27E6" w:rsidRDefault="008A5FFB">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46650</w:t>
            </w:r>
          </w:p>
        </w:tc>
        <w:tc>
          <w:tcPr>
            <w:tcW w:w="4367"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Cs w:val="21"/>
              </w:rPr>
              <w:t>支付</w:t>
            </w:r>
            <w:r>
              <w:rPr>
                <w:rFonts w:ascii="黑体" w:eastAsia="黑体" w:cs="黑体" w:hint="eastAsia"/>
                <w:kern w:val="0"/>
                <w:szCs w:val="21"/>
              </w:rPr>
              <w:t>2018</w:t>
            </w:r>
            <w:r>
              <w:rPr>
                <w:rFonts w:ascii="黑体" w:eastAsia="黑体" w:cs="黑体" w:hint="eastAsia"/>
                <w:kern w:val="0"/>
                <w:szCs w:val="21"/>
              </w:rPr>
              <w:t>年四季度费用</w:t>
            </w:r>
          </w:p>
        </w:tc>
      </w:tr>
      <w:tr w:rsidR="003D27E6">
        <w:tc>
          <w:tcPr>
            <w:tcW w:w="2265"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2019.4.30</w:t>
            </w:r>
          </w:p>
        </w:tc>
        <w:tc>
          <w:tcPr>
            <w:tcW w:w="2265" w:type="dxa"/>
          </w:tcPr>
          <w:p w:rsidR="003D27E6" w:rsidRDefault="008A5FFB">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46050</w:t>
            </w:r>
          </w:p>
        </w:tc>
        <w:tc>
          <w:tcPr>
            <w:tcW w:w="4367"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Cs w:val="21"/>
              </w:rPr>
              <w:t>支付</w:t>
            </w:r>
            <w:r>
              <w:rPr>
                <w:rFonts w:ascii="黑体" w:eastAsia="黑体" w:cs="黑体" w:hint="eastAsia"/>
                <w:kern w:val="0"/>
                <w:szCs w:val="21"/>
              </w:rPr>
              <w:t>2019</w:t>
            </w:r>
            <w:r>
              <w:rPr>
                <w:rFonts w:ascii="黑体" w:eastAsia="黑体" w:cs="黑体" w:hint="eastAsia"/>
                <w:kern w:val="0"/>
                <w:szCs w:val="21"/>
              </w:rPr>
              <w:t>年一季度费用，合同</w:t>
            </w:r>
            <w:r>
              <w:rPr>
                <w:rFonts w:ascii="黑体" w:eastAsia="黑体" w:cs="黑体" w:hint="eastAsia"/>
                <w:kern w:val="0"/>
                <w:szCs w:val="21"/>
              </w:rPr>
              <w:t>3</w:t>
            </w:r>
            <w:r>
              <w:rPr>
                <w:rFonts w:ascii="黑体" w:eastAsia="黑体" w:cs="黑体" w:hint="eastAsia"/>
                <w:kern w:val="0"/>
                <w:szCs w:val="21"/>
              </w:rPr>
              <w:t>月底到期</w:t>
            </w:r>
          </w:p>
        </w:tc>
      </w:tr>
      <w:tr w:rsidR="003D27E6">
        <w:tc>
          <w:tcPr>
            <w:tcW w:w="2265" w:type="dxa"/>
          </w:tcPr>
          <w:p w:rsidR="003D27E6" w:rsidRDefault="008A5FFB">
            <w:pPr>
              <w:autoSpaceDE w:val="0"/>
              <w:autoSpaceDN w:val="0"/>
              <w:adjustRightInd w:val="0"/>
              <w:spacing w:line="580" w:lineRule="exact"/>
              <w:jc w:val="left"/>
              <w:rPr>
                <w:rFonts w:ascii="黑体" w:eastAsia="黑体" w:cs="黑体"/>
                <w:kern w:val="0"/>
                <w:sz w:val="32"/>
                <w:szCs w:val="32"/>
              </w:rPr>
            </w:pPr>
            <w:r>
              <w:rPr>
                <w:rFonts w:ascii="黑体" w:eastAsia="黑体" w:cs="黑体" w:hint="eastAsia"/>
                <w:kern w:val="0"/>
                <w:sz w:val="32"/>
                <w:szCs w:val="32"/>
              </w:rPr>
              <w:t>2019.12.5</w:t>
            </w:r>
          </w:p>
        </w:tc>
        <w:tc>
          <w:tcPr>
            <w:tcW w:w="2265" w:type="dxa"/>
          </w:tcPr>
          <w:p w:rsidR="003D27E6" w:rsidRDefault="008A5FFB">
            <w:pPr>
              <w:autoSpaceDE w:val="0"/>
              <w:autoSpaceDN w:val="0"/>
              <w:adjustRightInd w:val="0"/>
              <w:spacing w:line="580" w:lineRule="exact"/>
              <w:jc w:val="center"/>
              <w:rPr>
                <w:rFonts w:ascii="黑体" w:eastAsia="黑体" w:cs="黑体"/>
                <w:kern w:val="0"/>
                <w:sz w:val="32"/>
                <w:szCs w:val="32"/>
              </w:rPr>
            </w:pPr>
            <w:r>
              <w:rPr>
                <w:rFonts w:ascii="黑体" w:eastAsia="黑体" w:cs="黑体" w:hint="eastAsia"/>
                <w:kern w:val="0"/>
                <w:sz w:val="32"/>
                <w:szCs w:val="32"/>
              </w:rPr>
              <w:t>124750</w:t>
            </w:r>
          </w:p>
        </w:tc>
        <w:tc>
          <w:tcPr>
            <w:tcW w:w="4367" w:type="dxa"/>
          </w:tcPr>
          <w:p w:rsidR="003D27E6" w:rsidRDefault="008A5FFB">
            <w:pPr>
              <w:autoSpaceDE w:val="0"/>
              <w:autoSpaceDN w:val="0"/>
              <w:adjustRightInd w:val="0"/>
              <w:spacing w:line="580" w:lineRule="exact"/>
              <w:jc w:val="left"/>
              <w:rPr>
                <w:rFonts w:ascii="黑体" w:eastAsia="黑体" w:cs="黑体"/>
                <w:kern w:val="0"/>
                <w:szCs w:val="21"/>
              </w:rPr>
            </w:pPr>
            <w:r>
              <w:rPr>
                <w:rFonts w:ascii="黑体" w:eastAsia="黑体" w:cs="黑体" w:hint="eastAsia"/>
                <w:kern w:val="0"/>
                <w:szCs w:val="21"/>
              </w:rPr>
              <w:t>2019</w:t>
            </w:r>
            <w:r>
              <w:rPr>
                <w:rFonts w:ascii="黑体" w:eastAsia="黑体" w:cs="黑体" w:hint="eastAsia"/>
                <w:kern w:val="0"/>
                <w:szCs w:val="21"/>
              </w:rPr>
              <w:t>年</w:t>
            </w:r>
            <w:r>
              <w:rPr>
                <w:rFonts w:ascii="黑体" w:eastAsia="黑体" w:cs="黑体" w:hint="eastAsia"/>
                <w:kern w:val="0"/>
                <w:szCs w:val="21"/>
              </w:rPr>
              <w:t>8</w:t>
            </w:r>
            <w:r>
              <w:rPr>
                <w:rFonts w:ascii="黑体" w:eastAsia="黑体" w:cs="黑体" w:hint="eastAsia"/>
                <w:kern w:val="0"/>
                <w:szCs w:val="21"/>
              </w:rPr>
              <w:t>月重新招标，支付</w:t>
            </w:r>
            <w:r>
              <w:rPr>
                <w:rFonts w:ascii="黑体" w:eastAsia="黑体" w:cs="黑体" w:hint="eastAsia"/>
                <w:kern w:val="0"/>
                <w:szCs w:val="21"/>
              </w:rPr>
              <w:t>8-10</w:t>
            </w:r>
            <w:r>
              <w:rPr>
                <w:rFonts w:ascii="黑体" w:eastAsia="黑体" w:cs="黑体" w:hint="eastAsia"/>
                <w:kern w:val="0"/>
                <w:szCs w:val="21"/>
              </w:rPr>
              <w:t>月费用</w:t>
            </w:r>
          </w:p>
        </w:tc>
      </w:tr>
    </w:tbl>
    <w:p w:rsidR="003D27E6" w:rsidRDefault="008A5FFB">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项目资金年度预算、实际执行、执行率情况（含预算调整情况，项目资金结余结转）</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公墓卫生绿化项目年初预算</w:t>
      </w:r>
      <w:r>
        <w:rPr>
          <w:rFonts w:ascii="仿宋" w:eastAsia="仿宋" w:hAnsi="仿宋" w:hint="eastAsia"/>
          <w:sz w:val="32"/>
          <w:szCs w:val="32"/>
        </w:rPr>
        <w:t>287950</w:t>
      </w:r>
      <w:r>
        <w:rPr>
          <w:rFonts w:ascii="仿宋" w:eastAsia="仿宋" w:hAnsi="仿宋" w:hint="eastAsia"/>
          <w:sz w:val="32"/>
          <w:szCs w:val="32"/>
        </w:rPr>
        <w:t>元，执行过程中批复资金</w:t>
      </w:r>
      <w:r>
        <w:rPr>
          <w:rFonts w:ascii="仿宋" w:eastAsia="仿宋" w:hAnsi="仿宋" w:hint="eastAsia"/>
          <w:sz w:val="32"/>
          <w:szCs w:val="32"/>
        </w:rPr>
        <w:t>287950</w:t>
      </w:r>
      <w:r>
        <w:rPr>
          <w:rFonts w:ascii="仿宋" w:eastAsia="仿宋" w:hAnsi="仿宋" w:hint="eastAsia"/>
          <w:sz w:val="32"/>
          <w:szCs w:val="32"/>
        </w:rPr>
        <w:t>元，执行率</w:t>
      </w:r>
      <w:r>
        <w:rPr>
          <w:rFonts w:ascii="仿宋" w:eastAsia="仿宋" w:hAnsi="仿宋" w:hint="eastAsia"/>
          <w:sz w:val="32"/>
          <w:szCs w:val="32"/>
        </w:rPr>
        <w:t>100%</w:t>
      </w:r>
      <w:r>
        <w:rPr>
          <w:rFonts w:ascii="仿宋" w:eastAsia="仿宋" w:hAnsi="仿宋" w:hint="eastAsia"/>
          <w:sz w:val="32"/>
          <w:szCs w:val="32"/>
        </w:rPr>
        <w:t>。</w:t>
      </w:r>
    </w:p>
    <w:p w:rsidR="003D27E6" w:rsidRDefault="008A5FFB">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评价点位资金到位（如有配套资金，一并说明）及使</w:t>
      </w:r>
      <w:r>
        <w:rPr>
          <w:rFonts w:ascii="仿宋_GB2312" w:eastAsia="仿宋_GB2312" w:hint="eastAsia"/>
          <w:sz w:val="32"/>
          <w:szCs w:val="32"/>
        </w:rPr>
        <w:lastRenderedPageBreak/>
        <w:t>用情况</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所有计划资金</w:t>
      </w:r>
      <w:r>
        <w:rPr>
          <w:rFonts w:ascii="仿宋" w:eastAsia="仿宋" w:hAnsi="仿宋" w:hint="eastAsia"/>
          <w:sz w:val="32"/>
          <w:szCs w:val="32"/>
        </w:rPr>
        <w:t>287950</w:t>
      </w:r>
      <w:r>
        <w:rPr>
          <w:rFonts w:ascii="仿宋" w:eastAsia="仿宋" w:hAnsi="仿宋" w:hint="eastAsia"/>
          <w:sz w:val="32"/>
          <w:szCs w:val="32"/>
        </w:rPr>
        <w:t>元已全部到位，并已全部支付。</w:t>
      </w:r>
    </w:p>
    <w:p w:rsidR="003D27E6" w:rsidRDefault="008A5FFB">
      <w:pPr>
        <w:spacing w:line="580" w:lineRule="exact"/>
        <w:ind w:firstLineChars="200" w:firstLine="640"/>
        <w:rPr>
          <w:rFonts w:ascii="黑体" w:eastAsia="黑体" w:cs="黑体"/>
          <w:kern w:val="0"/>
          <w:sz w:val="32"/>
          <w:szCs w:val="32"/>
        </w:rPr>
      </w:pPr>
      <w:r>
        <w:rPr>
          <w:rFonts w:ascii="黑体" w:eastAsia="黑体" w:cs="黑体" w:hint="eastAsia"/>
          <w:kern w:val="0"/>
          <w:sz w:val="32"/>
          <w:szCs w:val="32"/>
        </w:rPr>
        <w:t>二、评价工作基本情况</w:t>
      </w:r>
    </w:p>
    <w:p w:rsidR="003D27E6" w:rsidRDefault="008A5FFB">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（一）评价方法</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按照服务内容按月打分。</w:t>
      </w:r>
    </w:p>
    <w:p w:rsidR="003D27E6" w:rsidRDefault="008A5FFB">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（二）评价指标</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根据招标文件要求对应所需服务内容，针对每一项进行打分，总分</w:t>
      </w:r>
      <w:r>
        <w:rPr>
          <w:rFonts w:ascii="仿宋" w:eastAsia="仿宋" w:hAnsi="仿宋" w:hint="eastAsia"/>
          <w:sz w:val="32"/>
          <w:szCs w:val="32"/>
        </w:rPr>
        <w:t>100</w:t>
      </w:r>
      <w:r>
        <w:rPr>
          <w:rFonts w:ascii="仿宋" w:eastAsia="仿宋" w:hAnsi="仿宋" w:hint="eastAsia"/>
          <w:sz w:val="32"/>
          <w:szCs w:val="32"/>
        </w:rPr>
        <w:t>分，综合所有服务项目合格率达</w:t>
      </w:r>
      <w:r>
        <w:rPr>
          <w:rFonts w:ascii="仿宋" w:eastAsia="仿宋" w:hAnsi="仿宋" w:hint="eastAsia"/>
          <w:sz w:val="32"/>
          <w:szCs w:val="32"/>
        </w:rPr>
        <w:t>90%</w:t>
      </w:r>
      <w:r>
        <w:rPr>
          <w:rFonts w:ascii="仿宋" w:eastAsia="仿宋" w:hAnsi="仿宋" w:hint="eastAsia"/>
          <w:sz w:val="32"/>
          <w:szCs w:val="32"/>
        </w:rPr>
        <w:t>以上为合格，</w:t>
      </w:r>
      <w:r>
        <w:rPr>
          <w:rFonts w:ascii="仿宋" w:eastAsia="仿宋" w:hAnsi="仿宋" w:hint="eastAsia"/>
          <w:sz w:val="32"/>
          <w:szCs w:val="32"/>
        </w:rPr>
        <w:t>90%</w:t>
      </w:r>
      <w:r>
        <w:rPr>
          <w:rFonts w:ascii="仿宋" w:eastAsia="仿宋" w:hAnsi="仿宋" w:hint="eastAsia"/>
          <w:sz w:val="32"/>
          <w:szCs w:val="32"/>
        </w:rPr>
        <w:t>以下为不达标并相应按比例扣除服务费用。</w:t>
      </w:r>
    </w:p>
    <w:p w:rsidR="003D27E6" w:rsidRDefault="008A5FFB">
      <w:pPr>
        <w:autoSpaceDE w:val="0"/>
        <w:autoSpaceDN w:val="0"/>
        <w:adjustRightInd w:val="0"/>
        <w:spacing w:line="58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三、评价结论及绩效分析</w:t>
      </w:r>
    </w:p>
    <w:p w:rsidR="003D27E6" w:rsidRDefault="008A5FFB">
      <w:pPr>
        <w:autoSpaceDE w:val="0"/>
        <w:autoSpaceDN w:val="0"/>
        <w:adjustRightInd w:val="0"/>
        <w:spacing w:line="580" w:lineRule="exact"/>
        <w:ind w:firstLineChars="200" w:firstLine="640"/>
        <w:jc w:val="left"/>
        <w:rPr>
          <w:rFonts w:ascii="楷体_GB2312" w:eastAsia="楷体_GB2312"/>
          <w:sz w:val="32"/>
          <w:szCs w:val="32"/>
        </w:rPr>
      </w:pPr>
      <w:r>
        <w:rPr>
          <w:rFonts w:ascii="楷体_GB2312" w:eastAsia="楷体_GB2312" w:hint="eastAsia"/>
          <w:sz w:val="32"/>
          <w:szCs w:val="32"/>
        </w:rPr>
        <w:t>（一）评价结论</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卫生绿化项目改善了墓区的整体环境。</w:t>
      </w:r>
    </w:p>
    <w:p w:rsidR="003D27E6" w:rsidRDefault="008A5FFB">
      <w:pPr>
        <w:autoSpaceDE w:val="0"/>
        <w:autoSpaceDN w:val="0"/>
        <w:adjustRightInd w:val="0"/>
        <w:spacing w:line="580" w:lineRule="exact"/>
        <w:ind w:firstLineChars="200" w:firstLine="640"/>
        <w:jc w:val="left"/>
        <w:rPr>
          <w:rFonts w:ascii="仿宋_GB2312" w:eastAsia="仿宋_GB2312"/>
          <w:sz w:val="32"/>
          <w:szCs w:val="32"/>
        </w:rPr>
      </w:pPr>
      <w:r>
        <w:rPr>
          <w:rFonts w:ascii="楷体_GB2312" w:eastAsia="楷体_GB2312" w:hint="eastAsia"/>
          <w:sz w:val="32"/>
          <w:szCs w:val="32"/>
        </w:rPr>
        <w:t>（二）绩效分析</w:t>
      </w:r>
    </w:p>
    <w:p w:rsidR="003D27E6" w:rsidRDefault="008A5FFB">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通用指标情况分析</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该项目自采购以来由公墓成员成立指导监督小组对所提供服务内容按月进行打分、达到</w:t>
      </w:r>
      <w:r>
        <w:rPr>
          <w:rFonts w:ascii="仿宋" w:eastAsia="仿宋" w:hAnsi="仿宋" w:hint="eastAsia"/>
          <w:sz w:val="32"/>
          <w:szCs w:val="32"/>
        </w:rPr>
        <w:t>90%</w:t>
      </w:r>
      <w:r>
        <w:rPr>
          <w:rFonts w:ascii="仿宋" w:eastAsia="仿宋" w:hAnsi="仿宋" w:hint="eastAsia"/>
          <w:sz w:val="32"/>
          <w:szCs w:val="32"/>
        </w:rPr>
        <w:t>以上合格率及时拨付当月服务费</w:t>
      </w:r>
      <w:r>
        <w:rPr>
          <w:rFonts w:ascii="仿宋" w:eastAsia="仿宋" w:hAnsi="仿宋" w:hint="eastAsia"/>
          <w:sz w:val="32"/>
          <w:szCs w:val="32"/>
        </w:rPr>
        <w:t>100%</w:t>
      </w:r>
      <w:r>
        <w:rPr>
          <w:rFonts w:ascii="仿宋" w:eastAsia="仿宋" w:hAnsi="仿宋" w:hint="eastAsia"/>
          <w:sz w:val="32"/>
          <w:szCs w:val="32"/>
        </w:rPr>
        <w:t>，低于</w:t>
      </w:r>
      <w:r>
        <w:rPr>
          <w:rFonts w:ascii="仿宋" w:eastAsia="仿宋" w:hAnsi="仿宋" w:hint="eastAsia"/>
          <w:sz w:val="32"/>
          <w:szCs w:val="32"/>
        </w:rPr>
        <w:t>90%</w:t>
      </w:r>
      <w:r>
        <w:rPr>
          <w:rFonts w:ascii="仿宋" w:eastAsia="仿宋" w:hAnsi="仿宋" w:hint="eastAsia"/>
          <w:sz w:val="32"/>
          <w:szCs w:val="32"/>
        </w:rPr>
        <w:t>以下按所打分比例拨付服务费，</w:t>
      </w:r>
      <w:r>
        <w:rPr>
          <w:rFonts w:ascii="仿宋" w:eastAsia="仿宋" w:hAnsi="仿宋" w:hint="eastAsia"/>
          <w:sz w:val="32"/>
          <w:szCs w:val="32"/>
        </w:rPr>
        <w:t>80%</w:t>
      </w:r>
      <w:r>
        <w:rPr>
          <w:rFonts w:ascii="仿宋" w:eastAsia="仿宋" w:hAnsi="仿宋" w:hint="eastAsia"/>
          <w:sz w:val="32"/>
          <w:szCs w:val="32"/>
        </w:rPr>
        <w:t>以下扣除当月所有服务费并对供应商进行约谈。</w:t>
      </w:r>
    </w:p>
    <w:p w:rsidR="003D27E6" w:rsidRDefault="008A5FFB">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分类共性指标分析</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该项目主要负责龙泉山公墓范围内的所有卫生及绿化养护工作，包含对墓套的日常清洁及周边的绿化养护及树种更换等，确保丧属任何时间前来祭祀都有一个整洁优雅的祭祀环境，项目实施以来群众反馈较好，达到了预期的效果。</w:t>
      </w:r>
    </w:p>
    <w:p w:rsidR="003D27E6" w:rsidRDefault="008A5FFB">
      <w:pPr>
        <w:autoSpaceDE w:val="0"/>
        <w:autoSpaceDN w:val="0"/>
        <w:adjustRightIn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分类特性指标分析</w:t>
      </w:r>
    </w:p>
    <w:p w:rsidR="003D27E6" w:rsidRDefault="008A5FFB">
      <w:pPr>
        <w:autoSpaceDE w:val="0"/>
        <w:autoSpaceDN w:val="0"/>
        <w:adjustRightIn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龙泉山公墓停车场占地</w:t>
      </w:r>
      <w:r>
        <w:rPr>
          <w:rFonts w:ascii="仿宋" w:eastAsia="仿宋" w:hAnsi="仿宋" w:hint="eastAsia"/>
          <w:sz w:val="32"/>
          <w:szCs w:val="32"/>
        </w:rPr>
        <w:t>8378</w:t>
      </w:r>
      <w:r>
        <w:rPr>
          <w:rFonts w:ascii="仿宋" w:eastAsia="仿宋" w:hAnsi="仿宋" w:hint="eastAsia"/>
          <w:sz w:val="32"/>
          <w:szCs w:val="32"/>
        </w:rPr>
        <w:t>平方米，建筑占地</w:t>
      </w:r>
      <w:r>
        <w:rPr>
          <w:rFonts w:ascii="仿宋" w:eastAsia="仿宋" w:hAnsi="仿宋" w:hint="eastAsia"/>
          <w:sz w:val="32"/>
          <w:szCs w:val="32"/>
        </w:rPr>
        <w:t>9971.5</w:t>
      </w:r>
      <w:r>
        <w:rPr>
          <w:rFonts w:ascii="仿宋" w:eastAsia="仿宋" w:hAnsi="仿宋" w:hint="eastAsia"/>
          <w:sz w:val="32"/>
          <w:szCs w:val="32"/>
        </w:rPr>
        <w:t>平方米，墓区</w:t>
      </w:r>
      <w:r>
        <w:rPr>
          <w:rFonts w:ascii="仿宋" w:eastAsia="仿宋" w:hAnsi="仿宋" w:hint="eastAsia"/>
          <w:sz w:val="32"/>
          <w:szCs w:val="32"/>
        </w:rPr>
        <w:t>37572.5</w:t>
      </w:r>
      <w:r>
        <w:rPr>
          <w:rFonts w:ascii="仿宋" w:eastAsia="仿宋" w:hAnsi="仿宋" w:hint="eastAsia"/>
          <w:sz w:val="32"/>
          <w:szCs w:val="32"/>
        </w:rPr>
        <w:t>平方米，合计总共服务面积</w:t>
      </w:r>
      <w:r>
        <w:rPr>
          <w:rFonts w:ascii="仿宋" w:eastAsia="仿宋" w:hAnsi="仿宋" w:hint="eastAsia"/>
          <w:sz w:val="32"/>
          <w:szCs w:val="32"/>
        </w:rPr>
        <w:t>55922</w:t>
      </w:r>
      <w:r>
        <w:rPr>
          <w:rFonts w:ascii="仿宋" w:eastAsia="仿宋" w:hAnsi="仿宋" w:hint="eastAsia"/>
          <w:sz w:val="32"/>
          <w:szCs w:val="32"/>
        </w:rPr>
        <w:t>平方米，全年服务费用经招投标后共计</w:t>
      </w:r>
      <w:r>
        <w:rPr>
          <w:rFonts w:ascii="仿宋" w:eastAsia="仿宋" w:hAnsi="仿宋" w:hint="eastAsia"/>
          <w:sz w:val="32"/>
          <w:szCs w:val="32"/>
        </w:rPr>
        <w:t>287950</w:t>
      </w:r>
      <w:r>
        <w:rPr>
          <w:rFonts w:ascii="仿宋" w:eastAsia="仿宋" w:hAnsi="仿宋" w:hint="eastAsia"/>
          <w:sz w:val="32"/>
          <w:szCs w:val="32"/>
        </w:rPr>
        <w:t>元。</w:t>
      </w:r>
    </w:p>
    <w:p w:rsidR="003D27E6" w:rsidRDefault="003D27E6">
      <w:pPr>
        <w:spacing w:line="580" w:lineRule="exact"/>
        <w:ind w:firstLineChars="200" w:firstLine="640"/>
        <w:rPr>
          <w:rFonts w:ascii="仿宋_GB2312" w:eastAsia="仿宋_GB2312" w:hAnsi="仿宋_GB2312" w:cs="仿宋_GB2312"/>
          <w:sz w:val="32"/>
          <w:szCs w:val="32"/>
        </w:rPr>
      </w:pPr>
    </w:p>
    <w:p w:rsidR="003D27E6" w:rsidRDefault="003D27E6">
      <w:pPr>
        <w:spacing w:line="600" w:lineRule="exact"/>
        <w:jc w:val="center"/>
        <w:outlineLvl w:val="0"/>
        <w:rPr>
          <w:rStyle w:val="1Char"/>
          <w:rFonts w:ascii="黑体" w:eastAsia="黑体" w:hAnsi="黑体"/>
          <w:b w:val="0"/>
        </w:rPr>
      </w:pPr>
    </w:p>
    <w:p w:rsidR="003D27E6" w:rsidRDefault="003D27E6">
      <w:pPr>
        <w:spacing w:line="600" w:lineRule="exact"/>
        <w:jc w:val="center"/>
        <w:outlineLvl w:val="0"/>
        <w:rPr>
          <w:rFonts w:ascii="黑体" w:eastAsia="黑体" w:hAnsi="黑体"/>
          <w:color w:val="000000"/>
          <w:sz w:val="44"/>
          <w:szCs w:val="44"/>
        </w:rPr>
      </w:pPr>
      <w:bookmarkStart w:id="63" w:name="_Toc15396618"/>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3D27E6">
      <w:pPr>
        <w:spacing w:line="600" w:lineRule="exact"/>
        <w:jc w:val="center"/>
        <w:outlineLvl w:val="0"/>
        <w:rPr>
          <w:rFonts w:ascii="黑体" w:eastAsia="黑体" w:hAnsi="黑体"/>
          <w:color w:val="000000"/>
          <w:sz w:val="44"/>
          <w:szCs w:val="44"/>
        </w:rPr>
      </w:pPr>
    </w:p>
    <w:p w:rsidR="003D27E6" w:rsidRDefault="008A5FFB">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61"/>
      <w:bookmarkEnd w:id="63"/>
    </w:p>
    <w:p w:rsidR="003D27E6" w:rsidRDefault="003D27E6">
      <w:pPr>
        <w:spacing w:line="600" w:lineRule="exact"/>
        <w:jc w:val="center"/>
        <w:outlineLvl w:val="0"/>
        <w:rPr>
          <w:rFonts w:ascii="仿宋" w:eastAsia="仿宋" w:hAnsi="仿宋"/>
          <w:b/>
          <w:color w:val="000000"/>
          <w:sz w:val="44"/>
          <w:szCs w:val="44"/>
        </w:rPr>
      </w:pPr>
    </w:p>
    <w:p w:rsidR="003D27E6" w:rsidRDefault="008A5FFB">
      <w:pPr>
        <w:pStyle w:val="2"/>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rsidR="003D27E6" w:rsidRDefault="008A5FFB">
      <w:pPr>
        <w:pStyle w:val="2"/>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入决算表</w:t>
      </w:r>
      <w:bookmarkEnd w:id="65"/>
    </w:p>
    <w:p w:rsidR="003D27E6" w:rsidRDefault="008A5FFB">
      <w:pPr>
        <w:pStyle w:val="2"/>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6"/>
    </w:p>
    <w:p w:rsidR="003D27E6" w:rsidRDefault="008A5FFB">
      <w:pPr>
        <w:pStyle w:val="2"/>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rsidR="003D27E6" w:rsidRDefault="008A5FFB">
      <w:pPr>
        <w:pStyle w:val="2"/>
        <w:rPr>
          <w:rStyle w:val="2Char"/>
          <w:rFonts w:ascii="仿宋" w:eastAsia="仿宋" w:hAnsi="仿宋"/>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9" w:name="_Toc15396624"/>
      <w:bookmarkEnd w:id="68"/>
    </w:p>
    <w:p w:rsidR="003D27E6" w:rsidRDefault="008A5FFB">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rsidR="003D27E6" w:rsidRDefault="008A5FFB">
      <w:pPr>
        <w:pStyle w:val="2"/>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3D27E6" w:rsidRDefault="008A5FFB">
      <w:pPr>
        <w:pStyle w:val="2"/>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3D27E6" w:rsidRDefault="008A5FFB">
      <w:pPr>
        <w:pStyle w:val="2"/>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3D27E6" w:rsidRDefault="008A5FFB">
      <w:pPr>
        <w:pStyle w:val="2"/>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rsidR="003D27E6" w:rsidRDefault="008A5FFB">
      <w:pPr>
        <w:pStyle w:val="2"/>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rsidR="003D27E6" w:rsidRDefault="008A5FFB">
      <w:pPr>
        <w:pStyle w:val="2"/>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rsidR="003D27E6" w:rsidRDefault="008A5FFB">
      <w:pPr>
        <w:pStyle w:val="2"/>
        <w:rPr>
          <w:rFonts w:ascii="仿宋" w:eastAsia="仿宋" w:hAnsi="仿宋"/>
          <w:color w:val="000000" w:themeColor="text1"/>
        </w:rPr>
      </w:pPr>
      <w:bookmarkStart w:id="7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6"/>
    </w:p>
    <w:sectPr w:rsidR="003D27E6" w:rsidSect="003D27E6">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FB" w:rsidRDefault="008A5FFB" w:rsidP="003D27E6">
      <w:r>
        <w:separator/>
      </w:r>
    </w:p>
  </w:endnote>
  <w:endnote w:type="continuationSeparator" w:id="0">
    <w:p w:rsidR="008A5FFB" w:rsidRDefault="008A5FFB" w:rsidP="003D2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E6" w:rsidRDefault="003D27E6">
    <w:pPr>
      <w:pStyle w:val="a5"/>
      <w:jc w:val="center"/>
    </w:pPr>
    <w:sdt>
      <w:sdtPr>
        <w:id w:val="-1994781956"/>
      </w:sdtPr>
      <w:sdtContent>
        <w:r w:rsidRPr="003D27E6">
          <w:fldChar w:fldCharType="begin"/>
        </w:r>
        <w:r w:rsidR="008A5FFB">
          <w:instrText>PAGE   \* MERGEFORMAT</w:instrText>
        </w:r>
        <w:r w:rsidRPr="003D27E6">
          <w:fldChar w:fldCharType="separate"/>
        </w:r>
        <w:r w:rsidR="00524B7E" w:rsidRPr="00524B7E">
          <w:rPr>
            <w:noProof/>
            <w:lang w:val="zh-CN"/>
          </w:rPr>
          <w:t>22</w:t>
        </w:r>
        <w:r>
          <w:rPr>
            <w:lang w:val="zh-CN"/>
          </w:rPr>
          <w:fldChar w:fldCharType="end"/>
        </w:r>
      </w:sdtContent>
    </w:sdt>
  </w:p>
  <w:p w:rsidR="003D27E6" w:rsidRDefault="003D27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FB" w:rsidRDefault="008A5FFB" w:rsidP="003D27E6">
      <w:r>
        <w:separator/>
      </w:r>
    </w:p>
  </w:footnote>
  <w:footnote w:type="continuationSeparator" w:id="0">
    <w:p w:rsidR="008A5FFB" w:rsidRDefault="008A5FFB" w:rsidP="003D2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E6" w:rsidRDefault="003D27E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F24252"/>
    <w:multiLevelType w:val="singleLevel"/>
    <w:tmpl w:val="BAF24252"/>
    <w:lvl w:ilvl="0">
      <w:start w:val="2"/>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C7F1C17"/>
    <w:multiLevelType w:val="singleLevel"/>
    <w:tmpl w:val="3C7F1C17"/>
    <w:lvl w:ilvl="0">
      <w:start w:val="1"/>
      <w:numFmt w:val="chineseCounting"/>
      <w:suff w:val="nothing"/>
      <w:lvlText w:val="（%1）"/>
      <w:lvlJc w:val="left"/>
      <w:rPr>
        <w:rFonts w:hint="eastAsia"/>
      </w:rPr>
    </w:lvl>
  </w:abstractNum>
  <w:abstractNum w:abstractNumId="5">
    <w:nsid w:val="49AC48D9"/>
    <w:multiLevelType w:val="singleLevel"/>
    <w:tmpl w:val="49AC48D9"/>
    <w:lvl w:ilvl="0">
      <w:start w:val="1"/>
      <w:numFmt w:val="decimal"/>
      <w:lvlText w:val="%1."/>
      <w:lvlJc w:val="left"/>
      <w:pPr>
        <w:tabs>
          <w:tab w:val="left" w:pos="312"/>
        </w:tabs>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00C36"/>
    <w:rsid w:val="00021B2E"/>
    <w:rsid w:val="000222C6"/>
    <w:rsid w:val="0002549F"/>
    <w:rsid w:val="000321DF"/>
    <w:rsid w:val="000468DB"/>
    <w:rsid w:val="00063C7F"/>
    <w:rsid w:val="0006487A"/>
    <w:rsid w:val="00065F8F"/>
    <w:rsid w:val="00070A43"/>
    <w:rsid w:val="000768F2"/>
    <w:rsid w:val="0009184B"/>
    <w:rsid w:val="00094236"/>
    <w:rsid w:val="0009593C"/>
    <w:rsid w:val="00097322"/>
    <w:rsid w:val="000A6A92"/>
    <w:rsid w:val="000B047F"/>
    <w:rsid w:val="000B295E"/>
    <w:rsid w:val="000B5923"/>
    <w:rsid w:val="000B5A48"/>
    <w:rsid w:val="000B6FF3"/>
    <w:rsid w:val="000C3467"/>
    <w:rsid w:val="000C3CA6"/>
    <w:rsid w:val="000D1267"/>
    <w:rsid w:val="000D1D50"/>
    <w:rsid w:val="000D5782"/>
    <w:rsid w:val="000D7230"/>
    <w:rsid w:val="000E6613"/>
    <w:rsid w:val="000E7119"/>
    <w:rsid w:val="00107FD7"/>
    <w:rsid w:val="00114E9B"/>
    <w:rsid w:val="0011593B"/>
    <w:rsid w:val="00142216"/>
    <w:rsid w:val="00144D6A"/>
    <w:rsid w:val="0014729F"/>
    <w:rsid w:val="00157BAB"/>
    <w:rsid w:val="001654D1"/>
    <w:rsid w:val="00174518"/>
    <w:rsid w:val="00176951"/>
    <w:rsid w:val="00176987"/>
    <w:rsid w:val="0018106D"/>
    <w:rsid w:val="001877A7"/>
    <w:rsid w:val="00191536"/>
    <w:rsid w:val="00196687"/>
    <w:rsid w:val="001A2922"/>
    <w:rsid w:val="001C0962"/>
    <w:rsid w:val="001D5675"/>
    <w:rsid w:val="001D7531"/>
    <w:rsid w:val="001E3FBD"/>
    <w:rsid w:val="001E737D"/>
    <w:rsid w:val="001F0592"/>
    <w:rsid w:val="001F7506"/>
    <w:rsid w:val="002006CD"/>
    <w:rsid w:val="00202B36"/>
    <w:rsid w:val="00204B7A"/>
    <w:rsid w:val="00204CDE"/>
    <w:rsid w:val="0021101A"/>
    <w:rsid w:val="00220536"/>
    <w:rsid w:val="00223AAA"/>
    <w:rsid w:val="00235629"/>
    <w:rsid w:val="00260C38"/>
    <w:rsid w:val="002616C0"/>
    <w:rsid w:val="00265372"/>
    <w:rsid w:val="002662AA"/>
    <w:rsid w:val="00272D98"/>
    <w:rsid w:val="00280496"/>
    <w:rsid w:val="00294DC9"/>
    <w:rsid w:val="00295495"/>
    <w:rsid w:val="002A31DE"/>
    <w:rsid w:val="002B11DA"/>
    <w:rsid w:val="002B2613"/>
    <w:rsid w:val="002B6AC7"/>
    <w:rsid w:val="002D19B0"/>
    <w:rsid w:val="002D6D05"/>
    <w:rsid w:val="002F1818"/>
    <w:rsid w:val="002F567B"/>
    <w:rsid w:val="00315BA9"/>
    <w:rsid w:val="003216A9"/>
    <w:rsid w:val="00335A74"/>
    <w:rsid w:val="00361437"/>
    <w:rsid w:val="00363940"/>
    <w:rsid w:val="0036505D"/>
    <w:rsid w:val="0036561B"/>
    <w:rsid w:val="0037013F"/>
    <w:rsid w:val="00380C92"/>
    <w:rsid w:val="003A484F"/>
    <w:rsid w:val="003A4883"/>
    <w:rsid w:val="003B0BE0"/>
    <w:rsid w:val="003B0C1B"/>
    <w:rsid w:val="003B688C"/>
    <w:rsid w:val="003C0291"/>
    <w:rsid w:val="003C0D1B"/>
    <w:rsid w:val="003C39AE"/>
    <w:rsid w:val="003C7B60"/>
    <w:rsid w:val="003D04CF"/>
    <w:rsid w:val="003D0C0F"/>
    <w:rsid w:val="003D1FB2"/>
    <w:rsid w:val="003D27E6"/>
    <w:rsid w:val="003D6558"/>
    <w:rsid w:val="003D66DA"/>
    <w:rsid w:val="003E1310"/>
    <w:rsid w:val="003E6F55"/>
    <w:rsid w:val="0040447E"/>
    <w:rsid w:val="00406254"/>
    <w:rsid w:val="004064A3"/>
    <w:rsid w:val="00416978"/>
    <w:rsid w:val="00416CD4"/>
    <w:rsid w:val="0042201B"/>
    <w:rsid w:val="004223DE"/>
    <w:rsid w:val="00434489"/>
    <w:rsid w:val="00434B0C"/>
    <w:rsid w:val="00437085"/>
    <w:rsid w:val="00443880"/>
    <w:rsid w:val="004464F4"/>
    <w:rsid w:val="00452E2A"/>
    <w:rsid w:val="00471401"/>
    <w:rsid w:val="00473F31"/>
    <w:rsid w:val="004816B8"/>
    <w:rsid w:val="0048263A"/>
    <w:rsid w:val="00487E5D"/>
    <w:rsid w:val="004A711F"/>
    <w:rsid w:val="004B199D"/>
    <w:rsid w:val="004B4690"/>
    <w:rsid w:val="004C7389"/>
    <w:rsid w:val="004E0A2D"/>
    <w:rsid w:val="004E206B"/>
    <w:rsid w:val="004E6DF7"/>
    <w:rsid w:val="004F0FBD"/>
    <w:rsid w:val="004F403E"/>
    <w:rsid w:val="00505A47"/>
    <w:rsid w:val="00512FDA"/>
    <w:rsid w:val="00520DA0"/>
    <w:rsid w:val="00524B7E"/>
    <w:rsid w:val="005664BB"/>
    <w:rsid w:val="00566FFA"/>
    <w:rsid w:val="0057481D"/>
    <w:rsid w:val="00575F0B"/>
    <w:rsid w:val="0058486E"/>
    <w:rsid w:val="00585B33"/>
    <w:rsid w:val="0059014D"/>
    <w:rsid w:val="005B2515"/>
    <w:rsid w:val="005B5C64"/>
    <w:rsid w:val="005C6BD0"/>
    <w:rsid w:val="005C6C4C"/>
    <w:rsid w:val="005C75A1"/>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714B"/>
    <w:rsid w:val="00681A31"/>
    <w:rsid w:val="00683E73"/>
    <w:rsid w:val="006A3141"/>
    <w:rsid w:val="006A5E34"/>
    <w:rsid w:val="006B2422"/>
    <w:rsid w:val="006B2B9A"/>
    <w:rsid w:val="006B7C2D"/>
    <w:rsid w:val="006C1937"/>
    <w:rsid w:val="006E627C"/>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16E5"/>
    <w:rsid w:val="007D312A"/>
    <w:rsid w:val="007D3F19"/>
    <w:rsid w:val="007E23B0"/>
    <w:rsid w:val="007F1991"/>
    <w:rsid w:val="007F2C2F"/>
    <w:rsid w:val="007F55FC"/>
    <w:rsid w:val="007F5665"/>
    <w:rsid w:val="007F61BF"/>
    <w:rsid w:val="00800112"/>
    <w:rsid w:val="00813348"/>
    <w:rsid w:val="00817476"/>
    <w:rsid w:val="008253BB"/>
    <w:rsid w:val="00833962"/>
    <w:rsid w:val="00834EA5"/>
    <w:rsid w:val="0083706E"/>
    <w:rsid w:val="008408F6"/>
    <w:rsid w:val="008423A5"/>
    <w:rsid w:val="00850625"/>
    <w:rsid w:val="00853718"/>
    <w:rsid w:val="00855221"/>
    <w:rsid w:val="00860645"/>
    <w:rsid w:val="00862B02"/>
    <w:rsid w:val="00871F71"/>
    <w:rsid w:val="00872FD8"/>
    <w:rsid w:val="00885AF4"/>
    <w:rsid w:val="008939CD"/>
    <w:rsid w:val="00893EB1"/>
    <w:rsid w:val="008A5FFB"/>
    <w:rsid w:val="008B0787"/>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7EE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36F2A"/>
    <w:rsid w:val="00A40A00"/>
    <w:rsid w:val="00A4142F"/>
    <w:rsid w:val="00A422EB"/>
    <w:rsid w:val="00A437D1"/>
    <w:rsid w:val="00A45BB7"/>
    <w:rsid w:val="00A56DF2"/>
    <w:rsid w:val="00A56E6E"/>
    <w:rsid w:val="00A57DCE"/>
    <w:rsid w:val="00A627AE"/>
    <w:rsid w:val="00A67AB5"/>
    <w:rsid w:val="00A733B2"/>
    <w:rsid w:val="00A741C2"/>
    <w:rsid w:val="00A91760"/>
    <w:rsid w:val="00A93B00"/>
    <w:rsid w:val="00A93C21"/>
    <w:rsid w:val="00AB64C9"/>
    <w:rsid w:val="00AC3C6A"/>
    <w:rsid w:val="00AC6855"/>
    <w:rsid w:val="00AD0F83"/>
    <w:rsid w:val="00AD5620"/>
    <w:rsid w:val="00AD656B"/>
    <w:rsid w:val="00AD7C1B"/>
    <w:rsid w:val="00AE16BA"/>
    <w:rsid w:val="00AE1EBE"/>
    <w:rsid w:val="00B03C9D"/>
    <w:rsid w:val="00B060AE"/>
    <w:rsid w:val="00B10517"/>
    <w:rsid w:val="00B14E76"/>
    <w:rsid w:val="00B161B8"/>
    <w:rsid w:val="00B2048C"/>
    <w:rsid w:val="00B310B9"/>
    <w:rsid w:val="00B31B63"/>
    <w:rsid w:val="00B35F3F"/>
    <w:rsid w:val="00B36CBB"/>
    <w:rsid w:val="00B425E0"/>
    <w:rsid w:val="00B439AA"/>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5FF"/>
    <w:rsid w:val="00BD0E25"/>
    <w:rsid w:val="00BF0C23"/>
    <w:rsid w:val="00BF5BD6"/>
    <w:rsid w:val="00C03E31"/>
    <w:rsid w:val="00C23050"/>
    <w:rsid w:val="00C30E69"/>
    <w:rsid w:val="00C33E72"/>
    <w:rsid w:val="00C354B2"/>
    <w:rsid w:val="00C35554"/>
    <w:rsid w:val="00C363C6"/>
    <w:rsid w:val="00C42709"/>
    <w:rsid w:val="00C533CC"/>
    <w:rsid w:val="00C5751C"/>
    <w:rsid w:val="00C61BFC"/>
    <w:rsid w:val="00C62B85"/>
    <w:rsid w:val="00C65438"/>
    <w:rsid w:val="00C71249"/>
    <w:rsid w:val="00C72ED2"/>
    <w:rsid w:val="00C73C66"/>
    <w:rsid w:val="00C9107B"/>
    <w:rsid w:val="00C91CBB"/>
    <w:rsid w:val="00C931C7"/>
    <w:rsid w:val="00CA64D3"/>
    <w:rsid w:val="00CB4E70"/>
    <w:rsid w:val="00CC09B6"/>
    <w:rsid w:val="00CC666F"/>
    <w:rsid w:val="00CC6CF9"/>
    <w:rsid w:val="00CD1E3F"/>
    <w:rsid w:val="00CE0EC3"/>
    <w:rsid w:val="00CE44F6"/>
    <w:rsid w:val="00CE49DA"/>
    <w:rsid w:val="00CE7B61"/>
    <w:rsid w:val="00CF08FA"/>
    <w:rsid w:val="00CF1255"/>
    <w:rsid w:val="00D00095"/>
    <w:rsid w:val="00D114F0"/>
    <w:rsid w:val="00D11788"/>
    <w:rsid w:val="00D17A2B"/>
    <w:rsid w:val="00D20620"/>
    <w:rsid w:val="00D254F7"/>
    <w:rsid w:val="00D26091"/>
    <w:rsid w:val="00D2685C"/>
    <w:rsid w:val="00D33EF9"/>
    <w:rsid w:val="00D34E7C"/>
    <w:rsid w:val="00D35489"/>
    <w:rsid w:val="00D36AFE"/>
    <w:rsid w:val="00D51276"/>
    <w:rsid w:val="00D66A26"/>
    <w:rsid w:val="00D7035F"/>
    <w:rsid w:val="00D74C79"/>
    <w:rsid w:val="00D866EF"/>
    <w:rsid w:val="00DA634F"/>
    <w:rsid w:val="00DA65AC"/>
    <w:rsid w:val="00DB1913"/>
    <w:rsid w:val="00DB5696"/>
    <w:rsid w:val="00DC410D"/>
    <w:rsid w:val="00DC5A81"/>
    <w:rsid w:val="00DC68CA"/>
    <w:rsid w:val="00DC7CBA"/>
    <w:rsid w:val="00DD2C10"/>
    <w:rsid w:val="00DD39E2"/>
    <w:rsid w:val="00DD73B7"/>
    <w:rsid w:val="00DF28BC"/>
    <w:rsid w:val="00DF34B9"/>
    <w:rsid w:val="00E01053"/>
    <w:rsid w:val="00E07ACF"/>
    <w:rsid w:val="00E331A1"/>
    <w:rsid w:val="00E33202"/>
    <w:rsid w:val="00E336A9"/>
    <w:rsid w:val="00E472B1"/>
    <w:rsid w:val="00E50624"/>
    <w:rsid w:val="00E568DF"/>
    <w:rsid w:val="00E64269"/>
    <w:rsid w:val="00E66797"/>
    <w:rsid w:val="00E760CB"/>
    <w:rsid w:val="00E82267"/>
    <w:rsid w:val="00E853CE"/>
    <w:rsid w:val="00E867B6"/>
    <w:rsid w:val="00E87F08"/>
    <w:rsid w:val="00EA010F"/>
    <w:rsid w:val="00EA0FB2"/>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40B4"/>
    <w:rsid w:val="00F35537"/>
    <w:rsid w:val="00F36D8F"/>
    <w:rsid w:val="00F417B1"/>
    <w:rsid w:val="00F45853"/>
    <w:rsid w:val="00F600DA"/>
    <w:rsid w:val="00F602DF"/>
    <w:rsid w:val="00F7418F"/>
    <w:rsid w:val="00F754A1"/>
    <w:rsid w:val="00F81FD9"/>
    <w:rsid w:val="00F841AA"/>
    <w:rsid w:val="00F84A94"/>
    <w:rsid w:val="00F87E96"/>
    <w:rsid w:val="00F9401F"/>
    <w:rsid w:val="00FA23E8"/>
    <w:rsid w:val="00FD2D0C"/>
    <w:rsid w:val="00FD2FA9"/>
    <w:rsid w:val="00FD3CC1"/>
    <w:rsid w:val="00FE0AE3"/>
    <w:rsid w:val="00FF1E02"/>
    <w:rsid w:val="00FF30B4"/>
    <w:rsid w:val="09796A27"/>
    <w:rsid w:val="0F7E04AF"/>
    <w:rsid w:val="10532C13"/>
    <w:rsid w:val="10933468"/>
    <w:rsid w:val="10C055FF"/>
    <w:rsid w:val="1136066C"/>
    <w:rsid w:val="148D28F4"/>
    <w:rsid w:val="16BB723D"/>
    <w:rsid w:val="240371BF"/>
    <w:rsid w:val="29FD04D3"/>
    <w:rsid w:val="2B243329"/>
    <w:rsid w:val="2CA57304"/>
    <w:rsid w:val="319F7F4E"/>
    <w:rsid w:val="328D28A8"/>
    <w:rsid w:val="397F6698"/>
    <w:rsid w:val="39852F31"/>
    <w:rsid w:val="3B246C0B"/>
    <w:rsid w:val="4722598F"/>
    <w:rsid w:val="4AC6584F"/>
    <w:rsid w:val="4ECE2238"/>
    <w:rsid w:val="52A23BF5"/>
    <w:rsid w:val="52AC0EB2"/>
    <w:rsid w:val="6290712F"/>
    <w:rsid w:val="6BE27AD8"/>
    <w:rsid w:val="72734D90"/>
    <w:rsid w:val="7D35180C"/>
    <w:rsid w:val="7DD77E97"/>
    <w:rsid w:val="7FBB6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E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D27E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27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D27E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D27E6"/>
    <w:pPr>
      <w:spacing w:beforeLines="30"/>
    </w:pPr>
    <w:rPr>
      <w:rFonts w:ascii="仿宋_GB2312" w:eastAsia="仿宋_GB2312"/>
      <w:kern w:val="0"/>
      <w:sz w:val="30"/>
    </w:rPr>
  </w:style>
  <w:style w:type="paragraph" w:styleId="30">
    <w:name w:val="toc 3"/>
    <w:basedOn w:val="a"/>
    <w:next w:val="a"/>
    <w:uiPriority w:val="39"/>
    <w:unhideWhenUsed/>
    <w:qFormat/>
    <w:rsid w:val="003D27E6"/>
    <w:pPr>
      <w:tabs>
        <w:tab w:val="right" w:leader="dot" w:pos="8296"/>
      </w:tabs>
      <w:ind w:leftChars="400" w:left="840"/>
    </w:pPr>
  </w:style>
  <w:style w:type="paragraph" w:styleId="a4">
    <w:name w:val="Balloon Text"/>
    <w:basedOn w:val="a"/>
    <w:link w:val="Char0"/>
    <w:uiPriority w:val="99"/>
    <w:semiHidden/>
    <w:unhideWhenUsed/>
    <w:qFormat/>
    <w:rsid w:val="003D27E6"/>
    <w:rPr>
      <w:sz w:val="18"/>
      <w:szCs w:val="18"/>
    </w:rPr>
  </w:style>
  <w:style w:type="paragraph" w:styleId="a5">
    <w:name w:val="footer"/>
    <w:basedOn w:val="a"/>
    <w:link w:val="Char1"/>
    <w:uiPriority w:val="99"/>
    <w:qFormat/>
    <w:rsid w:val="003D27E6"/>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3D27E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3D27E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D27E6"/>
    <w:pPr>
      <w:tabs>
        <w:tab w:val="right" w:leader="dot" w:pos="8296"/>
      </w:tabs>
      <w:ind w:leftChars="200" w:left="420"/>
    </w:pPr>
  </w:style>
  <w:style w:type="table" w:styleId="a7">
    <w:name w:val="Table Grid"/>
    <w:basedOn w:val="a1"/>
    <w:uiPriority w:val="39"/>
    <w:qFormat/>
    <w:rsid w:val="003D27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3D27E6"/>
    <w:rPr>
      <w:b/>
    </w:rPr>
  </w:style>
  <w:style w:type="character" w:styleId="a9">
    <w:name w:val="Hyperlink"/>
    <w:basedOn w:val="a0"/>
    <w:uiPriority w:val="99"/>
    <w:unhideWhenUsed/>
    <w:qFormat/>
    <w:rsid w:val="003D27E6"/>
    <w:rPr>
      <w:color w:val="0000FF" w:themeColor="hyperlink"/>
      <w:u w:val="single"/>
    </w:rPr>
  </w:style>
  <w:style w:type="character" w:customStyle="1" w:styleId="HeaderChar">
    <w:name w:val="Header Char"/>
    <w:basedOn w:val="a0"/>
    <w:uiPriority w:val="99"/>
    <w:semiHidden/>
    <w:qFormat/>
    <w:rsid w:val="003D27E6"/>
    <w:rPr>
      <w:rFonts w:ascii="Times New Roman" w:hAnsi="Times New Roman"/>
      <w:sz w:val="18"/>
      <w:szCs w:val="18"/>
    </w:rPr>
  </w:style>
  <w:style w:type="character" w:customStyle="1" w:styleId="Char2">
    <w:name w:val="页眉 Char"/>
    <w:link w:val="a6"/>
    <w:uiPriority w:val="99"/>
    <w:semiHidden/>
    <w:qFormat/>
    <w:locked/>
    <w:rsid w:val="003D27E6"/>
    <w:rPr>
      <w:sz w:val="18"/>
    </w:rPr>
  </w:style>
  <w:style w:type="character" w:customStyle="1" w:styleId="FooterChar">
    <w:name w:val="Footer Char"/>
    <w:basedOn w:val="a0"/>
    <w:uiPriority w:val="99"/>
    <w:semiHidden/>
    <w:qFormat/>
    <w:rsid w:val="003D27E6"/>
    <w:rPr>
      <w:rFonts w:ascii="Times New Roman" w:hAnsi="Times New Roman"/>
      <w:sz w:val="18"/>
      <w:szCs w:val="18"/>
    </w:rPr>
  </w:style>
  <w:style w:type="character" w:customStyle="1" w:styleId="Char1">
    <w:name w:val="页脚 Char"/>
    <w:link w:val="a5"/>
    <w:uiPriority w:val="99"/>
    <w:qFormat/>
    <w:locked/>
    <w:rsid w:val="003D27E6"/>
    <w:rPr>
      <w:sz w:val="18"/>
    </w:rPr>
  </w:style>
  <w:style w:type="character" w:customStyle="1" w:styleId="BodyTextChar">
    <w:name w:val="Body Text Char"/>
    <w:basedOn w:val="a0"/>
    <w:uiPriority w:val="99"/>
    <w:semiHidden/>
    <w:qFormat/>
    <w:rsid w:val="003D27E6"/>
    <w:rPr>
      <w:rFonts w:ascii="Times New Roman" w:hAnsi="Times New Roman"/>
      <w:szCs w:val="24"/>
    </w:rPr>
  </w:style>
  <w:style w:type="character" w:customStyle="1" w:styleId="Char">
    <w:name w:val="正文文本 Char"/>
    <w:link w:val="a3"/>
    <w:uiPriority w:val="99"/>
    <w:qFormat/>
    <w:locked/>
    <w:rsid w:val="003D27E6"/>
    <w:rPr>
      <w:rFonts w:ascii="仿宋_GB2312" w:eastAsia="仿宋_GB2312" w:hAnsi="Times New Roman"/>
      <w:sz w:val="24"/>
    </w:rPr>
  </w:style>
  <w:style w:type="paragraph" w:customStyle="1" w:styleId="Default">
    <w:name w:val="Default"/>
    <w:uiPriority w:val="99"/>
    <w:rsid w:val="003D27E6"/>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3D27E6"/>
    <w:pPr>
      <w:ind w:firstLineChars="200" w:firstLine="420"/>
    </w:pPr>
  </w:style>
  <w:style w:type="character" w:customStyle="1" w:styleId="1Char">
    <w:name w:val="标题 1 Char"/>
    <w:basedOn w:val="a0"/>
    <w:link w:val="1"/>
    <w:uiPriority w:val="9"/>
    <w:qFormat/>
    <w:rsid w:val="003D27E6"/>
    <w:rPr>
      <w:rFonts w:ascii="Times New Roman" w:hAnsi="Times New Roman"/>
      <w:b/>
      <w:bCs/>
      <w:kern w:val="44"/>
      <w:sz w:val="44"/>
      <w:szCs w:val="44"/>
    </w:rPr>
  </w:style>
  <w:style w:type="character" w:customStyle="1" w:styleId="2Char">
    <w:name w:val="标题 2 Char"/>
    <w:basedOn w:val="a0"/>
    <w:link w:val="2"/>
    <w:uiPriority w:val="9"/>
    <w:qFormat/>
    <w:rsid w:val="003D27E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3D27E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3D27E6"/>
    <w:rPr>
      <w:rFonts w:ascii="Times New Roman" w:hAnsi="Times New Roman"/>
      <w:kern w:val="2"/>
      <w:sz w:val="18"/>
      <w:szCs w:val="18"/>
    </w:rPr>
  </w:style>
  <w:style w:type="character" w:customStyle="1" w:styleId="3Char">
    <w:name w:val="标题 3 Char"/>
    <w:basedOn w:val="a0"/>
    <w:link w:val="3"/>
    <w:uiPriority w:val="9"/>
    <w:qFormat/>
    <w:rsid w:val="003D27E6"/>
    <w:rPr>
      <w:rFonts w:ascii="Times New Roman" w:hAnsi="Times New Roman"/>
      <w:b/>
      <w:bCs/>
      <w:kern w:val="2"/>
      <w:sz w:val="32"/>
      <w:szCs w:val="32"/>
    </w:rPr>
  </w:style>
  <w:style w:type="paragraph" w:customStyle="1" w:styleId="TOC2">
    <w:name w:val="TOC 标题2"/>
    <w:basedOn w:val="1"/>
    <w:next w:val="a"/>
    <w:uiPriority w:val="39"/>
    <w:unhideWhenUsed/>
    <w:qFormat/>
    <w:rsid w:val="003D27E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收入总计</c:v>
                </c:pt>
              </c:strCache>
            </c:strRef>
          </c:tx>
          <c:cat>
            <c:strRef>
              <c:f>Sheet1!$A$2:$A$3</c:f>
              <c:strCache>
                <c:ptCount val="2"/>
                <c:pt idx="0">
                  <c:v>2018年</c:v>
                </c:pt>
                <c:pt idx="1">
                  <c:v>2019年</c:v>
                </c:pt>
              </c:strCache>
            </c:strRef>
          </c:cat>
          <c:val>
            <c:numRef>
              <c:f>Sheet1!$B$2:$B$3</c:f>
              <c:numCache>
                <c:formatCode>General</c:formatCode>
                <c:ptCount val="2"/>
                <c:pt idx="0">
                  <c:v>1212.96</c:v>
                </c:pt>
                <c:pt idx="1">
                  <c:v>1021.21</c:v>
                </c:pt>
              </c:numCache>
            </c:numRef>
          </c:val>
        </c:ser>
        <c:ser>
          <c:idx val="1"/>
          <c:order val="1"/>
          <c:tx>
            <c:strRef>
              <c:f>Sheet1!$C$1</c:f>
              <c:strCache>
                <c:ptCount val="1"/>
                <c:pt idx="0">
                  <c:v>支出总计</c:v>
                </c:pt>
              </c:strCache>
            </c:strRef>
          </c:tx>
          <c:cat>
            <c:strRef>
              <c:f>Sheet1!$A$2:$A$3</c:f>
              <c:strCache>
                <c:ptCount val="2"/>
                <c:pt idx="0">
                  <c:v>2018年</c:v>
                </c:pt>
                <c:pt idx="1">
                  <c:v>2019年</c:v>
                </c:pt>
              </c:strCache>
            </c:strRef>
          </c:cat>
          <c:val>
            <c:numRef>
              <c:f>Sheet1!$C$2:$C$3</c:f>
              <c:numCache>
                <c:formatCode>General</c:formatCode>
                <c:ptCount val="2"/>
                <c:pt idx="0">
                  <c:v>319.89</c:v>
                </c:pt>
                <c:pt idx="1">
                  <c:v>863.52</c:v>
                </c:pt>
              </c:numCache>
            </c:numRef>
          </c:val>
        </c:ser>
        <c:axId val="420130176"/>
        <c:axId val="420131968"/>
      </c:barChart>
      <c:catAx>
        <c:axId val="42013017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0131968"/>
        <c:crosses val="autoZero"/>
        <c:auto val="1"/>
        <c:lblAlgn val="ctr"/>
        <c:lblOffset val="100"/>
      </c:catAx>
      <c:valAx>
        <c:axId val="42013196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013017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view3D>
      <c:rotX val="30"/>
      <c:depthPercent val="100"/>
      <c:perspective val="30"/>
    </c:view3D>
    <c:plotArea>
      <c:layout/>
      <c:pie3DChart>
        <c:varyColors val="1"/>
        <c:ser>
          <c:idx val="0"/>
          <c:order val="0"/>
          <c:tx>
            <c:strRef>
              <c:f>Sheet1!$B$1</c:f>
              <c:strCache>
                <c:ptCount val="1"/>
                <c:pt idx="0">
                  <c:v>本年收入</c:v>
                </c:pt>
              </c:strCache>
            </c:strRef>
          </c:tx>
          <c:cat>
            <c:strRef>
              <c:f>Sheet1!$A$2:$A$3</c:f>
              <c:strCache>
                <c:ptCount val="2"/>
                <c:pt idx="0">
                  <c:v>一般公共预算财政拨款收入</c:v>
                </c:pt>
                <c:pt idx="1">
                  <c:v>年初结转结余</c:v>
                </c:pt>
              </c:strCache>
            </c:strRef>
          </c:cat>
          <c:val>
            <c:numRef>
              <c:f>Sheet1!$B$2:$B$3</c:f>
              <c:numCache>
                <c:formatCode>General</c:formatCode>
                <c:ptCount val="2"/>
                <c:pt idx="0">
                  <c:v>50.08</c:v>
                </c:pt>
                <c:pt idx="1">
                  <c:v>971.13</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view3D>
      <c:rotX val="30"/>
      <c:depthPercent val="100"/>
      <c:perspective val="30"/>
    </c:view3D>
    <c:plotArea>
      <c:layout/>
      <c:pie3DChart>
        <c:varyColors val="1"/>
        <c:ser>
          <c:idx val="0"/>
          <c:order val="0"/>
          <c:tx>
            <c:strRef>
              <c:f>Sheet1!$B$1</c:f>
              <c:strCache>
                <c:ptCount val="1"/>
                <c:pt idx="0">
                  <c:v>本年支出</c:v>
                </c:pt>
              </c:strCache>
            </c:strRef>
          </c:tx>
          <c:dPt>
            <c:idx val="0"/>
            <c:spPr>
              <a:solidFill>
                <a:schemeClr val="accent5">
                  <a:lumMod val="60000"/>
                  <a:lumOff val="40000"/>
                </a:schemeClr>
              </a:solidFill>
            </c:spPr>
          </c:dPt>
          <c:dPt>
            <c:idx val="1"/>
            <c:spPr>
              <a:solidFill>
                <a:schemeClr val="accent5">
                  <a:lumMod val="75000"/>
                </a:schemeClr>
              </a:solidFill>
            </c:spPr>
          </c:dPt>
          <c:cat>
            <c:strRef>
              <c:f>Sheet1!$A$2:$A$3</c:f>
              <c:strCache>
                <c:ptCount val="2"/>
                <c:pt idx="0">
                  <c:v>基本支出</c:v>
                </c:pt>
                <c:pt idx="1">
                  <c:v>项目支出</c:v>
                </c:pt>
              </c:strCache>
            </c:strRef>
          </c:cat>
          <c:val>
            <c:numRef>
              <c:f>Sheet1!$B$2:$B$3</c:f>
              <c:numCache>
                <c:formatCode>General</c:formatCode>
                <c:ptCount val="2"/>
                <c:pt idx="0">
                  <c:v>195.39000000000001</c:v>
                </c:pt>
                <c:pt idx="1">
                  <c:v>668.13</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财政拨款收入总计</c:v>
                </c:pt>
              </c:strCache>
            </c:strRef>
          </c:tx>
          <c:spPr>
            <a:solidFill>
              <a:schemeClr val="tx2">
                <a:lumMod val="60000"/>
                <a:lumOff val="40000"/>
              </a:schemeClr>
            </a:solidFill>
          </c:spPr>
          <c:cat>
            <c:strRef>
              <c:f>Sheet1!$A$2:$A$3</c:f>
              <c:strCache>
                <c:ptCount val="2"/>
                <c:pt idx="0">
                  <c:v>2018年</c:v>
                </c:pt>
                <c:pt idx="1">
                  <c:v>2019年</c:v>
                </c:pt>
              </c:strCache>
            </c:strRef>
          </c:cat>
          <c:val>
            <c:numRef>
              <c:f>Sheet1!$B$2:$B$3</c:f>
              <c:numCache>
                <c:formatCode>General</c:formatCode>
                <c:ptCount val="2"/>
                <c:pt idx="0">
                  <c:v>1212.96</c:v>
                </c:pt>
                <c:pt idx="1">
                  <c:v>1021.21</c:v>
                </c:pt>
              </c:numCache>
            </c:numRef>
          </c:val>
        </c:ser>
        <c:ser>
          <c:idx val="1"/>
          <c:order val="1"/>
          <c:tx>
            <c:strRef>
              <c:f>Sheet1!$C$1</c:f>
              <c:strCache>
                <c:ptCount val="1"/>
                <c:pt idx="0">
                  <c:v>财政拨款支出总计</c:v>
                </c:pt>
              </c:strCache>
            </c:strRef>
          </c:tx>
          <c:cat>
            <c:strRef>
              <c:f>Sheet1!$A$2:$A$3</c:f>
              <c:strCache>
                <c:ptCount val="2"/>
                <c:pt idx="0">
                  <c:v>2018年</c:v>
                </c:pt>
                <c:pt idx="1">
                  <c:v>2019年</c:v>
                </c:pt>
              </c:strCache>
            </c:strRef>
          </c:cat>
          <c:val>
            <c:numRef>
              <c:f>Sheet1!$C$2:$C$3</c:f>
              <c:numCache>
                <c:formatCode>General</c:formatCode>
                <c:ptCount val="2"/>
                <c:pt idx="0">
                  <c:v>319.89</c:v>
                </c:pt>
                <c:pt idx="1">
                  <c:v>863.52</c:v>
                </c:pt>
              </c:numCache>
            </c:numRef>
          </c:val>
        </c:ser>
        <c:axId val="420194560"/>
        <c:axId val="420212736"/>
      </c:barChart>
      <c:catAx>
        <c:axId val="42019456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0212736"/>
        <c:crosses val="autoZero"/>
        <c:auto val="1"/>
        <c:lblAlgn val="ctr"/>
        <c:lblOffset val="100"/>
      </c:catAx>
      <c:valAx>
        <c:axId val="42021273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019456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barChart>
        <c:barDir val="col"/>
        <c:grouping val="clustered"/>
        <c:ser>
          <c:idx val="0"/>
          <c:order val="0"/>
          <c:tx>
            <c:strRef>
              <c:f>Sheet1!$B$1</c:f>
              <c:strCache>
                <c:ptCount val="1"/>
                <c:pt idx="0">
                  <c:v>一般公共预算财政拨款支出</c:v>
                </c:pt>
              </c:strCache>
            </c:strRef>
          </c:tx>
          <c:cat>
            <c:strRef>
              <c:f>Sheet1!$A$2:$A$3</c:f>
              <c:strCache>
                <c:ptCount val="2"/>
                <c:pt idx="0">
                  <c:v>2018年</c:v>
                </c:pt>
                <c:pt idx="1">
                  <c:v>2019年</c:v>
                </c:pt>
              </c:strCache>
            </c:strRef>
          </c:cat>
          <c:val>
            <c:numRef>
              <c:f>Sheet1!$B$2:$B$3</c:f>
              <c:numCache>
                <c:formatCode>General</c:formatCode>
                <c:ptCount val="2"/>
                <c:pt idx="0">
                  <c:v>319.89</c:v>
                </c:pt>
                <c:pt idx="1">
                  <c:v>863.52</c:v>
                </c:pt>
              </c:numCache>
            </c:numRef>
          </c:val>
        </c:ser>
        <c:axId val="421686656"/>
        <c:axId val="421676160"/>
      </c:barChart>
      <c:catAx>
        <c:axId val="42168665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1676160"/>
        <c:crosses val="autoZero"/>
        <c:auto val="1"/>
        <c:lblAlgn val="ctr"/>
        <c:lblOffset val="100"/>
      </c:catAx>
      <c:valAx>
        <c:axId val="42167616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421686656"/>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view3D>
      <c:rotX val="30"/>
      <c:depthPercent val="100"/>
      <c:perspective val="30"/>
    </c:view3D>
    <c:plotArea>
      <c:layout/>
      <c:pie3DChart>
        <c:varyColors val="1"/>
        <c:ser>
          <c:idx val="0"/>
          <c:order val="0"/>
          <c:tx>
            <c:strRef>
              <c:f>Sheet1!$B$1</c:f>
              <c:strCache>
                <c:ptCount val="1"/>
                <c:pt idx="0">
                  <c:v>一般公共预算财政拨款支出</c:v>
                </c:pt>
              </c:strCache>
            </c:strRef>
          </c:tx>
          <c:cat>
            <c:strRef>
              <c:f>Sheet1!$A$2:$A$4</c:f>
              <c:strCache>
                <c:ptCount val="3"/>
                <c:pt idx="0">
                  <c:v>社会保障和就业（类）</c:v>
                </c:pt>
                <c:pt idx="1">
                  <c:v>卫生健康支出</c:v>
                </c:pt>
                <c:pt idx="2">
                  <c:v>住房保障支出</c:v>
                </c:pt>
              </c:strCache>
            </c:strRef>
          </c:cat>
          <c:val>
            <c:numRef>
              <c:f>Sheet1!$B$2:$B$4</c:f>
              <c:numCache>
                <c:formatCode>General</c:formatCode>
                <c:ptCount val="3"/>
                <c:pt idx="0">
                  <c:v>859.93</c:v>
                </c:pt>
                <c:pt idx="1">
                  <c:v>1.44</c:v>
                </c:pt>
                <c:pt idx="2">
                  <c:v>2.15</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view3D>
      <c:rotX val="30"/>
      <c:depthPercent val="100"/>
      <c:perspective val="30"/>
    </c:view3D>
    <c:plotArea>
      <c:layout/>
      <c:pie3DChart>
        <c:varyColors val="1"/>
        <c:ser>
          <c:idx val="0"/>
          <c:order val="0"/>
          <c:tx>
            <c:strRef>
              <c:f>Sheet1!$B$1</c:f>
              <c:strCache>
                <c:ptCount val="1"/>
                <c:pt idx="0">
                  <c:v>“三公”经费财政拨款支出</c:v>
                </c:pt>
              </c:strCache>
            </c:strRef>
          </c:tx>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6</c:v>
                </c:pt>
                <c:pt idx="2">
                  <c:v>0.78</c:v>
                </c:pt>
              </c:numCache>
            </c:numRef>
          </c:val>
        </c:ser>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EF26-026B-4607-85DB-E388C0BA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28</Pages>
  <Words>1525</Words>
  <Characters>8693</Characters>
  <Application>Microsoft Office Word</Application>
  <DocSecurity>0</DocSecurity>
  <Lines>72</Lines>
  <Paragraphs>20</Paragraphs>
  <ScaleCrop>false</ScaleCrop>
  <Company>四川省财政厅</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100</cp:revision>
  <cp:lastPrinted>2020-07-23T02:58:00Z</cp:lastPrinted>
  <dcterms:created xsi:type="dcterms:W3CDTF">2020-08-04T01:49:00Z</dcterms:created>
  <dcterms:modified xsi:type="dcterms:W3CDTF">2024-12-18T07:02:00Z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AA8740A4B08C429AB28DBAC9A09E1A03_12</vt:lpwstr>
  </property>
</Properties>
</file>