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A99A7">
      <w:pPr>
        <w:spacing w:line="60" w:lineRule="atLeast"/>
        <w:jc w:val="center"/>
        <w:rPr>
          <w:rFonts w:eastAsia="方正小标宋简体"/>
          <w:bCs/>
          <w:color w:val="FF0000"/>
          <w:spacing w:val="-57"/>
          <w:sz w:val="116"/>
          <w:szCs w:val="116"/>
        </w:rPr>
      </w:pPr>
    </w:p>
    <w:p w14:paraId="2329E5F1">
      <w:pPr>
        <w:jc w:val="right"/>
        <w:rPr>
          <w:rFonts w:eastAsia="仿宋_GB2312"/>
          <w:sz w:val="32"/>
          <w:szCs w:val="32"/>
        </w:rPr>
      </w:pPr>
    </w:p>
    <w:p w14:paraId="1902B585">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375</w:t>
      </w:r>
      <w:bookmarkStart w:id="0" w:name="_GoBack"/>
      <w:bookmarkEnd w:id="0"/>
      <w:r>
        <w:rPr>
          <w:rFonts w:eastAsia="仿宋_GB2312"/>
          <w:sz w:val="32"/>
          <w:szCs w:val="32"/>
        </w:rPr>
        <w:t>号</w:t>
      </w:r>
    </w:p>
    <w:p w14:paraId="62472035">
      <w:pPr>
        <w:spacing w:line="0" w:lineRule="atLeast"/>
        <w:jc w:val="center"/>
        <w:rPr>
          <w:rFonts w:eastAsia="方正小标宋简体"/>
          <w:sz w:val="44"/>
          <w:szCs w:val="44"/>
        </w:rPr>
      </w:pPr>
    </w:p>
    <w:p w14:paraId="2202569C">
      <w:pPr>
        <w:spacing w:line="600" w:lineRule="exact"/>
        <w:jc w:val="center"/>
        <w:rPr>
          <w:rFonts w:eastAsia="方正小标宋简体"/>
          <w:sz w:val="44"/>
          <w:szCs w:val="44"/>
        </w:rPr>
      </w:pPr>
      <w:r>
        <w:rPr>
          <w:rFonts w:eastAsia="方正小标宋简体"/>
          <w:sz w:val="44"/>
          <w:szCs w:val="44"/>
        </w:rPr>
        <w:t>德阳市生态环境局</w:t>
      </w:r>
    </w:p>
    <w:p w14:paraId="59717898">
      <w:pPr>
        <w:spacing w:line="600" w:lineRule="exact"/>
        <w:jc w:val="center"/>
        <w:rPr>
          <w:rFonts w:hint="eastAsia" w:eastAsia="方正小标宋简体"/>
          <w:sz w:val="44"/>
          <w:szCs w:val="44"/>
        </w:rPr>
      </w:pPr>
      <w:r>
        <w:rPr>
          <w:rFonts w:hint="eastAsia" w:eastAsia="方正小标宋简体"/>
          <w:sz w:val="44"/>
          <w:szCs w:val="44"/>
        </w:rPr>
        <w:t>关于广汉双友纺织品有限公司年产1500万米学生装功能性复合面料加工和生产项目</w:t>
      </w:r>
    </w:p>
    <w:p w14:paraId="52678E54">
      <w:pPr>
        <w:spacing w:line="600" w:lineRule="exact"/>
        <w:jc w:val="center"/>
        <w:rPr>
          <w:rFonts w:eastAsia="方正小标宋简体"/>
          <w:sz w:val="44"/>
          <w:szCs w:val="44"/>
        </w:rPr>
      </w:pPr>
      <w:r>
        <w:rPr>
          <w:rFonts w:eastAsia="方正小标宋简体"/>
          <w:sz w:val="44"/>
          <w:szCs w:val="44"/>
        </w:rPr>
        <w:t>《环境影响报告表》的批复</w:t>
      </w:r>
    </w:p>
    <w:p w14:paraId="64197D68">
      <w:pPr>
        <w:spacing w:line="0" w:lineRule="atLeast"/>
        <w:jc w:val="center"/>
        <w:rPr>
          <w:rFonts w:eastAsia="方正小标宋简体"/>
          <w:sz w:val="24"/>
        </w:rPr>
      </w:pPr>
    </w:p>
    <w:p w14:paraId="652F6FF2">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hAnsi="仿宋_GB2312" w:eastAsia="仿宋_GB2312" w:cs="仿宋_GB2312"/>
          <w:sz w:val="32"/>
          <w:szCs w:val="32"/>
        </w:rPr>
        <w:t>广汉双友纺织品有限公司</w:t>
      </w:r>
      <w:r>
        <w:rPr>
          <w:rFonts w:hint="eastAsia" w:ascii="仿宋_GB2312" w:eastAsia="仿宋_GB2312"/>
          <w:sz w:val="32"/>
          <w:szCs w:val="32"/>
        </w:rPr>
        <w:t>：</w:t>
      </w:r>
    </w:p>
    <w:p w14:paraId="47AD3EA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rPr>
        <w:t>年产1500万米学生装功能性复合面料加工和生产项目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49589302">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该项目为新建项目,拟在广汉</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市</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汉州街道卡房村（原新丰镇同善村）租赁刘鹏飞个人已建标准化厂房建设，用地面积1600平方米。项目内容及规模为：依托生产车间及相关公辅设施，购置胶点复合机、打卷机、退卷机、缝纫机等生产设备，布设学生装功能性复合面料生产线</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，项目建成后形成</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年产</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四面弹复合布800万米</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尼龙复合布400万米</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复合针织和摇粒绒300万米</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的生产</w:t>
      </w:r>
      <w:r>
        <w:rPr>
          <w:rFonts w:hint="default" w:ascii="仿宋_GB2312" w:hAnsi="仿宋_GB2312" w:eastAsia="仿宋_GB2312" w:cs="仿宋_GB2312"/>
          <w:bCs/>
          <w:color w:val="000000" w:themeColor="text1"/>
          <w:kern w:val="2"/>
          <w:sz w:val="32"/>
          <w:szCs w:val="32"/>
          <w:lang w:val="en-US" w:eastAsia="zh-CN" w:bidi="ar-SA"/>
          <w14:textFill>
            <w14:solidFill>
              <w14:schemeClr w14:val="tx1"/>
            </w14:solidFill>
          </w14:textFill>
        </w:rPr>
        <w:t>能力</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。项目总投资2000万元，其中环保投资58.6万元。</w:t>
      </w:r>
    </w:p>
    <w:p w14:paraId="799FA60F">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eastAsia="仿宋_GB2312"/>
          <w:color w:val="000000" w:themeColor="text1"/>
          <w:sz w:val="32"/>
          <w:szCs w:val="32"/>
          <w14:textFill>
            <w14:solidFill>
              <w14:schemeClr w14:val="tx1"/>
            </w14:solidFill>
          </w14:textFill>
        </w:rPr>
        <w:t>项目在四川省投资项目在线审批监管平台进行了备案（备案号：川投资备[2</w:t>
      </w:r>
      <w:r>
        <w:rPr>
          <w:rFonts w:hint="eastAsia" w:eastAsia="仿宋_GB2312"/>
          <w:color w:val="000000" w:themeColor="text1"/>
          <w:sz w:val="32"/>
          <w:szCs w:val="32"/>
          <w:lang w:val="en-US" w:eastAsia="zh-CN"/>
          <w14:textFill>
            <w14:solidFill>
              <w14:schemeClr w14:val="tx1"/>
            </w14:solidFill>
          </w14:textFill>
        </w:rPr>
        <w:t>410</w:t>
      </w:r>
      <w:r>
        <w:rPr>
          <w:rFonts w:hint="eastAsia" w:eastAsia="仿宋_GB2312"/>
          <w:color w:val="000000" w:themeColor="text1"/>
          <w:sz w:val="32"/>
          <w:szCs w:val="32"/>
          <w14:textFill>
            <w14:solidFill>
              <w14:schemeClr w14:val="tx1"/>
            </w14:solidFill>
          </w14:textFill>
        </w:rPr>
        <w:t>-5106</w:t>
      </w:r>
      <w:r>
        <w:rPr>
          <w:rFonts w:hint="eastAsia" w:eastAsia="仿宋_GB2312"/>
          <w:color w:val="000000" w:themeColor="text1"/>
          <w:sz w:val="32"/>
          <w:szCs w:val="32"/>
          <w:lang w:val="en-US" w:eastAsia="zh-CN"/>
          <w14:textFill>
            <w14:solidFill>
              <w14:schemeClr w14:val="tx1"/>
            </w14:solidFill>
          </w14:textFill>
        </w:rPr>
        <w:t>81</w:t>
      </w:r>
      <w:r>
        <w:rPr>
          <w:rFonts w:hint="eastAsia" w:eastAsia="仿宋_GB2312"/>
          <w:color w:val="000000" w:themeColor="text1"/>
          <w:sz w:val="32"/>
          <w:szCs w:val="32"/>
          <w14:textFill>
            <w14:solidFill>
              <w14:schemeClr w14:val="tx1"/>
            </w14:solidFill>
          </w14:textFill>
        </w:rPr>
        <w:t>-04-01-</w:t>
      </w:r>
      <w:r>
        <w:rPr>
          <w:rFonts w:hint="eastAsia" w:eastAsia="仿宋_GB2312"/>
          <w:color w:val="000000" w:themeColor="text1"/>
          <w:sz w:val="32"/>
          <w:szCs w:val="32"/>
          <w:lang w:val="en-US" w:eastAsia="zh-CN"/>
          <w14:textFill>
            <w14:solidFill>
              <w14:schemeClr w14:val="tx1"/>
            </w14:solidFill>
          </w14:textFill>
        </w:rPr>
        <w:t>110195</w:t>
      </w:r>
      <w:r>
        <w:rPr>
          <w:rFonts w:hint="eastAsia" w:eastAsia="仿宋_GB2312"/>
          <w:color w:val="000000" w:themeColor="text1"/>
          <w:sz w:val="32"/>
          <w:szCs w:val="32"/>
          <w14:textFill>
            <w14:solidFill>
              <w14:schemeClr w14:val="tx1"/>
            </w14:solidFill>
          </w14:textFill>
        </w:rPr>
        <w:t>] FGQB-</w:t>
      </w:r>
      <w:r>
        <w:rPr>
          <w:rFonts w:hint="eastAsia" w:eastAsia="仿宋_GB2312"/>
          <w:color w:val="000000" w:themeColor="text1"/>
          <w:sz w:val="32"/>
          <w:szCs w:val="32"/>
          <w:lang w:val="en-US" w:eastAsia="zh-CN"/>
          <w14:textFill>
            <w14:solidFill>
              <w14:schemeClr w14:val="tx1"/>
            </w14:solidFill>
          </w14:textFill>
        </w:rPr>
        <w:t>0570</w:t>
      </w:r>
      <w:r>
        <w:rPr>
          <w:rFonts w:hint="eastAsia" w:eastAsia="仿宋_GB2312"/>
          <w:color w:val="000000" w:themeColor="text1"/>
          <w:sz w:val="32"/>
          <w:szCs w:val="32"/>
          <w14:textFill>
            <w14:solidFill>
              <w14:schemeClr w14:val="tx1"/>
            </w14:solidFill>
          </w14:textFill>
        </w:rPr>
        <w:t>号）</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val="zh-CN"/>
        </w:rPr>
        <w:t>；该项目符合德阳市生态环境分区管控相关要求，</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广汉市国土空间总体</w:t>
      </w:r>
      <w:r>
        <w:rPr>
          <w:rFonts w:hint="eastAsia" w:ascii="仿宋_GB2312" w:hAnsi="仿宋_GB2312" w:eastAsia="仿宋_GB2312" w:cs="仿宋_GB2312"/>
          <w:sz w:val="32"/>
          <w:szCs w:val="32"/>
        </w:rPr>
        <w:t>规划及</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刘鹏飞</w:t>
      </w:r>
      <w:r>
        <w:rPr>
          <w:rFonts w:hint="eastAsia" w:ascii="仿宋_GB2312" w:hAnsi="仿宋_GB2312" w:eastAsia="仿宋_GB2312" w:cs="仿宋_GB2312"/>
          <w:sz w:val="32"/>
          <w:szCs w:val="32"/>
        </w:rPr>
        <w:t>取得的《</w:t>
      </w:r>
      <w:r>
        <w:rPr>
          <w:rFonts w:hint="eastAsia" w:ascii="仿宋_GB2312" w:hAnsi="仿宋_GB2312" w:eastAsia="仿宋_GB2312" w:cs="仿宋_GB2312"/>
          <w:sz w:val="32"/>
          <w:szCs w:val="32"/>
          <w:lang w:eastAsia="zh-CN"/>
        </w:rPr>
        <w:t>国有土地使用证</w:t>
      </w:r>
      <w:r>
        <w:rPr>
          <w:rFonts w:hint="eastAsia" w:ascii="仿宋_GB2312" w:hAnsi="仿宋_GB2312" w:eastAsia="仿宋_GB2312" w:cs="仿宋_GB2312"/>
          <w:sz w:val="32"/>
          <w:szCs w:val="32"/>
        </w:rPr>
        <w:t>》，项目用地性质为工业用地，选址符合规划。</w:t>
      </w:r>
    </w:p>
    <w:p w14:paraId="4F62E416">
      <w:pPr>
        <w:keepNext w:val="0"/>
        <w:keepLines w:val="0"/>
        <w:pageBreakBefore w:val="0"/>
        <w:kinsoku/>
        <w:wordWrap/>
        <w:overflowPunct/>
        <w:topLinePunct w:val="0"/>
        <w:autoSpaceDE/>
        <w:autoSpaceDN/>
        <w:bidi w:val="0"/>
        <w:adjustRightInd/>
        <w:snapToGrid/>
        <w:spacing w:line="540" w:lineRule="exact"/>
        <w:ind w:firstLine="615"/>
        <w:textAlignment w:val="auto"/>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5A0BA1D4">
      <w:pPr>
        <w:keepNext w:val="0"/>
        <w:keepLines w:val="0"/>
        <w:pageBreakBefore w:val="0"/>
        <w:widowControl/>
        <w:kinsoku/>
        <w:wordWrap/>
        <w:overflowPunct/>
        <w:topLinePunct w:val="0"/>
        <w:autoSpaceDE/>
        <w:autoSpaceDN/>
        <w:bidi w:val="0"/>
        <w:adjustRightInd/>
        <w:snapToGrid/>
        <w:spacing w:line="540" w:lineRule="exact"/>
        <w:ind w:firstLine="570"/>
        <w:jc w:val="left"/>
        <w:textAlignment w:val="auto"/>
        <w:rPr>
          <w:rFonts w:eastAsia="仿宋_GB2312"/>
          <w:kern w:val="0"/>
          <w:sz w:val="32"/>
          <w:szCs w:val="32"/>
        </w:rPr>
      </w:pPr>
      <w:r>
        <w:rPr>
          <w:rFonts w:eastAsia="仿宋_GB2312"/>
          <w:kern w:val="0"/>
          <w:sz w:val="32"/>
          <w:szCs w:val="32"/>
        </w:rPr>
        <w:t xml:space="preserve">二、项目建设及运行中应重点做好以下工作：  </w:t>
      </w:r>
    </w:p>
    <w:p w14:paraId="4192B1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2D1C003E">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245678BA">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eastAsia="仿宋_GB2312"/>
          <w:sz w:val="32"/>
          <w:szCs w:val="32"/>
        </w:rPr>
        <w:t>（三）</w:t>
      </w:r>
      <w:r>
        <w:rPr>
          <w:rFonts w:hint="eastAsia" w:eastAsia="仿宋_GB2312"/>
          <w:sz w:val="32"/>
          <w:szCs w:val="32"/>
        </w:rPr>
        <w:t>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落实胶点复合机上方的集气罩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+软帘+二级活性炭装置，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贴合有机废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气及臭气、设备清洁有机废气及</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臭气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经收集处理后由一根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m高排气筒达标排放；</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确保少</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量</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裁切粉尘、危废暂存间有机废气达标排放，对周围环境不产生影响</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14:paraId="49DCDE85">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（四）</w:t>
      </w:r>
      <w:r>
        <w:rPr>
          <w:rFonts w:hint="eastAsia" w:eastAsia="仿宋_GB2312"/>
          <w:sz w:val="32"/>
          <w:szCs w:val="32"/>
        </w:rPr>
        <w:t>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项目不产生生产废水；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生活污水依托</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厂区现有预处理池</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处理达</w:t>
      </w:r>
      <w:r>
        <w:rPr>
          <w:rFonts w:hint="eastAsia" w:eastAsia="仿宋_GB2312"/>
          <w:sz w:val="32"/>
          <w:szCs w:val="32"/>
        </w:rPr>
        <w:t>《污水综合排放标准》</w:t>
      </w:r>
      <w:r>
        <w:rPr>
          <w:rFonts w:hint="eastAsia" w:eastAsia="仿宋_GB2312"/>
          <w:color w:val="000000" w:themeColor="text1"/>
          <w:sz w:val="32"/>
          <w:szCs w:val="32"/>
          <w14:textFill>
            <w14:solidFill>
              <w14:schemeClr w14:val="tx1"/>
            </w14:solidFill>
          </w14:textFill>
        </w:rPr>
        <w:t>（GB8978-1996）</w:t>
      </w:r>
      <w:r>
        <w:rPr>
          <w:rFonts w:hint="eastAsia" w:ascii="仿宋_GB2312" w:hAnsi="仿宋_GB2312" w:eastAsia="仿宋_GB2312" w:cs="仿宋_GB2312"/>
          <w:sz w:val="32"/>
          <w:szCs w:val="32"/>
        </w:rPr>
        <w:t>三级标准后排入市政污水管网，经广汉市第二污水处理厂处理达《四川省岷江、沱江流域水污染物排放标准》</w:t>
      </w:r>
      <w:r>
        <w:rPr>
          <w:rFonts w:hint="eastAsia" w:eastAsia="仿宋_GB2312"/>
          <w:color w:val="000000" w:themeColor="text1"/>
          <w:sz w:val="32"/>
          <w:szCs w:val="32"/>
          <w14:textFill>
            <w14:solidFill>
              <w14:schemeClr w14:val="tx1"/>
            </w14:solidFill>
          </w14:textFill>
        </w:rPr>
        <w:t>（DB51/2311-2016）</w:t>
      </w:r>
      <w:r>
        <w:rPr>
          <w:rFonts w:hint="eastAsia" w:ascii="仿宋_GB2312" w:hAnsi="仿宋_GB2312" w:eastAsia="仿宋_GB2312" w:cs="仿宋_GB2312"/>
          <w:sz w:val="32"/>
          <w:szCs w:val="32"/>
        </w:rPr>
        <w:t>中</w:t>
      </w:r>
      <w:r>
        <w:rPr>
          <w:rFonts w:hint="eastAsia" w:eastAsia="仿宋_GB2312"/>
          <w:sz w:val="32"/>
          <w:szCs w:val="32"/>
        </w:rPr>
        <w:t>工业园区集中式污水处理厂标准后外排。</w:t>
      </w:r>
    </w:p>
    <w:p w14:paraId="3C36510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0B6FCD6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不合格布料和未沾染胶水废布料、废包装袋</w:t>
      </w:r>
      <w:r>
        <w:rPr>
          <w:rFonts w:hint="eastAsia" w:ascii="仿宋_GB2312" w:hAnsi="仿宋_GB2312" w:eastAsia="仿宋_GB2312" w:cs="仿宋_GB2312"/>
          <w:color w:val="000000" w:themeColor="text1"/>
          <w:sz w:val="32"/>
          <w:szCs w:val="32"/>
          <w:lang w:eastAsia="zh-CN"/>
          <w14:textFill>
            <w14:solidFill>
              <w14:schemeClr w14:val="tx1"/>
            </w14:solidFill>
          </w14:textFill>
        </w:rPr>
        <w:t>经收集后外售废品收购站；废活性炭、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废润滑油、含油废手套及抹布、废润滑油桶、废胶桶和废乙酸乙酯桶、含胶废布料</w:t>
      </w:r>
      <w:r>
        <w:rPr>
          <w:rFonts w:hint="eastAsia" w:eastAsia="仿宋_GB2312"/>
          <w:sz w:val="32"/>
          <w:szCs w:val="32"/>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生活垃圾、预处理池污泥</w:t>
      </w:r>
      <w:r>
        <w:rPr>
          <w:rFonts w:hint="eastAsia" w:eastAsia="仿宋_GB2312"/>
          <w:sz w:val="32"/>
          <w:szCs w:val="32"/>
        </w:rPr>
        <w:t>交由环卫部门清运。</w:t>
      </w:r>
    </w:p>
    <w:p w14:paraId="187CD21F">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14:textFill>
            <w14:solidFill>
              <w14:schemeClr w14:val="tx1"/>
            </w14:solidFill>
          </w14:textFill>
        </w:rPr>
        <w:t>治措施。</w:t>
      </w:r>
      <w:r>
        <w:rPr>
          <w:rFonts w:eastAsia="仿宋_GB2312"/>
          <w:sz w:val="32"/>
          <w:szCs w:val="32"/>
        </w:rPr>
        <w:t>项目将</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危废暂存间、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化学品库房</w:t>
      </w:r>
      <w:r>
        <w:rPr>
          <w:rFonts w:eastAsia="仿宋_GB2312"/>
          <w:sz w:val="32"/>
          <w:szCs w:val="32"/>
        </w:rPr>
        <w:t>设置为重点防渗区，</w:t>
      </w:r>
      <w:r>
        <w:rPr>
          <w:rFonts w:hint="eastAsia" w:eastAsia="仿宋_GB2312"/>
          <w:sz w:val="32"/>
          <w:szCs w:val="32"/>
        </w:rPr>
        <w:t>将</w:t>
      </w:r>
      <w:r>
        <w:rPr>
          <w:rFonts w:hint="eastAsia" w:eastAsia="仿宋_GB2312"/>
          <w:sz w:val="32"/>
          <w:szCs w:val="32"/>
          <w:lang w:eastAsia="zh-CN"/>
        </w:rPr>
        <w:t>一般工业固废暂存区、预处理池、生产车间内除重点防渗以外的区域</w:t>
      </w:r>
      <w:r>
        <w:rPr>
          <w:rFonts w:hint="eastAsia" w:eastAsia="仿宋_GB2312"/>
          <w:sz w:val="32"/>
          <w:szCs w:val="32"/>
        </w:rPr>
        <w:t>设置为</w:t>
      </w:r>
      <w:r>
        <w:rPr>
          <w:rFonts w:hint="eastAsia" w:eastAsia="仿宋_GB2312"/>
          <w:sz w:val="32"/>
          <w:szCs w:val="32"/>
          <w:lang w:eastAsia="zh-CN"/>
        </w:rPr>
        <w:t>一般</w:t>
      </w:r>
      <w:r>
        <w:rPr>
          <w:rFonts w:hint="eastAsia" w:eastAsia="仿宋_GB2312"/>
          <w:sz w:val="32"/>
          <w:szCs w:val="32"/>
        </w:rPr>
        <w:t>防渗区</w:t>
      </w:r>
      <w:r>
        <w:rPr>
          <w:rFonts w:hint="eastAsia" w:eastAsia="仿宋_GB2312"/>
          <w:sz w:val="32"/>
          <w:szCs w:val="32"/>
          <w:lang w:eastAsia="zh-CN"/>
        </w:rPr>
        <w:t>，</w:t>
      </w:r>
      <w:r>
        <w:rPr>
          <w:rFonts w:eastAsia="仿宋_GB2312"/>
          <w:sz w:val="32"/>
          <w:szCs w:val="32"/>
        </w:rPr>
        <w:t>分别采取防渗措施。建立和完善地下水、土壤污染监控制度和环境管理体系，发现问题及时采取措施，避免污染周边地下水和土壤环境。</w:t>
      </w:r>
    </w:p>
    <w:p w14:paraId="4E7079B0">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78AC9842">
      <w:pPr>
        <w:pStyle w:val="2"/>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1ED4F9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三、该项目运营后，</w:t>
      </w:r>
      <w:r>
        <w:rPr>
          <w:rFonts w:hint="eastAsia" w:eastAsia="仿宋_GB2312"/>
          <w:color w:val="auto"/>
          <w:sz w:val="32"/>
          <w:szCs w:val="32"/>
        </w:rPr>
        <w:t>挥发有机物排放量为</w:t>
      </w:r>
      <w:r>
        <w:rPr>
          <w:rFonts w:hint="eastAsia" w:eastAsia="仿宋_GB2312"/>
          <w:color w:val="auto"/>
          <w:sz w:val="32"/>
          <w:szCs w:val="32"/>
          <w:lang w:val="en-US" w:eastAsia="zh-CN"/>
        </w:rPr>
        <w:t>0.5803</w:t>
      </w:r>
      <w:r>
        <w:rPr>
          <w:rFonts w:eastAsia="仿宋_GB2312"/>
          <w:color w:val="auto"/>
          <w:sz w:val="32"/>
          <w:szCs w:val="32"/>
        </w:rPr>
        <w:t>吨/年</w:t>
      </w:r>
      <w:r>
        <w:rPr>
          <w:rFonts w:hint="eastAsia" w:eastAsia="仿宋_GB2312"/>
          <w:color w:val="auto"/>
          <w:sz w:val="32"/>
          <w:szCs w:val="32"/>
        </w:rPr>
        <w:t>。</w:t>
      </w:r>
      <w:r>
        <w:rPr>
          <w:rFonts w:hint="eastAsia" w:ascii="仿宋_GB2312" w:eastAsia="仿宋_GB2312"/>
          <w:sz w:val="32"/>
          <w:szCs w:val="32"/>
        </w:rPr>
        <w:t>其总量控制指标</w:t>
      </w:r>
      <w:r>
        <w:rPr>
          <w:rFonts w:hint="eastAsia" w:ascii="仿宋_GB2312" w:eastAsia="仿宋_GB2312"/>
          <w:sz w:val="32"/>
          <w:szCs w:val="32"/>
          <w:lang w:val="en-US" w:eastAsia="zh-CN"/>
        </w:rPr>
        <w:t>按</w:t>
      </w:r>
      <w:r>
        <w:rPr>
          <w:rFonts w:hint="eastAsia" w:ascii="仿宋_GB2312" w:eastAsia="仿宋_GB2312"/>
          <w:sz w:val="32"/>
          <w:szCs w:val="32"/>
        </w:rPr>
        <w:t>德阳市广汉生态环境局</w:t>
      </w:r>
      <w:r>
        <w:rPr>
          <w:rFonts w:hint="eastAsia" w:ascii="仿宋_GB2312" w:eastAsia="仿宋_GB2312"/>
          <w:sz w:val="32"/>
          <w:szCs w:val="32"/>
          <w:lang w:val="en-US" w:eastAsia="zh-CN"/>
        </w:rPr>
        <w:t>总量文件执行</w:t>
      </w:r>
      <w:r>
        <w:rPr>
          <w:rFonts w:hint="eastAsia" w:eastAsia="仿宋_GB2312"/>
          <w:color w:val="auto"/>
          <w:sz w:val="32"/>
          <w:szCs w:val="32"/>
        </w:rPr>
        <w:t>。</w:t>
      </w:r>
    </w:p>
    <w:p w14:paraId="62FB993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406DBED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158777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w:t>
      </w:r>
      <w:r>
        <w:rPr>
          <w:rFonts w:hint="eastAsia" w:eastAsia="仿宋_GB2312"/>
          <w:color w:val="000000" w:themeColor="text1"/>
          <w:sz w:val="32"/>
          <w:szCs w:val="32"/>
          <w14:textFill>
            <w14:solidFill>
              <w14:schemeClr w14:val="tx1"/>
            </w14:solidFill>
          </w14:textFill>
        </w:rPr>
        <w:t>在实际排污前，</w:t>
      </w:r>
      <w:r>
        <w:rPr>
          <w:rFonts w:eastAsia="仿宋_GB2312"/>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3C3D5108">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2B1542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43DC9A5C">
      <w:pPr>
        <w:spacing w:line="500" w:lineRule="exact"/>
        <w:ind w:right="241"/>
        <w:jc w:val="center"/>
        <w:rPr>
          <w:rFonts w:eastAsia="仿宋_GB2312"/>
          <w:color w:val="000000" w:themeColor="text1"/>
          <w:sz w:val="32"/>
          <w:szCs w:val="32"/>
          <w14:textFill>
            <w14:solidFill>
              <w14:schemeClr w14:val="tx1"/>
            </w14:solidFill>
          </w14:textFill>
        </w:rPr>
      </w:pPr>
    </w:p>
    <w:p w14:paraId="643F5D20">
      <w:pPr>
        <w:spacing w:line="500" w:lineRule="exact"/>
        <w:ind w:right="241"/>
        <w:jc w:val="center"/>
        <w:rPr>
          <w:rFonts w:eastAsia="仿宋_GB2312"/>
          <w:color w:val="000000" w:themeColor="text1"/>
          <w:sz w:val="32"/>
          <w:szCs w:val="32"/>
          <w14:textFill>
            <w14:solidFill>
              <w14:schemeClr w14:val="tx1"/>
            </w14:solidFill>
          </w14:textFill>
        </w:rPr>
      </w:pPr>
    </w:p>
    <w:p w14:paraId="0EE0294B">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06668EC8">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rPr>
        <w:t>1</w:t>
      </w:r>
      <w:r>
        <w:rPr>
          <w:rFonts w:hint="eastAsia" w:eastAsia="仿宋_GB2312"/>
          <w:spacing w:val="-20"/>
          <w:sz w:val="32"/>
          <w:szCs w:val="32"/>
          <w:lang w:val="en-US" w:eastAsia="zh-CN"/>
        </w:rPr>
        <w:t>2</w:t>
      </w:r>
      <w:r>
        <w:rPr>
          <w:rFonts w:eastAsia="仿宋_GB2312"/>
          <w:spacing w:val="-20"/>
          <w:sz w:val="32"/>
          <w:szCs w:val="32"/>
        </w:rPr>
        <w:t>月</w:t>
      </w:r>
      <w:r>
        <w:rPr>
          <w:rFonts w:hint="eastAsia" w:eastAsia="仿宋_GB2312"/>
          <w:spacing w:val="-20"/>
          <w:sz w:val="32"/>
          <w:szCs w:val="32"/>
          <w:lang w:val="en-US" w:eastAsia="zh-CN"/>
        </w:rPr>
        <w:t>17</w:t>
      </w:r>
      <w:r>
        <w:rPr>
          <w:rFonts w:eastAsia="仿宋_GB2312"/>
          <w:spacing w:val="-20"/>
          <w:sz w:val="32"/>
          <w:szCs w:val="32"/>
        </w:rPr>
        <w:t xml:space="preserve">日 </w:t>
      </w:r>
      <w:r>
        <w:rPr>
          <w:rFonts w:hint="eastAsia" w:eastAsia="仿宋_GB2312"/>
          <w:spacing w:val="-20"/>
          <w:sz w:val="32"/>
          <w:szCs w:val="32"/>
          <w:lang w:val="en-US" w:eastAsia="zh-CN"/>
        </w:rPr>
        <w:t xml:space="preserve"> </w:t>
      </w:r>
    </w:p>
    <w:p w14:paraId="7E8547AE">
      <w:pPr>
        <w:rPr>
          <w:rFonts w:hint="eastAsia"/>
          <w:lang w:val="en-US" w:eastAsia="zh-CN"/>
        </w:rPr>
      </w:pP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1D4647BC-10DE-453B-85DF-786140C487AC}"/>
  </w:font>
  <w:font w:name="仿宋_GB2312">
    <w:panose1 w:val="02010609030101010101"/>
    <w:charset w:val="86"/>
    <w:family w:val="modern"/>
    <w:pitch w:val="default"/>
    <w:sig w:usb0="00000001" w:usb1="080E0000" w:usb2="00000000" w:usb3="00000000" w:csb0="00040000" w:csb1="00000000"/>
    <w:embedRegular r:id="rId2" w:fontKey="{3DC068BA-B7F6-44D0-8A50-29E2863A9D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827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70EFF7">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D70EFF7">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2FB1">
    <w:pPr>
      <w:pStyle w:val="5"/>
      <w:framePr w:wrap="around" w:vAnchor="text" w:hAnchor="margin" w:xAlign="center" w:y="1"/>
      <w:rPr>
        <w:rStyle w:val="11"/>
      </w:rPr>
    </w:pPr>
    <w:r>
      <w:fldChar w:fldCharType="begin"/>
    </w:r>
    <w:r>
      <w:rPr>
        <w:rStyle w:val="11"/>
      </w:rPr>
      <w:instrText xml:space="preserve">PAGE  </w:instrText>
    </w:r>
    <w:r>
      <w:fldChar w:fldCharType="end"/>
    </w:r>
  </w:p>
  <w:p w14:paraId="145111F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C71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mFjYmJjMTZkMDMwZDNmNjE3MDY5YzM4ZGIzNmQ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27B0"/>
    <w:rsid w:val="00614605"/>
    <w:rsid w:val="00616979"/>
    <w:rsid w:val="0062156A"/>
    <w:rsid w:val="006256EC"/>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05DF3"/>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9E61F4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06ED3"/>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8D2538"/>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0773A8"/>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165C8"/>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8E1"/>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92DE9"/>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763DB"/>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8D467D"/>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B7128B"/>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443586"/>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0316DF"/>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B510C"/>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BB3E83"/>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718AE"/>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96D33"/>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3">
    <w:name w:val="Date"/>
    <w:basedOn w:val="1"/>
    <w:next w:val="1"/>
    <w:autoRedefine/>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jc w:val="center"/>
    </w:pPr>
    <w:rPr>
      <w:rFonts w:hint="eastAsia" w:ascii="方正小标宋简体" w:eastAsia="方正小标宋简体"/>
      <w:sz w:val="36"/>
      <w:szCs w:val="20"/>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FollowedHyperlink"/>
    <w:autoRedefine/>
    <w:qFormat/>
    <w:uiPriority w:val="0"/>
    <w:rPr>
      <w:color w:val="343434"/>
      <w:u w:val="none"/>
    </w:rPr>
  </w:style>
  <w:style w:type="character" w:styleId="13">
    <w:name w:val="Hyperlink"/>
    <w:autoRedefine/>
    <w:qFormat/>
    <w:uiPriority w:val="0"/>
    <w:rPr>
      <w:color w:val="343434"/>
      <w:u w:val="none"/>
    </w:rPr>
  </w:style>
  <w:style w:type="character" w:customStyle="1" w:styleId="14">
    <w:name w:val="标准正文 Char"/>
    <w:link w:val="15"/>
    <w:qFormat/>
    <w:uiPriority w:val="0"/>
    <w:rPr>
      <w:rFonts w:eastAsia="宋体"/>
      <w:sz w:val="24"/>
      <w:szCs w:val="24"/>
      <w:lang w:val="en-US" w:eastAsia="zh-CN" w:bidi="ar-SA"/>
    </w:rPr>
  </w:style>
  <w:style w:type="paragraph" w:customStyle="1" w:styleId="15">
    <w:name w:val="标准正文"/>
    <w:link w:val="14"/>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qFormat/>
    <w:uiPriority w:val="0"/>
    <w:rPr>
      <w:rFonts w:eastAsia="宋体" w:cs="宋体"/>
      <w:kern w:val="2"/>
      <w:sz w:val="28"/>
      <w:lang w:val="en-US" w:eastAsia="zh-CN" w:bidi="ar-SA"/>
    </w:rPr>
  </w:style>
  <w:style w:type="paragraph" w:customStyle="1" w:styleId="17">
    <w:name w:val="正文四号"/>
    <w:basedOn w:val="1"/>
    <w:link w:val="16"/>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2344</Words>
  <Characters>2436</Characters>
  <Lines>1</Lines>
  <Paragraphs>5</Paragraphs>
  <TotalTime>0</TotalTime>
  <ScaleCrop>false</ScaleCrop>
  <LinksUpToDate>false</LinksUpToDate>
  <CharactersWithSpaces>2532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2024-12-18T02:18:47Z</dcterms:modified>
  <dc:subject>关于四川创智森悦机械有限公司汽车零部件及配件加工项目《环境影响报告表》的批复</dc:subject>
  <dc:title>德环审批[2023]号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B802F98C5E904AEEBEF7D7818541780B_13</vt:lpwstr>
  </property>
</Properties>
</file>