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F4765">
      <w:pPr>
        <w:spacing w:line="60" w:lineRule="atLeast"/>
        <w:jc w:val="center"/>
        <w:rPr>
          <w:rFonts w:eastAsia="方正小标宋简体"/>
          <w:bCs/>
          <w:color w:val="FF0000"/>
          <w:spacing w:val="-57"/>
          <w:sz w:val="116"/>
          <w:szCs w:val="116"/>
        </w:rPr>
      </w:pPr>
    </w:p>
    <w:p w14:paraId="1B0C5400">
      <w:pPr>
        <w:jc w:val="right"/>
        <w:rPr>
          <w:rFonts w:eastAsia="仿宋_GB2312"/>
          <w:sz w:val="32"/>
          <w:szCs w:val="32"/>
        </w:rPr>
      </w:pPr>
    </w:p>
    <w:p w14:paraId="36DD3444">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381</w:t>
      </w:r>
      <w:bookmarkStart w:id="0" w:name="_GoBack"/>
      <w:bookmarkEnd w:id="0"/>
      <w:r>
        <w:rPr>
          <w:rFonts w:eastAsia="仿宋_GB2312"/>
          <w:sz w:val="32"/>
          <w:szCs w:val="32"/>
        </w:rPr>
        <w:t>号</w:t>
      </w:r>
    </w:p>
    <w:p w14:paraId="15A1E372">
      <w:pPr>
        <w:spacing w:line="0" w:lineRule="atLeast"/>
        <w:jc w:val="center"/>
        <w:rPr>
          <w:rFonts w:eastAsia="方正小标宋简体"/>
          <w:sz w:val="44"/>
          <w:szCs w:val="44"/>
        </w:rPr>
      </w:pPr>
    </w:p>
    <w:p w14:paraId="58E6F1B2">
      <w:pPr>
        <w:spacing w:line="600" w:lineRule="exact"/>
        <w:jc w:val="center"/>
        <w:rPr>
          <w:rFonts w:eastAsia="方正小标宋简体"/>
          <w:sz w:val="44"/>
          <w:szCs w:val="44"/>
        </w:rPr>
      </w:pPr>
      <w:r>
        <w:rPr>
          <w:rFonts w:eastAsia="方正小标宋简体"/>
          <w:sz w:val="44"/>
          <w:szCs w:val="44"/>
        </w:rPr>
        <w:t>德阳市生态环境局</w:t>
      </w:r>
    </w:p>
    <w:p w14:paraId="0C324B0C">
      <w:pPr>
        <w:spacing w:line="600" w:lineRule="exact"/>
        <w:jc w:val="center"/>
        <w:rPr>
          <w:rFonts w:hint="eastAsia" w:ascii="Times New Roman" w:hAnsi="Times New Roman" w:eastAsia="方正小标宋简体" w:cs="Times New Roman"/>
          <w:sz w:val="44"/>
          <w:szCs w:val="44"/>
          <w:lang w:eastAsia="zh-CN"/>
        </w:rPr>
      </w:pPr>
      <w:r>
        <w:rPr>
          <w:rFonts w:hint="eastAsia" w:eastAsia="方正小标宋简体"/>
          <w:sz w:val="44"/>
          <w:szCs w:val="44"/>
        </w:rPr>
        <w:t>关</w:t>
      </w:r>
      <w:r>
        <w:rPr>
          <w:rFonts w:hint="eastAsia" w:ascii="Times New Roman" w:hAnsi="Times New Roman" w:eastAsia="方正小标宋简体" w:cs="Times New Roman"/>
          <w:sz w:val="44"/>
          <w:szCs w:val="44"/>
        </w:rPr>
        <w:t>于</w:t>
      </w:r>
      <w:r>
        <w:rPr>
          <w:rFonts w:hint="eastAsia" w:ascii="Times New Roman" w:hAnsi="Times New Roman" w:eastAsia="方正小标宋简体" w:cs="Times New Roman"/>
          <w:sz w:val="44"/>
          <w:szCs w:val="44"/>
          <w:lang w:eastAsia="zh-CN"/>
        </w:rPr>
        <w:t>四川卓盾新材料科技有限公司年产30万平方米A级防火抗菌饰面板项目</w:t>
      </w:r>
    </w:p>
    <w:p w14:paraId="1B698CF8">
      <w:pPr>
        <w:spacing w:line="600" w:lineRule="exact"/>
        <w:jc w:val="center"/>
        <w:rPr>
          <w:rFonts w:eastAsia="方正小标宋简体"/>
          <w:sz w:val="44"/>
          <w:szCs w:val="44"/>
        </w:rPr>
      </w:pPr>
      <w:r>
        <w:rPr>
          <w:rFonts w:eastAsia="方正小标宋简体"/>
          <w:sz w:val="44"/>
          <w:szCs w:val="44"/>
        </w:rPr>
        <w:t>《环境影响报告表》的批复</w:t>
      </w:r>
    </w:p>
    <w:p w14:paraId="5822F8B6">
      <w:pPr>
        <w:spacing w:line="0" w:lineRule="atLeast"/>
        <w:jc w:val="center"/>
        <w:rPr>
          <w:rFonts w:eastAsia="方正小标宋简体"/>
          <w:sz w:val="24"/>
        </w:rPr>
      </w:pPr>
    </w:p>
    <w:p w14:paraId="622172E5">
      <w:pPr>
        <w:spacing w:line="540" w:lineRule="exact"/>
        <w:rPr>
          <w:rFonts w:ascii="仿宋_GB2312" w:eastAsia="仿宋_GB2312"/>
          <w:sz w:val="32"/>
          <w:szCs w:val="32"/>
        </w:rPr>
      </w:pPr>
      <w:r>
        <w:rPr>
          <w:rFonts w:hint="eastAsia" w:ascii="仿宋_GB2312" w:hAnsi="仿宋_GB2312" w:eastAsia="仿宋_GB2312" w:cs="仿宋_GB2312"/>
          <w:sz w:val="32"/>
          <w:szCs w:val="32"/>
          <w:lang w:eastAsia="zh-CN"/>
        </w:rPr>
        <w:t>四川卓盾新材料科技有限公司</w:t>
      </w:r>
      <w:r>
        <w:rPr>
          <w:rFonts w:hint="eastAsia" w:ascii="仿宋_GB2312" w:eastAsia="仿宋_GB2312"/>
          <w:sz w:val="32"/>
          <w:szCs w:val="32"/>
        </w:rPr>
        <w:t>：</w:t>
      </w:r>
    </w:p>
    <w:p w14:paraId="7E2DC1E8">
      <w:pPr>
        <w:spacing w:line="540" w:lineRule="exact"/>
        <w:ind w:firstLine="640" w:firstLineChars="200"/>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lang w:eastAsia="zh-CN"/>
        </w:rPr>
        <w:t>年产</w:t>
      </w:r>
      <w:r>
        <w:rPr>
          <w:rFonts w:hint="default" w:ascii="Times New Roman" w:hAnsi="Times New Roman" w:eastAsia="仿宋_GB2312" w:cs="Times New Roman"/>
          <w:sz w:val="32"/>
          <w:szCs w:val="32"/>
          <w:lang w:eastAsia="zh-CN"/>
        </w:rPr>
        <w:t>30万平方米A级</w:t>
      </w:r>
      <w:r>
        <w:rPr>
          <w:rFonts w:hint="eastAsia" w:ascii="仿宋_GB2312" w:hAnsi="仿宋_GB2312" w:eastAsia="仿宋_GB2312" w:cs="仿宋_GB2312"/>
          <w:sz w:val="32"/>
          <w:szCs w:val="32"/>
          <w:lang w:eastAsia="zh-CN"/>
        </w:rPr>
        <w:t>防火抗菌饰面板项目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569F63E6">
      <w:pPr>
        <w:pStyle w:val="2"/>
        <w:spacing w:line="560" w:lineRule="exact"/>
        <w:ind w:firstLine="640"/>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该项目为新建项目,拟在广汉市向阳镇玉溪路四段78号租用广汉市艾特板业有限公司闲置厂房进行建设，用地面积1387.7平方米。项目内容及规模为：依托生产车间及相关公辅设施，购置背涂机、滚涂机、固化机、涂胶机、滚胶机、熔胶机、切割机等生产设备，布设A级防火抗菌饰面板生产线，形成年生产A级防火抗菌饰面板30万平方米的生产能力。项目总投资100万元，其中环保投资29万元。</w:t>
      </w:r>
    </w:p>
    <w:p w14:paraId="38E624D1">
      <w:pPr>
        <w:pStyle w:val="9"/>
        <w:widowControl/>
        <w:spacing w:before="0" w:beforeAutospacing="0" w:after="0" w:afterAutospacing="0" w:line="540" w:lineRule="exact"/>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kern w:val="2"/>
          <w:sz w:val="32"/>
          <w:szCs w:val="32"/>
          <w:lang w:val="en-US" w:eastAsia="zh-CN" w:bidi="ar-SA"/>
        </w:rPr>
        <w:t xml:space="preserve"> 项目在四川省投资项目在线审批监管平台进行了备案（备案号：川投</w:t>
      </w:r>
      <w:r>
        <w:rPr>
          <w:rFonts w:hint="default" w:ascii="Times New Roman" w:hAnsi="Times New Roman" w:eastAsia="仿宋_GB2312" w:cs="Times New Roman"/>
          <w:kern w:val="2"/>
          <w:sz w:val="32"/>
          <w:szCs w:val="32"/>
          <w:lang w:val="en-US" w:eastAsia="zh-CN" w:bidi="ar-SA"/>
        </w:rPr>
        <w:t>资备[2408-510681-04-01-568598] FGQB-0472号），符合国家现行产业政策</w:t>
      </w:r>
      <w:r>
        <w:rPr>
          <w:rFonts w:hint="default" w:ascii="Times New Roman" w:hAnsi="Times New Roman" w:eastAsia="仿宋_GB2312" w:cs="Times New Roman"/>
          <w:kern w:val="2"/>
          <w:sz w:val="32"/>
          <w:szCs w:val="32"/>
          <w:lang w:val="zh-CN" w:eastAsia="zh-CN" w:bidi="ar-SA"/>
        </w:rPr>
        <w:t>；该项目符合德阳市生态环境分区管控相关要求，</w:t>
      </w:r>
      <w:r>
        <w:rPr>
          <w:rFonts w:hint="default" w:ascii="Times New Roman" w:hAnsi="Times New Roman" w:eastAsia="仿宋_GB2312" w:cs="Times New Roman"/>
          <w:kern w:val="2"/>
          <w:sz w:val="32"/>
          <w:szCs w:val="32"/>
          <w:lang w:val="en-US" w:eastAsia="zh-CN" w:bidi="ar-SA"/>
        </w:rPr>
        <w:t>根据德阳高新技术产业开发区规划及广汉市艾特板业有限公司取得的《不动产权证》，项目用地性质为工业用地，选址符合规划。</w:t>
      </w:r>
    </w:p>
    <w:p w14:paraId="0CE8B661">
      <w:pPr>
        <w:spacing w:line="540" w:lineRule="exact"/>
        <w:ind w:firstLine="61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项目在受理和拟批公示期间未收到任何意见反馈，根据专家对《报告表》的审查意见、《报告表》的评价结论，</w:t>
      </w:r>
      <w:r>
        <w:rPr>
          <w:rFonts w:hint="default" w:ascii="Times New Roman" w:hAnsi="Times New Roman" w:eastAsia="仿宋_GB2312" w:cs="Times New Roman"/>
          <w:sz w:val="32"/>
          <w:szCs w:val="32"/>
        </w:rPr>
        <w:t>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r>
        <w:rPr>
          <w:rFonts w:hint="default" w:ascii="Times New Roman" w:hAnsi="Times New Roman" w:eastAsia="仿宋_GB2312" w:cs="Times New Roman"/>
          <w:kern w:val="0"/>
          <w:sz w:val="32"/>
          <w:szCs w:val="32"/>
        </w:rPr>
        <w:t>。</w:t>
      </w:r>
    </w:p>
    <w:p w14:paraId="5DA1FC83">
      <w:pPr>
        <w:widowControl/>
        <w:spacing w:line="540" w:lineRule="exact"/>
        <w:ind w:firstLine="57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二、项目建设及运行中应重点做好以下工作：  </w:t>
      </w:r>
    </w:p>
    <w:p w14:paraId="73B8ACF1">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054531B8">
      <w:pPr>
        <w:pStyle w:val="2"/>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（二）加强施工期管理，合理安排施工时段和施工场地布设，落实施工期各项环境保护措施，有效控制、减轻或消除施工期废水、废渣、噪声、扬尘等对周围环境的影响。</w:t>
      </w:r>
    </w:p>
    <w:p w14:paraId="0DCF6C88">
      <w:pPr>
        <w:pStyle w:val="2"/>
        <w:spacing w:line="540" w:lineRule="exact"/>
        <w:ind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（三）严格落实并优化报告表提出的各项废气处理措施。</w:t>
      </w:r>
      <w:r>
        <w:rPr>
          <w:rFonts w:hint="default" w:ascii="Times New Roman" w:hAnsi="Times New Roman" w:eastAsia="仿宋_GB2312" w:cs="Times New Roman"/>
          <w:kern w:val="2"/>
          <w:sz w:val="32"/>
          <w:szCs w:val="32"/>
          <w:lang w:val="en-US" w:eastAsia="zh-CN" w:bidi="ar-SA"/>
        </w:rPr>
        <w:t>落实切割、砂光、吹扫除尘</w:t>
      </w:r>
      <w:r>
        <w:rPr>
          <w:rFonts w:hint="eastAsia" w:ascii="Times New Roman" w:hAnsi="Times New Roman" w:eastAsia="仿宋_GB2312" w:cs="Times New Roman"/>
          <w:kern w:val="2"/>
          <w:sz w:val="32"/>
          <w:szCs w:val="32"/>
          <w:lang w:val="en-US" w:eastAsia="zh-CN" w:bidi="ar-SA"/>
        </w:rPr>
        <w:t>工序的密闭仓+</w:t>
      </w:r>
      <w:r>
        <w:rPr>
          <w:rFonts w:hint="default" w:ascii="Times New Roman" w:hAnsi="Times New Roman" w:eastAsia="仿宋_GB2312" w:cs="Times New Roman"/>
          <w:kern w:val="2"/>
          <w:sz w:val="32"/>
          <w:szCs w:val="32"/>
          <w:lang w:val="en-US" w:eastAsia="zh-CN" w:bidi="ar-SA"/>
        </w:rPr>
        <w:t>收尘软管+布袋除尘器措施，确保切割粉尘、砂光粉尘、吹扫除尘粉尘经收集处理后由1根15米高排气筒达标排放；落实涂布、固化工序的集气罩</w:t>
      </w:r>
      <w:r>
        <w:rPr>
          <w:rFonts w:hint="eastAsia" w:eastAsia="仿宋_GB2312" w:cs="Times New Roman"/>
          <w:kern w:val="2"/>
          <w:sz w:val="32"/>
          <w:szCs w:val="32"/>
          <w:lang w:val="en-US" w:eastAsia="zh-CN" w:bidi="ar-SA"/>
        </w:rPr>
        <w:t>收集及</w:t>
      </w:r>
      <w:r>
        <w:rPr>
          <w:rFonts w:hint="default" w:ascii="Times New Roman" w:hAnsi="Times New Roman" w:eastAsia="仿宋_GB2312" w:cs="Times New Roman"/>
          <w:kern w:val="2"/>
          <w:sz w:val="32"/>
          <w:szCs w:val="32"/>
          <w:lang w:val="en-US" w:eastAsia="zh-CN" w:bidi="ar-SA"/>
        </w:rPr>
        <w:t>密闭熔胶</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涂胶、压合区域的负压收集</w:t>
      </w:r>
      <w:r>
        <w:rPr>
          <w:rFonts w:hint="eastAsia" w:eastAsia="仿宋_GB2312" w:cs="Times New Roman"/>
          <w:kern w:val="2"/>
          <w:sz w:val="32"/>
          <w:szCs w:val="32"/>
          <w:lang w:val="en-US" w:eastAsia="zh-CN" w:bidi="ar-SA"/>
        </w:rPr>
        <w:t>措施，</w:t>
      </w:r>
      <w:r>
        <w:rPr>
          <w:rFonts w:hint="default" w:ascii="Times New Roman" w:hAnsi="Times New Roman" w:eastAsia="仿宋_GB2312" w:cs="Times New Roman"/>
          <w:kern w:val="2"/>
          <w:sz w:val="32"/>
          <w:szCs w:val="32"/>
          <w:lang w:val="en-US" w:eastAsia="zh-CN" w:bidi="ar-SA"/>
        </w:rPr>
        <w:t>确保有机废气收集</w:t>
      </w:r>
      <w:r>
        <w:rPr>
          <w:rFonts w:hint="eastAsia" w:eastAsia="仿宋_GB2312" w:cs="Times New Roman"/>
          <w:kern w:val="2"/>
          <w:sz w:val="32"/>
          <w:szCs w:val="32"/>
          <w:lang w:val="en-US" w:eastAsia="zh-CN" w:bidi="ar-SA"/>
        </w:rPr>
        <w:t>后</w:t>
      </w:r>
      <w:r>
        <w:rPr>
          <w:rFonts w:hint="default" w:ascii="Times New Roman" w:hAnsi="Times New Roman" w:eastAsia="仿宋_GB2312" w:cs="Times New Roman"/>
          <w:kern w:val="2"/>
          <w:sz w:val="32"/>
          <w:szCs w:val="32"/>
          <w:lang w:val="en-US" w:eastAsia="zh-CN" w:bidi="ar-SA"/>
        </w:rPr>
        <w:t>经二级活性炭吸附装置处理后由1根15米高排气筒达标排放，对周边环境不产生影响。</w:t>
      </w:r>
    </w:p>
    <w:p w14:paraId="308CFE8B">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（四）严格落实并优化报告表提出的各项废水处理措施。</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车间地面清洁废水与生活污水一</w:t>
      </w:r>
      <w:r>
        <w:rPr>
          <w:rFonts w:hint="eastAsia" w:eastAsia="仿宋_GB2312" w:cs="Times New Roman"/>
          <w:sz w:val="32"/>
          <w:szCs w:val="32"/>
          <w:lang w:val="en-US" w:eastAsia="zh-CN"/>
        </w:rPr>
        <w:t>同经</w:t>
      </w:r>
      <w:r>
        <w:rPr>
          <w:rFonts w:hint="default" w:ascii="Times New Roman" w:hAnsi="Times New Roman" w:eastAsia="仿宋_GB2312" w:cs="Times New Roman"/>
          <w:sz w:val="32"/>
          <w:szCs w:val="32"/>
        </w:rPr>
        <w:t>广汉市艾特板业有限公司已建预处理池处理达《污水综合排放标准》（GB8978-1996）三级标准后排入市政污水管网，由广汉市第二污水处理厂处理达《四川省岷江、沱江流域水污染物排放标准》（DB51/2311-2016）中工业园区集中式污水处理厂标准后外排。</w:t>
      </w:r>
    </w:p>
    <w:p w14:paraId="616D5635">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（五）严格落实并优化报告表提出的噪声污染防治措施。合理布局生产车间产噪设施，对高噪作业点和高噪设备配套有效的隔音、降噪及减振设施，确保厂界噪声达标排放不扰民。</w:t>
      </w:r>
    </w:p>
    <w:p w14:paraId="59B132D1">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kern w:val="2"/>
          <w:sz w:val="32"/>
          <w:szCs w:val="32"/>
          <w:lang w:val="en-US" w:eastAsia="zh-CN" w:bidi="ar-SA"/>
        </w:rPr>
        <w:t>废包装袋外售废品回收单位；边角料、不合格品、除尘器收集灰交由有一般固废处置能力的单位处理；除尘废布袋由供应商定期回收；废润滑油、废桶、废含油棉纱手套、废活性炭</w:t>
      </w:r>
      <w:r>
        <w:rPr>
          <w:rFonts w:hint="default" w:ascii="Times New Roman" w:hAnsi="Times New Roman" w:eastAsia="仿宋_GB2312" w:cs="Times New Roman"/>
          <w:sz w:val="32"/>
          <w:szCs w:val="32"/>
        </w:rPr>
        <w:t>属于危险废物，须妥善安全收储，落实专人管理，并严格执行转移联单制度，定期交有危废处理资质的单位处置，其暂存区须采取必要的防风、防晒、防雨、防漏、防渗、防腐以及其他环境污染防治措施；生活垃圾交由环卫部门清运。</w:t>
      </w:r>
    </w:p>
    <w:p w14:paraId="3925C8C8">
      <w:pPr>
        <w:pStyle w:val="2"/>
        <w:spacing w:line="54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（七）严格落实并优化报告表提出的地下水和土壤污染防治措施。项目将</w:t>
      </w:r>
      <w:r>
        <w:rPr>
          <w:rFonts w:hint="default" w:ascii="Times New Roman" w:hAnsi="Times New Roman" w:eastAsia="仿宋_GB2312" w:cs="Times New Roman"/>
          <w:sz w:val="32"/>
          <w:szCs w:val="32"/>
          <w:lang w:val="en-US" w:eastAsia="zh-CN"/>
        </w:rPr>
        <w:t>危废暂存间、涂布区域、滚胶区域、化学品库房</w:t>
      </w:r>
      <w:r>
        <w:rPr>
          <w:rFonts w:hint="default" w:ascii="Times New Roman" w:hAnsi="Times New Roman" w:eastAsia="仿宋_GB2312" w:cs="Times New Roman"/>
          <w:sz w:val="32"/>
          <w:szCs w:val="32"/>
        </w:rPr>
        <w:t>设置为重点防渗区，</w:t>
      </w:r>
      <w:r>
        <w:rPr>
          <w:rFonts w:hint="default" w:ascii="Times New Roman" w:hAnsi="Times New Roman" w:eastAsia="仿宋_GB2312" w:cs="Times New Roman"/>
          <w:sz w:val="32"/>
          <w:szCs w:val="32"/>
          <w:lang w:val="en-US" w:eastAsia="zh-CN"/>
        </w:rPr>
        <w:t>将生产车间其它区域设置为一般防渗区，</w:t>
      </w:r>
      <w:r>
        <w:rPr>
          <w:rFonts w:hint="default" w:ascii="Times New Roman" w:hAnsi="Times New Roman" w:eastAsia="仿宋_GB2312" w:cs="Times New Roman"/>
          <w:sz w:val="32"/>
          <w:szCs w:val="32"/>
        </w:rPr>
        <w:t>分别采取防渗措施。建立和完善地下水、土壤污染监控制度和环境管理体系，发现问题及时采取措施，避免污染周边地下水和土壤环境。</w:t>
      </w:r>
    </w:p>
    <w:p w14:paraId="7329192E">
      <w:pPr>
        <w:numPr>
          <w:ilvl w:val="0"/>
          <w:numId w:val="1"/>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高度重视并全面加强环境风险管理工作。建立健全环境风险防控和环境应急保障体系，严格按照报告表要求，落实并不断优化各项环境风险防范措施，确保环境安全。</w:t>
      </w:r>
    </w:p>
    <w:p w14:paraId="46672CDD">
      <w:pPr>
        <w:pStyle w:val="2"/>
        <w:numPr>
          <w:ilvl w:val="0"/>
          <w:numId w:val="1"/>
        </w:numPr>
        <w:spacing w:line="540"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按照相关要求规范设置各类排污口和标志标牌，落实报告表提出的环境管理要求和监测计划。</w:t>
      </w:r>
    </w:p>
    <w:p w14:paraId="3EC1D802">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该项目运营后，</w:t>
      </w:r>
      <w:r>
        <w:rPr>
          <w:rFonts w:hint="eastAsia" w:eastAsia="仿宋_GB2312" w:cs="Times New Roman"/>
          <w:color w:val="000000" w:themeColor="text1"/>
          <w:sz w:val="32"/>
          <w:szCs w:val="32"/>
          <w:highlight w:val="none"/>
          <w:lang w:val="en-US" w:eastAsia="zh-CN"/>
          <w14:textFill>
            <w14:solidFill>
              <w14:schemeClr w14:val="tx1"/>
            </w14:solidFill>
          </w14:textFill>
        </w:rPr>
        <w:t>挥发性有机物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排放量为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0.419</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吨/年，化学需氧量排放量为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0.0</w:t>
      </w:r>
      <w:r>
        <w:rPr>
          <w:rFonts w:hint="eastAsia"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吨/年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氨氮排放量为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0.00</w:t>
      </w:r>
      <w:r>
        <w:rPr>
          <w:rFonts w:hint="eastAsia"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吨/年。</w:t>
      </w:r>
      <w:r>
        <w:rPr>
          <w:rFonts w:hint="default" w:ascii="Times New Roman" w:hAnsi="Times New Roman" w:eastAsia="仿宋_GB2312" w:cs="Times New Roman"/>
          <w:sz w:val="32"/>
          <w:szCs w:val="32"/>
          <w:highlight w:val="none"/>
        </w:rPr>
        <w:t>其总量控制指标</w:t>
      </w:r>
      <w:r>
        <w:rPr>
          <w:rFonts w:hint="eastAsia" w:eastAsia="仿宋_GB2312" w:cs="Times New Roman"/>
          <w:sz w:val="32"/>
          <w:szCs w:val="32"/>
          <w:highlight w:val="none"/>
          <w:lang w:val="en-US" w:eastAsia="zh-CN"/>
        </w:rPr>
        <w:t>按</w:t>
      </w:r>
      <w:r>
        <w:rPr>
          <w:rFonts w:hint="default" w:ascii="Times New Roman" w:hAnsi="Times New Roman" w:eastAsia="仿宋_GB2312" w:cs="Times New Roman"/>
          <w:sz w:val="32"/>
          <w:szCs w:val="32"/>
          <w:highlight w:val="none"/>
        </w:rPr>
        <w:t>德阳市广汉生态环境局</w:t>
      </w:r>
      <w:r>
        <w:rPr>
          <w:rFonts w:hint="eastAsia" w:eastAsia="仿宋_GB2312" w:cs="Times New Roman"/>
          <w:sz w:val="32"/>
          <w:szCs w:val="32"/>
          <w:highlight w:val="none"/>
          <w:lang w:val="en-US" w:eastAsia="zh-CN"/>
        </w:rPr>
        <w:t>总量文件执行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448197BB">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四、项目开工建设及投入运营前，应依法完备其他行政许可手续。</w:t>
      </w:r>
    </w:p>
    <w:p w14:paraId="038D7E38">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67DFDA7">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六、纳入排污许可管理的行业，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在实际排污前，</w:t>
      </w:r>
      <w:r>
        <w:rPr>
          <w:rFonts w:hint="default" w:ascii="Times New Roman" w:hAnsi="Times New Roman" w:eastAsia="仿宋_GB2312" w:cs="Times New Roman"/>
          <w:color w:val="000000" w:themeColor="text1"/>
          <w:sz w:val="32"/>
          <w:szCs w:val="32"/>
          <w14:textFill>
            <w14:solidFill>
              <w14:schemeClr w14:val="tx1"/>
            </w14:solidFill>
          </w14:textFill>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2D680CD">
      <w:pPr>
        <w:pStyle w:val="2"/>
        <w:spacing w:line="540"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5EA90EC1">
      <w:pPr>
        <w:spacing w:line="54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八、该项目的“三同时”监督检查、排污许可监管、日常环境保护监管工作由德阳市广汉生态环境保护综合行政执法大队负责，并接受各级生态环境部门的监督管理。</w:t>
      </w:r>
    </w:p>
    <w:p w14:paraId="5569F840">
      <w:pPr>
        <w:spacing w:line="500" w:lineRule="exact"/>
        <w:ind w:right="241"/>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14:paraId="172D4F41">
      <w:pPr>
        <w:spacing w:line="500" w:lineRule="exact"/>
        <w:ind w:right="241"/>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14:paraId="159B664C">
      <w:pPr>
        <w:spacing w:line="500" w:lineRule="exact"/>
        <w:ind w:right="241"/>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德阳市生态环境局           </w:t>
      </w:r>
    </w:p>
    <w:p w14:paraId="17171F8A">
      <w:pPr>
        <w:tabs>
          <w:tab w:val="left" w:pos="2175"/>
        </w:tabs>
        <w:spacing w:line="500" w:lineRule="exact"/>
        <w:ind w:right="461"/>
        <w:jc w:val="center"/>
        <w:rPr>
          <w:rFonts w:hint="eastAsia" w:eastAsia="仿宋_GB2312"/>
          <w:lang w:val="en-US" w:eastAsia="zh-CN"/>
        </w:rPr>
      </w:pPr>
      <w:r>
        <w:rPr>
          <w:rFonts w:hint="default" w:ascii="Times New Roman" w:hAnsi="Times New Roman" w:eastAsia="仿宋_GB2312" w:cs="Times New Roman"/>
          <w:spacing w:val="-20"/>
          <w:sz w:val="32"/>
          <w:szCs w:val="32"/>
        </w:rPr>
        <w:t xml:space="preserve">                                               2024年</w:t>
      </w:r>
      <w:r>
        <w:rPr>
          <w:rFonts w:hint="default" w:ascii="Times New Roman" w:hAnsi="Times New Roman" w:eastAsia="仿宋_GB2312" w:cs="Times New Roman"/>
          <w:spacing w:val="-20"/>
          <w:sz w:val="32"/>
          <w:szCs w:val="32"/>
          <w:lang w:val="en-US" w:eastAsia="zh-CN"/>
        </w:rPr>
        <w:t>12</w:t>
      </w:r>
      <w:r>
        <w:rPr>
          <w:rFonts w:hint="default" w:ascii="Times New Roman" w:hAnsi="Times New Roman" w:eastAsia="仿宋_GB2312" w:cs="Times New Roman"/>
          <w:spacing w:val="-20"/>
          <w:sz w:val="32"/>
          <w:szCs w:val="32"/>
        </w:rPr>
        <w:t>月</w:t>
      </w:r>
      <w:r>
        <w:rPr>
          <w:rFonts w:hint="default" w:ascii="Times New Roman" w:hAnsi="Times New Roman" w:eastAsia="仿宋_GB2312" w:cs="Times New Roman"/>
          <w:spacing w:val="-20"/>
          <w:sz w:val="32"/>
          <w:szCs w:val="32"/>
          <w:lang w:val="en-US" w:eastAsia="zh-CN"/>
        </w:rPr>
        <w:t>2</w:t>
      </w:r>
      <w:r>
        <w:rPr>
          <w:rFonts w:hint="eastAsia" w:eastAsia="仿宋_GB2312" w:cs="Times New Roman"/>
          <w:spacing w:val="-20"/>
          <w:sz w:val="32"/>
          <w:szCs w:val="32"/>
          <w:lang w:val="en-US" w:eastAsia="zh-CN"/>
        </w:rPr>
        <w:t>5</w:t>
      </w:r>
      <w:r>
        <w:rPr>
          <w:rFonts w:hint="default" w:ascii="Times New Roman" w:hAnsi="Times New Roman" w:eastAsia="仿宋_GB2312" w:cs="Times New Roman"/>
          <w:spacing w:val="-20"/>
          <w:sz w:val="32"/>
          <w:szCs w:val="32"/>
        </w:rPr>
        <w:t xml:space="preserve">日 </w:t>
      </w:r>
      <w:r>
        <w:rPr>
          <w:rFonts w:hint="eastAsia" w:eastAsia="仿宋_GB2312"/>
          <w:spacing w:val="-20"/>
          <w:sz w:val="32"/>
          <w:szCs w:val="32"/>
          <w:lang w:val="en-US" w:eastAsia="zh-CN"/>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FF1B09CE-9C12-4E2B-A012-4E2060E23F0D}"/>
  </w:font>
  <w:font w:name="仿宋_GB2312">
    <w:panose1 w:val="02010609030101010101"/>
    <w:charset w:val="86"/>
    <w:family w:val="modern"/>
    <w:pitch w:val="default"/>
    <w:sig w:usb0="00000001" w:usb1="080E0000" w:usb2="00000000" w:usb3="00000000" w:csb0="00040000" w:csb1="00000000"/>
    <w:embedRegular r:id="rId2" w:fontKey="{565CFCF0-31BF-4908-947B-FEE23ABD46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9800">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5E322A">
                          <w:pPr>
                            <w:pStyle w:val="6"/>
                            <w:rPr>
                              <w:rStyle w:val="12"/>
                              <w:sz w:val="28"/>
                              <w:szCs w:val="28"/>
                            </w:rPr>
                          </w:pPr>
                          <w:r>
                            <w:rPr>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655E322A">
                    <w:pPr>
                      <w:pStyle w:val="6"/>
                      <w:rPr>
                        <w:rStyle w:val="12"/>
                        <w:sz w:val="28"/>
                        <w:szCs w:val="28"/>
                      </w:rPr>
                    </w:pPr>
                    <w:r>
                      <w:rPr>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9F8A">
    <w:pPr>
      <w:pStyle w:val="6"/>
      <w:framePr w:wrap="around" w:vAnchor="text" w:hAnchor="margin" w:xAlign="center" w:y="1"/>
      <w:rPr>
        <w:rStyle w:val="12"/>
      </w:rPr>
    </w:pPr>
    <w:r>
      <w:fldChar w:fldCharType="begin"/>
    </w:r>
    <w:r>
      <w:rPr>
        <w:rStyle w:val="12"/>
      </w:rPr>
      <w:instrText xml:space="preserve">PAGE  </w:instrText>
    </w:r>
    <w:r>
      <w:fldChar w:fldCharType="end"/>
    </w:r>
  </w:p>
  <w:p w14:paraId="7365A8A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13D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zQ1YTM5Njc1OGNjMWVlMWZhMzM0ZDAwYTIwMGY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10DE"/>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4605"/>
    <w:rsid w:val="00616979"/>
    <w:rsid w:val="0062156A"/>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2017DD"/>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830D6"/>
    <w:rsid w:val="065F10D4"/>
    <w:rsid w:val="066C559F"/>
    <w:rsid w:val="066F6E3E"/>
    <w:rsid w:val="06741BB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0009"/>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2C3234"/>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5F25A34"/>
    <w:rsid w:val="16074553"/>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475417"/>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D3C66"/>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BC681D"/>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B65A7F"/>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70DB1"/>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3882"/>
    <w:rsid w:val="38E571A0"/>
    <w:rsid w:val="38E928FC"/>
    <w:rsid w:val="38EA0422"/>
    <w:rsid w:val="38F871D1"/>
    <w:rsid w:val="38FC2146"/>
    <w:rsid w:val="390B0AC4"/>
    <w:rsid w:val="39104980"/>
    <w:rsid w:val="39311BAD"/>
    <w:rsid w:val="394612F9"/>
    <w:rsid w:val="394713D0"/>
    <w:rsid w:val="394B7113"/>
    <w:rsid w:val="394C422D"/>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84113C"/>
    <w:rsid w:val="3DA60DBB"/>
    <w:rsid w:val="3DD75419"/>
    <w:rsid w:val="3DE75BC8"/>
    <w:rsid w:val="3DF31713"/>
    <w:rsid w:val="3DF53AF1"/>
    <w:rsid w:val="3DF67694"/>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4D0B9C"/>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EC60BF"/>
    <w:rsid w:val="4CF56F3A"/>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D0A59"/>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764D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EF53AD"/>
    <w:rsid w:val="53FA7313"/>
    <w:rsid w:val="54091C4C"/>
    <w:rsid w:val="5415239F"/>
    <w:rsid w:val="54297BF9"/>
    <w:rsid w:val="542D76E9"/>
    <w:rsid w:val="54425A41"/>
    <w:rsid w:val="5449029B"/>
    <w:rsid w:val="54556C40"/>
    <w:rsid w:val="54563085"/>
    <w:rsid w:val="54574766"/>
    <w:rsid w:val="54694499"/>
    <w:rsid w:val="5479292E"/>
    <w:rsid w:val="54817A35"/>
    <w:rsid w:val="54837633"/>
    <w:rsid w:val="548D0188"/>
    <w:rsid w:val="548F2152"/>
    <w:rsid w:val="54A21EEC"/>
    <w:rsid w:val="54B24552"/>
    <w:rsid w:val="54B90F7D"/>
    <w:rsid w:val="54BF40B9"/>
    <w:rsid w:val="54CB0CB0"/>
    <w:rsid w:val="54D95004"/>
    <w:rsid w:val="54DF483A"/>
    <w:rsid w:val="54ED50CA"/>
    <w:rsid w:val="54F00716"/>
    <w:rsid w:val="54F450C8"/>
    <w:rsid w:val="550349B5"/>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2E74F4"/>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62A6F"/>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A59CB"/>
    <w:rsid w:val="63AB4186"/>
    <w:rsid w:val="63B15515"/>
    <w:rsid w:val="63CB2A7A"/>
    <w:rsid w:val="63CB65D6"/>
    <w:rsid w:val="63D00091"/>
    <w:rsid w:val="63FC70D8"/>
    <w:rsid w:val="63FE16CC"/>
    <w:rsid w:val="641A6EBA"/>
    <w:rsid w:val="64236413"/>
    <w:rsid w:val="64265F03"/>
    <w:rsid w:val="64287ECD"/>
    <w:rsid w:val="642F20CF"/>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0B55FA"/>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2E3E"/>
    <w:rsid w:val="6D4E69EC"/>
    <w:rsid w:val="6D6F26C8"/>
    <w:rsid w:val="6D8A65B1"/>
    <w:rsid w:val="6D96315C"/>
    <w:rsid w:val="6D9D5488"/>
    <w:rsid w:val="6DAA54AF"/>
    <w:rsid w:val="6DAF0D17"/>
    <w:rsid w:val="6DB37AB1"/>
    <w:rsid w:val="6DD62748"/>
    <w:rsid w:val="6DE210EC"/>
    <w:rsid w:val="6DE91648"/>
    <w:rsid w:val="6DFB21AE"/>
    <w:rsid w:val="6DFE0EB7"/>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91905"/>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051CE"/>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64024E"/>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3">
    <w:name w:val="annotation text"/>
    <w:basedOn w:val="1"/>
    <w:semiHidden/>
    <w:qFormat/>
    <w:uiPriority w:val="0"/>
    <w:pPr>
      <w:jc w:val="left"/>
    </w:pPr>
    <w:rPr>
      <w:kern w:val="0"/>
      <w:sz w:val="24"/>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jc w:val="center"/>
    </w:pPr>
    <w:rPr>
      <w:rFonts w:hint="eastAsia" w:ascii="方正小标宋简体" w:eastAsia="方正小标宋简体"/>
      <w:sz w:val="36"/>
      <w:szCs w:val="20"/>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basedOn w:val="11"/>
    <w:qFormat/>
    <w:uiPriority w:val="0"/>
  </w:style>
  <w:style w:type="character" w:styleId="13">
    <w:name w:val="FollowedHyperlink"/>
    <w:qFormat/>
    <w:uiPriority w:val="0"/>
    <w:rPr>
      <w:color w:val="343434"/>
      <w:u w:val="none"/>
    </w:rPr>
  </w:style>
  <w:style w:type="character" w:styleId="14">
    <w:name w:val="Hyperlink"/>
    <w:qFormat/>
    <w:uiPriority w:val="0"/>
    <w:rPr>
      <w:color w:val="343434"/>
      <w:u w:val="none"/>
    </w:rPr>
  </w:style>
  <w:style w:type="character" w:styleId="15">
    <w:name w:val="annotation reference"/>
    <w:semiHidden/>
    <w:qFormat/>
    <w:uiPriority w:val="0"/>
    <w:rPr>
      <w:sz w:val="21"/>
    </w:rPr>
  </w:style>
  <w:style w:type="character" w:customStyle="1" w:styleId="16">
    <w:name w:val="标准正文 Char"/>
    <w:link w:val="17"/>
    <w:qFormat/>
    <w:uiPriority w:val="0"/>
    <w:rPr>
      <w:rFonts w:eastAsia="宋体"/>
      <w:sz w:val="24"/>
      <w:szCs w:val="24"/>
      <w:lang w:val="en-US" w:eastAsia="zh-CN" w:bidi="ar-SA"/>
    </w:rPr>
  </w:style>
  <w:style w:type="paragraph" w:customStyle="1" w:styleId="17">
    <w:name w:val="标准正文"/>
    <w:link w:val="16"/>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8">
    <w:name w:val="正文四号 Char"/>
    <w:link w:val="19"/>
    <w:qFormat/>
    <w:uiPriority w:val="0"/>
    <w:rPr>
      <w:rFonts w:eastAsia="宋体" w:cs="宋体"/>
      <w:kern w:val="2"/>
      <w:sz w:val="28"/>
      <w:lang w:val="en-US" w:eastAsia="zh-CN" w:bidi="ar-SA"/>
    </w:rPr>
  </w:style>
  <w:style w:type="paragraph" w:customStyle="1" w:styleId="19">
    <w:name w:val="正文四号"/>
    <w:basedOn w:val="1"/>
    <w:link w:val="18"/>
    <w:qFormat/>
    <w:uiPriority w:val="0"/>
    <w:pPr>
      <w:spacing w:line="360" w:lineRule="auto"/>
      <w:ind w:firstLine="200" w:firstLineChars="200"/>
    </w:pPr>
    <w:rPr>
      <w:rFonts w:cs="宋体"/>
      <w:sz w:val="28"/>
      <w:szCs w:val="20"/>
    </w:rPr>
  </w:style>
  <w:style w:type="character" w:customStyle="1" w:styleId="20">
    <w:name w:val="【正文】 Char"/>
    <w:link w:val="21"/>
    <w:qFormat/>
    <w:uiPriority w:val="0"/>
    <w:rPr>
      <w:rFonts w:eastAsia="宋体"/>
      <w:sz w:val="24"/>
      <w:lang w:bidi="ar-SA"/>
    </w:rPr>
  </w:style>
  <w:style w:type="paragraph" w:customStyle="1" w:styleId="21">
    <w:name w:val="【正文】"/>
    <w:basedOn w:val="1"/>
    <w:link w:val="20"/>
    <w:qFormat/>
    <w:uiPriority w:val="0"/>
    <w:pPr>
      <w:adjustRightInd w:val="0"/>
      <w:snapToGrid w:val="0"/>
      <w:spacing w:line="360" w:lineRule="auto"/>
      <w:ind w:firstLine="200" w:firstLineChars="200"/>
      <w:jc w:val="left"/>
    </w:pPr>
    <w:rPr>
      <w:kern w:val="0"/>
      <w:sz w:val="24"/>
      <w:szCs w:val="20"/>
    </w:rPr>
  </w:style>
  <w:style w:type="paragraph" w:customStyle="1" w:styleId="22">
    <w:name w:val="Char2"/>
    <w:basedOn w:val="1"/>
    <w:qFormat/>
    <w:uiPriority w:val="0"/>
    <w:rPr>
      <w:sz w:val="24"/>
    </w:rPr>
  </w:style>
  <w:style w:type="paragraph" w:customStyle="1" w:styleId="23">
    <w:name w:val="Char4 Char Char Char"/>
    <w:basedOn w:val="1"/>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4">
    <w:name w:val="Char Char Char"/>
    <w:basedOn w:val="1"/>
    <w:qFormat/>
    <w:uiPriority w:val="0"/>
    <w:rPr>
      <w:sz w:val="24"/>
    </w:rPr>
  </w:style>
  <w:style w:type="paragraph" w:customStyle="1" w:styleId="25">
    <w:name w:val="Char Char Char Char5"/>
    <w:basedOn w:val="1"/>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2413</Words>
  <Characters>2503</Characters>
  <Lines>19</Lines>
  <Paragraphs>5</Paragraphs>
  <TotalTime>1</TotalTime>
  <ScaleCrop>false</ScaleCrop>
  <LinksUpToDate>false</LinksUpToDate>
  <CharactersWithSpaces>2637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熊莉</cp:lastModifiedBy>
  <cp:lastPrinted>2024-08-30T06:48:00Z</cp:lastPrinted>
  <dcterms:modified xsi:type="dcterms:W3CDTF">2024-12-25T02:10:50Z</dcterms:modified>
  <dc:subject>关于四川创智森悦机械有限公司汽车零部件及配件加工项目《环境影响报告表》的批复</dc:subject>
  <dc:title>德环审批[2023]号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CCEE58FE41464C7D922437D46F0A1537_13</vt:lpwstr>
  </property>
</Properties>
</file>