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25</w:t>
      </w:r>
      <w:r>
        <w:rPr>
          <w:rFonts w:eastAsia="仿宋_GB2312"/>
          <w:sz w:val="32"/>
          <w:szCs w:val="32"/>
        </w:rPr>
        <w:t>号</w:t>
      </w:r>
    </w:p>
    <w:p w14:paraId="721E273E">
      <w:pPr>
        <w:spacing w:line="0" w:lineRule="atLeast"/>
        <w:jc w:val="center"/>
        <w:rPr>
          <w:rFonts w:eastAsia="方正小标宋简体"/>
          <w:sz w:val="44"/>
          <w:szCs w:val="44"/>
        </w:rPr>
      </w:pPr>
    </w:p>
    <w:p w14:paraId="739349AC">
      <w:pPr>
        <w:pStyle w:val="3"/>
        <w:keepNext/>
        <w:keepLines/>
        <w:pageBreakBefore w:val="0"/>
        <w:widowControl w:val="0"/>
        <w:kinsoku/>
        <w:wordWrap/>
        <w:overflowPunct/>
        <w:topLinePunct w:val="0"/>
        <w:autoSpaceDE/>
        <w:autoSpaceDN/>
        <w:bidi w:val="0"/>
        <w:adjustRightInd/>
        <w:snapToGrid/>
        <w:spacing w:line="600" w:lineRule="exact"/>
        <w:textAlignment w:val="auto"/>
      </w:pPr>
      <w:r>
        <w:t>德阳市生态环境局</w:t>
      </w:r>
    </w:p>
    <w:p w14:paraId="22B1DB1C">
      <w:pPr>
        <w:pStyle w:val="3"/>
        <w:keepNext/>
        <w:keepLines/>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rPr>
        <w:t>关于</w:t>
      </w:r>
      <w:r>
        <w:rPr>
          <w:rFonts w:hint="eastAsia"/>
          <w:lang w:val="en-US" w:eastAsia="zh-CN"/>
        </w:rPr>
        <w:t>四川中龙环保股份有限公司</w:t>
      </w:r>
    </w:p>
    <w:p w14:paraId="09436E38">
      <w:pPr>
        <w:pStyle w:val="3"/>
        <w:keepNext/>
        <w:keepLines/>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r>
        <w:rPr>
          <w:rFonts w:hint="eastAsia"/>
          <w:lang w:val="en-US" w:eastAsia="zh-CN"/>
        </w:rPr>
        <w:t>四川中龙环保生产线扩建项目</w:t>
      </w:r>
    </w:p>
    <w:p w14:paraId="73E77FF1">
      <w:pPr>
        <w:pStyle w:val="3"/>
        <w:keepNext/>
        <w:keepLines/>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小标宋简体" w:cs="Times New Roman"/>
          <w:szCs w:val="44"/>
        </w:rPr>
      </w:pPr>
      <w:r>
        <w:t>《环境影响报告表》的批复</w:t>
      </w:r>
    </w:p>
    <w:p w14:paraId="15EC028B">
      <w:pPr>
        <w:pStyle w:val="2"/>
        <w:rPr>
          <w:rFonts w:ascii="Times New Roman" w:hAnsi="Times New Roman" w:eastAsia="方正小标宋简体" w:cs="Times New Roman"/>
          <w:sz w:val="44"/>
          <w:szCs w:val="44"/>
        </w:rPr>
      </w:pPr>
    </w:p>
    <w:p w14:paraId="2C5025CA">
      <w:pPr>
        <w:bidi w:val="0"/>
        <w:ind w:left="0" w:leftChars="0" w:firstLine="0" w:firstLineChars="0"/>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四川中龙环保股份有限公司</w:t>
      </w:r>
      <w:r>
        <w:rPr>
          <w:rFonts w:hint="eastAsia" w:ascii="仿宋_GB2312" w:hAnsi="仿宋_GB2312" w:cs="仿宋_GB2312"/>
          <w:sz w:val="32"/>
          <w:szCs w:val="32"/>
          <w:lang w:eastAsia="zh-CN"/>
        </w:rPr>
        <w:t>：</w:t>
      </w:r>
      <w:bookmarkStart w:id="0" w:name="_GoBack"/>
      <w:bookmarkEnd w:id="0"/>
    </w:p>
    <w:p w14:paraId="76AA1146">
      <w:pPr>
        <w:bidi w:val="0"/>
        <w:rPr>
          <w:rFonts w:hint="eastAsia"/>
          <w:lang w:eastAsia="zh-CN"/>
        </w:rPr>
      </w:pPr>
      <w:r>
        <w:rPr>
          <w:rFonts w:hint="eastAsia"/>
          <w:lang w:eastAsia="zh-CN"/>
        </w:rPr>
        <w:t>你公司报送的</w:t>
      </w:r>
      <w:r>
        <w:rPr>
          <w:rFonts w:hint="eastAsia" w:ascii="仿宋_GB2312" w:hAnsi="仿宋_GB2312" w:eastAsia="仿宋_GB2312" w:cs="仿宋_GB2312"/>
          <w:sz w:val="32"/>
          <w:szCs w:val="32"/>
        </w:rPr>
        <w:t>四川中龙环保生产线扩建项目</w:t>
      </w:r>
      <w:r>
        <w:rPr>
          <w:rFonts w:hint="eastAsia"/>
          <w:lang w:eastAsia="zh-CN"/>
        </w:rPr>
        <w:t>《环境影响报告表》（以下简称“报告表”）收悉。经研究，批复如下：</w:t>
      </w:r>
    </w:p>
    <w:p w14:paraId="479CC829">
      <w:pPr>
        <w:bidi w:val="0"/>
        <w:rPr>
          <w:rFonts w:hint="eastAsia"/>
          <w:lang w:eastAsia="zh-CN"/>
        </w:rPr>
      </w:pPr>
      <w:r>
        <w:rPr>
          <w:rFonts w:hint="eastAsia"/>
          <w:lang w:val="en-US" w:eastAsia="zh-CN"/>
        </w:rPr>
        <w:t>一、</w:t>
      </w:r>
      <w:r>
        <w:rPr>
          <w:rFonts w:hint="eastAsia" w:ascii="仿宋_GB2312" w:hAnsi="仿宋_GB2312" w:eastAsia="仿宋_GB2312" w:cs="仿宋_GB2312"/>
          <w:sz w:val="32"/>
          <w:szCs w:val="32"/>
          <w:lang w:val="en-US" w:eastAsia="zh-CN"/>
        </w:rPr>
        <w:t>该项目为改扩建项目,拟将在广汉市小汉镇兴融路15号现有厂区建设，不新增用地面积。项目内容及规模为：依托生产车间及相关公辅设施，新购置拌料机、挤出机、牵引机、收卷机等生产设备，布设复合膜、防水板生产线各一条</w:t>
      </w:r>
      <w:r>
        <w:rPr>
          <w:rFonts w:hint="default" w:ascii="仿宋_GB2312" w:hAnsi="仿宋_GB2312" w:eastAsia="仿宋_GB2312" w:cs="仿宋_GB2312"/>
          <w:sz w:val="32"/>
          <w:szCs w:val="32"/>
          <w:lang w:val="en-US" w:eastAsia="zh-CN"/>
        </w:rPr>
        <w:t>，建成后</w:t>
      </w:r>
      <w:r>
        <w:rPr>
          <w:rFonts w:hint="eastAsia" w:ascii="仿宋_GB2312" w:hAnsi="仿宋_GB2312" w:eastAsia="仿宋_GB2312" w:cs="仿宋_GB2312"/>
          <w:sz w:val="32"/>
          <w:szCs w:val="32"/>
          <w:lang w:val="en-US" w:eastAsia="zh-CN"/>
        </w:rPr>
        <w:t>新增年产复合膜3000吨、防水板3000吨的生产</w:t>
      </w:r>
      <w:r>
        <w:rPr>
          <w:rFonts w:hint="default" w:ascii="仿宋_GB2312" w:hAnsi="仿宋_GB2312" w:eastAsia="仿宋_GB2312" w:cs="仿宋_GB2312"/>
          <w:sz w:val="32"/>
          <w:szCs w:val="32"/>
          <w:lang w:val="en-US" w:eastAsia="zh-CN"/>
        </w:rPr>
        <w:t>能力</w:t>
      </w:r>
      <w:r>
        <w:rPr>
          <w:rFonts w:hint="eastAsia" w:ascii="仿宋_GB2312" w:hAnsi="仿宋_GB2312" w:eastAsia="仿宋_GB2312" w:cs="仿宋_GB2312"/>
          <w:sz w:val="32"/>
          <w:szCs w:val="32"/>
          <w:lang w:val="en-US" w:eastAsia="zh-CN"/>
        </w:rPr>
        <w:t>，现有项目年产防水毯100万平方米、土工布150万平方米、排水网50万平方米、防渗膜1.25万吨、土工隔栏50万平方米的产能不变，土工布全部作为本项目原料，土工隔栏生产线拉伸环节拟改为蒸汽加热，替代原电加热。项目总投资200万元，其中</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环保投资30万元。</w:t>
      </w:r>
    </w:p>
    <w:p w14:paraId="5200CD3C">
      <w:pPr>
        <w:bidi w:val="0"/>
        <w:rPr>
          <w:rFonts w:hint="eastAsia"/>
          <w:lang w:eastAsia="zh-CN"/>
        </w:rPr>
      </w:pPr>
      <w:r>
        <w:rPr>
          <w:rFonts w:hint="eastAsia"/>
          <w:lang w:eastAsia="zh-CN"/>
        </w:rPr>
        <w:t>项目在四川省投资项目在线审批监管平台进行了备案（备案号：川投资备[2411-5106</w:t>
      </w:r>
      <w:r>
        <w:rPr>
          <w:rFonts w:hint="eastAsia"/>
          <w:lang w:val="en-US" w:eastAsia="zh-CN"/>
        </w:rPr>
        <w:t>81</w:t>
      </w:r>
      <w:r>
        <w:rPr>
          <w:rFonts w:hint="eastAsia"/>
          <w:lang w:eastAsia="zh-CN"/>
        </w:rPr>
        <w:t>-0</w:t>
      </w:r>
      <w:r>
        <w:rPr>
          <w:rFonts w:hint="eastAsia"/>
          <w:lang w:val="en-US" w:eastAsia="zh-CN"/>
        </w:rPr>
        <w:t>7</w:t>
      </w:r>
      <w:r>
        <w:rPr>
          <w:rFonts w:hint="eastAsia"/>
          <w:lang w:eastAsia="zh-CN"/>
        </w:rPr>
        <w:t>-0</w:t>
      </w:r>
      <w:r>
        <w:rPr>
          <w:rFonts w:hint="eastAsia"/>
          <w:lang w:val="en-US" w:eastAsia="zh-CN"/>
        </w:rPr>
        <w:t>2</w:t>
      </w:r>
      <w:r>
        <w:rPr>
          <w:rFonts w:hint="eastAsia"/>
          <w:lang w:eastAsia="zh-CN"/>
        </w:rPr>
        <w:t>-</w:t>
      </w:r>
      <w:r>
        <w:rPr>
          <w:rFonts w:hint="eastAsia"/>
          <w:lang w:val="en-US" w:eastAsia="zh-CN"/>
        </w:rPr>
        <w:t>337715</w:t>
      </w:r>
      <w:r>
        <w:rPr>
          <w:rFonts w:hint="eastAsia"/>
          <w:lang w:eastAsia="zh-CN"/>
        </w:rPr>
        <w:t>]</w:t>
      </w:r>
      <w:r>
        <w:rPr>
          <w:rFonts w:hint="eastAsia"/>
          <w:lang w:val="en-US" w:eastAsia="zh-CN"/>
        </w:rPr>
        <w:t>JXQB-0747</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广汉市小汉镇控制性详细规划及四川中龙环保股份有限公司取得的《不动产权证》，项目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bidi w:val="0"/>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bidi w:val="0"/>
        <w:rPr>
          <w:rFonts w:hint="eastAsia"/>
          <w:lang w:eastAsia="zh-CN"/>
        </w:rPr>
      </w:pPr>
      <w:r>
        <w:rPr>
          <w:rFonts w:hint="eastAsia"/>
          <w:lang w:eastAsia="zh-CN"/>
        </w:rPr>
        <w:t xml:space="preserve">二、项目建设及运行中应重点做好以下工作：  </w:t>
      </w:r>
    </w:p>
    <w:p w14:paraId="42F37DF6">
      <w:pPr>
        <w:bidi w:val="0"/>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bidi w:val="0"/>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4A97B070">
      <w:pPr>
        <w:pStyle w:val="2"/>
        <w:keepNext w:val="0"/>
        <w:keepLines w:val="0"/>
        <w:pageBreakBefore w:val="0"/>
        <w:widowControl w:val="0"/>
        <w:kinsoku/>
        <w:wordWrap/>
        <w:overflowPunct/>
        <w:topLinePunct w:val="0"/>
        <w:autoSpaceDE/>
        <w:bidi w:val="0"/>
        <w:adjustRightInd/>
        <w:spacing w:line="560" w:lineRule="exact"/>
        <w:ind w:firstLine="640"/>
        <w:textAlignment w:val="auto"/>
        <w:rPr>
          <w:rFonts w:hint="eastAsia" w:ascii="Times New Roman" w:hAnsi="Times New Roman" w:eastAsia="仿宋_GB2312" w:cs="Times New Roman"/>
          <w:color w:val="FF0000"/>
          <w:kern w:val="2"/>
          <w:sz w:val="32"/>
          <w:szCs w:val="24"/>
          <w:lang w:val="en-US" w:eastAsia="zh-CN" w:bidi="ar-SA"/>
        </w:rPr>
      </w:pPr>
      <w:r>
        <w:rPr>
          <w:rFonts w:hint="eastAsia" w:ascii="Times New Roman" w:hAnsi="Times New Roman" w:eastAsia="仿宋_GB2312" w:cs="Times New Roman"/>
          <w:color w:val="auto"/>
          <w:kern w:val="2"/>
          <w:sz w:val="32"/>
          <w:szCs w:val="24"/>
          <w:lang w:val="en-US" w:eastAsia="zh-CN" w:bidi="ar-SA"/>
        </w:rPr>
        <w:t>（三）严格落实并优化报告表提出的各项废气处理措施。落实复合膜熔融挤出、压延复布及防水板熔融挤出工序的集气罩，复合膜生产线、防水板各设置一套三级活性炭吸附装置+15米高排气筒，确保有机废气经收集处理后达标排放；确保天然气锅炉燃烧烟气经低氮燃烧装置处理后由1根8m高排气筒达标排放。</w:t>
      </w:r>
    </w:p>
    <w:p w14:paraId="12F09AF5">
      <w:pPr>
        <w:bidi w:val="0"/>
        <w:rPr>
          <w:rFonts w:hint="eastAsia" w:ascii="Times New Roman" w:hAnsi="Times New Roman" w:cs="Times New Roman"/>
          <w:lang w:eastAsia="zh-CN"/>
        </w:rPr>
      </w:pPr>
      <w:r>
        <w:rPr>
          <w:rFonts w:hint="eastAsia"/>
          <w:lang w:eastAsia="zh-CN"/>
        </w:rPr>
        <w:t>（四）严格落实并优化报告表提出的各项废水处理措施。</w:t>
      </w:r>
      <w:r>
        <w:rPr>
          <w:rFonts w:hint="eastAsia" w:ascii="Times New Roman" w:hAnsi="Times New Roman" w:cs="Times New Roman"/>
          <w:lang w:eastAsia="zh-CN"/>
        </w:rPr>
        <w:t>本</w:t>
      </w:r>
      <w:r>
        <w:rPr>
          <w:rFonts w:hint="eastAsia" w:ascii="Times New Roman" w:hAnsi="Times New Roman" w:cs="Times New Roman"/>
          <w:lang w:val="en-US" w:eastAsia="zh-CN"/>
        </w:rPr>
        <w:t>项目间接冷却水循环使用，每月更换一次；食堂废水经隔油池处理后与生活污水经已建预处理池处理达</w:t>
      </w:r>
      <w:r>
        <w:rPr>
          <w:rFonts w:hint="eastAsia" w:ascii="Times New Roman" w:hAnsi="Times New Roman" w:cs="Times New Roman"/>
          <w:lang w:eastAsia="zh-CN"/>
        </w:rPr>
        <w:t>《污水综合排放标准》（GB8978-1996）三级标准后</w:t>
      </w:r>
      <w:r>
        <w:rPr>
          <w:rFonts w:hint="eastAsia" w:ascii="Times New Roman" w:hAnsi="Times New Roman" w:cs="Times New Roman"/>
          <w:lang w:val="en-US" w:eastAsia="zh-CN"/>
        </w:rPr>
        <w:t>会同冷却循环废水</w:t>
      </w:r>
      <w:r>
        <w:rPr>
          <w:rFonts w:hint="eastAsia" w:ascii="Times New Roman" w:hAnsi="Times New Roman" w:cs="Times New Roman"/>
          <w:lang w:eastAsia="zh-CN"/>
        </w:rPr>
        <w:t>排入市政污水管网，由广汉市第四污水处理厂处理达《四川省岷江、沱江流域水污染物排放标准》（DB51/2311-2016）中工业园区集中式污水处理厂标准后外排。</w:t>
      </w:r>
    </w:p>
    <w:p w14:paraId="22F0817E">
      <w:pPr>
        <w:bidi w:val="0"/>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bidi w:val="0"/>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边角料及残次品、废包装</w:t>
      </w:r>
      <w:r>
        <w:rPr>
          <w:rFonts w:hint="eastAsia" w:ascii="仿宋_GB2312" w:hAnsi="仿宋_GB2312" w:cs="仿宋_GB2312"/>
          <w:color w:val="000000" w:themeColor="text1"/>
          <w:kern w:val="2"/>
          <w:sz w:val="32"/>
          <w:szCs w:val="32"/>
          <w:lang w:val="en-US" w:eastAsia="zh-CN" w:bidi="ar-SA"/>
          <w14:textFill>
            <w14:solidFill>
              <w14:schemeClr w14:val="tx1"/>
            </w14:solidFill>
          </w14:textFill>
        </w:rPr>
        <w:t>经收集后</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外售废品收购站；废矿物油及含油废物、废活性炭</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w:t>
      </w:r>
      <w:r>
        <w:rPr>
          <w:rFonts w:hint="eastAsia"/>
          <w:lang w:eastAsia="zh-CN"/>
        </w:rPr>
        <w:t>。</w:t>
      </w:r>
    </w:p>
    <w:p w14:paraId="38747D68">
      <w:pPr>
        <w:bidi w:val="0"/>
        <w:rPr>
          <w:rFonts w:hint="eastAsia"/>
          <w:lang w:eastAsia="zh-CN"/>
        </w:rPr>
      </w:pPr>
      <w:r>
        <w:rPr>
          <w:rFonts w:hint="eastAsia"/>
          <w:lang w:eastAsia="zh-CN"/>
        </w:rPr>
        <w:t>（七）严格落实并优化报告表提出的地下水和土壤污染防治措施。项目将</w:t>
      </w:r>
      <w:r>
        <w:rPr>
          <w:rFonts w:hint="eastAsia"/>
          <w:lang w:val="en-US" w:eastAsia="zh-CN"/>
        </w:rPr>
        <w:t>危废暂存间</w:t>
      </w:r>
      <w:r>
        <w:rPr>
          <w:rFonts w:hint="eastAsia"/>
          <w:lang w:eastAsia="zh-CN"/>
        </w:rPr>
        <w:t>设置为重点防渗区，将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车间地面、预处理池</w:t>
      </w:r>
      <w:r>
        <w:rPr>
          <w:rFonts w:hint="eastAsia"/>
          <w:lang w:val="en-US" w:eastAsia="zh-CN"/>
        </w:rPr>
        <w:t>等设置为一般防渗区，</w:t>
      </w:r>
      <w:r>
        <w:rPr>
          <w:rFonts w:hint="eastAsia"/>
          <w:lang w:eastAsia="zh-CN"/>
        </w:rPr>
        <w:t>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除重点防渗区及一般防渗区以外的其他区域</w:t>
      </w:r>
      <w:r>
        <w:rPr>
          <w:rFonts w:hint="eastAsia"/>
          <w:lang w:eastAsia="zh-CN"/>
        </w:rPr>
        <w:t>设置为简单防渗区，分别采取防渗措施。建立和完善地下水、土壤污染监控制度和环境管理体系，发现问题及时采取措施，避免污染周边地下水和土壤环境。</w:t>
      </w:r>
    </w:p>
    <w:p w14:paraId="1BE52489">
      <w:pPr>
        <w:bidi w:val="0"/>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1BECBA">
      <w:pPr>
        <w:bidi w:val="0"/>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29FE9E40">
      <w:pPr>
        <w:pStyle w:val="2"/>
        <w:numPr>
          <w:ilvl w:val="0"/>
          <w:numId w:val="0"/>
        </w:numPr>
        <w:spacing w:line="540" w:lineRule="exact"/>
        <w:ind w:firstLine="640" w:firstLineChars="200"/>
        <w:rPr>
          <w:rFonts w:eastAsia="仿宋_GB2312"/>
          <w:color w:val="FF0000"/>
          <w:sz w:val="32"/>
          <w:szCs w:val="32"/>
        </w:rPr>
      </w:pPr>
      <w:r>
        <w:rPr>
          <w:rFonts w:hint="eastAsia" w:ascii="仿宋_GB2312"/>
          <w:color w:val="auto"/>
          <w:sz w:val="32"/>
          <w:szCs w:val="32"/>
          <w:lang w:val="en-US" w:eastAsia="zh-CN"/>
        </w:rPr>
        <w:t>（十）</w:t>
      </w:r>
      <w:r>
        <w:rPr>
          <w:rFonts w:hint="eastAsia" w:ascii="Times New Roman" w:hAnsi="Times New Roman" w:eastAsia="仿宋_GB2312" w:cs="Times New Roman"/>
          <w:color w:val="auto"/>
          <w:kern w:val="2"/>
          <w:sz w:val="32"/>
          <w:szCs w:val="24"/>
          <w:lang w:val="en-US" w:eastAsia="zh-CN" w:bidi="ar-SA"/>
        </w:rPr>
        <w:t>本项目分别以2#及4#生产车间边界为起点，向外划定50米范围为卫生防护距离控制区，未突破原项目划定的卫生防护距离包络范围，全厂以生产车间边界为起点，划定100米包络范围为卫生防护距离控制区</w:t>
      </w:r>
      <w:r>
        <w:rPr>
          <w:rFonts w:hint="eastAsia" w:cs="Times New Roman"/>
          <w:color w:val="auto"/>
          <w:kern w:val="2"/>
          <w:sz w:val="32"/>
          <w:szCs w:val="24"/>
          <w:lang w:val="en-US" w:eastAsia="zh-CN" w:bidi="ar-SA"/>
        </w:rPr>
        <w:t>，</w:t>
      </w:r>
      <w:r>
        <w:rPr>
          <w:rFonts w:hint="eastAsia" w:eastAsia="仿宋_GB2312"/>
          <w:color w:val="auto"/>
          <w:sz w:val="32"/>
          <w:szCs w:val="32"/>
        </w:rPr>
        <w:t>该区域引进项目</w:t>
      </w:r>
      <w:r>
        <w:rPr>
          <w:rFonts w:hint="eastAsia" w:ascii="仿宋_GB2312" w:eastAsia="仿宋_GB2312"/>
          <w:color w:val="auto"/>
          <w:sz w:val="32"/>
          <w:szCs w:val="32"/>
        </w:rPr>
        <w:t>时应注意其环境相容性，并协助园区管委会监督项目卫生防护距离内不得新建居住、学校、医院等敏感建筑，发现问题及时向园区管委会和相关部门反映。</w:t>
      </w:r>
    </w:p>
    <w:p w14:paraId="584B71B2">
      <w:pPr>
        <w:bidi w:val="0"/>
        <w:rPr>
          <w:rFonts w:hint="eastAsia"/>
          <w:lang w:eastAsia="zh-CN"/>
        </w:rPr>
      </w:pPr>
      <w:r>
        <w:rPr>
          <w:rFonts w:hint="eastAsia"/>
          <w:lang w:eastAsia="zh-CN"/>
        </w:rPr>
        <w:t>三、该项目运营后，全厂化学需氧量排放量为</w:t>
      </w:r>
      <w:r>
        <w:rPr>
          <w:rFonts w:hint="eastAsia"/>
          <w:lang w:val="en-US" w:eastAsia="zh-CN"/>
        </w:rPr>
        <w:t>0.1041</w:t>
      </w:r>
      <w:r>
        <w:rPr>
          <w:rFonts w:hint="eastAsia"/>
          <w:lang w:eastAsia="zh-CN"/>
        </w:rPr>
        <w:t>吨/年，氨氮排放量为</w:t>
      </w:r>
      <w:r>
        <w:rPr>
          <w:rFonts w:hint="eastAsia"/>
          <w:lang w:val="en-US" w:eastAsia="zh-CN"/>
        </w:rPr>
        <w:t>0.013</w:t>
      </w:r>
      <w:r>
        <w:rPr>
          <w:rFonts w:hint="eastAsia"/>
          <w:lang w:eastAsia="zh-CN"/>
        </w:rPr>
        <w:t>吨/年，挥发性有机物排放量为</w:t>
      </w:r>
      <w:r>
        <w:rPr>
          <w:rFonts w:hint="eastAsia"/>
          <w:lang w:val="en-US" w:eastAsia="zh-CN"/>
        </w:rPr>
        <w:t>0.6466</w:t>
      </w:r>
      <w:r>
        <w:rPr>
          <w:rFonts w:hint="eastAsia"/>
          <w:lang w:eastAsia="zh-CN"/>
        </w:rPr>
        <w:t>吨/年，氮氧化物排放量为</w:t>
      </w:r>
      <w:r>
        <w:rPr>
          <w:rFonts w:hint="eastAsia"/>
          <w:lang w:val="en-US" w:eastAsia="zh-CN"/>
        </w:rPr>
        <w:t>0.0061</w:t>
      </w:r>
      <w:r>
        <w:rPr>
          <w:rFonts w:hint="eastAsia"/>
          <w:lang w:eastAsia="zh-CN"/>
        </w:rPr>
        <w:t>吨/年，其总量控制指标按德阳市广汉生态环境局总量文件执行。</w:t>
      </w:r>
    </w:p>
    <w:p w14:paraId="4537D135">
      <w:pPr>
        <w:bidi w:val="0"/>
        <w:rPr>
          <w:rFonts w:hint="eastAsia"/>
          <w:lang w:eastAsia="zh-CN"/>
        </w:rPr>
      </w:pPr>
      <w:r>
        <w:rPr>
          <w:rFonts w:hint="eastAsia"/>
          <w:lang w:eastAsia="zh-CN"/>
        </w:rPr>
        <w:t>四、项目开工建设及投入运营前，应依法完备其他行政许可手续。</w:t>
      </w:r>
    </w:p>
    <w:p w14:paraId="71C3322B">
      <w:pPr>
        <w:bidi w:val="0"/>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bidi w:val="0"/>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bidi w:val="0"/>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bidi w:val="0"/>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1</w:t>
      </w:r>
      <w:r>
        <w:rPr>
          <w:rFonts w:hint="eastAsia"/>
          <w:lang w:eastAsia="zh-CN"/>
        </w:rPr>
        <w:t>月</w:t>
      </w:r>
      <w:r>
        <w:rPr>
          <w:rFonts w:hint="eastAsia"/>
          <w:lang w:val="en-US" w:eastAsia="zh-CN"/>
        </w:rPr>
        <w:t>23</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34C"/>
    <w:rsid w:val="06C07F19"/>
    <w:rsid w:val="07EE52C1"/>
    <w:rsid w:val="11A36E95"/>
    <w:rsid w:val="16CF1ECA"/>
    <w:rsid w:val="17722C48"/>
    <w:rsid w:val="17FF1243"/>
    <w:rsid w:val="1A5823C6"/>
    <w:rsid w:val="1DA61023"/>
    <w:rsid w:val="1FCF5EE4"/>
    <w:rsid w:val="240472A7"/>
    <w:rsid w:val="24602490"/>
    <w:rsid w:val="285D269A"/>
    <w:rsid w:val="2B1D6405"/>
    <w:rsid w:val="2E624E98"/>
    <w:rsid w:val="2EFC25CA"/>
    <w:rsid w:val="3A6E4FAF"/>
    <w:rsid w:val="3F3C0BF0"/>
    <w:rsid w:val="432F1B9E"/>
    <w:rsid w:val="449D70C1"/>
    <w:rsid w:val="497D38AB"/>
    <w:rsid w:val="4DC112FA"/>
    <w:rsid w:val="4E20458D"/>
    <w:rsid w:val="52EB1116"/>
    <w:rsid w:val="56EF32D7"/>
    <w:rsid w:val="57B30EF6"/>
    <w:rsid w:val="598E3781"/>
    <w:rsid w:val="5A282A37"/>
    <w:rsid w:val="5A8325C6"/>
    <w:rsid w:val="5F645F89"/>
    <w:rsid w:val="644A0AC1"/>
    <w:rsid w:val="662B4514"/>
    <w:rsid w:val="6CC97B23"/>
    <w:rsid w:val="6E7B6E4B"/>
    <w:rsid w:val="6F4577DC"/>
    <w:rsid w:val="78A0421B"/>
    <w:rsid w:val="7BD55DBA"/>
    <w:rsid w:val="7EE16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 w:type="paragraph" w:customStyle="1" w:styleId="8">
    <w:name w:val="样式 小四 行距: 1.5 倍行距"/>
    <w:basedOn w:val="1"/>
    <w:qFormat/>
    <w:uiPriority w:val="0"/>
    <w:pPr>
      <w:ind w:firstLine="48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2597</Words>
  <Characters>2708</Characters>
  <Lines>0</Lines>
  <Paragraphs>0</Paragraphs>
  <TotalTime>12</TotalTime>
  <ScaleCrop>false</ScaleCrop>
  <LinksUpToDate>false</LinksUpToDate>
  <CharactersWithSpaces>2796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王纯</cp:lastModifiedBy>
  <dcterms:modified xsi:type="dcterms:W3CDTF">2025-01-23T08:00:02Z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F7EDF8B9EA614D699531B0F6B777F7AF_12</vt:lpwstr>
  </property>
</Properties>
</file>