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theme/theme1.xml" ContentType="application/vnd.openxmlformats-officedocument.theme+xml"/>
  <Override PartName="/word/styles.xml" ContentType="application/vnd.openxmlformats-officedocument.wordprocessingml.styles+xml"/>
  <Override PartName="/word/header1.xml" ContentType="application/vnd.openxmlformats-officedocument.wordprocessingml.header+xml"/>
</Types>
</file>

<file path=_rels/.rels><?xml version="1.0" encoding="UTF-8" standalone="yes"?><Relationships xmlns="http://schemas.openxmlformats.org/package/2006/relationships"><Relationship Id="rId0" Type="http://schemas.openxmlformats.org/officeDocument/2006/relationships/officeDocument" Target="word/document.xml" /><Relationship Id="rId1" Type="http://schemas.openxmlformats.org/package/2006/relationships/metadata/core-properties" Target="docProps/core.xml" /><Relationship Id="rId2" Type="http://schemas.openxmlformats.org/officeDocument/2006/relationships/extended-properties" Target="docProps/app.xml" /></Relationships>
</file>

<file path=word/document.xml><?xml version="1.0" encoding="utf-8"?>
<w:document xmlns:w="http://schemas.openxmlformats.org/wordprocessingml/2006/main" xmlns:r="http://schemas.openxmlformats.org/officeDocument/2006/relationships">
  <w:body>
    <w:bookmarkStart w:id="1" w:name="_Toc15306267"/>
    <w:p>
      <w:pPr>
        <w:spacing w:line="600" w:lineRule="exact"/>
        <w:ind/>
        <w:jc w:val="center"/>
        <w:outlineLvl w:val="0"/>
        <w:rPr>
          <w:rFonts w:ascii="方正小标宋简体" w:hAnsi="宋体" w:eastAsia="方正小标宋简体"/>
          <w:color w:val="000000"/>
          <w:sz w:val="72"/>
          <w:szCs w:val="72"/>
        </w:rPr>
      </w:pPr>
    </w:p>
    <w:bookmarkStart w:id="2" w:name="_Toc15396475"/>
    <w:bookmarkStart w:id="3" w:name="_Toc15377425"/>
    <w:bookmarkStart w:id="4" w:name="_Toc15396597"/>
    <w:bookmarkStart w:id="5" w:name="_Toc15378441"/>
    <w:bookmarkStart w:id="6" w:name="_Toc15377193"/>
    <w:p>
      <w:pPr>
        <w:spacing w:line="600" w:lineRule="exact"/>
        <w:ind/>
        <w:jc w:val="center"/>
        <w:outlineLvl w:val="0"/>
        <w:rPr>
          <w:rFonts w:ascii="方正小标宋简体" w:hAnsi="宋体" w:eastAsia="方正小标宋简体"/>
          <w:color w:val="000000"/>
          <w:sz w:val="72"/>
          <w:szCs w:val="72"/>
        </w:rPr>
      </w:pPr>
    </w:p>
    <w:p>
      <w:pPr>
        <w:adjustRightInd w:val="false"/>
        <w:snapToGrid w:val="false"/>
        <w:spacing w:line="360" w:lineRule="auto"/>
        <w:ind/>
        <w:jc w:val="center"/>
        <w:outlineLvl w:val="0"/>
        <w:rPr>
          <w:rFonts w:ascii="方正小标宋简体" w:hAnsi="宋体" w:eastAsia="方正小标宋简体"/>
          <w:b/>
          <w:bCs/>
          <w:color w:val="000000"/>
          <w:sz w:val="72"/>
          <w:szCs w:val="72"/>
        </w:rPr>
      </w:pPr>
      <w:r>
        <w:rPr>
          <w:rFonts w:ascii="黑体" w:hAnsi="黑体" w:eastAsia="黑体"/>
          <w:b/>
          <w:bCs/>
          <w:color w:val="000000"/>
          <w:sz w:val="72"/>
          <w:szCs w:val="72"/>
        </w:rPr>
        <w:t>201</w:t>
      </w:r>
      <w:r>
        <w:rPr>
          <w:rFonts w:hint="eastAsia" w:ascii="黑体" w:hAnsi="黑体" w:eastAsia="黑体"/>
          <w:b/>
          <w:bCs/>
          <w:color w:val="000000"/>
          <w:sz w:val="72"/>
          <w:szCs w:val="72"/>
        </w:rPr>
        <w:t>9</w:t>
      </w:r>
      <w:r>
        <w:rPr>
          <w:rFonts w:hint="eastAsia" w:ascii="方正小标宋简体" w:hAnsi="宋体" w:eastAsia="方正小标宋简体"/>
          <w:b/>
          <w:bCs/>
          <w:color w:val="000000"/>
          <w:sz w:val="72"/>
          <w:szCs w:val="72"/>
        </w:rPr>
        <w:t>年度</w:t>
      </w:r>
      <w:bookmarkEnd w:id="2"/>
      <w:bookmarkEnd w:id="3"/>
      <w:bookmarkEnd w:id="4"/>
      <w:bookmarkEnd w:id="5"/>
      <w:bookmarkEnd w:id="6"/>
    </w:p>
    <w:bookmarkStart w:id="7" w:name="_Toc15377426"/>
    <w:bookmarkStart w:id="8" w:name="_Toc15396598"/>
    <w:bookmarkStart w:id="9" w:name="_Toc15377194"/>
    <w:bookmarkStart w:id="10" w:name="_Toc15396476"/>
    <w:bookmarkStart w:id="11" w:name="_Toc15378442"/>
    <w:p>
      <w:pPr>
        <w:adjustRightInd w:val="false"/>
        <w:snapToGrid w:val="false"/>
        <w:spacing w:line="360" w:lineRule="auto"/>
        <w:ind/>
        <w:jc w:val="center"/>
        <w:outlineLvl w:val="0"/>
        <w:rPr>
          <w:rFonts w:ascii="方正小标宋简体" w:hAnsi="宋体" w:eastAsia="方正小标宋简体"/>
          <w:b/>
          <w:bCs/>
          <w:color w:val="000000"/>
          <w:sz w:val="72"/>
          <w:szCs w:val="72"/>
        </w:rPr>
      </w:pPr>
      <w:r>
        <w:rPr>
          <w:rFonts w:hint="eastAsia" w:ascii="方正小标宋简体" w:hAnsi="宋体" w:eastAsia="方正小标宋简体"/>
          <w:b/>
          <w:bCs/>
          <w:color w:val="000000"/>
          <w:sz w:val="72"/>
          <w:szCs w:val="72"/>
        </w:rPr>
        <w:t>四川省</w:t>
      </w:r>
      <w:bookmarkEnd w:id="1"/>
      <w:bookmarkStart w:id="12" w:name="_Toc15306268"/>
      <w:r>
        <w:rPr>
          <w:rFonts w:hint="eastAsia" w:ascii="方正小标宋简体" w:hAnsi="宋体" w:eastAsia="方正小标宋简体"/>
          <w:b/>
          <w:bCs/>
          <w:color w:val="000000"/>
          <w:sz w:val="72"/>
          <w:szCs w:val="72"/>
          <w:lang w:eastAsia="zh-CN"/>
        </w:rPr>
        <w:t>德阳市</w:t>
      </w:r>
      <w:r>
        <w:rPr>
          <w:rFonts w:hint="eastAsia" w:ascii="方正小标宋简体" w:hAnsi="宋体" w:eastAsia="方正小标宋简体"/>
          <w:b/>
          <w:bCs/>
          <w:color w:val="000000"/>
          <w:sz w:val="72"/>
          <w:szCs w:val="72"/>
        </w:rPr>
        <w:t>广汉市</w:t>
      </w:r>
    </w:p>
    <w:p>
      <w:pPr>
        <w:adjustRightInd w:val="false"/>
        <w:snapToGrid w:val="false"/>
        <w:spacing w:line="360" w:lineRule="auto"/>
        <w:ind/>
        <w:jc w:val="center"/>
        <w:outlineLvl w:val="0"/>
        <w:rPr>
          <w:rFonts w:ascii="方正小标宋简体" w:hAnsi="宋体" w:eastAsia="方正小标宋简体"/>
          <w:b/>
          <w:bCs/>
          <w:color w:val="000000"/>
          <w:sz w:val="72"/>
          <w:szCs w:val="72"/>
        </w:rPr>
      </w:pPr>
      <w:r>
        <w:rPr>
          <w:rFonts w:hint="eastAsia" w:ascii="方正小标宋简体" w:hAnsi="宋体" w:eastAsia="方正小标宋简体"/>
          <w:b/>
          <w:bCs/>
          <w:color w:val="000000"/>
          <w:sz w:val="72"/>
          <w:szCs w:val="72"/>
        </w:rPr>
        <w:t>雒城镇第一小学校</w:t>
      </w:r>
    </w:p>
    <w:p>
      <w:pPr>
        <w:adjustRightInd w:val="false"/>
        <w:snapToGrid w:val="false"/>
        <w:spacing w:line="360" w:lineRule="auto"/>
        <w:ind/>
        <w:jc w:val="center"/>
        <w:outlineLvl w:val="0"/>
        <w:rPr>
          <w:rFonts w:ascii="方正小标宋简体" w:hAnsi="宋体" w:eastAsia="方正小标宋简体"/>
          <w:b/>
          <w:bCs/>
          <w:color w:val="000000"/>
          <w:sz w:val="72"/>
          <w:szCs w:val="72"/>
        </w:rPr>
      </w:pPr>
      <w:r>
        <w:rPr>
          <w:rFonts w:hint="eastAsia" w:ascii="方正小标宋简体" w:hAnsi="宋体" w:eastAsia="方正小标宋简体"/>
          <w:b/>
          <w:bCs/>
          <w:color w:val="000000"/>
          <w:sz w:val="72"/>
          <w:szCs w:val="72"/>
        </w:rPr>
        <w:t>部门决算</w:t>
      </w:r>
      <w:bookmarkEnd w:id="7"/>
      <w:bookmarkEnd w:id="8"/>
      <w:bookmarkEnd w:id="9"/>
      <w:bookmarkEnd w:id="10"/>
      <w:bookmarkEnd w:id="11"/>
      <w:bookmarkEnd w:id="12"/>
      <w:r>
        <w:rPr>
          <w:rFonts w:hint="eastAsia" w:ascii="方正小标宋简体" w:hAnsi="宋体" w:eastAsia="方正小标宋简体"/>
          <w:b/>
          <w:bCs/>
          <w:color w:val="000000"/>
          <w:sz w:val="72"/>
          <w:szCs w:val="72"/>
        </w:rPr>
        <w:t>编制说明</w:t>
      </w:r>
    </w:p>
    <w:bookmarkStart w:id="13" w:name="_GoBack"/>
    <w:bookmarkEnd w:id="13"/>
    <w:p>
      <w:pPr>
        <w:widowControl/>
        <w:ind/>
        <w:jc w:val="center"/>
        <w:rPr>
          <w:sz w:val="28"/>
          <w:szCs w:val="28"/>
        </w:rPr>
      </w:pPr>
    </w:p>
    <w:p>
      <w:pPr>
        <w:widowControl/>
        <w:ind/>
        <w:jc w:val="center"/>
        <w:rPr>
          <w:sz w:val="28"/>
          <w:szCs w:val="28"/>
        </w:rPr>
      </w:pPr>
    </w:p>
    <w:p>
      <w:pPr>
        <w:widowControl/>
        <w:ind/>
        <w:jc w:val="center"/>
        <w:rPr>
          <w:sz w:val="28"/>
          <w:szCs w:val="28"/>
        </w:rPr>
      </w:pPr>
    </w:p>
    <w:p>
      <w:pPr>
        <w:widowControl/>
        <w:ind/>
        <w:jc w:val="center"/>
        <w:rPr>
          <w:sz w:val="28"/>
          <w:szCs w:val="28"/>
        </w:rPr>
      </w:pPr>
    </w:p>
    <w:p>
      <w:pPr>
        <w:widowControl/>
        <w:ind/>
        <w:jc w:val="center"/>
        <w:rPr>
          <w:sz w:val="28"/>
          <w:szCs w:val="28"/>
        </w:rPr>
      </w:pPr>
    </w:p>
    <w:p>
      <w:pPr>
        <w:widowControl/>
        <w:ind/>
        <w:jc w:val="center"/>
        <w:rPr>
          <w:sz w:val="28"/>
          <w:szCs w:val="28"/>
        </w:rPr>
      </w:pPr>
    </w:p>
    <w:p>
      <w:pPr>
        <w:widowControl/>
        <w:ind/>
        <w:jc w:val="center"/>
        <w:rPr>
          <w:sz w:val="28"/>
          <w:szCs w:val="28"/>
        </w:rPr>
      </w:pPr>
    </w:p>
    <w:p>
      <w:pPr>
        <w:widowControl/>
        <w:ind/>
        <w:jc w:val="center"/>
        <w:rPr>
          <w:sz w:val="28"/>
          <w:szCs w:val="28"/>
        </w:rPr>
      </w:pPr>
    </w:p>
    <w:p>
      <w:pPr>
        <w:widowControl/>
        <w:ind/>
        <w:jc w:val="center"/>
        <w:rPr>
          <w:sz w:val="28"/>
          <w:szCs w:val="28"/>
        </w:rPr>
      </w:pPr>
    </w:p>
    <w:p>
      <w:pPr>
        <w:widowControl/>
        <w:ind/>
        <w:jc w:val="center"/>
        <w:rPr>
          <w:rFonts w:hint="eastAsia" w:ascii="黑体" w:hAnsi="黑体" w:eastAsia="黑体"/>
          <w:b/>
          <w:bCs/>
          <w:color w:val="000000"/>
          <w:sz w:val="48"/>
          <w:szCs w:val="48"/>
        </w:rPr>
      </w:pPr>
      <w:r>
        <w:rPr>
          <w:rFonts w:hint="eastAsia"/>
          <w:sz w:val="28"/>
          <w:szCs w:val="28"/>
        </w:rPr>
        <w:t>公开时间：2020年9月3日</w:t>
      </w:r>
      <w:r>
        <w:rPr>
          <w:rFonts w:ascii="方正小标宋简体" w:hAnsi="宋体" w:eastAsia="方正小标宋简体"/>
          <w:color w:val="000000"/>
          <w:sz w:val="36"/>
          <w:szCs w:val="36"/>
        </w:rPr>
        <w:br w:type="page"/>
      </w:r>
      <w:r>
        <w:rPr>
          <w:rFonts w:hint="eastAsia" w:ascii="黑体" w:hAnsi="黑体" w:eastAsia="黑体"/>
          <w:b/>
          <w:bCs/>
          <w:color w:val="000000"/>
          <w:sz w:val="48"/>
          <w:szCs w:val="48"/>
        </w:rPr>
        <w:t>目  录</w:t>
      </w:r>
    </w:p>
    <w:p>
      <w:pPr>
        <w:widowControl/>
        <w:ind/>
        <w:jc w:val="left"/>
        <w:rPr>
          <w:rFonts w:hint="eastAsia" w:ascii="仿宋" w:hAnsi="仿宋" w:eastAsia="仿宋"/>
          <w:b/>
          <w:bCs/>
          <w:sz w:val="24"/>
        </w:rPr>
      </w:pPr>
    </w:p>
    <w:p>
      <w:pPr>
        <w:widowControl/>
        <w:ind/>
        <w:jc w:val="left"/>
        <w:rPr>
          <w:rFonts w:hint="eastAsia" w:ascii="仿宋" w:hAnsi="仿宋" w:eastAsia="仿宋"/>
          <w:b/>
          <w:bCs/>
          <w:sz w:val="24"/>
        </w:rPr>
      </w:pPr>
    </w:p>
    <w:p>
      <w:pPr>
        <w:widowControl/>
        <w:ind w:firstLine="361" w:firstLineChars="150"/>
        <w:jc w:val="left"/>
        <w:rPr>
          <w:rFonts w:ascii="仿宋" w:hAnsi="仿宋" w:eastAsia="仿宋"/>
          <w:color w:val="000000"/>
          <w:sz w:val="24"/>
        </w:rPr>
      </w:pPr>
      <w:r>
        <w:rPr>
          <w:rFonts w:hint="eastAsia" w:ascii="仿宋" w:hAnsi="仿宋" w:eastAsia="仿宋"/>
          <w:b/>
          <w:bCs/>
          <w:sz w:val="24"/>
        </w:rPr>
        <w:t>第一部分</w:t>
      </w:r>
      <w:r>
        <w:rPr>
          <w:rFonts w:ascii="仿宋" w:hAnsi="仿宋" w:eastAsia="仿宋"/>
          <w:b/>
          <w:bCs/>
          <w:sz w:val="24"/>
        </w:rPr>
        <w:t xml:space="preserve"> </w:t>
      </w:r>
      <w:r>
        <w:rPr>
          <w:rFonts w:hint="eastAsia" w:ascii="仿宋" w:hAnsi="仿宋" w:eastAsia="仿宋"/>
          <w:b/>
          <w:bCs/>
          <w:sz w:val="24"/>
        </w:rPr>
        <w:t xml:space="preserve">部门概况 </w:t>
      </w:r>
      <w:r>
        <w:rPr>
          <w:rFonts w:hint="eastAsia"/>
          <w:sz w:val="24"/>
        </w:rPr>
        <w:t>……………………………………………………………3</w:t>
      </w:r>
    </w:p>
    <w:p>
      <w:pPr>
        <w:pStyle w:val="00001b"/>
        <w:adjustRightInd w:val="false"/>
        <w:snapToGrid w:val="false"/>
        <w:spacing w:line="300" w:lineRule="auto"/>
        <w:ind/>
        <w:jc w:val="left"/>
        <w:rPr>
          <w:rFonts w:ascii="仿宋" w:hAnsi="仿宋"/>
          <w:sz w:val="24"/>
        </w:rPr>
      </w:pPr>
      <w:r>
        <w:rPr>
          <w:rFonts w:hint="eastAsia"/>
          <w:sz w:val="24"/>
        </w:rPr>
        <w:t>一、基本职能及主要工作  ……………………………………………………3</w:t>
      </w:r>
    </w:p>
    <w:p>
      <w:pPr>
        <w:pStyle w:val="00001b"/>
        <w:adjustRightInd w:val="false"/>
        <w:snapToGrid w:val="false"/>
        <w:spacing w:line="300" w:lineRule="auto"/>
        <w:ind/>
        <w:jc w:val="left"/>
        <w:rPr>
          <w:rFonts w:ascii="仿宋" w:hAnsi="仿宋" w:eastAsia="仿宋" w:cstheme="minorBidi"/>
          <w:sz w:val="24"/>
        </w:rPr>
      </w:pPr>
      <w:r>
        <w:rPr>
          <w:rFonts w:hint="eastAsia"/>
          <w:sz w:val="24"/>
        </w:rPr>
        <w:t>二、机构设置  …………………………………………………………………4</w:t>
      </w:r>
    </w:p>
    <w:p>
      <w:pPr>
        <w:pStyle w:val="000021"/>
        <w:adjustRightInd w:val="false"/>
        <w:snapToGrid w:val="false"/>
        <w:spacing w:before="0" w:line="300" w:lineRule="auto"/>
        <w:ind w:firstLine="361" w:firstLineChars="150"/>
        <w:jc w:val="left"/>
        <w:rPr>
          <w:sz w:val="24"/>
          <w:szCs w:val="24"/>
        </w:rPr>
      </w:pPr>
      <w:r>
        <w:rPr>
          <w:rFonts w:hint="eastAsia"/>
          <w:b/>
          <w:bCs/>
          <w:sz w:val="24"/>
          <w:szCs w:val="24"/>
        </w:rPr>
        <w:t>第二部分 度部门决算情况说明</w:t>
      </w:r>
    </w:p>
    <w:p>
      <w:pPr>
        <w:pStyle w:val="00001b"/>
        <w:adjustRightInd w:val="false"/>
        <w:snapToGrid w:val="false"/>
        <w:spacing w:line="300" w:lineRule="auto"/>
        <w:ind/>
        <w:jc w:val="left"/>
        <w:rPr>
          <w:rFonts w:ascii="仿宋" w:hAnsi="仿宋"/>
          <w:sz w:val="24"/>
        </w:rPr>
      </w:pPr>
      <w:r>
        <w:rPr>
          <w:rFonts w:hint="eastAsia"/>
          <w:sz w:val="24"/>
        </w:rPr>
        <w:t>一、收入支出决算总体情况说明  ……………………………………………5二、收入决算情况说明  ………………………………………………………5</w:t>
      </w:r>
    </w:p>
    <w:p>
      <w:pPr>
        <w:pStyle w:val="00001b"/>
        <w:adjustRightInd w:val="false"/>
        <w:snapToGrid w:val="false"/>
        <w:spacing w:line="300" w:lineRule="auto"/>
        <w:ind/>
        <w:jc w:val="left"/>
        <w:rPr>
          <w:rFonts w:ascii="仿宋" w:hAnsi="仿宋" w:eastAsia="仿宋" w:cstheme="minorBidi"/>
          <w:sz w:val="24"/>
        </w:rPr>
      </w:pPr>
      <w:r>
        <w:rPr>
          <w:rFonts w:hint="eastAsia"/>
          <w:sz w:val="24"/>
        </w:rPr>
        <w:t>三、支出决算情况说明  ………………………………………………………6四、财政拨款收入支出决算总体情况说明……………………………………6</w:t>
      </w:r>
    </w:p>
    <w:p>
      <w:pPr>
        <w:pStyle w:val="00001b"/>
        <w:adjustRightInd w:val="false"/>
        <w:snapToGrid w:val="false"/>
        <w:spacing w:line="300" w:lineRule="auto"/>
        <w:ind/>
        <w:jc w:val="left"/>
        <w:rPr>
          <w:rFonts w:ascii="仿宋" w:hAnsi="仿宋" w:eastAsia="仿宋" w:cstheme="minorBidi"/>
          <w:sz w:val="24"/>
        </w:rPr>
      </w:pPr>
      <w:r>
        <w:rPr>
          <w:rFonts w:hint="eastAsia"/>
          <w:sz w:val="24"/>
        </w:rPr>
        <w:t>五、一般公共预算财政拨款支出决算情况说明………………………………6</w:t>
      </w:r>
    </w:p>
    <w:p>
      <w:pPr>
        <w:pStyle w:val="00001b"/>
        <w:adjustRightInd w:val="false"/>
        <w:snapToGrid w:val="false"/>
        <w:spacing w:line="300" w:lineRule="auto"/>
        <w:ind/>
        <w:jc w:val="left"/>
        <w:rPr>
          <w:rFonts w:ascii="仿宋" w:hAnsi="仿宋" w:eastAsia="仿宋" w:cstheme="minorBidi"/>
          <w:sz w:val="24"/>
        </w:rPr>
      </w:pPr>
      <w:r>
        <w:rPr>
          <w:rFonts w:hint="eastAsia"/>
          <w:sz w:val="24"/>
        </w:rPr>
        <w:t>六、一般公共预算财政拨款基本支出决算情况说明  ………………………8 七、</w:t>
      </w:r>
      <w:r>
        <w:rPr>
          <w:sz w:val="24"/>
        </w:rPr>
        <w:t>“</w:t>
      </w:r>
      <w:r>
        <w:rPr>
          <w:rFonts w:hint="eastAsia"/>
          <w:sz w:val="24"/>
        </w:rPr>
        <w:t>三公”经费财政拨款支出决算情况说明 ………………………………8</w:t>
      </w:r>
    </w:p>
    <w:p>
      <w:pPr>
        <w:pStyle w:val="00001b"/>
        <w:adjustRightInd w:val="false"/>
        <w:snapToGrid w:val="false"/>
        <w:spacing w:line="300" w:lineRule="auto"/>
        <w:ind/>
        <w:jc w:val="left"/>
        <w:rPr>
          <w:rFonts w:ascii="仿宋" w:hAnsi="仿宋" w:eastAsia="仿宋" w:cstheme="minorBidi"/>
          <w:sz w:val="24"/>
        </w:rPr>
      </w:pPr>
      <w:r>
        <w:rPr>
          <w:rFonts w:hint="eastAsia"/>
          <w:sz w:val="24"/>
        </w:rPr>
        <w:t>八、政府性基金预算支出决算情况说明  ……………………………………9</w:t>
      </w:r>
    </w:p>
    <w:p>
      <w:pPr>
        <w:pStyle w:val="00001b"/>
        <w:adjustRightInd w:val="false"/>
        <w:snapToGrid w:val="false"/>
        <w:spacing w:line="300" w:lineRule="auto"/>
        <w:ind w:leftChars="0"/>
        <w:jc w:val="left"/>
        <w:rPr>
          <w:rFonts w:asciiTheme="minorEastAsia" w:hAnsiTheme="minorEastAsia" w:eastAsiaTheme="minorEastAsia"/>
          <w:sz w:val="24"/>
        </w:rPr>
      </w:pPr>
      <w:r>
        <w:rPr>
          <w:rFonts w:hint="eastAsia" w:asciiTheme="minorEastAsia" w:hAnsiTheme="minorEastAsia" w:eastAsiaTheme="minorEastAsia"/>
          <w:sz w:val="24"/>
        </w:rPr>
        <w:t>九、</w:t>
      </w:r>
      <w:r>
        <w:rPr>
          <w:rFonts w:asciiTheme="minorEastAsia" w:hAnsiTheme="minorEastAsia" w:eastAsiaTheme="minorEastAsia"/>
          <w:sz w:val="24"/>
        </w:rPr>
        <w:t xml:space="preserve"> 国</w:t>
      </w:r>
      <w:r>
        <w:rPr>
          <w:rFonts w:hint="eastAsia" w:asciiTheme="minorEastAsia" w:hAnsiTheme="minorEastAsia" w:eastAsiaTheme="minorEastAsia"/>
          <w:sz w:val="24"/>
        </w:rPr>
        <w:t>有资本经营预算支出决算情况说明 …………………………………</w:t>
      </w:r>
      <w:r>
        <w:rPr>
          <w:rFonts w:eastAsiaTheme="minorEastAsia"/>
          <w:sz w:val="24"/>
        </w:rPr>
        <w:t>9</w:t>
      </w:r>
    </w:p>
    <w:p>
      <w:pPr>
        <w:adjustRightInd w:val="false"/>
        <w:snapToGrid w:val="false"/>
        <w:spacing w:line="300" w:lineRule="auto"/>
        <w:ind w:left="420" w:leftChars="200"/>
        <w:jc w:val="left"/>
        <w:rPr>
          <w:rFonts w:ascii="仿宋" w:hAnsi="仿宋" w:eastAsia="仿宋" w:cstheme="minorBidi"/>
          <w:sz w:val="24"/>
        </w:rPr>
      </w:pPr>
      <w:r>
        <w:rPr>
          <w:rStyle w:val="000004"/>
          <w:rFonts w:hint="eastAsia" w:asciiTheme="minorEastAsia" w:hAnsiTheme="minorEastAsia" w:eastAsiaTheme="minorEastAsia"/>
          <w:color w:val="000000" w:themeColor="text1"/>
          <w:sz w:val="24"/>
          <w:u w:val="none"/>
        </w:rPr>
        <w:t>十、</w:t>
      </w:r>
      <w:r>
        <w:rPr>
          <w:rFonts w:hint="eastAsia"/>
          <w:sz w:val="24"/>
        </w:rPr>
        <w:t>其他重要事项的情况说明…………………………………………………9</w:t>
      </w:r>
      <w:r>
        <w:rPr>
          <w:rFonts w:hint="eastAsia" w:ascii="仿宋" w:hAnsi="仿宋" w:eastAsia="仿宋" w:cs="仿宋"/>
          <w:b/>
          <w:bCs/>
          <w:sz w:val="24"/>
        </w:rPr>
        <w:t xml:space="preserve">第三部分 名词解释  </w:t>
      </w:r>
      <w:r>
        <w:rPr>
          <w:rFonts w:hint="eastAsia"/>
          <w:sz w:val="24"/>
        </w:rPr>
        <w:t>…………………………………………………………10</w:t>
      </w:r>
    </w:p>
    <w:p>
      <w:pPr>
        <w:pStyle w:val="00001b"/>
        <w:adjustRightInd w:val="false"/>
        <w:snapToGrid w:val="false"/>
        <w:spacing w:line="300" w:lineRule="auto"/>
        <w:ind w:leftChars="0"/>
        <w:jc w:val="left"/>
        <w:rPr>
          <w:rFonts w:ascii="仿宋" w:hAnsi="仿宋" w:eastAsia="仿宋" w:cstheme="minorBidi"/>
          <w:sz w:val="24"/>
        </w:rPr>
      </w:pPr>
      <w:r>
        <w:rPr>
          <w:rFonts w:hint="eastAsia" w:ascii="仿宋" w:hAnsi="仿宋" w:eastAsia="仿宋" w:cs="仿宋"/>
          <w:b/>
          <w:bCs/>
          <w:sz w:val="24"/>
        </w:rPr>
        <w:t xml:space="preserve">第四部分 附件 </w:t>
      </w:r>
      <w:r>
        <w:rPr>
          <w:rFonts w:hint="eastAsia"/>
          <w:sz w:val="24"/>
        </w:rPr>
        <w:t xml:space="preserve"> ………………………………………………………………12</w:t>
      </w:r>
    </w:p>
    <w:p>
      <w:pPr>
        <w:pStyle w:val="00001b"/>
        <w:adjustRightInd w:val="false"/>
        <w:snapToGrid w:val="false"/>
        <w:spacing w:line="300" w:lineRule="auto"/>
        <w:ind w:firstLine="120" w:firstLineChars="50"/>
        <w:jc w:val="left"/>
        <w:rPr>
          <w:rFonts w:ascii="仿宋" w:hAnsi="仿宋" w:eastAsia="仿宋" w:cstheme="minorBidi"/>
          <w:sz w:val="24"/>
        </w:rPr>
      </w:pPr>
      <w:r>
        <w:rPr>
          <w:rFonts w:hint="eastAsia"/>
          <w:sz w:val="24"/>
        </w:rPr>
        <w:t>附件</w:t>
      </w:r>
      <w:r>
        <w:rPr>
          <w:sz w:val="24"/>
        </w:rPr>
        <w:t>1</w:t>
      </w:r>
      <w:r>
        <w:rPr>
          <w:rFonts w:hint="eastAsia"/>
          <w:sz w:val="24"/>
        </w:rPr>
        <w:t>…………………………………………………………………………12</w:t>
      </w:r>
    </w:p>
    <w:p>
      <w:pPr>
        <w:pStyle w:val="000021"/>
        <w:adjustRightInd w:val="false"/>
        <w:snapToGrid w:val="false"/>
        <w:spacing w:before="0" w:line="300" w:lineRule="auto"/>
        <w:ind w:firstLine="482" w:firstLineChars="200"/>
        <w:jc w:val="left"/>
        <w:rPr>
          <w:rFonts w:cstheme="minorBidi"/>
          <w:b/>
          <w:sz w:val="24"/>
          <w:szCs w:val="24"/>
        </w:rPr>
      </w:pPr>
      <w:r>
        <w:rPr>
          <w:rFonts w:hint="eastAsia"/>
          <w:b/>
          <w:sz w:val="24"/>
          <w:szCs w:val="24"/>
        </w:rPr>
        <w:t>第五部分</w:t>
      </w:r>
      <w:r>
        <w:rPr>
          <w:b/>
          <w:sz w:val="24"/>
          <w:szCs w:val="24"/>
        </w:rPr>
        <w:t xml:space="preserve"> </w:t>
      </w:r>
      <w:r>
        <w:rPr>
          <w:rFonts w:hint="eastAsia"/>
          <w:b/>
          <w:sz w:val="24"/>
          <w:szCs w:val="24"/>
        </w:rPr>
        <w:t>附表</w:t>
      </w:r>
      <w:r>
        <w:rPr>
          <w:rFonts w:hint="eastAsia"/>
          <w:sz w:val="24"/>
          <w:szCs w:val="24"/>
        </w:rPr>
        <w:t>………………………</w:t>
      </w:r>
      <w:r>
        <w:rPr>
          <w:rFonts w:hint="eastAsia"/>
          <w:sz w:val="24"/>
        </w:rPr>
        <w:t>………</w:t>
      </w:r>
      <w:r>
        <w:rPr>
          <w:rFonts w:hint="eastAsia"/>
          <w:sz w:val="24"/>
          <w:szCs w:val="24"/>
        </w:rPr>
        <w:t xml:space="preserve">……………………………… </w:t>
      </w:r>
      <w:r>
        <w:rPr>
          <w:rFonts w:ascii="Times New Roman" w:hAnsi="Times New Roman"/>
          <w:sz w:val="24"/>
        </w:rPr>
        <w:t>20</w:t>
      </w:r>
    </w:p>
    <w:p>
      <w:pPr>
        <w:pStyle w:val="00001b"/>
        <w:adjustRightInd w:val="false"/>
        <w:snapToGrid w:val="false"/>
        <w:spacing w:line="300" w:lineRule="auto"/>
        <w:ind w:firstLine="120" w:firstLineChars="50"/>
        <w:jc w:val="left"/>
        <w:rPr>
          <w:rFonts w:hint="eastAsia" w:asciiTheme="minorEastAsia" w:hAnsiTheme="minorEastAsia" w:eastAsiaTheme="minorEastAsia"/>
          <w:sz w:val="24"/>
        </w:rPr>
      </w:pPr>
      <w:r>
        <w:rPr>
          <w:rFonts w:hint="eastAsia" w:asciiTheme="minorEastAsia" w:hAnsiTheme="minorEastAsia" w:eastAsiaTheme="minorEastAsia"/>
          <w:sz w:val="24"/>
        </w:rPr>
        <w:t xml:space="preserve">一、收入支出决算总表 </w:t>
      </w:r>
      <w:r>
        <w:rPr>
          <w:rFonts w:hint="eastAsia"/>
          <w:sz w:val="24"/>
        </w:rPr>
        <w:t>……………………………………………………</w:t>
      </w:r>
      <w:r>
        <w:rPr>
          <w:rFonts w:hint="eastAsia"/>
          <w:szCs w:val="21"/>
        </w:rPr>
        <w:t xml:space="preserve"> </w:t>
      </w:r>
      <w:r>
        <w:rPr>
          <w:sz w:val="24"/>
        </w:rPr>
        <w:t>20</w:t>
      </w:r>
    </w:p>
    <w:p>
      <w:pPr>
        <w:pStyle w:val="00001b"/>
        <w:adjustRightInd w:val="false"/>
        <w:snapToGrid w:val="false"/>
        <w:spacing w:line="300" w:lineRule="auto"/>
        <w:ind w:firstLine="120" w:firstLineChars="50"/>
        <w:jc w:val="left"/>
        <w:rPr>
          <w:rFonts w:hint="eastAsia" w:asciiTheme="minorEastAsia" w:hAnsiTheme="minorEastAsia" w:eastAsiaTheme="minorEastAsia"/>
          <w:sz w:val="24"/>
        </w:rPr>
      </w:pPr>
      <w:r>
        <w:rPr>
          <w:rFonts w:hint="eastAsia" w:asciiTheme="minorEastAsia" w:hAnsiTheme="minorEastAsia" w:eastAsiaTheme="minorEastAsia"/>
          <w:sz w:val="24"/>
        </w:rPr>
        <w:t xml:space="preserve">二、收入决算表 </w:t>
      </w:r>
      <w:r>
        <w:rPr>
          <w:rFonts w:hint="eastAsia"/>
          <w:sz w:val="24"/>
        </w:rPr>
        <w:t xml:space="preserve">…………………………………………………………… </w:t>
      </w:r>
      <w:r>
        <w:rPr>
          <w:sz w:val="24"/>
        </w:rPr>
        <w:t>20</w:t>
      </w:r>
    </w:p>
    <w:p>
      <w:pPr>
        <w:pStyle w:val="00001b"/>
        <w:adjustRightInd w:val="false"/>
        <w:snapToGrid w:val="false"/>
        <w:spacing w:line="300" w:lineRule="auto"/>
        <w:ind w:firstLine="120" w:firstLineChars="50"/>
        <w:jc w:val="left"/>
        <w:rPr>
          <w:rFonts w:hint="eastAsia" w:asciiTheme="minorEastAsia" w:hAnsiTheme="minorEastAsia" w:eastAsiaTheme="minorEastAsia"/>
          <w:sz w:val="24"/>
        </w:rPr>
      </w:pPr>
      <w:r>
        <w:rPr>
          <w:rFonts w:hint="eastAsia" w:asciiTheme="minorEastAsia" w:hAnsiTheme="minorEastAsia" w:eastAsiaTheme="minorEastAsia"/>
          <w:sz w:val="24"/>
        </w:rPr>
        <w:t xml:space="preserve">三、支出决算表 </w:t>
      </w:r>
      <w:r>
        <w:rPr>
          <w:rFonts w:hint="eastAsia"/>
          <w:sz w:val="24"/>
        </w:rPr>
        <w:t xml:space="preserve">…………………………………………………………… </w:t>
      </w:r>
      <w:r>
        <w:rPr>
          <w:sz w:val="24"/>
        </w:rPr>
        <w:t>20</w:t>
      </w:r>
    </w:p>
    <w:p>
      <w:pPr>
        <w:pStyle w:val="00001b"/>
        <w:adjustRightInd w:val="false"/>
        <w:snapToGrid w:val="false"/>
        <w:spacing w:line="300" w:lineRule="auto"/>
        <w:ind w:firstLine="120" w:firstLineChars="50"/>
        <w:jc w:val="left"/>
        <w:rPr>
          <w:rFonts w:hint="eastAsia" w:asciiTheme="minorEastAsia" w:hAnsiTheme="minorEastAsia" w:eastAsiaTheme="minorEastAsia"/>
          <w:sz w:val="24"/>
        </w:rPr>
      </w:pPr>
      <w:r>
        <w:rPr>
          <w:rFonts w:hint="eastAsia" w:asciiTheme="minorEastAsia" w:hAnsiTheme="minorEastAsia" w:eastAsiaTheme="minorEastAsia"/>
          <w:sz w:val="24"/>
        </w:rPr>
        <w:t xml:space="preserve">四、财政拨款收入支出决算总表 </w:t>
      </w:r>
      <w:r>
        <w:rPr>
          <w:rFonts w:hint="eastAsia"/>
          <w:sz w:val="24"/>
        </w:rPr>
        <w:t xml:space="preserve">………………………………………… </w:t>
      </w:r>
      <w:r>
        <w:rPr>
          <w:sz w:val="24"/>
        </w:rPr>
        <w:t>20</w:t>
      </w:r>
    </w:p>
    <w:p>
      <w:pPr>
        <w:pStyle w:val="00001b"/>
        <w:adjustRightInd w:val="false"/>
        <w:snapToGrid w:val="false"/>
        <w:spacing w:line="300" w:lineRule="auto"/>
        <w:ind w:firstLine="120" w:firstLineChars="50"/>
        <w:jc w:val="left"/>
        <w:rPr>
          <w:rFonts w:hint="eastAsia" w:asciiTheme="minorEastAsia" w:hAnsiTheme="minorEastAsia" w:eastAsiaTheme="minorEastAsia"/>
          <w:sz w:val="24"/>
        </w:rPr>
      </w:pPr>
      <w:r>
        <w:rPr>
          <w:rFonts w:hint="eastAsia" w:asciiTheme="minorEastAsia" w:hAnsiTheme="minorEastAsia" w:eastAsiaTheme="minorEastAsia"/>
          <w:sz w:val="24"/>
        </w:rPr>
        <w:t xml:space="preserve">五、财政拨款支出决算明细表 </w:t>
      </w:r>
      <w:r>
        <w:rPr>
          <w:rFonts w:hint="eastAsia"/>
          <w:sz w:val="24"/>
        </w:rPr>
        <w:t xml:space="preserve">…………………………………………… </w:t>
      </w:r>
      <w:r>
        <w:rPr>
          <w:sz w:val="24"/>
        </w:rPr>
        <w:t>20</w:t>
      </w:r>
    </w:p>
    <w:p>
      <w:pPr>
        <w:pStyle w:val="00001b"/>
        <w:adjustRightInd w:val="false"/>
        <w:snapToGrid w:val="false"/>
        <w:spacing w:line="300" w:lineRule="auto"/>
        <w:ind w:firstLine="120" w:firstLineChars="50"/>
        <w:jc w:val="left"/>
        <w:rPr>
          <w:rFonts w:hint="eastAsia" w:asciiTheme="minorEastAsia" w:hAnsiTheme="minorEastAsia" w:eastAsiaTheme="minorEastAsia"/>
          <w:sz w:val="24"/>
        </w:rPr>
      </w:pPr>
      <w:r>
        <w:rPr>
          <w:rFonts w:hint="eastAsia" w:asciiTheme="minorEastAsia" w:hAnsiTheme="minorEastAsia" w:eastAsiaTheme="minorEastAsia"/>
          <w:sz w:val="24"/>
        </w:rPr>
        <w:t xml:space="preserve">六、一般公共预算财政拨款支出决算表 </w:t>
      </w:r>
      <w:r>
        <w:rPr>
          <w:rFonts w:hint="eastAsia"/>
          <w:sz w:val="24"/>
        </w:rPr>
        <w:t xml:space="preserve">………………………………… </w:t>
      </w:r>
      <w:r>
        <w:rPr>
          <w:sz w:val="24"/>
        </w:rPr>
        <w:t>20</w:t>
      </w:r>
    </w:p>
    <w:p>
      <w:pPr>
        <w:pStyle w:val="00001b"/>
        <w:adjustRightInd w:val="false"/>
        <w:snapToGrid w:val="false"/>
        <w:spacing w:line="300" w:lineRule="auto"/>
        <w:ind w:firstLine="120" w:firstLineChars="50"/>
        <w:jc w:val="left"/>
        <w:rPr>
          <w:rFonts w:hint="eastAsia" w:asciiTheme="minorEastAsia" w:hAnsiTheme="minorEastAsia" w:eastAsiaTheme="minorEastAsia"/>
          <w:sz w:val="24"/>
        </w:rPr>
      </w:pPr>
      <w:r>
        <w:rPr>
          <w:rFonts w:hint="eastAsia" w:asciiTheme="minorEastAsia" w:hAnsiTheme="minorEastAsia" w:eastAsiaTheme="minorEastAsia"/>
          <w:sz w:val="24"/>
        </w:rPr>
        <w:t xml:space="preserve">七、一般公共预算财政拨款支出决算明细表 </w:t>
      </w:r>
      <w:r>
        <w:rPr>
          <w:rFonts w:hint="eastAsia"/>
          <w:sz w:val="24"/>
        </w:rPr>
        <w:t xml:space="preserve">…………………………… </w:t>
      </w:r>
      <w:r>
        <w:rPr>
          <w:sz w:val="24"/>
        </w:rPr>
        <w:t>20</w:t>
      </w:r>
    </w:p>
    <w:p>
      <w:pPr>
        <w:pStyle w:val="00001b"/>
        <w:adjustRightInd w:val="false"/>
        <w:snapToGrid w:val="false"/>
        <w:spacing w:line="300" w:lineRule="auto"/>
        <w:ind w:firstLine="120" w:firstLineChars="50"/>
        <w:jc w:val="left"/>
        <w:rPr>
          <w:rFonts w:hint="eastAsia" w:asciiTheme="minorEastAsia" w:hAnsiTheme="minorEastAsia" w:eastAsiaTheme="minorEastAsia"/>
          <w:sz w:val="24"/>
        </w:rPr>
      </w:pPr>
      <w:r>
        <w:rPr>
          <w:rFonts w:hint="eastAsia" w:asciiTheme="minorEastAsia" w:hAnsiTheme="minorEastAsia" w:eastAsiaTheme="minorEastAsia"/>
          <w:sz w:val="24"/>
        </w:rPr>
        <w:t xml:space="preserve">八、一般公共预算财政拨款基本支出决算表 </w:t>
      </w:r>
      <w:r>
        <w:rPr>
          <w:rFonts w:hint="eastAsia"/>
          <w:sz w:val="24"/>
        </w:rPr>
        <w:t xml:space="preserve">…………………………… </w:t>
      </w:r>
      <w:r>
        <w:rPr>
          <w:sz w:val="24"/>
        </w:rPr>
        <w:t>20</w:t>
      </w:r>
    </w:p>
    <w:p>
      <w:pPr>
        <w:pStyle w:val="00001b"/>
        <w:adjustRightInd w:val="false"/>
        <w:snapToGrid w:val="false"/>
        <w:spacing w:line="300" w:lineRule="auto"/>
        <w:ind w:firstLine="120" w:firstLineChars="50"/>
        <w:jc w:val="left"/>
        <w:rPr>
          <w:rFonts w:hint="eastAsia" w:asciiTheme="minorEastAsia" w:hAnsiTheme="minorEastAsia" w:eastAsiaTheme="minorEastAsia"/>
          <w:sz w:val="24"/>
        </w:rPr>
      </w:pPr>
      <w:r>
        <w:rPr>
          <w:rFonts w:hint="eastAsia" w:asciiTheme="minorEastAsia" w:hAnsiTheme="minorEastAsia" w:eastAsiaTheme="minorEastAsia"/>
          <w:sz w:val="24"/>
        </w:rPr>
        <w:t xml:space="preserve">九、一般公共预算财政拨款项目支出决算表 </w:t>
      </w:r>
      <w:r>
        <w:rPr>
          <w:rFonts w:hint="eastAsia"/>
          <w:sz w:val="24"/>
        </w:rPr>
        <w:t xml:space="preserve">…………………………… </w:t>
      </w:r>
      <w:r>
        <w:rPr>
          <w:sz w:val="24"/>
        </w:rPr>
        <w:t>20</w:t>
      </w:r>
    </w:p>
    <w:p>
      <w:pPr>
        <w:pStyle w:val="00001b"/>
        <w:adjustRightInd w:val="false"/>
        <w:snapToGrid w:val="false"/>
        <w:spacing w:line="300" w:lineRule="auto"/>
        <w:ind w:firstLine="120" w:firstLineChars="50"/>
        <w:jc w:val="left"/>
        <w:rPr>
          <w:rFonts w:hint="eastAsia" w:asciiTheme="minorEastAsia" w:hAnsiTheme="minorEastAsia" w:eastAsiaTheme="minorEastAsia"/>
          <w:sz w:val="24"/>
        </w:rPr>
      </w:pPr>
      <w:r>
        <w:rPr>
          <w:rFonts w:hint="eastAsia" w:asciiTheme="minorEastAsia" w:hAnsiTheme="minorEastAsia" w:eastAsiaTheme="minorEastAsia"/>
          <w:sz w:val="24"/>
        </w:rPr>
        <w:t xml:space="preserve">十、一般公共预算财政拨款“三公”经费支出决算表 </w:t>
      </w:r>
      <w:r>
        <w:rPr>
          <w:rFonts w:hint="eastAsia"/>
          <w:sz w:val="24"/>
        </w:rPr>
        <w:t xml:space="preserve">………………… </w:t>
      </w:r>
      <w:r>
        <w:rPr>
          <w:sz w:val="24"/>
        </w:rPr>
        <w:t>20</w:t>
      </w:r>
    </w:p>
    <w:p>
      <w:pPr>
        <w:pStyle w:val="00001b"/>
        <w:adjustRightInd w:val="false"/>
        <w:snapToGrid w:val="false"/>
        <w:spacing w:line="300" w:lineRule="auto"/>
        <w:ind w:firstLine="120" w:firstLineChars="50"/>
        <w:jc w:val="left"/>
        <w:rPr>
          <w:rFonts w:hint="eastAsia" w:asciiTheme="minorEastAsia" w:hAnsiTheme="minorEastAsia" w:eastAsiaTheme="minorEastAsia"/>
          <w:sz w:val="24"/>
        </w:rPr>
      </w:pPr>
      <w:r>
        <w:rPr>
          <w:rFonts w:hint="eastAsia" w:asciiTheme="minorEastAsia" w:hAnsiTheme="minorEastAsia" w:eastAsiaTheme="minorEastAsia"/>
          <w:sz w:val="24"/>
        </w:rPr>
        <w:t xml:space="preserve">十一、政府性基金预算财政拨款收入支出决算表 </w:t>
      </w:r>
      <w:r>
        <w:rPr>
          <w:rFonts w:hint="eastAsia"/>
          <w:sz w:val="24"/>
        </w:rPr>
        <w:t xml:space="preserve">……………………… </w:t>
      </w:r>
      <w:r>
        <w:rPr>
          <w:sz w:val="24"/>
        </w:rPr>
        <w:t>20</w:t>
      </w:r>
    </w:p>
    <w:p>
      <w:pPr>
        <w:pStyle w:val="00001b"/>
        <w:adjustRightInd w:val="false"/>
        <w:snapToGrid w:val="false"/>
        <w:spacing w:line="300" w:lineRule="auto"/>
        <w:ind w:firstLine="120" w:firstLineChars="50"/>
        <w:jc w:val="left"/>
        <w:rPr>
          <w:rFonts w:hint="eastAsia" w:asciiTheme="minorEastAsia" w:hAnsiTheme="minorEastAsia" w:eastAsiaTheme="minorEastAsia"/>
          <w:sz w:val="24"/>
        </w:rPr>
      </w:pPr>
      <w:r>
        <w:rPr>
          <w:rFonts w:hint="eastAsia" w:asciiTheme="minorEastAsia" w:hAnsiTheme="minorEastAsia" w:eastAsiaTheme="minorEastAsia"/>
          <w:sz w:val="24"/>
        </w:rPr>
        <w:t xml:space="preserve">十二、政府性基金预算财政拨款“三公”经费支出决算表 </w:t>
      </w:r>
      <w:r>
        <w:rPr>
          <w:rFonts w:hint="eastAsia"/>
          <w:sz w:val="24"/>
        </w:rPr>
        <w:t xml:space="preserve">…………… </w:t>
      </w:r>
      <w:r>
        <w:rPr>
          <w:sz w:val="24"/>
        </w:rPr>
        <w:t>20</w:t>
      </w:r>
    </w:p>
    <w:p>
      <w:pPr>
        <w:pStyle w:val="00001b"/>
        <w:adjustRightInd w:val="false"/>
        <w:snapToGrid w:val="false"/>
        <w:spacing w:line="300" w:lineRule="auto"/>
        <w:ind w:firstLine="120" w:firstLineChars="50"/>
        <w:jc w:val="left"/>
        <w:rPr>
          <w:rFonts w:hint="eastAsia" w:asciiTheme="minorEastAsia" w:hAnsiTheme="minorEastAsia" w:eastAsiaTheme="minorEastAsia"/>
          <w:sz w:val="24"/>
        </w:rPr>
      </w:pPr>
      <w:r>
        <w:rPr>
          <w:rFonts w:hint="eastAsia" w:asciiTheme="minorEastAsia" w:hAnsiTheme="minorEastAsia" w:eastAsiaTheme="minorEastAsia"/>
          <w:sz w:val="24"/>
        </w:rPr>
        <w:t xml:space="preserve">十三、国有资本经营预算支出决算表 </w:t>
      </w:r>
      <w:r>
        <w:rPr>
          <w:rFonts w:hint="eastAsia"/>
          <w:sz w:val="24"/>
        </w:rPr>
        <w:t xml:space="preserve">…………………………………… </w:t>
      </w:r>
      <w:r>
        <w:rPr>
          <w:sz w:val="24"/>
        </w:rPr>
        <w:t>20</w:t>
      </w:r>
    </w:p>
    <w:p>
      <w:pPr>
        <w:pStyle w:val="00001b"/>
        <w:adjustRightInd w:val="false"/>
        <w:snapToGrid w:val="false"/>
        <w:spacing w:line="300" w:lineRule="auto"/>
        <w:ind w:firstLine="120" w:firstLineChars="50"/>
        <w:jc w:val="left"/>
        <w:rPr>
          <w:rFonts w:asciiTheme="minorEastAsia" w:hAnsiTheme="minorEastAsia" w:eastAsiaTheme="minorEastAsia"/>
          <w:sz w:val="24"/>
        </w:rPr>
      </w:pPr>
      <w:r>
        <w:rPr>
          <w:rFonts w:hint="eastAsia" w:asciiTheme="minorEastAsia" w:hAnsiTheme="minorEastAsia" w:eastAsiaTheme="minorEastAsia"/>
          <w:sz w:val="24"/>
        </w:rPr>
        <w:t xml:space="preserve">  </w:t>
      </w:r>
      <w:bookmarkStart w:id="14" w:name="_Toc15396599"/>
      <w:bookmarkStart w:id="15" w:name="_Toc15377196"/>
    </w:p>
    <w:p>
      <w:pPr>
        <w:pStyle w:val="000018"/>
        <w:adjustRightInd w:val="false"/>
        <w:snapToGrid w:val="false"/>
        <w:spacing w:before="0" w:after="0" w:line="360" w:lineRule="auto"/>
        <w:ind/>
        <w:jc w:val="center"/>
        <w:rPr>
          <w:rStyle w:val="24"/>
          <w:rFonts w:ascii="黑体" w:hAnsi="黑体" w:eastAsia="黑体"/>
          <w:b w:val="false"/>
          <w:bCs w:val="false"/>
          <w:sz w:val="36"/>
          <w:szCs w:val="36"/>
        </w:rPr>
      </w:pPr>
      <w:r>
        <w:rPr>
          <w:rFonts w:hint="eastAsia" w:ascii="黑体" w:hAnsi="黑体" w:eastAsia="黑体"/>
          <w:sz w:val="36"/>
          <w:szCs w:val="36"/>
        </w:rPr>
        <w:t xml:space="preserve">第一部分 </w:t>
      </w:r>
      <w:r>
        <w:rPr>
          <w:rStyle w:val="000017"/>
          <w:rFonts w:hint="eastAsia" w:ascii="黑体" w:hAnsi="黑体" w:eastAsia="黑体"/>
          <w:b/>
          <w:bCs w:val="false"/>
          <w:sz w:val="36"/>
          <w:szCs w:val="36"/>
        </w:rPr>
        <w:t>部门概况</w:t>
      </w:r>
      <w:bookmarkEnd w:id="14"/>
      <w:bookmarkEnd w:id="15"/>
    </w:p>
    <w:bookmarkStart w:id="16" w:name="_Toc15377197"/>
    <w:bookmarkStart w:id="17" w:name="_Toc15396600"/>
    <w:p>
      <w:pPr>
        <w:pStyle w:val="000006"/>
        <w:adjustRightInd w:val="false"/>
        <w:snapToGrid w:val="false"/>
        <w:spacing w:before="0" w:after="0" w:line="360" w:lineRule="auto"/>
        <w:ind w:firstLine="560" w:firstLineChars="200"/>
        <w:rPr>
          <w:rStyle w:val="25"/>
          <w:rFonts w:ascii="仿宋" w:hAnsi="仿宋" w:eastAsia="仿宋"/>
          <w:b/>
          <w:bCs w:val="false"/>
          <w:sz w:val="28"/>
          <w:szCs w:val="28"/>
        </w:rPr>
      </w:pPr>
      <w:r>
        <w:rPr>
          <w:rFonts w:hint="eastAsia" w:ascii="黑体" w:hAnsi="黑体" w:eastAsia="黑体"/>
          <w:b w:val="false"/>
          <w:color w:val="000000"/>
          <w:sz w:val="28"/>
          <w:szCs w:val="28"/>
        </w:rPr>
        <w:t>一、基</w:t>
      </w:r>
      <w:r>
        <w:rPr>
          <w:rStyle w:val="000008"/>
          <w:rFonts w:hint="eastAsia" w:ascii="黑体" w:hAnsi="黑体" w:eastAsia="黑体"/>
          <w:b/>
          <w:bCs w:val="false"/>
          <w:sz w:val="28"/>
          <w:szCs w:val="28"/>
        </w:rPr>
        <w:t>本职能及主要工作</w:t>
      </w:r>
      <w:bookmarkEnd w:id="16"/>
      <w:bookmarkEnd w:id="17"/>
    </w:p>
    <w:bookmarkStart w:id="18" w:name="_Toc15377198"/>
    <w:bookmarkStart w:id="19" w:name="_Toc15378445"/>
    <w:p>
      <w:pPr>
        <w:pStyle w:val="00000d"/>
        <w:adjustRightInd w:val="false"/>
        <w:snapToGrid w:val="false"/>
        <w:spacing w:beforeLines="0" w:line="360" w:lineRule="auto"/>
        <w:ind w:firstLine="480" w:firstLineChars="200"/>
        <w:rPr>
          <w:rFonts w:asciiTheme="minorEastAsia" w:hAnsiTheme="minorEastAsia" w:eastAsiaTheme="minorEastAsia"/>
          <w:bCs/>
          <w:color w:val="000000"/>
          <w:sz w:val="24"/>
        </w:rPr>
      </w:pPr>
      <w:r>
        <w:rPr>
          <w:rFonts w:hint="eastAsia" w:asciiTheme="minorEastAsia" w:hAnsiTheme="minorEastAsia" w:eastAsiaTheme="minorEastAsia"/>
          <w:bCs/>
          <w:color w:val="000000"/>
          <w:sz w:val="24"/>
        </w:rPr>
        <w:t>（一）主要职能</w:t>
      </w:r>
      <w:bookmarkEnd w:id="18"/>
      <w:bookmarkEnd w:id="19"/>
    </w:p>
    <w:bookmarkStart w:id="20" w:name="_Toc15377199"/>
    <w:bookmarkStart w:id="21" w:name="_Toc15378446"/>
    <w:p>
      <w:pPr>
        <w:adjustRightInd w:val="false"/>
        <w:snapToGrid w:val="false"/>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小学教育，附设学前教育。依法实施义务教育，按照规定标准完成教育教学任务，保证教育教学质量。按计划确定教学内容和课程设置开展教育活动。</w:t>
      </w:r>
    </w:p>
    <w:p>
      <w:pPr>
        <w:pStyle w:val="00000d"/>
        <w:adjustRightInd w:val="false"/>
        <w:snapToGrid w:val="false"/>
        <w:spacing w:beforeLines="0" w:line="360" w:lineRule="auto"/>
        <w:ind w:firstLine="480" w:firstLineChars="200"/>
        <w:rPr>
          <w:rFonts w:asciiTheme="minorEastAsia" w:hAnsiTheme="minorEastAsia" w:eastAsiaTheme="minorEastAsia"/>
          <w:bCs/>
          <w:color w:val="000000"/>
          <w:sz w:val="24"/>
        </w:rPr>
      </w:pPr>
      <w:r>
        <w:rPr>
          <w:rFonts w:hint="eastAsia" w:asciiTheme="minorEastAsia" w:hAnsiTheme="minorEastAsia" w:eastAsiaTheme="minorEastAsia"/>
          <w:bCs/>
          <w:color w:val="000000"/>
          <w:sz w:val="24"/>
        </w:rPr>
        <w:t>（二）</w:t>
      </w:r>
      <w:r>
        <w:rPr>
          <w:rFonts w:asciiTheme="minorEastAsia" w:hAnsiTheme="minorEastAsia" w:eastAsiaTheme="minorEastAsia"/>
          <w:bCs/>
          <w:color w:val="000000"/>
          <w:sz w:val="24"/>
        </w:rPr>
        <w:t>201</w:t>
      </w:r>
      <w:r>
        <w:rPr>
          <w:rFonts w:hint="eastAsia" w:asciiTheme="minorEastAsia" w:hAnsiTheme="minorEastAsia" w:eastAsiaTheme="minorEastAsia"/>
          <w:bCs/>
          <w:color w:val="000000"/>
          <w:sz w:val="24"/>
        </w:rPr>
        <w:t>9年重点工作完成情况</w:t>
      </w:r>
      <w:bookmarkEnd w:id="20"/>
      <w:bookmarkEnd w:id="21"/>
    </w:p>
    <w:p>
      <w:pPr>
        <w:pStyle w:val="00000d"/>
        <w:adjustRightInd w:val="false"/>
        <w:snapToGrid w:val="false"/>
        <w:spacing w:before="93" w:line="360" w:lineRule="auto"/>
        <w:ind w:firstLine="480" w:firstLineChars="200"/>
        <w:rPr>
          <w:rFonts w:ascii="宋体" w:hAnsi="宋体" w:eastAsia="宋体" w:cs="宋体"/>
          <w:sz w:val="24"/>
        </w:rPr>
      </w:pPr>
      <w:r>
        <w:rPr>
          <w:rFonts w:hint="eastAsia" w:ascii="宋体" w:hAnsi="宋体" w:eastAsia="宋体" w:cs="宋体"/>
          <w:sz w:val="24"/>
        </w:rPr>
        <w:t>2019年，我校紧紧围绕“三满意”，均衡义务教育，深入推进素质教育的总体目标，圆满完成了各项任务。</w:t>
      </w:r>
    </w:p>
    <w:p>
      <w:pPr>
        <w:pStyle w:val="00000d"/>
        <w:adjustRightInd w:val="false"/>
        <w:snapToGrid w:val="false"/>
        <w:spacing w:before="93" w:line="360" w:lineRule="auto"/>
        <w:ind w:firstLine="480" w:firstLineChars="200"/>
        <w:rPr>
          <w:rFonts w:ascii="宋体" w:hAnsi="宋体" w:eastAsia="宋体" w:cs="宋体"/>
          <w:sz w:val="24"/>
        </w:rPr>
      </w:pPr>
      <w:r>
        <w:rPr>
          <w:rFonts w:hint="eastAsia" w:ascii="宋体" w:hAnsi="宋体" w:eastAsia="宋体" w:cs="宋体"/>
          <w:sz w:val="24"/>
        </w:rPr>
        <w:t>1、以品德为首位，立德树人养正气</w:t>
      </w:r>
    </w:p>
    <w:p>
      <w:pPr>
        <w:pStyle w:val="00000d"/>
        <w:adjustRightInd w:val="false"/>
        <w:snapToGrid w:val="false"/>
        <w:spacing w:before="93" w:line="360" w:lineRule="auto"/>
        <w:ind w:firstLine="480" w:firstLineChars="200"/>
        <w:rPr>
          <w:rFonts w:ascii="宋体" w:hAnsi="宋体" w:eastAsia="宋体" w:cs="宋体"/>
          <w:sz w:val="24"/>
        </w:rPr>
      </w:pPr>
      <w:r>
        <w:rPr>
          <w:rFonts w:hint="eastAsia" w:ascii="宋体" w:hAnsi="宋体" w:eastAsia="宋体" w:cs="宋体"/>
          <w:sz w:val="24"/>
        </w:rPr>
        <w:t>做好“七个一”，在日常行为习惯中抓实德育常规；结合重大主题日开展活动，形式多样展示德育系列活动；树立榜样、弘扬先进；办好家长学校，做好《家校连心桥》教材，培养成熟家长。</w:t>
      </w:r>
    </w:p>
    <w:p>
      <w:pPr>
        <w:pStyle w:val="00000d"/>
        <w:adjustRightInd w:val="false"/>
        <w:snapToGrid w:val="false"/>
        <w:spacing w:before="93" w:line="360" w:lineRule="auto"/>
        <w:ind w:firstLine="480" w:firstLineChars="200"/>
        <w:rPr>
          <w:rFonts w:ascii="宋体" w:hAnsi="宋体" w:eastAsia="宋体" w:cs="宋体"/>
          <w:sz w:val="24"/>
        </w:rPr>
      </w:pPr>
      <w:r>
        <w:rPr>
          <w:rFonts w:hint="eastAsia" w:ascii="宋体" w:hAnsi="宋体" w:eastAsia="宋体" w:cs="宋体"/>
          <w:sz w:val="24"/>
        </w:rPr>
        <w:t>2、以质量为生命，精细管理出成绩</w:t>
      </w:r>
    </w:p>
    <w:p>
      <w:pPr>
        <w:pStyle w:val="00000d"/>
        <w:adjustRightInd w:val="false"/>
        <w:snapToGrid w:val="false"/>
        <w:spacing w:before="93" w:line="360" w:lineRule="auto"/>
        <w:ind w:firstLine="480" w:firstLineChars="200"/>
        <w:rPr>
          <w:rFonts w:ascii="宋体" w:hAnsi="宋体" w:eastAsia="宋体" w:cs="宋体"/>
          <w:sz w:val="24"/>
        </w:rPr>
      </w:pPr>
      <w:r>
        <w:rPr>
          <w:rFonts w:hint="eastAsia" w:ascii="宋体" w:hAnsi="宋体" w:eastAsia="宋体" w:cs="宋体"/>
          <w:sz w:val="24"/>
        </w:rPr>
        <w:t>精细化管理，为质量护航；教师培训，为教学质量提升加油；电化教学，助力课堂教学质量提升；以科研为龙头，引领课堂教学促高效。</w:t>
      </w:r>
    </w:p>
    <w:p>
      <w:pPr>
        <w:pStyle w:val="00000d"/>
        <w:adjustRightInd w:val="false"/>
        <w:snapToGrid w:val="false"/>
        <w:spacing w:before="93" w:line="360" w:lineRule="auto"/>
        <w:ind w:firstLine="480" w:firstLineChars="200"/>
        <w:rPr>
          <w:rFonts w:ascii="宋体" w:hAnsi="宋体" w:eastAsia="宋体" w:cs="宋体"/>
          <w:sz w:val="24"/>
        </w:rPr>
      </w:pPr>
      <w:r>
        <w:rPr>
          <w:rFonts w:hint="eastAsia" w:ascii="宋体" w:hAnsi="宋体" w:eastAsia="宋体" w:cs="宋体"/>
          <w:sz w:val="24"/>
        </w:rPr>
        <w:t>3、以服务为主线，环境育人陶性情 </w:t>
      </w:r>
    </w:p>
    <w:p>
      <w:pPr>
        <w:pStyle w:val="00000d"/>
        <w:adjustRightInd w:val="false"/>
        <w:snapToGrid w:val="false"/>
        <w:spacing w:before="93" w:line="360" w:lineRule="auto"/>
        <w:ind w:firstLine="480" w:firstLineChars="200"/>
        <w:rPr>
          <w:rFonts w:ascii="宋体" w:hAnsi="宋体" w:eastAsia="宋体" w:cs="宋体"/>
          <w:sz w:val="24"/>
        </w:rPr>
      </w:pPr>
      <w:r>
        <w:rPr>
          <w:rFonts w:hint="eastAsia" w:ascii="宋体" w:hAnsi="宋体" w:eastAsia="宋体" w:cs="宋体"/>
          <w:sz w:val="24"/>
        </w:rPr>
        <w:t>积极争取尽快实施教学楼改造建设；校园文化建设化设计全面完成，准备施工；后勤管理务实高效，绿化维护效果好；</w:t>
      </w:r>
    </w:p>
    <w:p>
      <w:pPr>
        <w:pStyle w:val="00000d"/>
        <w:adjustRightInd w:val="false"/>
        <w:snapToGrid w:val="false"/>
        <w:spacing w:before="93" w:line="360" w:lineRule="auto"/>
        <w:ind w:firstLine="480" w:firstLineChars="200"/>
        <w:rPr>
          <w:rFonts w:ascii="宋体" w:hAnsi="宋体" w:eastAsia="宋体" w:cs="宋体"/>
          <w:sz w:val="24"/>
        </w:rPr>
      </w:pPr>
      <w:r>
        <w:rPr>
          <w:rFonts w:hint="eastAsia" w:ascii="宋体" w:hAnsi="宋体" w:eastAsia="宋体" w:cs="宋体"/>
          <w:sz w:val="24"/>
        </w:rPr>
        <w:t>4、以平安为核心，安全管理见实效</w:t>
      </w:r>
    </w:p>
    <w:p>
      <w:pPr>
        <w:pStyle w:val="00000d"/>
        <w:adjustRightInd w:val="false"/>
        <w:snapToGrid w:val="false"/>
        <w:spacing w:before="93" w:line="360" w:lineRule="auto"/>
        <w:ind w:firstLine="480" w:firstLineChars="200"/>
        <w:rPr>
          <w:rFonts w:ascii="宋体" w:hAnsi="宋体" w:eastAsia="宋体" w:cs="宋体"/>
          <w:sz w:val="24"/>
        </w:rPr>
      </w:pPr>
      <w:r>
        <w:rPr>
          <w:rFonts w:hint="eastAsia" w:ascii="宋体" w:hAnsi="宋体" w:eastAsia="宋体" w:cs="宋体"/>
          <w:sz w:val="24"/>
        </w:rPr>
        <w:t>加强组织领导，落实安全责任制；完善安全制度，加强安全管理；强化责任意识，加强防范管理；强化安全教育，树立安全意识；落实《安全管理考核奖励方案》，提高教师安全积极性；依法治校，积极开展普法教育。</w:t>
      </w:r>
    </w:p>
    <w:p>
      <w:pPr>
        <w:pStyle w:val="00000d"/>
        <w:adjustRightInd w:val="false"/>
        <w:snapToGrid w:val="false"/>
        <w:spacing w:before="93" w:line="360" w:lineRule="auto"/>
        <w:ind w:firstLine="480" w:firstLineChars="200"/>
        <w:rPr>
          <w:rFonts w:ascii="宋体" w:hAnsi="宋体" w:eastAsia="宋体" w:cs="宋体"/>
          <w:sz w:val="24"/>
        </w:rPr>
      </w:pPr>
      <w:r>
        <w:rPr>
          <w:rFonts w:hint="eastAsia" w:ascii="宋体" w:hAnsi="宋体" w:eastAsia="宋体" w:cs="宋体"/>
          <w:sz w:val="24"/>
        </w:rPr>
        <w:t>5、党建工作在精准扶贫中见实效</w:t>
      </w:r>
    </w:p>
    <w:p>
      <w:pPr>
        <w:pStyle w:val="00000d"/>
        <w:adjustRightInd w:val="false"/>
        <w:snapToGrid w:val="false"/>
        <w:spacing w:before="93" w:line="360" w:lineRule="auto"/>
        <w:ind w:firstLine="480" w:firstLineChars="200"/>
        <w:rPr>
          <w:rFonts w:ascii="宋体" w:hAnsi="宋体" w:eastAsia="宋体" w:cs="宋体"/>
          <w:sz w:val="24"/>
        </w:rPr>
      </w:pPr>
      <w:r>
        <w:rPr>
          <w:rFonts w:hint="eastAsia" w:ascii="宋体" w:hAnsi="宋体" w:eastAsia="宋体" w:cs="宋体"/>
          <w:sz w:val="24"/>
        </w:rPr>
        <w:t>定期走访，密切了党员和群众之间的关系；发挥党员的示范作用；增强党员干部的责任感和使命感。</w:t>
      </w:r>
    </w:p>
    <w:p>
      <w:pPr>
        <w:pStyle w:val="00000d"/>
        <w:adjustRightInd w:val="false"/>
        <w:snapToGrid w:val="false"/>
        <w:spacing w:before="93" w:line="360" w:lineRule="auto"/>
        <w:ind w:firstLine="480" w:firstLineChars="200"/>
        <w:rPr>
          <w:rFonts w:ascii="宋体" w:hAnsi="宋体" w:eastAsia="宋体" w:cs="宋体"/>
          <w:sz w:val="24"/>
        </w:rPr>
      </w:pPr>
      <w:r>
        <w:rPr>
          <w:rFonts w:hint="eastAsia" w:ascii="宋体" w:hAnsi="宋体" w:eastAsia="宋体" w:cs="宋体"/>
          <w:sz w:val="24"/>
        </w:rPr>
        <w:t>6、以工会为平台，民主管理聚人心</w:t>
      </w:r>
    </w:p>
    <w:p>
      <w:pPr>
        <w:pStyle w:val="00000d"/>
        <w:adjustRightInd w:val="false"/>
        <w:snapToGrid w:val="false"/>
        <w:spacing w:before="93" w:line="360" w:lineRule="auto"/>
        <w:ind w:firstLine="480" w:firstLineChars="200"/>
        <w:rPr>
          <w:rFonts w:ascii="宋体" w:hAnsi="宋体" w:eastAsia="宋体" w:cs="宋体"/>
          <w:sz w:val="24"/>
        </w:rPr>
      </w:pPr>
      <w:r>
        <w:rPr>
          <w:rFonts w:hint="eastAsia" w:ascii="宋体" w:hAnsi="宋体" w:eastAsia="宋体" w:cs="宋体"/>
          <w:sz w:val="24"/>
        </w:rPr>
        <w:t>落实教职工大会制度，促进民主建设；做好校务公开工作，推进民主管理；开展丰富多彩活动，活跃校园文化生活。</w:t>
      </w:r>
    </w:p>
    <w:p>
      <w:pPr>
        <w:pStyle w:val="00000d"/>
        <w:adjustRightInd w:val="false"/>
        <w:snapToGrid w:val="false"/>
        <w:spacing w:before="93" w:line="360" w:lineRule="auto"/>
        <w:ind w:firstLine="480" w:firstLineChars="200"/>
        <w:rPr>
          <w:rFonts w:ascii="宋体" w:hAnsi="宋体" w:eastAsia="宋体" w:cs="宋体"/>
          <w:sz w:val="24"/>
        </w:rPr>
      </w:pPr>
      <w:r>
        <w:rPr>
          <w:rFonts w:hint="eastAsia" w:ascii="宋体" w:hAnsi="宋体" w:eastAsia="宋体" w:cs="宋体"/>
          <w:sz w:val="24"/>
        </w:rPr>
        <w:t xml:space="preserve">7、协调发展，各项工作创一流    </w:t>
      </w:r>
    </w:p>
    <w:p>
      <w:pPr>
        <w:pStyle w:val="00000d"/>
        <w:adjustRightInd w:val="false"/>
        <w:snapToGrid w:val="false"/>
        <w:spacing w:before="93" w:line="360" w:lineRule="auto"/>
        <w:ind w:firstLine="480" w:firstLineChars="200"/>
        <w:rPr>
          <w:rFonts w:ascii="宋体" w:hAnsi="宋体" w:eastAsia="宋体" w:cs="宋体"/>
          <w:sz w:val="24"/>
        </w:rPr>
      </w:pPr>
      <w:r>
        <w:rPr>
          <w:rFonts w:hint="eastAsia" w:ascii="宋体" w:hAnsi="宋体" w:eastAsia="宋体" w:cs="宋体"/>
          <w:sz w:val="24"/>
        </w:rPr>
        <w:t>在各级领导支持下，师生成才，学校发展。</w:t>
      </w:r>
    </w:p>
    <w:p>
      <w:pPr>
        <w:pStyle w:val="00000d"/>
        <w:adjustRightInd w:val="false"/>
        <w:snapToGrid w:val="false"/>
        <w:spacing w:before="93" w:line="360" w:lineRule="auto"/>
        <w:ind w:firstLine="480" w:firstLineChars="200"/>
        <w:rPr>
          <w:rFonts w:ascii="宋体" w:hAnsi="宋体" w:eastAsia="宋体" w:cs="宋体"/>
          <w:sz w:val="24"/>
        </w:rPr>
      </w:pPr>
      <w:r>
        <w:rPr>
          <w:rFonts w:hint="eastAsia" w:ascii="宋体" w:hAnsi="宋体" w:eastAsia="宋体" w:cs="宋体"/>
          <w:sz w:val="24"/>
        </w:rPr>
        <w:t>（1）学生全面发展。</w:t>
      </w:r>
    </w:p>
    <w:p>
      <w:pPr>
        <w:pStyle w:val="00000d"/>
        <w:adjustRightInd w:val="false"/>
        <w:snapToGrid w:val="false"/>
        <w:spacing w:before="93" w:line="360" w:lineRule="auto"/>
        <w:ind w:firstLine="480" w:firstLineChars="200"/>
        <w:rPr>
          <w:rFonts w:ascii="宋体" w:hAnsi="宋体" w:eastAsia="宋体" w:cs="宋体"/>
          <w:sz w:val="24"/>
        </w:rPr>
      </w:pPr>
      <w:r>
        <w:rPr>
          <w:rFonts w:hint="eastAsia" w:ascii="宋体" w:hAnsi="宋体" w:eastAsia="宋体" w:cs="宋体"/>
          <w:sz w:val="24"/>
        </w:rPr>
        <w:t>学生全面发展。2019年7月，研培中心发布各项3—6年级全市统考统阅成绩，我校捷报频传，16项主要质量数据指标中有12项我校占第一，两个第二，两个第三，综合质量全市第一，持续创造我校教学质量历史。学生参加省市县比赛获得161个奖励，综合素质广汉领先。学生健康体质持续优化。体检报告显示，学生的肺活量不断提高，沙眼率和肥胖率持续下降。</w:t>
      </w:r>
    </w:p>
    <w:p>
      <w:pPr>
        <w:pStyle w:val="00000d"/>
        <w:adjustRightInd w:val="false"/>
        <w:snapToGrid w:val="false"/>
        <w:spacing w:before="93" w:line="360" w:lineRule="auto"/>
        <w:ind w:firstLine="480" w:firstLineChars="200"/>
        <w:rPr>
          <w:rFonts w:ascii="宋体" w:hAnsi="宋体" w:eastAsia="宋体" w:cs="宋体"/>
          <w:sz w:val="24"/>
        </w:rPr>
      </w:pPr>
      <w:r>
        <w:rPr>
          <w:rFonts w:hint="eastAsia" w:ascii="宋体" w:hAnsi="宋体" w:eastAsia="宋体" w:cs="宋体"/>
          <w:sz w:val="24"/>
        </w:rPr>
        <w:t>（2）教师幸福成长。</w:t>
      </w:r>
    </w:p>
    <w:p>
      <w:pPr>
        <w:pStyle w:val="00000d"/>
        <w:adjustRightInd w:val="false"/>
        <w:snapToGrid w:val="false"/>
        <w:spacing w:before="93" w:line="360" w:lineRule="auto"/>
        <w:ind w:firstLine="480" w:firstLineChars="200"/>
        <w:rPr>
          <w:rFonts w:ascii="宋体" w:hAnsi="宋体" w:eastAsia="宋体" w:cs="宋体"/>
          <w:sz w:val="24"/>
        </w:rPr>
      </w:pPr>
      <w:r>
        <w:rPr>
          <w:rFonts w:hint="eastAsia" w:ascii="宋体" w:hAnsi="宋体" w:eastAsia="宋体" w:cs="宋体"/>
          <w:sz w:val="24"/>
        </w:rPr>
        <w:t>教师表现优秀。学校教师师德高尚、业务精湛、团结互助，积极向上，学校有省市县各级名师、学科带头人、骨干教师32人，每个学科都有广汉顶尖的教师，教师参加省市县比赛获得154个奖励。</w:t>
      </w:r>
    </w:p>
    <w:p>
      <w:pPr>
        <w:pStyle w:val="00000d"/>
        <w:adjustRightInd w:val="false"/>
        <w:snapToGrid w:val="false"/>
        <w:spacing w:before="93" w:line="360" w:lineRule="auto"/>
        <w:ind w:firstLine="480" w:firstLineChars="200"/>
        <w:rPr>
          <w:rFonts w:ascii="宋体" w:hAnsi="宋体" w:eastAsia="宋体" w:cs="宋体"/>
          <w:sz w:val="24"/>
        </w:rPr>
      </w:pPr>
      <w:r>
        <w:rPr>
          <w:rFonts w:hint="eastAsia" w:ascii="宋体" w:hAnsi="宋体" w:eastAsia="宋体" w:cs="宋体"/>
          <w:sz w:val="24"/>
        </w:rPr>
        <w:t>（3）学校持续发展</w:t>
      </w:r>
    </w:p>
    <w:p>
      <w:pPr>
        <w:pStyle w:val="00000d"/>
        <w:adjustRightInd w:val="false"/>
        <w:snapToGrid w:val="false"/>
        <w:spacing w:before="93" w:line="360" w:lineRule="auto"/>
        <w:ind w:firstLine="480" w:firstLineChars="200"/>
        <w:rPr>
          <w:rFonts w:ascii="宋体" w:hAnsi="宋体" w:eastAsia="宋体" w:cs="宋体"/>
          <w:sz w:val="24"/>
        </w:rPr>
      </w:pPr>
      <w:r>
        <w:rPr>
          <w:rFonts w:hint="eastAsia" w:ascii="宋体" w:hAnsi="宋体" w:eastAsia="宋体" w:cs="宋体"/>
          <w:sz w:val="24"/>
        </w:rPr>
        <w:t>学校获得多项荣誉。学校获得全国规范化家长学校实践基地、四川省首届小学生诗词大会线上初选活动优秀组织奖、“十三五”规划课题“基于大规模推广群文阅读理论与实践深化研究首批子课题”省级示范单位等33项国家、省、市、县表彰奖励。学校联盟，携手共进。学校联盟南丰小学、新平小学、高坪小学、金鱼小学、新丰小学、和兴小学等农村小学，对口帮扶金阳县天台小学共同发展。对口帮扶天台小学经验在四川省会议交流发言，联盟各校进部大。</w:t>
      </w:r>
    </w:p>
    <w:p>
      <w:pPr>
        <w:pStyle w:val="00000d"/>
        <w:adjustRightInd w:val="false"/>
        <w:snapToGrid w:val="false"/>
        <w:spacing w:before="93" w:line="360" w:lineRule="auto"/>
        <w:ind w:firstLine="480" w:firstLineChars="200"/>
        <w:rPr>
          <w:rFonts w:ascii="仿宋" w:hAnsi="仿宋" w:eastAsia="仿宋"/>
          <w:bCs/>
          <w:color w:val="000000"/>
          <w:sz w:val="32"/>
          <w:szCs w:val="32"/>
        </w:rPr>
      </w:pPr>
      <w:r>
        <w:rPr>
          <w:rFonts w:hint="eastAsia" w:ascii="宋体" w:hAnsi="宋体" w:eastAsia="宋体" w:cs="宋体"/>
          <w:sz w:val="24"/>
        </w:rPr>
        <w:t>2019年我校各项工作取得优异成绩，上级综合考核名列全市小学前列，在全市发挥了窗口示范和引领作用。</w:t>
      </w:r>
    </w:p>
    <w:bookmarkStart w:id="22" w:name="_Toc15377200"/>
    <w:bookmarkStart w:id="23" w:name="_Toc15396601"/>
    <w:p>
      <w:pPr>
        <w:pStyle w:val="000006"/>
        <w:adjustRightInd w:val="false"/>
        <w:snapToGrid w:val="false"/>
        <w:spacing w:before="0" w:after="0" w:line="360" w:lineRule="auto"/>
        <w:ind w:firstLine="560" w:firstLineChars="200"/>
        <w:rPr>
          <w:rStyle w:val="25"/>
          <w:b w:val="false"/>
          <w:bCs w:val="false"/>
          <w:sz w:val="28"/>
          <w:szCs w:val="28"/>
        </w:rPr>
      </w:pPr>
      <w:r>
        <w:rPr>
          <w:rFonts w:hint="eastAsia" w:ascii="黑体" w:eastAsia="黑体"/>
          <w:b w:val="false"/>
          <w:color w:val="000000"/>
          <w:sz w:val="28"/>
          <w:szCs w:val="28"/>
        </w:rPr>
        <w:t>二、</w:t>
      </w:r>
      <w:r>
        <w:rPr>
          <w:rFonts w:hint="eastAsia" w:ascii="黑体" w:hAnsi="黑体" w:eastAsia="黑体"/>
          <w:b w:val="false"/>
          <w:color w:val="000000"/>
          <w:sz w:val="28"/>
          <w:szCs w:val="28"/>
        </w:rPr>
        <w:t>机</w:t>
      </w:r>
      <w:r>
        <w:rPr>
          <w:rStyle w:val="000008"/>
          <w:rFonts w:hint="eastAsia" w:ascii="黑体" w:hAnsi="黑体" w:eastAsia="黑体"/>
          <w:b w:val="false"/>
          <w:bCs w:val="false"/>
          <w:sz w:val="28"/>
          <w:szCs w:val="28"/>
        </w:rPr>
        <w:t>构设置</w:t>
      </w:r>
      <w:bookmarkEnd w:id="22"/>
      <w:bookmarkEnd w:id="23"/>
    </w:p>
    <w:p>
      <w:pPr>
        <w:pStyle w:val="00000d"/>
        <w:adjustRightInd w:val="false"/>
        <w:snapToGrid w:val="false"/>
        <w:spacing w:beforeLines="0" w:line="360" w:lineRule="auto"/>
        <w:ind w:firstLine="480" w:firstLineChars="200"/>
        <w:rPr>
          <w:rFonts w:asciiTheme="minorEastAsia" w:hAnsiTheme="minorEastAsia" w:eastAsiaTheme="minorEastAsia"/>
          <w:color w:val="000000"/>
          <w:sz w:val="24"/>
        </w:rPr>
      </w:pPr>
      <w:r>
        <w:rPr>
          <w:rFonts w:hint="eastAsia" w:asciiTheme="minorEastAsia" w:hAnsiTheme="minorEastAsia" w:eastAsiaTheme="minorEastAsia"/>
          <w:sz w:val="24"/>
        </w:rPr>
        <w:t>广汉市雒城镇第一小学校是广汉市教育局下属的二级预算单位。无下属单位。学校内设机构有：教导处、政教处、总务处、行政办公室、安全办公室，党支部和教工会。</w:t>
      </w:r>
    </w:p>
    <w:p>
      <w:pPr>
        <w:widowControl/>
        <w:adjustRightInd w:val="false"/>
        <w:snapToGrid w:val="false"/>
        <w:spacing w:line="360" w:lineRule="auto"/>
        <w:ind w:firstLine="640" w:firstLineChars="200"/>
        <w:rPr>
          <w:rFonts w:ascii="仿宋" w:hAnsi="仿宋" w:eastAsia="仿宋"/>
          <w:color w:val="000000"/>
          <w:kern w:val="0"/>
          <w:sz w:val="32"/>
          <w:szCs w:val="32"/>
        </w:rPr>
      </w:pPr>
      <w:r>
        <w:rPr>
          <w:rFonts w:ascii="仿宋" w:hAnsi="仿宋" w:eastAsia="仿宋"/>
          <w:color w:val="000000"/>
          <w:sz w:val="32"/>
          <w:szCs w:val="32"/>
        </w:rPr>
        <w:br w:type="page"/>
      </w:r>
    </w:p>
    <w:bookmarkStart w:id="24" w:name="_Toc15396602"/>
    <w:bookmarkStart w:id="25" w:name="_Toc15377204"/>
    <w:p>
      <w:pPr>
        <w:pStyle w:val="000018"/>
        <w:adjustRightInd w:val="false"/>
        <w:snapToGrid w:val="false"/>
        <w:spacing w:before="0" w:after="0" w:line="360" w:lineRule="auto"/>
        <w:ind/>
        <w:jc w:val="center"/>
        <w:rPr>
          <w:rFonts w:ascii="黑体" w:hAnsi="黑体" w:eastAsia="黑体"/>
          <w:b w:val="false"/>
          <w:bCs w:val="false"/>
          <w:sz w:val="36"/>
          <w:szCs w:val="36"/>
        </w:rPr>
      </w:pPr>
      <w:r>
        <w:rPr>
          <w:rFonts w:hint="eastAsia" w:ascii="黑体" w:hAnsi="黑体" w:eastAsia="黑体"/>
          <w:color w:val="000000"/>
          <w:sz w:val="36"/>
          <w:szCs w:val="36"/>
        </w:rPr>
        <w:t xml:space="preserve">第二部分 </w:t>
      </w:r>
      <w:r>
        <w:rPr>
          <w:rStyle w:val="000017"/>
          <w:rFonts w:hint="eastAsia" w:ascii="黑体" w:hAnsi="黑体" w:eastAsia="黑体"/>
          <w:b/>
          <w:bCs w:val="false"/>
          <w:sz w:val="36"/>
          <w:szCs w:val="36"/>
        </w:rPr>
        <w:t>2019年度部门决算情况说明</w:t>
      </w:r>
      <w:bookmarkEnd w:id="24"/>
      <w:bookmarkEnd w:id="25"/>
    </w:p>
    <w:bookmarkStart w:id="26" w:name="_Toc15377205"/>
    <w:bookmarkStart w:id="27" w:name="_Toc15396603"/>
    <w:p>
      <w:pPr>
        <w:pStyle w:val="000019"/>
        <w:adjustRightInd w:val="false"/>
        <w:snapToGrid w:val="false"/>
        <w:spacing w:line="360" w:lineRule="auto"/>
        <w:ind w:left="640" w:firstLine="0" w:firstLineChars="0"/>
        <w:rPr>
          <w:rFonts w:ascii="黑体" w:hAnsi="黑体" w:eastAsia="黑体"/>
          <w:color w:val="000000"/>
          <w:szCs w:val="21"/>
        </w:rPr>
      </w:pPr>
    </w:p>
    <w:p>
      <w:pPr>
        <w:pStyle w:val="000019"/>
        <w:adjustRightInd w:val="false"/>
        <w:snapToGrid w:val="false"/>
        <w:spacing w:line="360" w:lineRule="auto"/>
        <w:ind w:left="640" w:firstLine="0" w:firstLineChars="0"/>
        <w:rPr>
          <w:rStyle w:val="25"/>
          <w:rFonts w:ascii="黑体" w:hAnsi="黑体" w:eastAsia="黑体"/>
          <w:sz w:val="28"/>
          <w:szCs w:val="28"/>
        </w:rPr>
      </w:pPr>
      <w:r>
        <w:rPr>
          <w:rFonts w:hint="eastAsia" w:ascii="黑体" w:hAnsi="黑体" w:eastAsia="黑体"/>
          <w:b/>
          <w:color w:val="000000"/>
          <w:sz w:val="28"/>
          <w:szCs w:val="28"/>
        </w:rPr>
        <w:t>一、收</w:t>
      </w:r>
      <w:r>
        <w:rPr>
          <w:rStyle w:val="000008"/>
          <w:rFonts w:hint="eastAsia" w:ascii="黑体" w:hAnsi="黑体" w:eastAsia="黑体"/>
          <w:sz w:val="28"/>
          <w:szCs w:val="28"/>
        </w:rPr>
        <w:t>入支出决算总体情况说明</w:t>
      </w:r>
      <w:bookmarkEnd w:id="26"/>
      <w:bookmarkEnd w:id="27"/>
    </w:p>
    <w:p>
      <w:pPr>
        <w:adjustRightInd w:val="false"/>
        <w:snapToGrid w:val="false"/>
        <w:spacing w:line="360" w:lineRule="auto"/>
        <w:ind w:firstLine="480" w:firstLineChars="200"/>
        <w:rPr>
          <w:rFonts w:asciiTheme="minorEastAsia" w:hAnsiTheme="minorEastAsia" w:eastAsiaTheme="minorEastAsia"/>
          <w:color w:val="000000"/>
          <w:sz w:val="24"/>
        </w:rPr>
      </w:pPr>
      <w:r>
        <w:rPr>
          <w:rFonts w:hint="eastAsia" w:asciiTheme="minorEastAsia" w:hAnsiTheme="minorEastAsia" w:eastAsiaTheme="minorEastAsia"/>
          <w:color w:val="000000"/>
          <w:sz w:val="24"/>
        </w:rPr>
        <w:t>2019年收入合计1461.68万元，2019年支出合计1315.76万元。与2018年相比，收入增加80.75万元，增长5.85%；支出增加122.41万元，增长10.26%。主要变动原因是其他收入（课后延时服务费）收支增加及工资调整变动。</w:t>
      </w:r>
    </w:p>
    <w:p>
      <w:pPr>
        <w:adjustRightInd w:val="false"/>
        <w:snapToGrid w:val="false"/>
        <w:spacing w:line="360" w:lineRule="auto"/>
        <w:ind w:firstLine="480" w:firstLineChars="200"/>
        <w:jc w:val="center"/>
        <w:rPr>
          <w:rFonts w:asciiTheme="minorEastAsia" w:hAnsiTheme="minorEastAsia" w:eastAsiaTheme="minorEastAsia"/>
          <w:color w:val="000000" w:themeColor="text1"/>
          <w:sz w:val="24"/>
        </w:rPr>
      </w:pPr>
    </w:p>
    <w:p>
      <w:pPr>
        <w:adjustRightInd w:val="false"/>
        <w:snapToGrid w:val="false"/>
        <w:spacing w:line="360" w:lineRule="auto"/>
        <w:ind/>
        <w:jc w:val="center"/>
        <w:rPr>
          <w:rFonts w:asciiTheme="minorEastAsia" w:hAnsiTheme="minorEastAsia" w:eastAsiaTheme="minorEastAsia"/>
          <w:color w:val="000000" w:themeColor="text1"/>
          <w:sz w:val="24"/>
        </w:rPr>
      </w:pPr>
      <w:r>
        <w:rPr>
          <w:rFonts w:hint="eastAsia" w:asciiTheme="minorEastAsia" w:hAnsiTheme="minorEastAsia" w:eastAsiaTheme="minorEastAsia"/>
          <w:color w:val="000000" w:themeColor="text1"/>
          <w:sz w:val="24"/>
        </w:rPr>
        <w:t>（图</w:t>
      </w:r>
      <w:r>
        <w:rPr>
          <w:rFonts w:asciiTheme="minorEastAsia" w:hAnsiTheme="minorEastAsia" w:eastAsiaTheme="minorEastAsia"/>
          <w:color w:val="000000" w:themeColor="text1"/>
          <w:sz w:val="24"/>
        </w:rPr>
        <w:t>1</w:t>
      </w:r>
      <w:r>
        <w:rPr>
          <w:rFonts w:hint="eastAsia" w:asciiTheme="minorEastAsia" w:hAnsiTheme="minorEastAsia" w:eastAsiaTheme="minorEastAsia"/>
          <w:color w:val="000000" w:themeColor="text1"/>
          <w:sz w:val="24"/>
        </w:rPr>
        <w:t>：收、支决算总计变动情况图）（柱状图）</w:t>
      </w:r>
    </w:p>
    <w:bookmarkStart w:id="28" w:name="_Toc15396604"/>
    <w:bookmarkStart w:id="29" w:name="_Toc15377206"/>
    <w:p>
      <w:pPr>
        <w:spacing w:line="600" w:lineRule="exact"/>
        <w:ind w:firstLine="562" w:firstLineChars="200"/>
        <w:rPr>
          <w:rStyle w:val="25"/>
          <w:rFonts w:ascii="黑体" w:hAnsi="黑体" w:eastAsia="黑体"/>
          <w:sz w:val="28"/>
          <w:szCs w:val="28"/>
        </w:rPr>
      </w:pPr>
      <w:r>
        <w:rPr>
          <w:rFonts w:hint="eastAsia" w:ascii="黑体" w:hAnsi="黑体" w:eastAsia="黑体" w:cs="黑体"/>
          <w:b/>
          <w:bCs/>
          <w:color w:val="000000" w:themeColor="text1"/>
          <w:sz w:val="28"/>
          <w:szCs w:val="28"/>
        </w:rPr>
        <w:t>二、</w:t>
      </w:r>
      <w:r>
        <w:rPr>
          <w:rFonts w:hint="eastAsia" w:ascii="黑体" w:hAnsi="黑体" w:eastAsia="黑体"/>
          <w:b/>
          <w:color w:val="000000"/>
          <w:sz w:val="28"/>
          <w:szCs w:val="28"/>
        </w:rPr>
        <w:t>收</w:t>
      </w:r>
      <w:r>
        <w:rPr>
          <w:rStyle w:val="000008"/>
          <w:rFonts w:hint="eastAsia" w:ascii="黑体" w:hAnsi="黑体" w:eastAsia="黑体"/>
          <w:sz w:val="28"/>
          <w:szCs w:val="28"/>
        </w:rPr>
        <w:t>入决算情况说明</w:t>
      </w:r>
      <w:bookmarkEnd w:id="28"/>
      <w:bookmarkEnd w:id="29"/>
    </w:p>
    <w:p>
      <w:pPr>
        <w:adjustRightInd w:val="false"/>
        <w:snapToGrid w:val="false"/>
        <w:spacing w:line="360" w:lineRule="auto"/>
        <w:ind w:firstLine="480" w:firstLineChars="200"/>
        <w:rPr>
          <w:rFonts w:asciiTheme="minorEastAsia" w:hAnsiTheme="minorEastAsia" w:eastAsiaTheme="minorEastAsia"/>
          <w:color w:val="000000"/>
          <w:sz w:val="24"/>
        </w:rPr>
      </w:pPr>
      <w:r>
        <w:rPr>
          <w:rFonts w:asciiTheme="minorEastAsia" w:hAnsiTheme="minorEastAsia" w:eastAsiaTheme="minorEastAsia"/>
          <w:color w:val="000000"/>
          <w:sz w:val="24"/>
        </w:rPr>
        <w:t>201</w:t>
      </w:r>
      <w:r>
        <w:rPr>
          <w:rFonts w:hint="eastAsia" w:asciiTheme="minorEastAsia" w:hAnsiTheme="minorEastAsia" w:eastAsiaTheme="minorEastAsia"/>
          <w:color w:val="000000"/>
          <w:sz w:val="24"/>
        </w:rPr>
        <w:t>9年收入合计1461.68万元，其中：一般公共预算财政拨款收入1356.69万元，占92.82</w:t>
      </w:r>
      <w:r>
        <w:rPr>
          <w:rFonts w:asciiTheme="minorEastAsia" w:hAnsiTheme="minorEastAsia" w:eastAsiaTheme="minorEastAsia"/>
          <w:color w:val="000000"/>
          <w:sz w:val="24"/>
        </w:rPr>
        <w:t>%</w:t>
      </w:r>
      <w:r>
        <w:rPr>
          <w:rFonts w:hint="eastAsia" w:asciiTheme="minorEastAsia" w:hAnsiTheme="minorEastAsia" w:eastAsiaTheme="minorEastAsia"/>
          <w:color w:val="000000"/>
          <w:sz w:val="24"/>
        </w:rPr>
        <w:t>；事业收入17.88万元，占1.22</w:t>
      </w:r>
      <w:r>
        <w:rPr>
          <w:rFonts w:asciiTheme="minorEastAsia" w:hAnsiTheme="minorEastAsia" w:eastAsiaTheme="minorEastAsia"/>
          <w:color w:val="000000"/>
          <w:sz w:val="24"/>
        </w:rPr>
        <w:t>%</w:t>
      </w:r>
      <w:r>
        <w:rPr>
          <w:rFonts w:hint="eastAsia" w:asciiTheme="minorEastAsia" w:hAnsiTheme="minorEastAsia" w:eastAsiaTheme="minorEastAsia"/>
          <w:color w:val="000000"/>
          <w:sz w:val="24"/>
        </w:rPr>
        <w:t>；其他收入87.11万元，占5.96</w:t>
      </w:r>
      <w:r>
        <w:rPr>
          <w:rFonts w:asciiTheme="minorEastAsia" w:hAnsiTheme="minorEastAsia" w:eastAsiaTheme="minorEastAsia"/>
          <w:color w:val="000000"/>
          <w:sz w:val="24"/>
        </w:rPr>
        <w:t>%</w:t>
      </w:r>
      <w:r>
        <w:rPr>
          <w:rFonts w:hint="eastAsia" w:asciiTheme="minorEastAsia" w:hAnsiTheme="minorEastAsia" w:eastAsiaTheme="minorEastAsia"/>
          <w:color w:val="000000"/>
          <w:sz w:val="24"/>
        </w:rPr>
        <w:t>。</w:t>
      </w:r>
    </w:p>
    <w:p>
      <w:pPr>
        <w:adjustRightInd w:val="false"/>
        <w:snapToGrid w:val="false"/>
        <w:spacing w:line="360" w:lineRule="auto"/>
        <w:ind/>
        <w:rPr>
          <w:rFonts w:asciiTheme="minorEastAsia" w:hAnsiTheme="minorEastAsia" w:eastAsiaTheme="minorEastAsia"/>
          <w:color w:val="000000" w:themeColor="text1"/>
          <w:sz w:val="24"/>
        </w:rPr>
      </w:pPr>
    </w:p>
    <w:p>
      <w:pPr>
        <w:spacing w:line="600" w:lineRule="exact"/>
        <w:ind w:firstLine="640" w:firstLineChars="200"/>
        <w:rPr>
          <w:rFonts w:ascii="仿宋" w:hAnsi="仿宋" w:eastAsia="仿宋"/>
          <w:color w:val="000000" w:themeColor="text1"/>
          <w:sz w:val="32"/>
          <w:szCs w:val="32"/>
        </w:rPr>
      </w:pPr>
    </w:p>
    <w:p>
      <w:pPr>
        <w:spacing w:line="600" w:lineRule="exact"/>
        <w:ind w:firstLine="640" w:firstLineChars="200"/>
        <w:rPr>
          <w:rFonts w:ascii="仿宋" w:hAnsi="仿宋" w:eastAsia="仿宋"/>
          <w:color w:val="000000" w:themeColor="text1"/>
          <w:sz w:val="32"/>
          <w:szCs w:val="32"/>
        </w:rPr>
      </w:pPr>
    </w:p>
    <w:p>
      <w:pPr>
        <w:spacing w:line="600" w:lineRule="exact"/>
        <w:ind w:firstLine="640" w:firstLineChars="200"/>
        <w:rPr>
          <w:rFonts w:ascii="仿宋" w:hAnsi="仿宋" w:eastAsia="仿宋"/>
          <w:color w:val="000000" w:themeColor="text1"/>
          <w:sz w:val="32"/>
          <w:szCs w:val="32"/>
        </w:rPr>
      </w:pPr>
    </w:p>
    <w:p>
      <w:pPr>
        <w:spacing w:line="600" w:lineRule="exact"/>
        <w:ind w:firstLine="640" w:firstLineChars="200"/>
        <w:rPr>
          <w:rFonts w:ascii="仿宋" w:hAnsi="仿宋" w:eastAsia="仿宋"/>
          <w:color w:val="000000" w:themeColor="text1"/>
          <w:sz w:val="32"/>
          <w:szCs w:val="32"/>
        </w:rPr>
      </w:pPr>
    </w:p>
    <w:p>
      <w:pPr>
        <w:spacing w:line="600" w:lineRule="exact"/>
        <w:ind w:firstLine="640" w:firstLineChars="200"/>
        <w:rPr>
          <w:rFonts w:ascii="仿宋" w:hAnsi="仿宋" w:eastAsia="仿宋"/>
          <w:color w:val="000000" w:themeColor="text1"/>
          <w:sz w:val="32"/>
          <w:szCs w:val="32"/>
        </w:rPr>
      </w:pPr>
    </w:p>
    <w:p>
      <w:pPr>
        <w:spacing w:line="600" w:lineRule="exact"/>
        <w:ind/>
        <w:jc w:val="center"/>
        <w:rPr>
          <w:rFonts w:asciiTheme="minorEastAsia" w:hAnsiTheme="minorEastAsia" w:eastAsiaTheme="minorEastAsia"/>
          <w:color w:val="000000" w:themeColor="text1"/>
          <w:sz w:val="24"/>
        </w:rPr>
      </w:pPr>
    </w:p>
    <w:p>
      <w:pPr>
        <w:spacing w:line="600" w:lineRule="exact"/>
        <w:ind/>
        <w:jc w:val="center"/>
        <w:rPr>
          <w:rFonts w:asciiTheme="minorEastAsia" w:hAnsiTheme="minorEastAsia" w:eastAsiaTheme="minorEastAsia"/>
          <w:color w:val="000000" w:themeColor="text1"/>
          <w:sz w:val="24"/>
        </w:rPr>
      </w:pPr>
      <w:r>
        <w:rPr>
          <w:rFonts w:hint="eastAsia" w:asciiTheme="minorEastAsia" w:hAnsiTheme="minorEastAsia" w:eastAsiaTheme="minorEastAsia"/>
          <w:color w:val="000000" w:themeColor="text1"/>
          <w:sz w:val="24"/>
        </w:rPr>
        <w:t>（图2：收入决算结构图）（饼状图）</w:t>
      </w:r>
      <w:bookmarkStart w:id="30" w:name="_Toc15396605"/>
      <w:bookmarkStart w:id="31" w:name="_Toc15377207"/>
    </w:p>
    <w:p>
      <w:pPr>
        <w:spacing w:line="600" w:lineRule="exact"/>
        <w:ind w:firstLine="562" w:firstLineChars="200"/>
        <w:outlineLvl w:val="1"/>
        <w:rPr>
          <w:rStyle w:val="25"/>
          <w:rFonts w:ascii="黑体" w:hAnsi="黑体" w:eastAsia="黑体"/>
          <w:sz w:val="28"/>
          <w:szCs w:val="28"/>
        </w:rPr>
      </w:pPr>
      <w:r>
        <w:rPr>
          <w:rFonts w:hint="eastAsia" w:ascii="黑体" w:hAnsi="黑体" w:eastAsia="黑体"/>
          <w:b/>
          <w:color w:val="000000"/>
          <w:sz w:val="28"/>
          <w:szCs w:val="28"/>
        </w:rPr>
        <w:t>三、支</w:t>
      </w:r>
      <w:r>
        <w:rPr>
          <w:rStyle w:val="000008"/>
          <w:rFonts w:hint="eastAsia" w:ascii="黑体" w:hAnsi="黑体" w:eastAsia="黑体"/>
          <w:sz w:val="28"/>
          <w:szCs w:val="28"/>
        </w:rPr>
        <w:t>出决算情况说明</w:t>
      </w:r>
      <w:bookmarkEnd w:id="30"/>
      <w:bookmarkEnd w:id="31"/>
    </w:p>
    <w:p>
      <w:pPr>
        <w:adjustRightInd w:val="false"/>
        <w:snapToGrid w:val="false"/>
        <w:spacing w:line="360" w:lineRule="auto"/>
        <w:ind w:firstLine="480" w:firstLineChars="200"/>
        <w:rPr>
          <w:rFonts w:asciiTheme="minorEastAsia" w:hAnsiTheme="minorEastAsia" w:eastAsiaTheme="minorEastAsia"/>
          <w:color w:val="000000"/>
          <w:sz w:val="24"/>
        </w:rPr>
      </w:pPr>
      <w:r>
        <w:rPr>
          <w:rFonts w:asciiTheme="minorEastAsia" w:hAnsiTheme="minorEastAsia" w:eastAsiaTheme="minorEastAsia"/>
          <w:color w:val="000000"/>
          <w:sz w:val="24"/>
        </w:rPr>
        <w:t>201</w:t>
      </w:r>
      <w:r>
        <w:rPr>
          <w:rFonts w:hint="eastAsia" w:asciiTheme="minorEastAsia" w:hAnsiTheme="minorEastAsia" w:eastAsiaTheme="minorEastAsia"/>
          <w:color w:val="000000"/>
          <w:sz w:val="24"/>
        </w:rPr>
        <w:t>9年支出合计1315.76万元，其中：基本支出1315.76万元，占100</w:t>
      </w:r>
      <w:r>
        <w:rPr>
          <w:rFonts w:asciiTheme="minorEastAsia" w:hAnsiTheme="minorEastAsia" w:eastAsiaTheme="minorEastAsia"/>
          <w:color w:val="000000"/>
          <w:sz w:val="24"/>
        </w:rPr>
        <w:t>%</w:t>
      </w:r>
      <w:r>
        <w:rPr>
          <w:rFonts w:hint="eastAsia" w:asciiTheme="minorEastAsia" w:hAnsiTheme="minorEastAsia" w:eastAsiaTheme="minorEastAsia"/>
          <w:color w:val="000000"/>
          <w:sz w:val="24"/>
        </w:rPr>
        <w:t>。</w:t>
      </w:r>
    </w:p>
    <w:p>
      <w:pPr>
        <w:adjustRightInd w:val="false"/>
        <w:snapToGrid w:val="false"/>
        <w:spacing w:line="360" w:lineRule="auto"/>
        <w:ind w:firstLine="640" w:firstLineChars="200"/>
        <w:rPr>
          <w:rFonts w:ascii="仿宋" w:hAnsi="仿宋" w:eastAsia="仿宋"/>
          <w:color w:val="000000" w:themeColor="text1"/>
          <w:sz w:val="32"/>
          <w:szCs w:val="32"/>
        </w:rPr>
      </w:pPr>
    </w:p>
    <w:p>
      <w:pPr>
        <w:adjustRightInd w:val="false"/>
        <w:snapToGrid w:val="false"/>
        <w:spacing w:line="360" w:lineRule="auto"/>
        <w:ind w:firstLine="640" w:firstLineChars="200"/>
        <w:rPr>
          <w:rFonts w:ascii="仿宋" w:hAnsi="仿宋" w:eastAsia="仿宋"/>
          <w:color w:val="000000" w:themeColor="text1"/>
          <w:sz w:val="32"/>
          <w:szCs w:val="32"/>
        </w:rPr>
      </w:pPr>
    </w:p>
    <w:bookmarkStart w:id="32" w:name="_Toc15396606"/>
    <w:bookmarkStart w:id="33" w:name="_Toc15377208"/>
    <w:p>
      <w:pPr>
        <w:adjustRightInd w:val="false"/>
        <w:snapToGrid w:val="false"/>
        <w:spacing w:line="360" w:lineRule="auto"/>
        <w:ind w:firstLine="640" w:firstLineChars="200"/>
        <w:rPr>
          <w:rFonts w:ascii="仿宋_GB2312" w:eastAsia="仿宋_GB2312"/>
          <w:color w:val="FF0000"/>
          <w:sz w:val="32"/>
          <w:szCs w:val="32"/>
        </w:rPr>
      </w:pPr>
    </w:p>
    <w:p>
      <w:pPr>
        <w:adjustRightInd w:val="false"/>
        <w:snapToGrid w:val="false"/>
        <w:spacing w:line="360" w:lineRule="auto"/>
        <w:ind w:firstLine="640" w:firstLineChars="200"/>
        <w:outlineLvl w:val="1"/>
        <w:rPr>
          <w:rFonts w:ascii="黑体" w:hAnsi="黑体" w:eastAsia="黑体"/>
          <w:color w:val="000000"/>
          <w:sz w:val="32"/>
          <w:szCs w:val="32"/>
        </w:rPr>
      </w:pPr>
    </w:p>
    <w:p>
      <w:pPr>
        <w:adjustRightInd w:val="false"/>
        <w:snapToGrid w:val="false"/>
        <w:spacing w:line="360" w:lineRule="auto"/>
        <w:ind w:firstLine="640" w:firstLineChars="200"/>
        <w:outlineLvl w:val="1"/>
        <w:rPr>
          <w:rFonts w:ascii="黑体" w:hAnsi="黑体" w:eastAsia="黑体"/>
          <w:color w:val="000000"/>
          <w:sz w:val="32"/>
          <w:szCs w:val="32"/>
        </w:rPr>
      </w:pPr>
    </w:p>
    <w:p>
      <w:pPr>
        <w:adjustRightInd w:val="false"/>
        <w:snapToGrid w:val="false"/>
        <w:spacing w:line="360" w:lineRule="auto"/>
        <w:ind/>
        <w:jc w:val="center"/>
        <w:rPr>
          <w:rFonts w:asciiTheme="minorEastAsia" w:hAnsiTheme="minorEastAsia" w:eastAsiaTheme="minorEastAsia"/>
          <w:color w:val="000000" w:themeColor="text1"/>
          <w:sz w:val="24"/>
        </w:rPr>
      </w:pPr>
      <w:r>
        <w:rPr>
          <w:rFonts w:hint="eastAsia" w:asciiTheme="minorEastAsia" w:hAnsiTheme="minorEastAsia" w:eastAsiaTheme="minorEastAsia"/>
          <w:color w:val="000000" w:themeColor="text1"/>
          <w:sz w:val="24"/>
        </w:rPr>
        <w:t>（图3：支出决算结构图）（饼状图）</w:t>
      </w:r>
    </w:p>
    <w:p>
      <w:pPr>
        <w:adjustRightInd w:val="false"/>
        <w:snapToGrid w:val="false"/>
        <w:spacing w:line="360" w:lineRule="auto"/>
        <w:ind/>
        <w:jc w:val="center"/>
        <w:rPr>
          <w:rFonts w:asciiTheme="minorEastAsia" w:hAnsiTheme="minorEastAsia" w:eastAsiaTheme="minorEastAsia"/>
          <w:color w:val="000000" w:themeColor="text1"/>
          <w:sz w:val="24"/>
        </w:rPr>
      </w:pPr>
    </w:p>
    <w:p>
      <w:pPr>
        <w:adjustRightInd w:val="false"/>
        <w:snapToGrid w:val="false"/>
        <w:spacing w:line="360" w:lineRule="auto"/>
        <w:ind w:firstLine="562" w:firstLineChars="200"/>
        <w:rPr>
          <w:rStyle w:val="25"/>
          <w:rFonts w:ascii="黑体" w:hAnsi="黑体" w:eastAsia="黑体"/>
          <w:b w:val="false"/>
          <w:sz w:val="28"/>
          <w:szCs w:val="28"/>
        </w:rPr>
      </w:pPr>
      <w:r>
        <w:rPr>
          <w:rFonts w:hint="eastAsia" w:ascii="黑体" w:hAnsi="黑体" w:eastAsia="黑体"/>
          <w:b/>
          <w:color w:val="000000"/>
          <w:sz w:val="28"/>
          <w:szCs w:val="28"/>
        </w:rPr>
        <w:t>四、财</w:t>
      </w:r>
      <w:r>
        <w:rPr>
          <w:rStyle w:val="000008"/>
          <w:rFonts w:hint="eastAsia" w:ascii="黑体" w:hAnsi="黑体" w:eastAsia="黑体"/>
          <w:sz w:val="28"/>
          <w:szCs w:val="28"/>
        </w:rPr>
        <w:t>政拨款收入支出决算总体情况说明</w:t>
      </w:r>
      <w:bookmarkEnd w:id="32"/>
      <w:bookmarkEnd w:id="33"/>
    </w:p>
    <w:p>
      <w:pPr>
        <w:adjustRightInd w:val="false"/>
        <w:snapToGrid w:val="false"/>
        <w:spacing w:line="360" w:lineRule="auto"/>
        <w:ind w:firstLine="480" w:firstLineChars="200"/>
        <w:rPr>
          <w:rFonts w:asciiTheme="minorEastAsia" w:hAnsiTheme="minorEastAsia" w:eastAsiaTheme="minorEastAsia"/>
          <w:color w:val="000000"/>
          <w:sz w:val="24"/>
        </w:rPr>
      </w:pPr>
      <w:r>
        <w:rPr>
          <w:rFonts w:asciiTheme="minorEastAsia" w:hAnsiTheme="minorEastAsia" w:eastAsiaTheme="minorEastAsia"/>
          <w:color w:val="000000"/>
          <w:sz w:val="24"/>
        </w:rPr>
        <w:t>201</w:t>
      </w:r>
      <w:r>
        <w:rPr>
          <w:rFonts w:hint="eastAsia" w:asciiTheme="minorEastAsia" w:hAnsiTheme="minorEastAsia" w:eastAsiaTheme="minorEastAsia"/>
          <w:color w:val="000000"/>
          <w:sz w:val="24"/>
        </w:rPr>
        <w:t>9年财政拨款收入合计1356.69万元，支出合计</w:t>
      </w:r>
      <w:r>
        <w:rPr>
          <w:rFonts w:hint="eastAsia" w:cs="宋体" w:asciiTheme="minorEastAsia" w:hAnsiTheme="minorEastAsia" w:eastAsiaTheme="minorEastAsia"/>
          <w:sz w:val="24"/>
        </w:rPr>
        <w:t>1266.66</w:t>
      </w:r>
      <w:r>
        <w:rPr>
          <w:rFonts w:hint="eastAsia" w:asciiTheme="minorEastAsia" w:hAnsiTheme="minorEastAsia" w:eastAsiaTheme="minorEastAsia"/>
          <w:color w:val="000000"/>
          <w:sz w:val="24"/>
        </w:rPr>
        <w:t>万元。与</w:t>
      </w:r>
      <w:r>
        <w:rPr>
          <w:rFonts w:asciiTheme="minorEastAsia" w:hAnsiTheme="minorEastAsia" w:eastAsiaTheme="minorEastAsia"/>
          <w:color w:val="000000"/>
          <w:sz w:val="24"/>
        </w:rPr>
        <w:t>201</w:t>
      </w:r>
      <w:r>
        <w:rPr>
          <w:rFonts w:hint="eastAsia" w:asciiTheme="minorEastAsia" w:hAnsiTheme="minorEastAsia" w:eastAsiaTheme="minorEastAsia"/>
          <w:color w:val="000000"/>
          <w:sz w:val="24"/>
        </w:rPr>
        <w:t>8年相比，财政拨款收入减少6.14万元，下降0.45%；支出增加73.31万元，增长6.14</w:t>
      </w:r>
      <w:r>
        <w:rPr>
          <w:rFonts w:asciiTheme="minorEastAsia" w:hAnsiTheme="minorEastAsia" w:eastAsiaTheme="minorEastAsia"/>
          <w:color w:val="000000"/>
          <w:sz w:val="24"/>
        </w:rPr>
        <w:t>%</w:t>
      </w:r>
      <w:r>
        <w:rPr>
          <w:rFonts w:hint="eastAsia" w:asciiTheme="minorEastAsia" w:hAnsiTheme="minorEastAsia" w:eastAsiaTheme="minorEastAsia"/>
          <w:color w:val="000000"/>
          <w:sz w:val="24"/>
        </w:rPr>
        <w:t>。主要变动原因是正常的薪级晋升及工资标准变动。</w:t>
      </w:r>
    </w:p>
    <w:p>
      <w:pPr>
        <w:adjustRightInd w:val="false"/>
        <w:snapToGrid w:val="false"/>
        <w:spacing w:line="360" w:lineRule="auto"/>
        <w:ind/>
        <w:jc w:val="center"/>
        <w:rPr>
          <w:rFonts w:asciiTheme="minorEastAsia" w:hAnsiTheme="minorEastAsia" w:eastAsiaTheme="minorEastAsia"/>
          <w:color w:val="000000" w:themeColor="text1"/>
          <w:sz w:val="24"/>
        </w:rPr>
      </w:pPr>
    </w:p>
    <w:p>
      <w:pPr>
        <w:adjustRightInd w:val="false"/>
        <w:snapToGrid w:val="false"/>
        <w:spacing w:line="360" w:lineRule="auto"/>
        <w:ind/>
        <w:jc w:val="center"/>
        <w:rPr>
          <w:rFonts w:asciiTheme="minorEastAsia" w:hAnsiTheme="minorEastAsia" w:eastAsiaTheme="minorEastAsia"/>
          <w:color w:val="000000" w:themeColor="text1"/>
          <w:sz w:val="24"/>
        </w:rPr>
      </w:pPr>
      <w:r>
        <w:rPr>
          <w:rFonts w:hint="eastAsia" w:asciiTheme="minorEastAsia" w:hAnsiTheme="minorEastAsia" w:eastAsiaTheme="minorEastAsia"/>
          <w:color w:val="000000" w:themeColor="text1"/>
          <w:sz w:val="24"/>
        </w:rPr>
        <w:t>（图4：财政拨款收、支决算总计变动情况）（柱状图）</w:t>
      </w:r>
    </w:p>
    <w:bookmarkStart w:id="34" w:name="_Toc15396607"/>
    <w:bookmarkStart w:id="35" w:name="_Toc15377209"/>
    <w:p>
      <w:pPr>
        <w:adjustRightInd w:val="false"/>
        <w:snapToGrid w:val="false"/>
        <w:spacing w:line="360" w:lineRule="auto"/>
        <w:ind w:firstLine="560" w:firstLineChars="200"/>
        <w:rPr>
          <w:rFonts w:ascii="黑体" w:hAnsi="黑体" w:eastAsia="黑体"/>
          <w:color w:val="000000"/>
          <w:sz w:val="28"/>
          <w:szCs w:val="28"/>
        </w:rPr>
      </w:pPr>
    </w:p>
    <w:p>
      <w:pPr>
        <w:adjustRightInd w:val="false"/>
        <w:snapToGrid w:val="false"/>
        <w:spacing w:line="360" w:lineRule="auto"/>
        <w:ind w:firstLine="562" w:firstLineChars="200"/>
        <w:rPr>
          <w:rStyle w:val="25"/>
          <w:rFonts w:ascii="黑体" w:hAnsi="黑体" w:eastAsia="黑体"/>
          <w:sz w:val="28"/>
          <w:szCs w:val="28"/>
        </w:rPr>
      </w:pPr>
      <w:r>
        <w:rPr>
          <w:rFonts w:hint="eastAsia" w:ascii="黑体" w:hAnsi="黑体" w:eastAsia="黑体"/>
          <w:b/>
          <w:sz w:val="28"/>
          <w:szCs w:val="28"/>
        </w:rPr>
        <w:t>五、</w:t>
      </w:r>
      <w:r>
        <w:rPr>
          <w:rFonts w:hint="eastAsia" w:ascii="黑体" w:hAnsi="黑体" w:eastAsia="黑体"/>
          <w:sz w:val="28"/>
          <w:szCs w:val="28"/>
        </w:rPr>
        <w:t>一</w:t>
      </w:r>
      <w:r>
        <w:rPr>
          <w:rStyle w:val="000008"/>
          <w:rFonts w:hint="eastAsia" w:ascii="黑体" w:hAnsi="黑体" w:eastAsia="黑体"/>
          <w:sz w:val="28"/>
          <w:szCs w:val="28"/>
        </w:rPr>
        <w:t>般公共预算财政拨款支出决算情况说明</w:t>
      </w:r>
      <w:bookmarkEnd w:id="34"/>
      <w:bookmarkEnd w:id="35"/>
    </w:p>
    <w:bookmarkStart w:id="36" w:name="_Toc15377210"/>
    <w:p>
      <w:pPr>
        <w:adjustRightInd w:val="false"/>
        <w:snapToGrid w:val="false"/>
        <w:spacing w:line="360" w:lineRule="auto"/>
        <w:ind w:firstLine="482" w:firstLineChars="200"/>
        <w:rPr>
          <w:rFonts w:asciiTheme="minorEastAsia" w:hAnsiTheme="minorEastAsia" w:eastAsiaTheme="minorEastAsia"/>
          <w:b/>
          <w:color w:val="000000"/>
          <w:sz w:val="24"/>
        </w:rPr>
      </w:pPr>
      <w:r>
        <w:rPr>
          <w:rFonts w:hint="eastAsia" w:asciiTheme="minorEastAsia" w:hAnsiTheme="minorEastAsia" w:eastAsiaTheme="minorEastAsia"/>
          <w:b/>
          <w:color w:val="000000"/>
          <w:sz w:val="24"/>
        </w:rPr>
        <w:t>（一）一般公共预算财政拨款支出决算总体情况</w:t>
      </w:r>
      <w:bookmarkEnd w:id="36"/>
    </w:p>
    <w:p>
      <w:pPr>
        <w:adjustRightInd w:val="false"/>
        <w:snapToGrid w:val="false"/>
        <w:spacing w:line="360" w:lineRule="auto"/>
        <w:ind w:firstLine="480" w:firstLineChars="200"/>
        <w:rPr>
          <w:rFonts w:asciiTheme="minorEastAsia" w:hAnsiTheme="minorEastAsia" w:eastAsiaTheme="minorEastAsia"/>
          <w:color w:val="000000"/>
          <w:sz w:val="24"/>
        </w:rPr>
      </w:pPr>
      <w:r>
        <w:rPr>
          <w:rFonts w:asciiTheme="minorEastAsia" w:hAnsiTheme="minorEastAsia" w:eastAsiaTheme="minorEastAsia"/>
          <w:color w:val="000000"/>
          <w:sz w:val="24"/>
        </w:rPr>
        <w:t>201</w:t>
      </w:r>
      <w:r>
        <w:rPr>
          <w:rFonts w:hint="eastAsia" w:asciiTheme="minorEastAsia" w:hAnsiTheme="minorEastAsia" w:eastAsiaTheme="minorEastAsia"/>
          <w:color w:val="000000"/>
          <w:sz w:val="24"/>
        </w:rPr>
        <w:t>9年一般公共预算财政拨款支出1266.66万元，占本年支出合计的100</w:t>
      </w:r>
      <w:r>
        <w:rPr>
          <w:rFonts w:asciiTheme="minorEastAsia" w:hAnsiTheme="minorEastAsia" w:eastAsiaTheme="minorEastAsia"/>
          <w:color w:val="000000"/>
          <w:sz w:val="24"/>
        </w:rPr>
        <w:t>%</w:t>
      </w:r>
      <w:r>
        <w:rPr>
          <w:rFonts w:hint="eastAsia" w:asciiTheme="minorEastAsia" w:hAnsiTheme="minorEastAsia" w:eastAsiaTheme="minorEastAsia"/>
          <w:color w:val="000000"/>
          <w:sz w:val="24"/>
        </w:rPr>
        <w:t>。与</w:t>
      </w:r>
      <w:r>
        <w:rPr>
          <w:rFonts w:asciiTheme="minorEastAsia" w:hAnsiTheme="minorEastAsia" w:eastAsiaTheme="minorEastAsia"/>
          <w:color w:val="000000"/>
          <w:sz w:val="24"/>
        </w:rPr>
        <w:t>201</w:t>
      </w:r>
      <w:r>
        <w:rPr>
          <w:rFonts w:hint="eastAsia" w:asciiTheme="minorEastAsia" w:hAnsiTheme="minorEastAsia" w:eastAsiaTheme="minorEastAsia"/>
          <w:color w:val="000000"/>
          <w:sz w:val="24"/>
        </w:rPr>
        <w:t>8年相比，一般公共预算财政拨款增加73.31万元，增长6.14</w:t>
      </w:r>
      <w:r>
        <w:rPr>
          <w:rFonts w:asciiTheme="minorEastAsia" w:hAnsiTheme="minorEastAsia" w:eastAsiaTheme="minorEastAsia"/>
          <w:color w:val="000000"/>
          <w:sz w:val="24"/>
        </w:rPr>
        <w:t>%</w:t>
      </w:r>
      <w:r>
        <w:rPr>
          <w:rFonts w:hint="eastAsia" w:asciiTheme="minorEastAsia" w:hAnsiTheme="minorEastAsia" w:eastAsiaTheme="minorEastAsia"/>
          <w:color w:val="000000"/>
          <w:sz w:val="24"/>
        </w:rPr>
        <w:t>。主要变动原因是正常的薪级晋升及工资标准变动。</w:t>
      </w:r>
    </w:p>
    <w:p>
      <w:pPr>
        <w:adjustRightInd w:val="false"/>
        <w:snapToGrid w:val="false"/>
        <w:spacing w:line="360" w:lineRule="auto"/>
        <w:ind/>
        <w:jc w:val="center"/>
        <w:rPr>
          <w:rFonts w:asciiTheme="minorEastAsia" w:hAnsiTheme="minorEastAsia" w:eastAsiaTheme="minorEastAsia"/>
          <w:color w:val="000000"/>
          <w:sz w:val="24"/>
        </w:rPr>
      </w:pPr>
      <w:r>
        <w:rPr>
          <w:rFonts w:hint="eastAsia" w:asciiTheme="minorEastAsia" w:hAnsiTheme="minorEastAsia" w:eastAsiaTheme="minorEastAsia"/>
          <w:color w:val="000000" w:themeColor="text1"/>
          <w:sz w:val="24"/>
        </w:rPr>
        <w:t>（图5：一般公共预算财政拨款支出决算变动情况）（柱状图）</w:t>
      </w:r>
      <w:bookmarkStart w:id="37" w:name="_Toc15377211"/>
    </w:p>
    <w:p>
      <w:pPr>
        <w:adjustRightInd w:val="false"/>
        <w:snapToGrid w:val="false"/>
        <w:spacing w:line="360" w:lineRule="auto"/>
        <w:ind w:firstLine="482" w:firstLineChars="200"/>
        <w:rPr>
          <w:rFonts w:asciiTheme="minorEastAsia" w:hAnsiTheme="minorEastAsia" w:eastAsiaTheme="minorEastAsia"/>
          <w:b/>
          <w:color w:val="000000"/>
          <w:sz w:val="24"/>
        </w:rPr>
      </w:pPr>
    </w:p>
    <w:p>
      <w:pPr>
        <w:adjustRightInd w:val="false"/>
        <w:snapToGrid w:val="false"/>
        <w:spacing w:line="360" w:lineRule="auto"/>
        <w:ind w:firstLine="482" w:firstLineChars="200"/>
        <w:rPr>
          <w:rFonts w:asciiTheme="minorEastAsia" w:hAnsiTheme="minorEastAsia" w:eastAsiaTheme="minorEastAsia"/>
          <w:b/>
          <w:color w:val="000000"/>
          <w:sz w:val="24"/>
        </w:rPr>
      </w:pPr>
      <w:r>
        <w:rPr>
          <w:rFonts w:hint="eastAsia" w:asciiTheme="minorEastAsia" w:hAnsiTheme="minorEastAsia" w:eastAsiaTheme="minorEastAsia"/>
          <w:b/>
          <w:color w:val="000000"/>
          <w:sz w:val="24"/>
        </w:rPr>
        <w:t>（二）一般公共预算财政拨款支出决算结构情况</w:t>
      </w:r>
      <w:bookmarkEnd w:id="37"/>
    </w:p>
    <w:p>
      <w:pPr>
        <w:adjustRightInd w:val="false"/>
        <w:snapToGrid w:val="false"/>
        <w:spacing w:line="360" w:lineRule="auto"/>
        <w:ind w:firstLine="480" w:firstLineChars="200"/>
        <w:rPr>
          <w:rFonts w:asciiTheme="minorEastAsia" w:hAnsiTheme="minorEastAsia" w:eastAsiaTheme="minorEastAsia"/>
          <w:color w:val="000000" w:themeColor="text1"/>
          <w:sz w:val="24"/>
        </w:rPr>
      </w:pPr>
      <w:r>
        <w:rPr>
          <w:rFonts w:asciiTheme="minorEastAsia" w:hAnsiTheme="minorEastAsia" w:eastAsiaTheme="minorEastAsia"/>
          <w:color w:val="000000"/>
          <w:sz w:val="24"/>
        </w:rPr>
        <w:t>201</w:t>
      </w:r>
      <w:r>
        <w:rPr>
          <w:rFonts w:hint="eastAsia" w:asciiTheme="minorEastAsia" w:hAnsiTheme="minorEastAsia" w:eastAsiaTheme="minorEastAsia"/>
          <w:color w:val="000000"/>
          <w:sz w:val="24"/>
        </w:rPr>
        <w:t>9年一般公共预算财</w:t>
      </w:r>
      <w:r>
        <w:rPr>
          <w:rFonts w:hint="eastAsia" w:asciiTheme="minorEastAsia" w:hAnsiTheme="minorEastAsia" w:eastAsiaTheme="minorEastAsia"/>
          <w:color w:val="000000" w:themeColor="text1"/>
          <w:sz w:val="24"/>
        </w:rPr>
        <w:t>政拨款支出</w:t>
      </w:r>
      <w:r>
        <w:rPr>
          <w:rFonts w:hint="eastAsia" w:asciiTheme="minorEastAsia" w:hAnsiTheme="minorEastAsia" w:eastAsiaTheme="minorEastAsia"/>
          <w:color w:val="000000"/>
          <w:sz w:val="24"/>
        </w:rPr>
        <w:t>1266.66</w:t>
      </w:r>
      <w:r>
        <w:rPr>
          <w:rFonts w:hint="eastAsia" w:asciiTheme="minorEastAsia" w:hAnsiTheme="minorEastAsia" w:eastAsiaTheme="minorEastAsia"/>
          <w:color w:val="000000" w:themeColor="text1"/>
          <w:sz w:val="24"/>
        </w:rPr>
        <w:t>万元，主要用于以下方面</w:t>
      </w:r>
      <w:r>
        <w:rPr>
          <w:rFonts w:asciiTheme="minorEastAsia" w:hAnsiTheme="minorEastAsia" w:eastAsiaTheme="minorEastAsia"/>
          <w:color w:val="000000" w:themeColor="text1"/>
          <w:sz w:val="24"/>
        </w:rPr>
        <w:t>:</w:t>
      </w:r>
      <w:r>
        <w:rPr>
          <w:rFonts w:hint="eastAsia" w:asciiTheme="minorEastAsia" w:hAnsiTheme="minorEastAsia" w:eastAsiaTheme="minorEastAsia"/>
          <w:color w:val="000000" w:themeColor="text1"/>
          <w:sz w:val="24"/>
        </w:rPr>
        <w:t>教育支出（类）925.45万元，占73.06</w:t>
      </w:r>
      <w:r>
        <w:rPr>
          <w:rFonts w:asciiTheme="minorEastAsia" w:hAnsiTheme="minorEastAsia" w:eastAsiaTheme="minorEastAsia"/>
          <w:color w:val="000000" w:themeColor="text1"/>
          <w:sz w:val="24"/>
        </w:rPr>
        <w:t>%</w:t>
      </w:r>
      <w:r>
        <w:rPr>
          <w:rFonts w:hint="eastAsia" w:asciiTheme="minorEastAsia" w:hAnsiTheme="minorEastAsia" w:eastAsiaTheme="minorEastAsia"/>
          <w:color w:val="000000" w:themeColor="text1"/>
          <w:sz w:val="24"/>
        </w:rPr>
        <w:t>；社会保障和就业（类）支出194.01万元，占15.32</w:t>
      </w:r>
      <w:r>
        <w:rPr>
          <w:rFonts w:asciiTheme="minorEastAsia" w:hAnsiTheme="minorEastAsia" w:eastAsiaTheme="minorEastAsia"/>
          <w:color w:val="000000" w:themeColor="text1"/>
          <w:sz w:val="24"/>
        </w:rPr>
        <w:t>%</w:t>
      </w:r>
      <w:r>
        <w:rPr>
          <w:rFonts w:hint="eastAsia" w:asciiTheme="minorEastAsia" w:hAnsiTheme="minorEastAsia" w:eastAsiaTheme="minorEastAsia"/>
          <w:color w:val="000000" w:themeColor="text1"/>
          <w:sz w:val="24"/>
        </w:rPr>
        <w:t>；</w:t>
      </w:r>
      <w:r>
        <w:rPr>
          <w:rFonts w:hint="eastAsia" w:asciiTheme="minorEastAsia" w:hAnsiTheme="minorEastAsia" w:eastAsiaTheme="minorEastAsia"/>
          <w:bCs/>
          <w:color w:val="000000" w:themeColor="text1"/>
          <w:sz w:val="24"/>
        </w:rPr>
        <w:t>卫生健康支出61.14</w:t>
      </w:r>
      <w:r>
        <w:rPr>
          <w:rFonts w:hint="eastAsia" w:asciiTheme="minorEastAsia" w:hAnsiTheme="minorEastAsia" w:eastAsiaTheme="minorEastAsia"/>
          <w:color w:val="000000" w:themeColor="text1"/>
          <w:sz w:val="24"/>
        </w:rPr>
        <w:t>万元，占4.83</w:t>
      </w:r>
      <w:r>
        <w:rPr>
          <w:rFonts w:asciiTheme="minorEastAsia" w:hAnsiTheme="minorEastAsia" w:eastAsiaTheme="minorEastAsia"/>
          <w:color w:val="000000" w:themeColor="text1"/>
          <w:sz w:val="24"/>
        </w:rPr>
        <w:t>%</w:t>
      </w:r>
      <w:r>
        <w:rPr>
          <w:rFonts w:hint="eastAsia" w:asciiTheme="minorEastAsia" w:hAnsiTheme="minorEastAsia" w:eastAsiaTheme="minorEastAsia"/>
          <w:color w:val="000000" w:themeColor="text1"/>
          <w:sz w:val="24"/>
        </w:rPr>
        <w:t>；住房保障支出86.06万元，占6.79</w:t>
      </w:r>
      <w:r>
        <w:rPr>
          <w:rFonts w:asciiTheme="minorEastAsia" w:hAnsiTheme="minorEastAsia" w:eastAsiaTheme="minorEastAsia"/>
          <w:color w:val="000000" w:themeColor="text1"/>
          <w:sz w:val="24"/>
        </w:rPr>
        <w:t>%</w:t>
      </w:r>
      <w:r>
        <w:rPr>
          <w:rFonts w:hint="eastAsia" w:asciiTheme="minorEastAsia" w:hAnsiTheme="minorEastAsia" w:eastAsiaTheme="minorEastAsia"/>
          <w:color w:val="000000" w:themeColor="text1"/>
          <w:sz w:val="24"/>
        </w:rPr>
        <w:t>。</w:t>
      </w:r>
    </w:p>
    <w:p>
      <w:pPr>
        <w:spacing w:line="600" w:lineRule="exact"/>
        <w:ind w:firstLine="640" w:firstLineChars="200"/>
        <w:rPr>
          <w:rFonts w:ascii="仿宋" w:hAnsi="仿宋" w:eastAsia="仿宋"/>
          <w:color w:val="000000"/>
          <w:sz w:val="32"/>
          <w:szCs w:val="32"/>
        </w:rPr>
      </w:pPr>
    </w:p>
    <w:p>
      <w:pPr>
        <w:spacing w:line="600" w:lineRule="exact"/>
        <w:ind w:firstLine="640" w:firstLineChars="200"/>
        <w:rPr>
          <w:rFonts w:ascii="仿宋" w:hAnsi="仿宋" w:eastAsia="仿宋"/>
          <w:color w:val="000000"/>
          <w:sz w:val="32"/>
          <w:szCs w:val="32"/>
        </w:rPr>
      </w:pPr>
    </w:p>
    <w:p>
      <w:pPr>
        <w:spacing w:line="600" w:lineRule="exact"/>
        <w:ind w:firstLine="640" w:firstLineChars="200"/>
        <w:rPr>
          <w:rFonts w:ascii="仿宋" w:hAnsi="仿宋" w:eastAsia="仿宋"/>
          <w:color w:val="000000"/>
          <w:sz w:val="32"/>
          <w:szCs w:val="32"/>
        </w:rPr>
      </w:pPr>
    </w:p>
    <w:p>
      <w:pPr>
        <w:spacing w:line="600" w:lineRule="exact"/>
        <w:ind w:firstLine="640" w:firstLineChars="200"/>
        <w:rPr>
          <w:rFonts w:ascii="仿宋" w:hAnsi="仿宋" w:eastAsia="仿宋"/>
          <w:color w:val="000000"/>
          <w:sz w:val="32"/>
          <w:szCs w:val="32"/>
        </w:rPr>
      </w:pPr>
    </w:p>
    <w:bookmarkStart w:id="38" w:name="_Toc15377212"/>
    <w:p>
      <w:pPr>
        <w:spacing w:line="600" w:lineRule="exact"/>
        <w:ind w:firstLine="640" w:firstLineChars="200"/>
        <w:rPr>
          <w:rFonts w:ascii="仿宋" w:hAnsi="仿宋" w:eastAsia="仿宋"/>
          <w:color w:val="000000"/>
          <w:sz w:val="32"/>
          <w:szCs w:val="32"/>
        </w:rPr>
      </w:pPr>
    </w:p>
    <w:p>
      <w:pPr>
        <w:spacing w:line="600" w:lineRule="exact"/>
        <w:ind w:firstLine="643" w:firstLineChars="200"/>
        <w:outlineLvl w:val="2"/>
        <w:rPr>
          <w:rFonts w:ascii="仿宋" w:hAnsi="仿宋" w:eastAsia="仿宋"/>
          <w:b/>
          <w:color w:val="000000"/>
          <w:sz w:val="32"/>
          <w:szCs w:val="32"/>
        </w:rPr>
      </w:pPr>
    </w:p>
    <w:p>
      <w:pPr>
        <w:spacing w:line="600" w:lineRule="exact"/>
        <w:ind w:firstLine="643" w:firstLineChars="200"/>
        <w:outlineLvl w:val="2"/>
        <w:rPr>
          <w:rFonts w:ascii="仿宋" w:hAnsi="仿宋" w:eastAsia="仿宋"/>
          <w:b/>
          <w:color w:val="000000"/>
          <w:sz w:val="32"/>
          <w:szCs w:val="32"/>
        </w:rPr>
      </w:pPr>
    </w:p>
    <w:p>
      <w:pPr>
        <w:adjustRightInd w:val="false"/>
        <w:snapToGrid w:val="false"/>
        <w:spacing w:line="360" w:lineRule="auto"/>
        <w:ind/>
        <w:jc w:val="center"/>
        <w:rPr>
          <w:rFonts w:asciiTheme="minorEastAsia" w:hAnsiTheme="minorEastAsia" w:eastAsiaTheme="minorEastAsia"/>
          <w:color w:val="000000"/>
          <w:sz w:val="24"/>
        </w:rPr>
      </w:pPr>
      <w:r>
        <w:rPr>
          <w:rFonts w:hint="eastAsia" w:asciiTheme="minorEastAsia" w:hAnsiTheme="minorEastAsia" w:eastAsiaTheme="minorEastAsia"/>
          <w:color w:val="000000"/>
          <w:sz w:val="24"/>
        </w:rPr>
        <w:t>（图6：一般公共预算财政拨款支出决算结构）（饼状图）</w:t>
      </w:r>
    </w:p>
    <w:p>
      <w:pPr>
        <w:adjustRightInd w:val="false"/>
        <w:snapToGrid w:val="false"/>
        <w:spacing w:line="360" w:lineRule="auto"/>
        <w:ind w:firstLine="482" w:firstLineChars="200"/>
        <w:rPr>
          <w:rFonts w:asciiTheme="minorEastAsia" w:hAnsiTheme="minorEastAsia" w:eastAsiaTheme="minorEastAsia"/>
          <w:b/>
          <w:color w:val="000000"/>
          <w:sz w:val="24"/>
        </w:rPr>
      </w:pPr>
      <w:r>
        <w:rPr>
          <w:rFonts w:hint="eastAsia" w:asciiTheme="minorEastAsia" w:hAnsiTheme="minorEastAsia" w:eastAsiaTheme="minorEastAsia"/>
          <w:b/>
          <w:color w:val="000000"/>
          <w:sz w:val="24"/>
        </w:rPr>
        <w:t>（三）一般公共预算财政拨款支出决算具体情况</w:t>
      </w:r>
      <w:bookmarkEnd w:id="38"/>
    </w:p>
    <w:bookmarkStart w:id="39" w:name="_Toc15377444"/>
    <w:bookmarkStart w:id="40" w:name="_Toc15378460"/>
    <w:bookmarkStart w:id="41" w:name="_Toc15377213"/>
    <w:p>
      <w:pPr>
        <w:adjustRightInd w:val="false"/>
        <w:snapToGrid w:val="false"/>
        <w:spacing w:line="360" w:lineRule="auto"/>
        <w:ind w:firstLine="480" w:firstLineChars="200"/>
        <w:rPr>
          <w:rFonts w:asciiTheme="minorEastAsia" w:hAnsiTheme="minorEastAsia" w:eastAsiaTheme="minorEastAsia"/>
          <w:color w:val="FF0000"/>
          <w:sz w:val="24"/>
        </w:rPr>
      </w:pPr>
      <w:r>
        <w:rPr>
          <w:rFonts w:hint="eastAsia" w:asciiTheme="minorEastAsia" w:hAnsiTheme="minorEastAsia" w:eastAsiaTheme="minorEastAsia"/>
          <w:color w:val="000000" w:themeColor="text1"/>
          <w:sz w:val="24"/>
        </w:rPr>
        <w:t>2019年般公共预算支出决算数为1266.66万元</w:t>
      </w:r>
      <w:r>
        <w:rPr>
          <w:rStyle w:val="00001e"/>
          <w:rFonts w:hint="eastAsia" w:asciiTheme="minorEastAsia" w:hAnsiTheme="minorEastAsia" w:eastAsiaTheme="minorEastAsia"/>
          <w:b w:val="false"/>
          <w:bCs/>
          <w:color w:val="000000"/>
          <w:sz w:val="24"/>
        </w:rPr>
        <w:t>。其中：</w:t>
      </w:r>
      <w:bookmarkEnd w:id="39"/>
      <w:bookmarkEnd w:id="40"/>
      <w:bookmarkEnd w:id="41"/>
    </w:p>
    <w:p>
      <w:pPr>
        <w:adjustRightInd w:val="false"/>
        <w:snapToGrid w:val="false"/>
        <w:spacing w:line="360" w:lineRule="auto"/>
        <w:ind w:firstLine="480" w:firstLineChars="200"/>
        <w:rPr>
          <w:rStyle w:val="14"/>
          <w:rFonts w:hint="eastAsia" w:asciiTheme="minorEastAsia" w:hAnsiTheme="minorEastAsia" w:eastAsiaTheme="minorEastAsia"/>
          <w:b w:val="false"/>
          <w:bCs/>
          <w:color w:val="000000"/>
          <w:sz w:val="24"/>
        </w:rPr>
      </w:pPr>
      <w:r>
        <w:rPr>
          <w:rStyle w:val="00001e"/>
          <w:rFonts w:asciiTheme="minorEastAsia" w:hAnsiTheme="minorEastAsia" w:eastAsiaTheme="minorEastAsia"/>
          <w:b w:val="false"/>
          <w:bCs/>
          <w:color w:val="000000"/>
          <w:sz w:val="24"/>
        </w:rPr>
        <w:t>1.</w:t>
      </w:r>
      <w:r>
        <w:rPr>
          <w:rStyle w:val="00001e"/>
          <w:rFonts w:hint="eastAsia" w:asciiTheme="minorEastAsia" w:hAnsiTheme="minorEastAsia" w:eastAsiaTheme="minorEastAsia"/>
          <w:b w:val="false"/>
          <w:bCs/>
          <w:color w:val="000000"/>
          <w:sz w:val="24"/>
        </w:rPr>
        <w:t>教育（205类）-普通教育（02款）-学前教育（01项）支出决算为22.80万元，完成预算100%。</w:t>
      </w:r>
    </w:p>
    <w:p>
      <w:pPr>
        <w:adjustRightInd w:val="false"/>
        <w:snapToGrid w:val="false"/>
        <w:spacing w:line="360" w:lineRule="auto"/>
        <w:ind w:firstLine="480" w:firstLineChars="200"/>
        <w:rPr>
          <w:rFonts w:asciiTheme="minorEastAsia" w:hAnsiTheme="minorEastAsia" w:eastAsiaTheme="minorEastAsia"/>
          <w:bCs/>
          <w:color w:val="000000"/>
          <w:sz w:val="24"/>
        </w:rPr>
      </w:pPr>
      <w:r>
        <w:rPr>
          <w:rStyle w:val="00001e"/>
          <w:rFonts w:hint="eastAsia" w:asciiTheme="minorEastAsia" w:hAnsiTheme="minorEastAsia" w:eastAsiaTheme="minorEastAsia"/>
          <w:b w:val="false"/>
          <w:bCs/>
          <w:color w:val="000000"/>
          <w:sz w:val="24"/>
        </w:rPr>
        <w:t>2.教育（205类）-普通教育（02款）-小学教育（02项）支出决算为902.66万元，完成预算71.88%，决算数小于预算数的主要原因是缩减了日常经费开支（校园环境和校园文化建设预算暂未实施）。</w:t>
      </w:r>
    </w:p>
    <w:p>
      <w:pPr>
        <w:adjustRightInd w:val="false"/>
        <w:snapToGrid w:val="false"/>
        <w:spacing w:line="360" w:lineRule="auto"/>
        <w:ind w:firstLine="480" w:firstLineChars="200"/>
        <w:rPr>
          <w:rStyle w:val="14"/>
          <w:rFonts w:asciiTheme="minorEastAsia" w:hAnsiTheme="minorEastAsia" w:eastAsiaTheme="minorEastAsia"/>
          <w:b w:val="false"/>
          <w:bCs/>
          <w:color w:val="000000"/>
          <w:sz w:val="24"/>
        </w:rPr>
      </w:pPr>
      <w:r>
        <w:rPr>
          <w:rStyle w:val="00001e"/>
          <w:rFonts w:hint="eastAsia" w:asciiTheme="minorEastAsia" w:hAnsiTheme="minorEastAsia" w:eastAsiaTheme="minorEastAsia"/>
          <w:b w:val="false"/>
          <w:bCs/>
          <w:color w:val="000000"/>
          <w:sz w:val="24"/>
        </w:rPr>
        <w:t>3.社会保障和就业（208类）-行政事业单位离退休（05款）-事业单位离退休（02项）支出决算为32.40万元，完成预算100%。</w:t>
      </w:r>
    </w:p>
    <w:p>
      <w:pPr>
        <w:adjustRightInd w:val="false"/>
        <w:snapToGrid w:val="false"/>
        <w:spacing w:line="360" w:lineRule="auto"/>
        <w:ind w:firstLine="480" w:firstLineChars="200"/>
        <w:rPr>
          <w:rStyle w:val="14"/>
          <w:rFonts w:asciiTheme="minorEastAsia" w:hAnsiTheme="minorEastAsia" w:eastAsiaTheme="minorEastAsia"/>
          <w:b w:val="false"/>
          <w:bCs/>
          <w:color w:val="000000"/>
          <w:sz w:val="24"/>
        </w:rPr>
      </w:pPr>
      <w:r>
        <w:rPr>
          <w:rStyle w:val="00001e"/>
          <w:rFonts w:hint="eastAsia" w:asciiTheme="minorEastAsia" w:hAnsiTheme="minorEastAsia" w:eastAsiaTheme="minorEastAsia"/>
          <w:b w:val="false"/>
          <w:bCs/>
          <w:color w:val="000000"/>
          <w:sz w:val="24"/>
        </w:rPr>
        <w:t>4.社会保障和就业（208类）-行政事业单位离退休（05款）-机关事业单位基本养老保险缴费（05项）支出决算为110.56万元，完成预算100%。</w:t>
      </w:r>
    </w:p>
    <w:p>
      <w:pPr>
        <w:adjustRightInd w:val="false"/>
        <w:snapToGrid w:val="false"/>
        <w:spacing w:line="360" w:lineRule="auto"/>
        <w:ind w:firstLine="480" w:firstLineChars="200"/>
        <w:rPr>
          <w:rStyle w:val="14"/>
          <w:rFonts w:asciiTheme="minorEastAsia" w:hAnsiTheme="minorEastAsia" w:eastAsiaTheme="minorEastAsia"/>
          <w:b w:val="false"/>
          <w:bCs/>
          <w:color w:val="000000"/>
          <w:sz w:val="24"/>
        </w:rPr>
      </w:pPr>
      <w:r>
        <w:rPr>
          <w:rStyle w:val="00001e"/>
          <w:rFonts w:hint="eastAsia" w:asciiTheme="minorEastAsia" w:hAnsiTheme="minorEastAsia" w:eastAsiaTheme="minorEastAsia"/>
          <w:b w:val="false"/>
          <w:bCs/>
          <w:color w:val="000000"/>
          <w:sz w:val="24"/>
        </w:rPr>
        <w:t>5.社会保障和就业（208类）-行政事业单位离退休（05款）-机关事业单位职业年金缴费（06项）支出决算为51.05万元，完成预算100%。</w:t>
      </w:r>
    </w:p>
    <w:p>
      <w:pPr>
        <w:adjustRightInd w:val="false"/>
        <w:snapToGrid w:val="false"/>
        <w:spacing w:line="360" w:lineRule="auto"/>
        <w:ind w:firstLine="480" w:firstLineChars="200"/>
        <w:rPr>
          <w:rFonts w:asciiTheme="minorEastAsia" w:hAnsiTheme="minorEastAsia" w:eastAsiaTheme="minorEastAsia"/>
          <w:color w:val="000000"/>
          <w:sz w:val="24"/>
        </w:rPr>
      </w:pPr>
      <w:r>
        <w:rPr>
          <w:rStyle w:val="00001e"/>
          <w:rFonts w:hint="eastAsia" w:asciiTheme="minorEastAsia" w:hAnsiTheme="minorEastAsia" w:eastAsiaTheme="minorEastAsia"/>
          <w:b w:val="false"/>
          <w:bCs/>
          <w:sz w:val="24"/>
        </w:rPr>
        <w:t>6</w:t>
      </w:r>
      <w:r>
        <w:rPr>
          <w:rStyle w:val="00001e"/>
          <w:rFonts w:asciiTheme="minorEastAsia" w:hAnsiTheme="minorEastAsia" w:eastAsiaTheme="minorEastAsia"/>
          <w:b w:val="false"/>
          <w:bCs/>
          <w:color w:val="000000"/>
          <w:sz w:val="24"/>
        </w:rPr>
        <w:t>.</w:t>
      </w:r>
      <w:r>
        <w:rPr>
          <w:rFonts w:hint="eastAsia" w:asciiTheme="minorEastAsia" w:hAnsiTheme="minorEastAsia" w:eastAsiaTheme="minorEastAsia"/>
          <w:bCs/>
          <w:color w:val="000000" w:themeColor="text1"/>
          <w:sz w:val="24"/>
        </w:rPr>
        <w:t>卫生健康</w:t>
      </w:r>
      <w:r>
        <w:rPr>
          <w:rStyle w:val="00001e"/>
          <w:rFonts w:hint="eastAsia" w:asciiTheme="minorEastAsia" w:hAnsiTheme="minorEastAsia" w:eastAsiaTheme="minorEastAsia"/>
          <w:b w:val="false"/>
          <w:bCs/>
          <w:color w:val="000000"/>
          <w:sz w:val="24"/>
        </w:rPr>
        <w:t>（210类）-行政事业单位医疗（11款）-事业单位医疗（02项）支出决算为39.35万元，完成预算100</w:t>
      </w:r>
      <w:r>
        <w:rPr>
          <w:rStyle w:val="00001e"/>
          <w:rFonts w:asciiTheme="minorEastAsia" w:hAnsiTheme="minorEastAsia" w:eastAsiaTheme="minorEastAsia"/>
          <w:b w:val="false"/>
          <w:bCs/>
          <w:color w:val="000000"/>
          <w:sz w:val="24"/>
        </w:rPr>
        <w:t>%</w:t>
      </w:r>
      <w:r>
        <w:rPr>
          <w:rStyle w:val="00001e"/>
          <w:rFonts w:hint="eastAsia" w:asciiTheme="minorEastAsia" w:hAnsiTheme="minorEastAsia" w:eastAsiaTheme="minorEastAsia"/>
          <w:b w:val="false"/>
          <w:bCs/>
          <w:color w:val="000000"/>
          <w:sz w:val="24"/>
        </w:rPr>
        <w:t>。</w:t>
      </w:r>
    </w:p>
    <w:p>
      <w:pPr>
        <w:adjustRightInd w:val="false"/>
        <w:snapToGrid w:val="false"/>
        <w:spacing w:line="360" w:lineRule="auto"/>
        <w:ind w:firstLine="480" w:firstLineChars="200"/>
        <w:rPr>
          <w:rStyle w:val="14"/>
          <w:rFonts w:hint="eastAsia" w:asciiTheme="minorEastAsia" w:hAnsiTheme="minorEastAsia" w:eastAsiaTheme="minorEastAsia"/>
          <w:b w:val="false"/>
          <w:bCs/>
          <w:color w:val="000000"/>
          <w:sz w:val="24"/>
        </w:rPr>
      </w:pPr>
      <w:r>
        <w:rPr>
          <w:rStyle w:val="00001e"/>
          <w:rFonts w:hint="eastAsia" w:asciiTheme="minorEastAsia" w:hAnsiTheme="minorEastAsia" w:eastAsiaTheme="minorEastAsia"/>
          <w:b w:val="false"/>
          <w:bCs/>
          <w:sz w:val="24"/>
        </w:rPr>
        <w:t>7</w:t>
      </w:r>
      <w:r>
        <w:rPr>
          <w:rStyle w:val="00001e"/>
          <w:rFonts w:asciiTheme="minorEastAsia" w:hAnsiTheme="minorEastAsia" w:eastAsiaTheme="minorEastAsia"/>
          <w:b w:val="false"/>
          <w:bCs/>
          <w:color w:val="000000"/>
          <w:sz w:val="24"/>
        </w:rPr>
        <w:t>.</w:t>
      </w:r>
      <w:r>
        <w:rPr>
          <w:rFonts w:hint="eastAsia" w:asciiTheme="minorEastAsia" w:hAnsiTheme="minorEastAsia" w:eastAsiaTheme="minorEastAsia"/>
          <w:bCs/>
          <w:color w:val="000000" w:themeColor="text1"/>
          <w:sz w:val="24"/>
        </w:rPr>
        <w:t>卫生健康</w:t>
      </w:r>
      <w:r>
        <w:rPr>
          <w:rStyle w:val="00001e"/>
          <w:rFonts w:hint="eastAsia" w:asciiTheme="minorEastAsia" w:hAnsiTheme="minorEastAsia" w:eastAsiaTheme="minorEastAsia"/>
          <w:b w:val="false"/>
          <w:bCs/>
          <w:color w:val="000000"/>
          <w:sz w:val="24"/>
        </w:rPr>
        <w:t>（210类）-行政事业单位医疗（11款）-公务员医疗补助（03项）支出决算为18.6万元，完成预算100</w:t>
      </w:r>
      <w:r>
        <w:rPr>
          <w:rStyle w:val="00001e"/>
          <w:rFonts w:asciiTheme="minorEastAsia" w:hAnsiTheme="minorEastAsia" w:eastAsiaTheme="minorEastAsia"/>
          <w:b w:val="false"/>
          <w:bCs/>
          <w:color w:val="000000"/>
          <w:sz w:val="24"/>
        </w:rPr>
        <w:t>%</w:t>
      </w:r>
      <w:r>
        <w:rPr>
          <w:rStyle w:val="00001e"/>
          <w:rFonts w:hint="eastAsia" w:asciiTheme="minorEastAsia" w:hAnsiTheme="minorEastAsia" w:eastAsiaTheme="minorEastAsia"/>
          <w:b w:val="false"/>
          <w:bCs/>
          <w:color w:val="000000"/>
          <w:sz w:val="24"/>
        </w:rPr>
        <w:t>。</w:t>
      </w:r>
    </w:p>
    <w:p>
      <w:pPr>
        <w:adjustRightInd w:val="false"/>
        <w:snapToGrid w:val="false"/>
        <w:spacing w:line="360" w:lineRule="auto"/>
        <w:ind w:firstLine="480" w:firstLineChars="200"/>
        <w:rPr>
          <w:rFonts w:asciiTheme="minorEastAsia" w:hAnsiTheme="minorEastAsia" w:eastAsiaTheme="minorEastAsia"/>
          <w:color w:val="000000"/>
          <w:sz w:val="24"/>
        </w:rPr>
      </w:pPr>
      <w:r>
        <w:rPr>
          <w:rStyle w:val="00001e"/>
          <w:rFonts w:hint="eastAsia" w:asciiTheme="minorEastAsia" w:hAnsiTheme="minorEastAsia" w:eastAsiaTheme="minorEastAsia"/>
          <w:b w:val="false"/>
          <w:bCs/>
          <w:sz w:val="24"/>
        </w:rPr>
        <w:t>8</w:t>
      </w:r>
      <w:r>
        <w:rPr>
          <w:rStyle w:val="00001e"/>
          <w:rFonts w:asciiTheme="minorEastAsia" w:hAnsiTheme="minorEastAsia" w:eastAsiaTheme="minorEastAsia"/>
          <w:b w:val="false"/>
          <w:bCs/>
          <w:color w:val="000000"/>
          <w:sz w:val="24"/>
        </w:rPr>
        <w:t>.</w:t>
      </w:r>
      <w:r>
        <w:rPr>
          <w:rFonts w:hint="eastAsia" w:asciiTheme="minorEastAsia" w:hAnsiTheme="minorEastAsia" w:eastAsiaTheme="minorEastAsia"/>
          <w:bCs/>
          <w:color w:val="000000" w:themeColor="text1"/>
          <w:sz w:val="24"/>
        </w:rPr>
        <w:t>卫生健康</w:t>
      </w:r>
      <w:r>
        <w:rPr>
          <w:rStyle w:val="00001e"/>
          <w:rFonts w:hint="eastAsia" w:asciiTheme="minorEastAsia" w:hAnsiTheme="minorEastAsia" w:eastAsiaTheme="minorEastAsia"/>
          <w:b w:val="false"/>
          <w:bCs/>
          <w:color w:val="000000"/>
          <w:sz w:val="24"/>
        </w:rPr>
        <w:t>（210类）-其他卫生健康（99款）-其他卫生健康（01项）支出决算为3.19万元，完成预算100</w:t>
      </w:r>
      <w:r>
        <w:rPr>
          <w:rStyle w:val="00001e"/>
          <w:rFonts w:asciiTheme="minorEastAsia" w:hAnsiTheme="minorEastAsia" w:eastAsiaTheme="minorEastAsia"/>
          <w:b w:val="false"/>
          <w:bCs/>
          <w:color w:val="000000"/>
          <w:sz w:val="24"/>
        </w:rPr>
        <w:t>%</w:t>
      </w:r>
      <w:r>
        <w:rPr>
          <w:rStyle w:val="00001e"/>
          <w:rFonts w:hint="eastAsia" w:asciiTheme="minorEastAsia" w:hAnsiTheme="minorEastAsia" w:eastAsiaTheme="minorEastAsia"/>
          <w:b w:val="false"/>
          <w:bCs/>
          <w:color w:val="000000"/>
          <w:sz w:val="24"/>
        </w:rPr>
        <w:t>。</w:t>
      </w:r>
    </w:p>
    <w:p>
      <w:pPr>
        <w:adjustRightInd w:val="false"/>
        <w:snapToGrid w:val="false"/>
        <w:spacing w:line="360" w:lineRule="auto"/>
        <w:ind w:firstLine="480" w:firstLineChars="200"/>
        <w:rPr>
          <w:rStyle w:val="14"/>
          <w:rFonts w:hint="eastAsia" w:asciiTheme="minorEastAsia" w:hAnsiTheme="minorEastAsia" w:eastAsiaTheme="minorEastAsia"/>
          <w:b w:val="false"/>
          <w:bCs/>
          <w:color w:val="000000"/>
          <w:sz w:val="24"/>
        </w:rPr>
      </w:pPr>
      <w:r>
        <w:rPr>
          <w:rStyle w:val="00001e"/>
          <w:rFonts w:hint="eastAsia" w:asciiTheme="minorEastAsia" w:hAnsiTheme="minorEastAsia" w:eastAsiaTheme="minorEastAsia"/>
          <w:b w:val="false"/>
          <w:bCs/>
          <w:color w:val="000000"/>
          <w:sz w:val="24"/>
        </w:rPr>
        <w:t>9</w:t>
      </w:r>
      <w:r>
        <w:rPr>
          <w:rStyle w:val="00001e"/>
          <w:rFonts w:asciiTheme="minorEastAsia" w:hAnsiTheme="minorEastAsia" w:eastAsiaTheme="minorEastAsia"/>
          <w:b w:val="false"/>
          <w:bCs/>
          <w:color w:val="000000"/>
          <w:sz w:val="24"/>
        </w:rPr>
        <w:t>.</w:t>
      </w:r>
      <w:r>
        <w:rPr>
          <w:rFonts w:hint="eastAsia" w:asciiTheme="minorEastAsia" w:hAnsiTheme="minorEastAsia" w:eastAsiaTheme="minorEastAsia"/>
          <w:bCs/>
          <w:color w:val="000000" w:themeColor="text1"/>
          <w:sz w:val="24"/>
        </w:rPr>
        <w:t>住房保障支出</w:t>
      </w:r>
      <w:r>
        <w:rPr>
          <w:rStyle w:val="00001e"/>
          <w:rFonts w:hint="eastAsia" w:asciiTheme="minorEastAsia" w:hAnsiTheme="minorEastAsia" w:eastAsiaTheme="minorEastAsia"/>
          <w:b w:val="false"/>
          <w:bCs/>
          <w:color w:val="000000"/>
          <w:sz w:val="24"/>
        </w:rPr>
        <w:t>（221类）-住房改革支出（02款）-住房公积金（01项）支出决算为86.06万元，完成预算100</w:t>
      </w:r>
      <w:r>
        <w:rPr>
          <w:rStyle w:val="00001e"/>
          <w:rFonts w:asciiTheme="minorEastAsia" w:hAnsiTheme="minorEastAsia" w:eastAsiaTheme="minorEastAsia"/>
          <w:b w:val="false"/>
          <w:bCs/>
          <w:color w:val="000000"/>
          <w:sz w:val="24"/>
        </w:rPr>
        <w:t>%</w:t>
      </w:r>
      <w:r>
        <w:rPr>
          <w:rStyle w:val="00001e"/>
          <w:rFonts w:hint="eastAsia" w:asciiTheme="minorEastAsia" w:hAnsiTheme="minorEastAsia" w:eastAsiaTheme="minorEastAsia"/>
          <w:b w:val="false"/>
          <w:bCs/>
          <w:color w:val="000000"/>
          <w:sz w:val="24"/>
        </w:rPr>
        <w:t>。</w:t>
      </w:r>
    </w:p>
    <w:bookmarkStart w:id="42" w:name="_Toc15377214"/>
    <w:bookmarkStart w:id="43" w:name="_Toc15396608"/>
    <w:p>
      <w:pPr>
        <w:adjustRightInd w:val="false"/>
        <w:snapToGrid w:val="false"/>
        <w:spacing w:line="360" w:lineRule="auto"/>
        <w:ind w:firstLine="480" w:firstLineChars="200"/>
        <w:rPr>
          <w:rStyle w:val="14"/>
          <w:rFonts w:asciiTheme="minorEastAsia" w:hAnsiTheme="minorEastAsia" w:eastAsiaTheme="minorEastAsia"/>
          <w:b w:val="false"/>
          <w:bCs/>
          <w:color w:val="000000"/>
          <w:sz w:val="24"/>
        </w:rPr>
      </w:pPr>
    </w:p>
    <w:p>
      <w:pPr>
        <w:tabs>
          <w:tab w:val="right" w:pos="8306"/>
        </w:tabs>
        <w:adjustRightInd w:val="false"/>
        <w:snapToGrid w:val="false"/>
        <w:spacing w:line="360" w:lineRule="auto"/>
        <w:ind w:firstLine="562" w:firstLineChars="200"/>
        <w:rPr>
          <w:rStyle w:val="25"/>
          <w:b w:val="false"/>
          <w:sz w:val="28"/>
          <w:szCs w:val="28"/>
        </w:rPr>
      </w:pPr>
      <w:r>
        <w:rPr>
          <w:rFonts w:hint="eastAsia" w:ascii="黑体" w:eastAsia="黑体"/>
          <w:b/>
          <w:color w:val="000000"/>
          <w:sz w:val="28"/>
          <w:szCs w:val="28"/>
        </w:rPr>
        <w:t>六、</w:t>
      </w:r>
      <w:r>
        <w:rPr>
          <w:rFonts w:hint="eastAsia" w:ascii="黑体" w:hAnsi="黑体" w:eastAsia="黑体"/>
          <w:color w:val="000000"/>
          <w:sz w:val="28"/>
          <w:szCs w:val="28"/>
        </w:rPr>
        <w:t>一</w:t>
      </w:r>
      <w:r>
        <w:rPr>
          <w:rStyle w:val="000008"/>
          <w:rFonts w:hint="eastAsia" w:ascii="黑体" w:hAnsi="黑体" w:eastAsia="黑体"/>
          <w:sz w:val="28"/>
          <w:szCs w:val="28"/>
        </w:rPr>
        <w:t>般公共预算财政拨款基本支出决算情况说明</w:t>
      </w:r>
      <w:bookmarkEnd w:id="42"/>
      <w:bookmarkEnd w:id="43"/>
      <w:r>
        <w:rPr>
          <w:rStyle w:val="000008"/>
          <w:rFonts w:ascii="黑体" w:hAnsi="黑体" w:eastAsia="黑体"/>
          <w:b w:val="false"/>
          <w:sz w:val="28"/>
          <w:szCs w:val="28"/>
        </w:rPr>
        <w:tab/>
      </w:r>
    </w:p>
    <w:p>
      <w:pPr>
        <w:adjustRightInd w:val="false"/>
        <w:snapToGrid w:val="false"/>
        <w:spacing w:line="360" w:lineRule="auto"/>
        <w:ind w:firstLine="480" w:firstLineChars="200"/>
        <w:rPr>
          <w:rFonts w:asciiTheme="minorEastAsia" w:hAnsiTheme="minorEastAsia" w:eastAsiaTheme="minorEastAsia"/>
          <w:color w:val="000000"/>
          <w:sz w:val="24"/>
        </w:rPr>
      </w:pPr>
      <w:r>
        <w:rPr>
          <w:rFonts w:asciiTheme="minorEastAsia" w:hAnsiTheme="minorEastAsia" w:eastAsiaTheme="minorEastAsia"/>
          <w:color w:val="000000"/>
          <w:sz w:val="24"/>
        </w:rPr>
        <w:t>201</w:t>
      </w:r>
      <w:r>
        <w:rPr>
          <w:rFonts w:hint="eastAsia" w:asciiTheme="minorEastAsia" w:hAnsiTheme="minorEastAsia" w:eastAsiaTheme="minorEastAsia"/>
          <w:color w:val="000000"/>
          <w:sz w:val="24"/>
        </w:rPr>
        <w:t>9年一般公共预算财政拨款基本支出1266.66万元，其中：</w:t>
      </w:r>
    </w:p>
    <w:p>
      <w:pPr>
        <w:adjustRightInd w:val="false"/>
        <w:snapToGrid w:val="false"/>
        <w:spacing w:line="360" w:lineRule="auto"/>
        <w:ind w:firstLine="480" w:firstLineChars="200"/>
        <w:rPr>
          <w:rFonts w:asciiTheme="minorEastAsia" w:hAnsiTheme="minorEastAsia" w:eastAsiaTheme="minorEastAsia"/>
          <w:color w:val="000000"/>
          <w:sz w:val="24"/>
        </w:rPr>
      </w:pPr>
      <w:r>
        <w:rPr>
          <w:rFonts w:hint="eastAsia" w:asciiTheme="minorEastAsia" w:hAnsiTheme="minorEastAsia" w:eastAsiaTheme="minorEastAsia"/>
          <w:color w:val="000000"/>
          <w:sz w:val="24"/>
        </w:rPr>
        <w:t>1.人员经费支出1033.15万元，主要包括：基本工资、津贴补贴、绩效工资、机关事业单位基本养老保险缴费、职业年金缴费、职工基本医疗保险缴费、公务员医疗补助缴费、其他社会保障缴费、住房公积金、其他工资福利支出、退休费、生活补助、医疗费补助、奖励金。</w:t>
      </w:r>
      <w:r>
        <w:rPr>
          <w:rFonts w:asciiTheme="minorEastAsia" w:hAnsiTheme="minorEastAsia" w:eastAsiaTheme="minorEastAsia"/>
          <w:color w:val="000000"/>
          <w:sz w:val="24"/>
        </w:rPr>
        <w:br w:type="textWrapping"/>
      </w:r>
      <w:r>
        <w:rPr>
          <w:rFonts w:hint="eastAsia" w:asciiTheme="minorEastAsia" w:hAnsiTheme="minorEastAsia" w:eastAsiaTheme="minorEastAsia"/>
          <w:color w:val="000000"/>
          <w:sz w:val="24"/>
        </w:rPr>
        <w:t>　　2.日常公用经费233.51万元，主要包括：办公费、手续费、水费、电费、邮电费、物业管理费、差旅费、维修（护）费、租赁费、培训费、专用材料费、劳务费、工会经费、福利费、其他交通费、其他商品和服务支出和专用设备购置。</w:t>
      </w:r>
    </w:p>
    <w:bookmarkStart w:id="44" w:name="_Toc15377215"/>
    <w:bookmarkStart w:id="45" w:name="_Toc15396609"/>
    <w:p>
      <w:pPr>
        <w:adjustRightInd w:val="false"/>
        <w:snapToGrid w:val="false"/>
        <w:spacing w:line="360" w:lineRule="auto"/>
        <w:ind w:firstLine="560" w:firstLineChars="200"/>
        <w:rPr>
          <w:rFonts w:hint="eastAsia" w:ascii="黑体" w:eastAsia="黑体"/>
          <w:color w:val="000000"/>
          <w:sz w:val="28"/>
          <w:szCs w:val="28"/>
        </w:rPr>
      </w:pPr>
    </w:p>
    <w:p>
      <w:pPr>
        <w:adjustRightInd w:val="false"/>
        <w:snapToGrid w:val="false"/>
        <w:spacing w:line="360" w:lineRule="auto"/>
        <w:ind w:firstLine="562" w:firstLineChars="200"/>
        <w:rPr>
          <w:rStyle w:val="25"/>
          <w:rFonts w:ascii="黑体" w:hAnsi="黑体" w:eastAsia="黑体"/>
          <w:b w:val="false"/>
          <w:sz w:val="28"/>
          <w:szCs w:val="28"/>
        </w:rPr>
      </w:pPr>
      <w:r>
        <w:rPr>
          <w:rFonts w:hint="eastAsia" w:ascii="黑体" w:eastAsia="黑体"/>
          <w:b/>
          <w:color w:val="000000"/>
          <w:sz w:val="28"/>
          <w:szCs w:val="28"/>
        </w:rPr>
        <w:t>七、</w:t>
      </w:r>
      <w:r>
        <w:rPr>
          <w:rStyle w:val="000008"/>
          <w:rFonts w:hint="eastAsia" w:ascii="黑体" w:hAnsi="黑体" w:eastAsia="黑体"/>
          <w:sz w:val="28"/>
          <w:szCs w:val="28"/>
        </w:rPr>
        <w:t>“三公”经费财政拨款支出决算情况说明</w:t>
      </w:r>
      <w:bookmarkEnd w:id="44"/>
      <w:bookmarkEnd w:id="45"/>
    </w:p>
    <w:p>
      <w:pPr>
        <w:adjustRightInd w:val="false"/>
        <w:snapToGrid w:val="false"/>
        <w:spacing w:line="360" w:lineRule="auto"/>
        <w:ind w:firstLine="600" w:firstLineChars="250"/>
        <w:rPr>
          <w:rFonts w:asciiTheme="minorEastAsia" w:hAnsiTheme="minorEastAsia" w:eastAsiaTheme="minorEastAsia"/>
          <w:color w:val="000000"/>
          <w:sz w:val="24"/>
        </w:rPr>
      </w:pPr>
      <w:r>
        <w:rPr>
          <w:rFonts w:asciiTheme="minorEastAsia" w:hAnsiTheme="minorEastAsia" w:eastAsiaTheme="minorEastAsia"/>
          <w:color w:val="000000"/>
          <w:sz w:val="24"/>
        </w:rPr>
        <w:t>201</w:t>
      </w:r>
      <w:r>
        <w:rPr>
          <w:rFonts w:hint="eastAsia" w:asciiTheme="minorEastAsia" w:hAnsiTheme="minorEastAsia" w:eastAsiaTheme="minorEastAsia"/>
          <w:color w:val="000000"/>
          <w:sz w:val="24"/>
        </w:rPr>
        <w:t>9年“三公”经费财政拨款支出决算为0万元。</w:t>
      </w:r>
    </w:p>
    <w:bookmarkStart w:id="46" w:name="_Toc15396610"/>
    <w:bookmarkStart w:id="47" w:name="_Toc15377218"/>
    <w:p>
      <w:pPr>
        <w:adjustRightInd w:val="false"/>
        <w:snapToGrid w:val="false"/>
        <w:spacing w:line="360" w:lineRule="auto"/>
        <w:ind w:firstLine="560" w:firstLineChars="200"/>
        <w:rPr>
          <w:rFonts w:hint="eastAsia" w:ascii="黑体" w:eastAsia="黑体"/>
          <w:color w:val="000000"/>
          <w:sz w:val="28"/>
          <w:szCs w:val="28"/>
        </w:rPr>
      </w:pPr>
    </w:p>
    <w:p>
      <w:pPr>
        <w:adjustRightInd w:val="false"/>
        <w:snapToGrid w:val="false"/>
        <w:spacing w:line="360" w:lineRule="auto"/>
        <w:ind w:firstLine="562" w:firstLineChars="200"/>
        <w:rPr>
          <w:rStyle w:val="25"/>
          <w:rFonts w:ascii="黑体" w:hAnsi="黑体" w:eastAsia="黑体"/>
          <w:b w:val="false"/>
        </w:rPr>
      </w:pPr>
      <w:r>
        <w:rPr>
          <w:rFonts w:hint="eastAsia" w:ascii="黑体" w:eastAsia="黑体"/>
          <w:b/>
          <w:color w:val="000000"/>
          <w:sz w:val="28"/>
          <w:szCs w:val="28"/>
        </w:rPr>
        <w:t>八、</w:t>
      </w:r>
      <w:r>
        <w:rPr>
          <w:rStyle w:val="000008"/>
          <w:rFonts w:hint="eastAsia" w:ascii="黑体" w:hAnsi="黑体" w:eastAsia="黑体"/>
          <w:sz w:val="28"/>
          <w:szCs w:val="28"/>
        </w:rPr>
        <w:t>政府性基金预算支出决算情况说明</w:t>
      </w:r>
      <w:bookmarkEnd w:id="46"/>
      <w:bookmarkEnd w:id="47"/>
    </w:p>
    <w:p>
      <w:pPr>
        <w:adjustRightInd w:val="false"/>
        <w:snapToGrid w:val="false"/>
        <w:spacing w:line="360" w:lineRule="auto"/>
        <w:ind w:firstLine="600" w:firstLineChars="250"/>
        <w:rPr>
          <w:rFonts w:asciiTheme="minorEastAsia" w:hAnsiTheme="minorEastAsia" w:eastAsiaTheme="minorEastAsia"/>
          <w:color w:val="000000"/>
          <w:sz w:val="24"/>
        </w:rPr>
      </w:pPr>
      <w:r>
        <w:rPr>
          <w:rFonts w:asciiTheme="minorEastAsia" w:hAnsiTheme="minorEastAsia" w:eastAsiaTheme="minorEastAsia"/>
          <w:color w:val="000000"/>
          <w:sz w:val="24"/>
        </w:rPr>
        <w:t>201</w:t>
      </w:r>
      <w:r>
        <w:rPr>
          <w:rFonts w:hint="eastAsia" w:asciiTheme="minorEastAsia" w:hAnsiTheme="minorEastAsia" w:eastAsiaTheme="minorEastAsia"/>
          <w:color w:val="000000"/>
          <w:sz w:val="24"/>
        </w:rPr>
        <w:t>9年政府性基金预算拨款支出0万元。</w:t>
      </w:r>
    </w:p>
    <w:bookmarkStart w:id="48" w:name="_Toc15377219"/>
    <w:bookmarkStart w:id="49" w:name="_Toc15396611"/>
    <w:p>
      <w:pPr>
        <w:adjustRightInd w:val="false"/>
        <w:snapToGrid w:val="false"/>
        <w:spacing w:line="360" w:lineRule="auto"/>
        <w:ind w:firstLine="560" w:firstLineChars="200"/>
        <w:rPr>
          <w:rStyle w:val="25"/>
          <w:rFonts w:hint="eastAsia" w:ascii="黑体" w:hAnsi="黑体" w:eastAsia="黑体"/>
          <w:b w:val="false"/>
          <w:sz w:val="28"/>
          <w:szCs w:val="28"/>
        </w:rPr>
      </w:pPr>
    </w:p>
    <w:p>
      <w:pPr>
        <w:adjustRightInd w:val="false"/>
        <w:snapToGrid w:val="false"/>
        <w:spacing w:line="360" w:lineRule="auto"/>
        <w:ind w:firstLine="562" w:firstLineChars="200"/>
        <w:rPr>
          <w:rStyle w:val="25"/>
          <w:rFonts w:hint="eastAsia" w:ascii="仿宋_GB2312" w:hAnsi="Times New Roman" w:eastAsia="仿宋_GB2312" w:cs="Times New Roman"/>
          <w:bCs w:val="false"/>
          <w:color w:val="000000"/>
          <w:sz w:val="28"/>
          <w:szCs w:val="28"/>
        </w:rPr>
      </w:pPr>
      <w:r>
        <w:rPr>
          <w:rStyle w:val="000008"/>
          <w:rFonts w:hint="eastAsia" w:ascii="黑体" w:hAnsi="黑体" w:eastAsia="黑体"/>
          <w:sz w:val="28"/>
          <w:szCs w:val="28"/>
        </w:rPr>
        <w:t>九、国有资本经营预算支出决算情况说明</w:t>
      </w:r>
      <w:bookmarkEnd w:id="48"/>
      <w:bookmarkEnd w:id="49"/>
    </w:p>
    <w:p>
      <w:pPr>
        <w:adjustRightInd w:val="false"/>
        <w:snapToGrid w:val="false"/>
        <w:spacing w:line="360" w:lineRule="auto"/>
        <w:ind w:firstLine="600" w:firstLineChars="250"/>
        <w:rPr>
          <w:rFonts w:asciiTheme="minorEastAsia" w:hAnsiTheme="minorEastAsia" w:eastAsiaTheme="minorEastAsia"/>
          <w:color w:val="000000"/>
          <w:sz w:val="24"/>
        </w:rPr>
      </w:pPr>
      <w:r>
        <w:rPr>
          <w:rFonts w:asciiTheme="minorEastAsia" w:hAnsiTheme="minorEastAsia" w:eastAsiaTheme="minorEastAsia"/>
          <w:color w:val="000000"/>
          <w:sz w:val="24"/>
        </w:rPr>
        <w:t>201</w:t>
      </w:r>
      <w:r>
        <w:rPr>
          <w:rFonts w:hint="eastAsia" w:asciiTheme="minorEastAsia" w:hAnsiTheme="minorEastAsia" w:eastAsiaTheme="minorEastAsia"/>
          <w:color w:val="000000"/>
          <w:sz w:val="24"/>
        </w:rPr>
        <w:t>9年国有资本经营预算拨款支出0万元。</w:t>
      </w:r>
    </w:p>
    <w:bookmarkStart w:id="50" w:name="_Toc15396612"/>
    <w:bookmarkStart w:id="51" w:name="_Toc15377221"/>
    <w:p>
      <w:pPr>
        <w:spacing w:line="580" w:lineRule="exact"/>
        <w:ind/>
        <w:jc w:val="center"/>
        <w:rPr>
          <w:rFonts w:ascii="方正小标宋简体" w:hAnsi="方正小标宋简体" w:eastAsia="方正小标宋简体" w:cs="方正小标宋简体"/>
          <w:sz w:val="44"/>
          <w:szCs w:val="44"/>
        </w:rPr>
      </w:pPr>
    </w:p>
    <w:p>
      <w:pPr>
        <w:adjustRightInd w:val="false"/>
        <w:snapToGrid w:val="false"/>
        <w:spacing w:line="360" w:lineRule="auto"/>
        <w:ind w:firstLine="562" w:firstLineChars="200"/>
        <w:rPr>
          <w:rStyle w:val="25"/>
          <w:rFonts w:ascii="黑体" w:hAnsi="黑体" w:eastAsia="黑体"/>
          <w:b w:val="false"/>
          <w:sz w:val="28"/>
          <w:szCs w:val="28"/>
        </w:rPr>
      </w:pPr>
      <w:r>
        <w:rPr>
          <w:rFonts w:hint="eastAsia" w:ascii="黑体" w:hAnsi="黑体" w:eastAsia="黑体"/>
          <w:b/>
          <w:color w:val="000000"/>
          <w:sz w:val="28"/>
          <w:szCs w:val="28"/>
        </w:rPr>
        <w:t>十</w:t>
      </w:r>
      <w:r>
        <w:rPr>
          <w:rStyle w:val="000008"/>
          <w:rFonts w:hint="eastAsia" w:ascii="黑体" w:hAnsi="黑体" w:eastAsia="黑体"/>
          <w:b w:val="false"/>
          <w:sz w:val="28"/>
          <w:szCs w:val="28"/>
        </w:rPr>
        <w:t>、</w:t>
      </w:r>
      <w:r>
        <w:rPr>
          <w:rStyle w:val="000008"/>
          <w:rFonts w:hint="eastAsia" w:ascii="黑体" w:hAnsi="黑体" w:eastAsia="黑体"/>
          <w:sz w:val="28"/>
          <w:szCs w:val="28"/>
        </w:rPr>
        <w:t>其他重要事项的情况说明</w:t>
      </w:r>
      <w:bookmarkEnd w:id="50"/>
      <w:bookmarkEnd w:id="51"/>
    </w:p>
    <w:bookmarkStart w:id="52" w:name="_Toc15377222"/>
    <w:p>
      <w:pPr>
        <w:adjustRightInd w:val="false"/>
        <w:snapToGrid w:val="false"/>
        <w:spacing w:line="360" w:lineRule="auto"/>
        <w:ind w:firstLine="482" w:firstLineChars="200"/>
        <w:rPr>
          <w:rFonts w:asciiTheme="minorEastAsia" w:hAnsiTheme="minorEastAsia" w:eastAsiaTheme="minorEastAsia"/>
          <w:color w:val="000000"/>
          <w:sz w:val="24"/>
        </w:rPr>
      </w:pPr>
      <w:r>
        <w:rPr>
          <w:rFonts w:hint="eastAsia" w:asciiTheme="minorEastAsia" w:hAnsiTheme="minorEastAsia" w:eastAsiaTheme="minorEastAsia"/>
          <w:b/>
          <w:color w:val="000000"/>
          <w:sz w:val="24"/>
        </w:rPr>
        <w:t>（一）机关运行经费支出情况</w:t>
      </w:r>
      <w:bookmarkEnd w:id="52"/>
    </w:p>
    <w:p>
      <w:pPr>
        <w:adjustRightInd w:val="false"/>
        <w:snapToGrid w:val="false"/>
        <w:spacing w:line="360" w:lineRule="auto"/>
        <w:ind w:firstLine="480" w:firstLineChars="200"/>
        <w:rPr>
          <w:rFonts w:asciiTheme="minorEastAsia" w:hAnsiTheme="minorEastAsia" w:eastAsiaTheme="minorEastAsia"/>
          <w:b/>
          <w:color w:val="FF0000"/>
          <w:sz w:val="24"/>
        </w:rPr>
      </w:pPr>
      <w:r>
        <w:rPr>
          <w:rFonts w:asciiTheme="minorEastAsia" w:hAnsiTheme="minorEastAsia" w:eastAsiaTheme="minorEastAsia"/>
          <w:color w:val="000000"/>
          <w:sz w:val="24"/>
        </w:rPr>
        <w:t>201</w:t>
      </w:r>
      <w:r>
        <w:rPr>
          <w:rFonts w:hint="eastAsia" w:asciiTheme="minorEastAsia" w:hAnsiTheme="minorEastAsia" w:eastAsiaTheme="minorEastAsia"/>
          <w:color w:val="000000"/>
          <w:sz w:val="24"/>
        </w:rPr>
        <w:t>9年，广汉市雒城镇第一小学校机关运行经费支出0万元。</w:t>
      </w:r>
    </w:p>
    <w:bookmarkStart w:id="53" w:name="_Toc15377223"/>
    <w:p>
      <w:pPr>
        <w:autoSpaceDE w:val="false"/>
        <w:autoSpaceDN w:val="false"/>
        <w:adjustRightInd w:val="false"/>
        <w:snapToGrid w:val="false"/>
        <w:spacing w:line="360" w:lineRule="auto"/>
        <w:ind w:firstLine="482" w:firstLineChars="200"/>
        <w:rPr>
          <w:rFonts w:asciiTheme="minorEastAsia" w:hAnsiTheme="minorEastAsia" w:eastAsiaTheme="minorEastAsia"/>
          <w:b/>
          <w:color w:val="000000"/>
          <w:sz w:val="24"/>
        </w:rPr>
      </w:pPr>
      <w:r>
        <w:rPr>
          <w:rFonts w:hint="eastAsia" w:asciiTheme="minorEastAsia" w:hAnsiTheme="minorEastAsia" w:eastAsiaTheme="minorEastAsia"/>
          <w:b/>
          <w:color w:val="000000"/>
          <w:sz w:val="24"/>
        </w:rPr>
        <w:t>（二）政府采购支出情况</w:t>
      </w:r>
      <w:bookmarkEnd w:id="53"/>
    </w:p>
    <w:p>
      <w:pPr>
        <w:adjustRightInd w:val="false"/>
        <w:snapToGrid w:val="false"/>
        <w:spacing w:line="360" w:lineRule="auto"/>
        <w:ind w:firstLine="480" w:firstLineChars="200"/>
        <w:rPr>
          <w:rFonts w:asciiTheme="minorEastAsia" w:hAnsiTheme="minorEastAsia" w:eastAsiaTheme="minorEastAsia"/>
          <w:color w:val="000000"/>
          <w:sz w:val="24"/>
        </w:rPr>
      </w:pPr>
      <w:r>
        <w:rPr>
          <w:rFonts w:asciiTheme="minorEastAsia" w:hAnsiTheme="minorEastAsia" w:eastAsiaTheme="minorEastAsia"/>
          <w:color w:val="000000"/>
          <w:sz w:val="24"/>
        </w:rPr>
        <w:t>201</w:t>
      </w:r>
      <w:r>
        <w:rPr>
          <w:rFonts w:hint="eastAsia" w:asciiTheme="minorEastAsia" w:hAnsiTheme="minorEastAsia" w:eastAsiaTheme="minorEastAsia"/>
          <w:color w:val="000000"/>
          <w:sz w:val="24"/>
        </w:rPr>
        <w:t>9年，</w:t>
      </w:r>
      <w:r>
        <w:rPr>
          <w:rFonts w:asciiTheme="minorEastAsia" w:hAnsiTheme="minorEastAsia" w:eastAsiaTheme="minorEastAsia"/>
          <w:color w:val="000000"/>
          <w:sz w:val="24"/>
        </w:rPr>
        <w:t>201</w:t>
      </w:r>
      <w:r>
        <w:rPr>
          <w:rFonts w:hint="eastAsia" w:asciiTheme="minorEastAsia" w:hAnsiTheme="minorEastAsia" w:eastAsiaTheme="minorEastAsia"/>
          <w:color w:val="000000"/>
          <w:sz w:val="24"/>
        </w:rPr>
        <w:t>9年，广汉市雒城镇第一小学校政府采购支出总额0万元。</w:t>
      </w:r>
    </w:p>
    <w:bookmarkStart w:id="54" w:name="_Toc15377224"/>
    <w:p>
      <w:pPr>
        <w:autoSpaceDE w:val="false"/>
        <w:autoSpaceDN w:val="false"/>
        <w:adjustRightInd w:val="false"/>
        <w:snapToGrid w:val="false"/>
        <w:spacing w:line="360" w:lineRule="auto"/>
        <w:ind w:firstLine="482" w:firstLineChars="200"/>
        <w:rPr>
          <w:rFonts w:asciiTheme="minorEastAsia" w:hAnsiTheme="minorEastAsia" w:eastAsiaTheme="minorEastAsia"/>
          <w:b/>
          <w:color w:val="000000"/>
          <w:sz w:val="24"/>
        </w:rPr>
      </w:pPr>
      <w:r>
        <w:rPr>
          <w:rFonts w:hint="eastAsia" w:asciiTheme="minorEastAsia" w:hAnsiTheme="minorEastAsia" w:eastAsiaTheme="minorEastAsia"/>
          <w:b/>
          <w:color w:val="000000"/>
          <w:sz w:val="24"/>
        </w:rPr>
        <w:t>（三）国有资产占有使用情况</w:t>
      </w:r>
      <w:bookmarkEnd w:id="54"/>
    </w:p>
    <w:p>
      <w:pPr>
        <w:autoSpaceDE w:val="false"/>
        <w:autoSpaceDN w:val="false"/>
        <w:adjustRightInd w:val="false"/>
        <w:snapToGrid w:val="false"/>
        <w:spacing w:line="360" w:lineRule="auto"/>
        <w:ind w:firstLine="480" w:firstLineChars="200"/>
        <w:rPr>
          <w:rFonts w:hint="eastAsia" w:asciiTheme="minorEastAsia" w:hAnsiTheme="minorEastAsia" w:eastAsiaTheme="minorEastAsia"/>
          <w:color w:val="000000"/>
          <w:sz w:val="24"/>
        </w:rPr>
      </w:pPr>
      <w:r>
        <w:rPr>
          <w:rFonts w:hint="eastAsia" w:asciiTheme="minorEastAsia" w:hAnsiTheme="minorEastAsia" w:eastAsiaTheme="minorEastAsia"/>
          <w:color w:val="000000"/>
          <w:sz w:val="24"/>
        </w:rPr>
        <w:t>截至2019年12月31日，广汉市雒城镇第一小学校共有车辆0辆，其中：主要领导干部用车0辆、机要通信用车0辆、应急保障用车0辆、其他用车0辆，单价50万元以上通用设备0台（套），单价100万元以上专用设备0台（套）。</w:t>
      </w:r>
    </w:p>
    <w:p>
      <w:pPr>
        <w:autoSpaceDE w:val="false"/>
        <w:autoSpaceDN w:val="false"/>
        <w:adjustRightInd w:val="false"/>
        <w:snapToGrid w:val="false"/>
        <w:spacing w:line="360" w:lineRule="auto"/>
        <w:ind w:firstLine="482" w:firstLineChars="200"/>
        <w:rPr>
          <w:rFonts w:asciiTheme="minorEastAsia" w:hAnsiTheme="minorEastAsia" w:eastAsiaTheme="minorEastAsia"/>
          <w:b/>
          <w:color w:val="000000"/>
          <w:sz w:val="24"/>
        </w:rPr>
      </w:pPr>
      <w:r>
        <w:rPr>
          <w:rFonts w:hint="eastAsia" w:asciiTheme="minorEastAsia" w:hAnsiTheme="minorEastAsia" w:eastAsiaTheme="minorEastAsia"/>
          <w:b/>
          <w:color w:val="000000"/>
          <w:sz w:val="24"/>
        </w:rPr>
        <w:t>（四）预算绩效管理情况。</w:t>
      </w:r>
    </w:p>
    <w:p>
      <w:pPr>
        <w:adjustRightInd w:val="false"/>
        <w:snapToGrid w:val="false"/>
        <w:spacing w:line="360" w:lineRule="auto"/>
        <w:ind w:firstLine="480" w:firstLineChars="200"/>
        <w:rPr>
          <w:rFonts w:cs="仿宋_GB2312" w:asciiTheme="minorEastAsia" w:hAnsiTheme="minorEastAsia" w:eastAsiaTheme="minorEastAsia"/>
          <w:sz w:val="24"/>
        </w:rPr>
      </w:pPr>
      <w:r>
        <w:rPr>
          <w:rFonts w:hint="eastAsia" w:cs="仿宋_GB2312" w:asciiTheme="minorEastAsia" w:hAnsiTheme="minorEastAsia" w:eastAsiaTheme="minorEastAsia"/>
          <w:sz w:val="24"/>
        </w:rPr>
        <w:t>根据预算绩效管理要求，本单位在年初预算编制阶段，组织开展了预算事前绩效评估。2019年本单位无对</w:t>
      </w:r>
      <w:r>
        <w:rPr>
          <w:rFonts w:hint="eastAsia" w:cs="楷体_GB2312" w:asciiTheme="minorEastAsia" w:hAnsiTheme="minorEastAsia" w:eastAsiaTheme="minorEastAsia"/>
          <w:sz w:val="24"/>
        </w:rPr>
        <w:t>项目绩效目标。</w:t>
      </w:r>
      <w:r>
        <w:rPr>
          <w:rFonts w:hint="eastAsia" w:cs="仿宋_GB2312" w:asciiTheme="minorEastAsia" w:hAnsiTheme="minorEastAsia" w:eastAsiaTheme="minorEastAsia"/>
          <w:sz w:val="24"/>
        </w:rPr>
        <w:t>重点按要求对2019年部门整体支出开展了绩效自评，从评价情况来看，在2019年的整体绩效和预算追加中，按照上级和财政部门的要求，研究和设立绩效指标，并在实施中进行跟踪分析，在决算报告中体现。2019年度我校履职效能情况良好。经费的使用认真遵守各项财务规章制度，严格执行各项支出审批程序，确保教育教学工作有效正常运转，无截留、挤占或挪用。“三公”经费响应零开支号召、厉行勤俭节约，切实提高资金效益。下一步，将进一步完善制度，优化流程，逐步实现绩效管理的全方位、全过程、全覆盖。</w:t>
      </w:r>
    </w:p>
    <w:p>
      <w:pPr>
        <w:adjustRightInd w:val="false"/>
        <w:snapToGrid w:val="false"/>
        <w:spacing w:line="360" w:lineRule="auto"/>
        <w:ind w:firstLine="480" w:firstLineChars="200"/>
        <w:rPr>
          <w:rFonts w:hint="eastAsia" w:cs="楷体_GB2312" w:asciiTheme="minorEastAsia" w:hAnsiTheme="minorEastAsia" w:eastAsiaTheme="minorEastAsia"/>
          <w:sz w:val="24"/>
        </w:rPr>
      </w:pPr>
      <w:r>
        <w:rPr>
          <w:rFonts w:hint="eastAsia" w:cs="楷体_GB2312" w:asciiTheme="minorEastAsia" w:hAnsiTheme="minorEastAsia" w:eastAsiaTheme="minorEastAsia"/>
          <w:sz w:val="24"/>
        </w:rPr>
        <w:t>1.项目绩效目标完成情况。</w:t>
      </w:r>
    </w:p>
    <w:p>
      <w:pPr>
        <w:adjustRightInd w:val="false"/>
        <w:snapToGrid w:val="false"/>
        <w:spacing w:line="360" w:lineRule="auto"/>
        <w:ind w:firstLine="480" w:firstLineChars="200"/>
        <w:rPr>
          <w:rFonts w:hint="eastAsia" w:cs="楷体_GB2312" w:asciiTheme="minorEastAsia" w:hAnsiTheme="minorEastAsia" w:eastAsiaTheme="minorEastAsia"/>
          <w:sz w:val="24"/>
        </w:rPr>
      </w:pPr>
      <w:r>
        <w:rPr>
          <w:rFonts w:hint="eastAsia" w:cs="仿宋_GB2312" w:asciiTheme="minorEastAsia" w:hAnsiTheme="minorEastAsia" w:eastAsiaTheme="minorEastAsia"/>
          <w:sz w:val="24"/>
        </w:rPr>
        <w:t>2019年本单位无对</w:t>
      </w:r>
      <w:r>
        <w:rPr>
          <w:rFonts w:hint="eastAsia" w:cs="楷体_GB2312" w:asciiTheme="minorEastAsia" w:hAnsiTheme="minorEastAsia" w:eastAsiaTheme="minorEastAsia"/>
          <w:sz w:val="24"/>
        </w:rPr>
        <w:t>项目绩效目标。</w:t>
      </w:r>
    </w:p>
    <w:p>
      <w:pPr>
        <w:adjustRightInd w:val="false"/>
        <w:snapToGrid w:val="false"/>
        <w:spacing w:line="360" w:lineRule="auto"/>
        <w:ind w:firstLine="480" w:firstLineChars="200"/>
        <w:rPr>
          <w:rFonts w:cs="仿宋_GB2312" w:asciiTheme="minorEastAsia" w:hAnsiTheme="minorEastAsia" w:eastAsiaTheme="minorEastAsia"/>
          <w:sz w:val="24"/>
        </w:rPr>
      </w:pPr>
      <w:r>
        <w:rPr>
          <w:rFonts w:hint="eastAsia" w:cs="楷体_GB2312" w:asciiTheme="minorEastAsia" w:hAnsiTheme="minorEastAsia" w:eastAsiaTheme="minorEastAsia"/>
          <w:sz w:val="24"/>
        </w:rPr>
        <w:t>2.部门绩效评价结果。</w:t>
      </w:r>
    </w:p>
    <w:p>
      <w:pPr>
        <w:adjustRightInd w:val="false"/>
        <w:snapToGrid w:val="false"/>
        <w:spacing w:line="360" w:lineRule="auto"/>
        <w:ind w:left="105" w:leftChars="50" w:firstLine="360" w:firstLineChars="150"/>
        <w:rPr>
          <w:rFonts w:hint="eastAsia" w:cs="仿宋_GB2312" w:asciiTheme="minorEastAsia" w:hAnsiTheme="minorEastAsia" w:eastAsiaTheme="minorEastAsia"/>
          <w:sz w:val="24"/>
        </w:rPr>
      </w:pPr>
      <w:r>
        <w:rPr>
          <w:rFonts w:hint="eastAsia" w:cs="仿宋_GB2312" w:asciiTheme="minorEastAsia" w:hAnsiTheme="minorEastAsia" w:eastAsiaTheme="minorEastAsia"/>
          <w:sz w:val="24"/>
        </w:rPr>
        <w:t>本单位按要求对2019年部门整体支出绩效评价情况开展自评，《广汉市雒城镇第一小学校2019年整体支出绩效评价报告》见附件（附件1）。</w:t>
      </w:r>
    </w:p>
    <w:bookmarkStart w:id="55" w:name="_Toc15377225"/>
    <w:bookmarkStart w:id="56" w:name="_Toc15396613"/>
    <w:p>
      <w:pPr>
        <w:adjustRightInd w:val="false"/>
        <w:snapToGrid w:val="false"/>
        <w:spacing w:line="360" w:lineRule="auto"/>
        <w:ind w:left="105" w:leftChars="50" w:firstLine="360" w:firstLineChars="150"/>
        <w:rPr>
          <w:rFonts w:cs="仿宋_GB2312" w:asciiTheme="minorEastAsia" w:hAnsiTheme="minorEastAsia" w:eastAsiaTheme="minorEastAsia"/>
          <w:sz w:val="24"/>
        </w:rPr>
      </w:pPr>
    </w:p>
    <w:p>
      <w:pPr>
        <w:spacing w:line="600" w:lineRule="exact"/>
        <w:ind/>
        <w:jc w:val="center"/>
        <w:outlineLvl w:val="0"/>
        <w:rPr>
          <w:rStyle w:val="24"/>
          <w:rFonts w:ascii="黑体" w:hAnsi="黑体" w:eastAsia="黑体"/>
          <w:b w:val="false"/>
          <w:sz w:val="36"/>
          <w:szCs w:val="36"/>
        </w:rPr>
      </w:pPr>
      <w:r>
        <w:rPr>
          <w:rFonts w:hint="eastAsia" w:ascii="黑体" w:hAnsi="黑体" w:eastAsia="黑体"/>
          <w:b/>
          <w:color w:val="000000"/>
          <w:sz w:val="36"/>
          <w:szCs w:val="36"/>
        </w:rPr>
        <w:t>第三部分 名</w:t>
      </w:r>
      <w:r>
        <w:rPr>
          <w:rStyle w:val="000017"/>
          <w:rFonts w:hint="eastAsia" w:ascii="黑体" w:hAnsi="黑体" w:eastAsia="黑体"/>
          <w:b w:val="false"/>
          <w:sz w:val="36"/>
          <w:szCs w:val="36"/>
        </w:rPr>
        <w:t>词解释</w:t>
      </w:r>
      <w:bookmarkEnd w:id="55"/>
      <w:bookmarkEnd w:id="56"/>
    </w:p>
    <w:p>
      <w:pPr>
        <w:spacing w:line="600" w:lineRule="exact"/>
        <w:ind/>
        <w:jc w:val="left"/>
        <w:rPr>
          <w:rFonts w:ascii="宋体"/>
          <w:b/>
          <w:color w:val="000000"/>
          <w:sz w:val="44"/>
          <w:szCs w:val="44"/>
        </w:rPr>
      </w:pPr>
    </w:p>
    <w:p>
      <w:pPr>
        <w:pStyle w:val="00000c"/>
        <w:snapToGrid w:val="false"/>
        <w:spacing w:line="360" w:lineRule="auto"/>
        <w:ind w:firstLine="480" w:firstLineChars="200"/>
        <w:jc w:val="both"/>
        <w:rPr>
          <w:rFonts w:asciiTheme="minorEastAsia" w:hAnsiTheme="minorEastAsia" w:eastAsiaTheme="minorEastAsia"/>
        </w:rPr>
      </w:pPr>
      <w:r>
        <w:rPr>
          <w:rFonts w:asciiTheme="minorEastAsia" w:hAnsiTheme="minorEastAsia" w:eastAsiaTheme="minorEastAsia"/>
        </w:rPr>
        <w:t>1.</w:t>
      </w:r>
      <w:r>
        <w:rPr>
          <w:rFonts w:hint="eastAsia" w:asciiTheme="minorEastAsia" w:hAnsiTheme="minorEastAsia" w:eastAsiaTheme="minorEastAsia"/>
        </w:rPr>
        <w:t>财政拨款收入：指单位从同级财政部门取得的财政预算资金。</w:t>
      </w:r>
    </w:p>
    <w:p>
      <w:pPr>
        <w:pStyle w:val="00000c"/>
        <w:snapToGrid w:val="false"/>
        <w:spacing w:line="360" w:lineRule="auto"/>
        <w:ind w:firstLine="480" w:firstLineChars="200"/>
        <w:jc w:val="both"/>
        <w:rPr>
          <w:rFonts w:asciiTheme="minorEastAsia" w:hAnsiTheme="minorEastAsia" w:eastAsiaTheme="minorEastAsia"/>
        </w:rPr>
      </w:pPr>
      <w:r>
        <w:rPr>
          <w:rFonts w:asciiTheme="minorEastAsia" w:hAnsiTheme="minorEastAsia" w:eastAsiaTheme="minorEastAsia"/>
        </w:rPr>
        <w:t>2.</w:t>
      </w:r>
      <w:r>
        <w:rPr>
          <w:rFonts w:hint="eastAsia" w:asciiTheme="minorEastAsia" w:hAnsiTheme="minorEastAsia" w:eastAsiaTheme="minorEastAsia"/>
        </w:rPr>
        <w:t>事业收入：指事业单位开展专业业务活动及辅助活动取得的收入。如…（二级预算单位事业收入情况）等。</w:t>
      </w:r>
    </w:p>
    <w:p>
      <w:pPr>
        <w:pStyle w:val="00000c"/>
        <w:snapToGrid w:val="false"/>
        <w:spacing w:line="360" w:lineRule="auto"/>
        <w:ind w:firstLine="480" w:firstLineChars="200"/>
        <w:jc w:val="both"/>
        <w:rPr>
          <w:rFonts w:asciiTheme="minorEastAsia" w:hAnsiTheme="minorEastAsia" w:eastAsiaTheme="minorEastAsia"/>
        </w:rPr>
      </w:pPr>
      <w:r>
        <w:rPr>
          <w:rFonts w:asciiTheme="minorEastAsia" w:hAnsiTheme="minorEastAsia" w:eastAsiaTheme="minorEastAsia"/>
        </w:rPr>
        <w:t>3.</w:t>
      </w:r>
      <w:r>
        <w:rPr>
          <w:rFonts w:hint="eastAsia" w:asciiTheme="minorEastAsia" w:hAnsiTheme="minorEastAsia" w:eastAsiaTheme="minorEastAsia"/>
        </w:rPr>
        <w:t>经营收入：指事业单位在专业业务活动及其辅助活动之外开展非独立核算经营活动取得的收入。如…（二级预算单位经营收入情况）等。</w:t>
      </w:r>
    </w:p>
    <w:p>
      <w:pPr>
        <w:pStyle w:val="00000c"/>
        <w:snapToGrid w:val="false"/>
        <w:spacing w:line="360" w:lineRule="auto"/>
        <w:ind w:firstLine="480" w:firstLineChars="200"/>
        <w:jc w:val="both"/>
        <w:rPr>
          <w:rFonts w:asciiTheme="minorEastAsia" w:hAnsiTheme="minorEastAsia" w:eastAsiaTheme="minorEastAsia"/>
        </w:rPr>
      </w:pPr>
      <w:r>
        <w:rPr>
          <w:rFonts w:asciiTheme="minorEastAsia" w:hAnsiTheme="minorEastAsia" w:eastAsiaTheme="minorEastAsia"/>
        </w:rPr>
        <w:t>4.</w:t>
      </w:r>
      <w:r>
        <w:rPr>
          <w:rFonts w:hint="eastAsia" w:asciiTheme="minorEastAsia" w:hAnsiTheme="minorEastAsia" w:eastAsiaTheme="minorEastAsia"/>
        </w:rPr>
        <w:t>其他收入：指单位取得的除上述收入以外的各项收入。主要是…（收入类型）等。</w:t>
      </w:r>
      <w:r>
        <w:rPr>
          <w:rFonts w:asciiTheme="minorEastAsia" w:hAnsiTheme="minorEastAsia" w:eastAsiaTheme="minorEastAsia"/>
        </w:rPr>
        <w:t xml:space="preserve"> </w:t>
      </w:r>
    </w:p>
    <w:p>
      <w:pPr>
        <w:pStyle w:val="00000c"/>
        <w:snapToGrid w:val="false"/>
        <w:spacing w:line="360" w:lineRule="auto"/>
        <w:ind w:firstLine="480" w:firstLineChars="200"/>
        <w:jc w:val="both"/>
        <w:rPr>
          <w:rFonts w:asciiTheme="minorEastAsia" w:hAnsiTheme="minorEastAsia" w:eastAsiaTheme="minorEastAsia"/>
        </w:rPr>
      </w:pPr>
      <w:r>
        <w:rPr>
          <w:rFonts w:asciiTheme="minorEastAsia" w:hAnsiTheme="minorEastAsia" w:eastAsiaTheme="minorEastAsia"/>
        </w:rPr>
        <w:t>5.</w:t>
      </w:r>
      <w:r>
        <w:rPr>
          <w:rFonts w:hint="eastAsia" w:asciiTheme="minorEastAsia" w:hAnsiTheme="minorEastAsia" w:eastAsiaTheme="minorEastAsia"/>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r>
        <w:rPr>
          <w:rFonts w:asciiTheme="minorEastAsia" w:hAnsiTheme="minorEastAsia" w:eastAsiaTheme="minorEastAsia"/>
        </w:rPr>
        <w:t xml:space="preserve"> </w:t>
      </w:r>
    </w:p>
    <w:p>
      <w:pPr>
        <w:pStyle w:val="00000c"/>
        <w:snapToGrid w:val="false"/>
        <w:spacing w:line="360" w:lineRule="auto"/>
        <w:ind w:firstLine="480" w:firstLineChars="200"/>
        <w:jc w:val="both"/>
        <w:rPr>
          <w:rFonts w:asciiTheme="minorEastAsia" w:hAnsiTheme="minorEastAsia" w:eastAsiaTheme="minorEastAsia"/>
        </w:rPr>
      </w:pPr>
      <w:r>
        <w:rPr>
          <w:rFonts w:asciiTheme="minorEastAsia" w:hAnsiTheme="minorEastAsia" w:eastAsiaTheme="minorEastAsia"/>
        </w:rPr>
        <w:t>6.</w:t>
      </w:r>
      <w:r>
        <w:rPr>
          <w:rFonts w:hint="eastAsia" w:asciiTheme="minorEastAsia" w:hAnsiTheme="minorEastAsia" w:eastAsiaTheme="minorEastAsia"/>
        </w:rPr>
        <w:t>年初结转和结余：指以前年度尚未完成、结转到本年按有关规定继续使用的资金。</w:t>
      </w:r>
      <w:r>
        <w:rPr>
          <w:rFonts w:asciiTheme="minorEastAsia" w:hAnsiTheme="minorEastAsia" w:eastAsiaTheme="minorEastAsia"/>
        </w:rPr>
        <w:t xml:space="preserve"> </w:t>
      </w:r>
    </w:p>
    <w:p>
      <w:pPr>
        <w:pStyle w:val="00000c"/>
        <w:snapToGrid w:val="false"/>
        <w:spacing w:line="360" w:lineRule="auto"/>
        <w:ind w:firstLine="480" w:firstLineChars="200"/>
        <w:jc w:val="both"/>
        <w:rPr>
          <w:rFonts w:asciiTheme="minorEastAsia" w:hAnsiTheme="minorEastAsia" w:eastAsiaTheme="minorEastAsia"/>
        </w:rPr>
      </w:pPr>
      <w:r>
        <w:rPr>
          <w:rFonts w:asciiTheme="minorEastAsia" w:hAnsiTheme="minorEastAsia" w:eastAsiaTheme="minorEastAsia"/>
        </w:rPr>
        <w:t>7.</w:t>
      </w:r>
      <w:r>
        <w:rPr>
          <w:rFonts w:hint="eastAsia" w:asciiTheme="minorEastAsia" w:hAnsiTheme="minorEastAsia" w:eastAsiaTheme="minorEastAsia"/>
        </w:rPr>
        <w:t>结余分配：指事业单位按照事业单位会计制度的规定从非财政补助结余中分配的事业基金和职工福利基金等。</w:t>
      </w:r>
    </w:p>
    <w:p>
      <w:pPr>
        <w:pStyle w:val="00000c"/>
        <w:snapToGrid w:val="false"/>
        <w:spacing w:line="360" w:lineRule="auto"/>
        <w:ind w:firstLine="480" w:firstLineChars="200"/>
        <w:jc w:val="both"/>
        <w:rPr>
          <w:rFonts w:asciiTheme="minorEastAsia" w:hAnsiTheme="minorEastAsia" w:eastAsiaTheme="minorEastAsia"/>
        </w:rPr>
      </w:pPr>
      <w:r>
        <w:rPr>
          <w:rFonts w:asciiTheme="minorEastAsia" w:hAnsiTheme="minorEastAsia" w:eastAsiaTheme="minorEastAsia"/>
        </w:rPr>
        <w:t>8</w:t>
      </w:r>
      <w:r>
        <w:rPr>
          <w:rFonts w:hint="eastAsia" w:asciiTheme="minorEastAsia" w:hAnsiTheme="minorEastAsia" w:eastAsiaTheme="minorEastAsia"/>
        </w:rPr>
        <w:t>、年末结转和结余：指单位按有关规定结转到下年或以后年度继续使用的资金。</w:t>
      </w:r>
    </w:p>
    <w:p>
      <w:pPr>
        <w:adjustRightInd w:val="false"/>
        <w:snapToGrid w:val="false"/>
        <w:spacing w:line="360" w:lineRule="auto"/>
        <w:ind w:firstLine="480" w:firstLineChars="200"/>
        <w:rPr>
          <w:rFonts w:asciiTheme="minorEastAsia" w:hAnsiTheme="minorEastAsia" w:eastAsiaTheme="minorEastAsia"/>
          <w:color w:val="000000"/>
          <w:sz w:val="24"/>
        </w:rPr>
      </w:pPr>
      <w:r>
        <w:rPr>
          <w:rFonts w:asciiTheme="minorEastAsia" w:hAnsiTheme="minorEastAsia" w:eastAsiaTheme="minorEastAsia"/>
          <w:color w:val="000000"/>
          <w:sz w:val="24"/>
        </w:rPr>
        <w:t>9.</w:t>
      </w:r>
      <w:r>
        <w:rPr>
          <w:rFonts w:hint="eastAsia" w:asciiTheme="minorEastAsia" w:hAnsiTheme="minorEastAsia" w:eastAsiaTheme="minorEastAsia"/>
          <w:color w:val="000000"/>
          <w:sz w:val="24"/>
        </w:rPr>
        <w:t>一般公共服务（类）…（款）…（项）：指……。</w:t>
      </w:r>
    </w:p>
    <w:p>
      <w:pPr>
        <w:adjustRightInd w:val="false"/>
        <w:snapToGrid w:val="false"/>
        <w:spacing w:line="360" w:lineRule="auto"/>
        <w:ind w:firstLine="480" w:firstLineChars="200"/>
        <w:rPr>
          <w:rFonts w:asciiTheme="minorEastAsia" w:hAnsiTheme="minorEastAsia" w:eastAsiaTheme="minorEastAsia"/>
          <w:color w:val="000000"/>
          <w:sz w:val="24"/>
        </w:rPr>
      </w:pPr>
      <w:r>
        <w:rPr>
          <w:rFonts w:asciiTheme="minorEastAsia" w:hAnsiTheme="minorEastAsia" w:eastAsiaTheme="minorEastAsia"/>
          <w:color w:val="000000"/>
          <w:sz w:val="24"/>
        </w:rPr>
        <w:t>10.</w:t>
      </w:r>
      <w:r>
        <w:rPr>
          <w:rFonts w:hint="eastAsia" w:asciiTheme="minorEastAsia" w:hAnsiTheme="minorEastAsia" w:eastAsiaTheme="minorEastAsia"/>
          <w:color w:val="000000"/>
          <w:sz w:val="24"/>
        </w:rPr>
        <w:t>外交（类）…（款）…（项）：指……。</w:t>
      </w:r>
    </w:p>
    <w:p>
      <w:pPr>
        <w:adjustRightInd w:val="false"/>
        <w:snapToGrid w:val="false"/>
        <w:spacing w:line="360" w:lineRule="auto"/>
        <w:ind w:firstLine="480" w:firstLineChars="200"/>
        <w:rPr>
          <w:rFonts w:asciiTheme="minorEastAsia" w:hAnsiTheme="minorEastAsia" w:eastAsiaTheme="minorEastAsia"/>
          <w:color w:val="000000"/>
          <w:sz w:val="24"/>
        </w:rPr>
      </w:pPr>
      <w:r>
        <w:rPr>
          <w:rFonts w:asciiTheme="minorEastAsia" w:hAnsiTheme="minorEastAsia" w:eastAsiaTheme="minorEastAsia"/>
          <w:color w:val="000000"/>
          <w:sz w:val="24"/>
        </w:rPr>
        <w:t>11.</w:t>
      </w:r>
      <w:r>
        <w:rPr>
          <w:rFonts w:hint="eastAsia" w:asciiTheme="minorEastAsia" w:hAnsiTheme="minorEastAsia" w:eastAsiaTheme="minorEastAsia"/>
          <w:color w:val="000000"/>
          <w:sz w:val="24"/>
        </w:rPr>
        <w:t>公共安全（类）…（款）…（项）：指……。</w:t>
      </w:r>
    </w:p>
    <w:p>
      <w:pPr>
        <w:adjustRightInd w:val="false"/>
        <w:snapToGrid w:val="false"/>
        <w:spacing w:line="360" w:lineRule="auto"/>
        <w:ind w:firstLine="480" w:firstLineChars="200"/>
        <w:rPr>
          <w:rFonts w:asciiTheme="minorEastAsia" w:hAnsiTheme="minorEastAsia" w:eastAsiaTheme="minorEastAsia"/>
          <w:color w:val="000000"/>
          <w:sz w:val="24"/>
        </w:rPr>
      </w:pPr>
      <w:r>
        <w:rPr>
          <w:rFonts w:asciiTheme="minorEastAsia" w:hAnsiTheme="minorEastAsia" w:eastAsiaTheme="minorEastAsia"/>
          <w:color w:val="000000"/>
          <w:sz w:val="24"/>
        </w:rPr>
        <w:t>12.</w:t>
      </w:r>
      <w:r>
        <w:rPr>
          <w:rFonts w:hint="eastAsia" w:asciiTheme="minorEastAsia" w:hAnsiTheme="minorEastAsia" w:eastAsiaTheme="minorEastAsia"/>
          <w:color w:val="000000"/>
          <w:sz w:val="24"/>
        </w:rPr>
        <w:t>教育（类）…（款）…（项）：指……。</w:t>
      </w:r>
    </w:p>
    <w:p>
      <w:pPr>
        <w:adjustRightInd w:val="false"/>
        <w:snapToGrid w:val="false"/>
        <w:spacing w:line="360" w:lineRule="auto"/>
        <w:ind w:firstLine="480" w:firstLineChars="200"/>
        <w:rPr>
          <w:rFonts w:asciiTheme="minorEastAsia" w:hAnsiTheme="minorEastAsia" w:eastAsiaTheme="minorEastAsia"/>
          <w:color w:val="000000"/>
          <w:sz w:val="24"/>
        </w:rPr>
      </w:pPr>
      <w:r>
        <w:rPr>
          <w:rFonts w:asciiTheme="minorEastAsia" w:hAnsiTheme="minorEastAsia" w:eastAsiaTheme="minorEastAsia"/>
          <w:color w:val="000000"/>
          <w:sz w:val="24"/>
        </w:rPr>
        <w:t>13.</w:t>
      </w:r>
      <w:r>
        <w:rPr>
          <w:rFonts w:hint="eastAsia" w:asciiTheme="minorEastAsia" w:hAnsiTheme="minorEastAsia" w:eastAsiaTheme="minorEastAsia"/>
          <w:color w:val="000000"/>
          <w:sz w:val="24"/>
        </w:rPr>
        <w:t>科学技术（类）…（款）…（项）：指……。</w:t>
      </w:r>
    </w:p>
    <w:p>
      <w:pPr>
        <w:adjustRightInd w:val="false"/>
        <w:snapToGrid w:val="false"/>
        <w:spacing w:line="360" w:lineRule="auto"/>
        <w:ind w:firstLine="480" w:firstLineChars="200"/>
        <w:rPr>
          <w:rFonts w:asciiTheme="minorEastAsia" w:hAnsiTheme="minorEastAsia" w:eastAsiaTheme="minorEastAsia"/>
          <w:color w:val="000000"/>
          <w:sz w:val="24"/>
        </w:rPr>
      </w:pPr>
      <w:r>
        <w:rPr>
          <w:rFonts w:asciiTheme="minorEastAsia" w:hAnsiTheme="minorEastAsia" w:eastAsiaTheme="minorEastAsia"/>
          <w:color w:val="000000"/>
          <w:sz w:val="24"/>
        </w:rPr>
        <w:t>14.</w:t>
      </w:r>
      <w:r>
        <w:rPr>
          <w:rFonts w:hint="eastAsia" w:asciiTheme="minorEastAsia" w:hAnsiTheme="minorEastAsia" w:eastAsiaTheme="minorEastAsia"/>
          <w:color w:val="000000"/>
          <w:sz w:val="24"/>
        </w:rPr>
        <w:t>文化体育与传媒（类）…（款）…（项）：指……。</w:t>
      </w:r>
    </w:p>
    <w:p>
      <w:pPr>
        <w:adjustRightInd w:val="false"/>
        <w:snapToGrid w:val="false"/>
        <w:spacing w:line="360" w:lineRule="auto"/>
        <w:ind w:firstLine="480" w:firstLineChars="200"/>
        <w:rPr>
          <w:rFonts w:asciiTheme="minorEastAsia" w:hAnsiTheme="minorEastAsia" w:eastAsiaTheme="minorEastAsia"/>
          <w:color w:val="000000"/>
          <w:sz w:val="24"/>
        </w:rPr>
      </w:pPr>
      <w:r>
        <w:rPr>
          <w:rFonts w:asciiTheme="minorEastAsia" w:hAnsiTheme="minorEastAsia" w:eastAsiaTheme="minorEastAsia"/>
          <w:color w:val="000000"/>
          <w:sz w:val="24"/>
        </w:rPr>
        <w:t>15.</w:t>
      </w:r>
      <w:r>
        <w:rPr>
          <w:rFonts w:hint="eastAsia" w:asciiTheme="minorEastAsia" w:hAnsiTheme="minorEastAsia" w:eastAsiaTheme="minorEastAsia"/>
          <w:color w:val="000000"/>
          <w:sz w:val="24"/>
        </w:rPr>
        <w:t>社会保障和就业（类）…（款）…（项）：指……。</w:t>
      </w:r>
    </w:p>
    <w:p>
      <w:pPr>
        <w:adjustRightInd w:val="false"/>
        <w:snapToGrid w:val="false"/>
        <w:spacing w:line="360" w:lineRule="auto"/>
        <w:ind w:firstLine="480" w:firstLineChars="200"/>
        <w:rPr>
          <w:rFonts w:asciiTheme="minorEastAsia" w:hAnsiTheme="minorEastAsia" w:eastAsiaTheme="minorEastAsia"/>
          <w:color w:val="000000"/>
          <w:sz w:val="24"/>
        </w:rPr>
      </w:pPr>
      <w:r>
        <w:rPr>
          <w:rFonts w:asciiTheme="minorEastAsia" w:hAnsiTheme="minorEastAsia" w:eastAsiaTheme="minorEastAsia"/>
          <w:color w:val="000000"/>
          <w:sz w:val="24"/>
        </w:rPr>
        <w:t>16.</w:t>
      </w:r>
      <w:r>
        <w:rPr>
          <w:rFonts w:hint="eastAsia" w:asciiTheme="minorEastAsia" w:hAnsiTheme="minorEastAsia" w:eastAsiaTheme="minorEastAsia"/>
          <w:color w:val="000000"/>
          <w:sz w:val="24"/>
        </w:rPr>
        <w:t>医疗卫生与计划生育（类）…（款）…（项）：指……。</w:t>
      </w:r>
    </w:p>
    <w:p>
      <w:pPr>
        <w:adjustRightInd w:val="false"/>
        <w:snapToGrid w:val="false"/>
        <w:spacing w:line="360" w:lineRule="auto"/>
        <w:ind w:firstLine="480" w:firstLineChars="200"/>
        <w:rPr>
          <w:rFonts w:asciiTheme="minorEastAsia" w:hAnsiTheme="minorEastAsia" w:eastAsiaTheme="minorEastAsia"/>
          <w:color w:val="000000"/>
          <w:sz w:val="24"/>
        </w:rPr>
      </w:pPr>
      <w:r>
        <w:rPr>
          <w:rFonts w:asciiTheme="minorEastAsia" w:hAnsiTheme="minorEastAsia" w:eastAsiaTheme="minorEastAsia"/>
          <w:color w:val="000000"/>
          <w:sz w:val="24"/>
        </w:rPr>
        <w:t>17.</w:t>
      </w:r>
      <w:r>
        <w:rPr>
          <w:rFonts w:hint="eastAsia" w:asciiTheme="minorEastAsia" w:hAnsiTheme="minorEastAsia" w:eastAsiaTheme="minorEastAsia"/>
          <w:color w:val="000000"/>
          <w:sz w:val="24"/>
        </w:rPr>
        <w:t>节能环保（类）…（款）…（项）：指……。</w:t>
      </w:r>
    </w:p>
    <w:p>
      <w:pPr>
        <w:adjustRightInd w:val="false"/>
        <w:snapToGrid w:val="false"/>
        <w:spacing w:line="360" w:lineRule="auto"/>
        <w:ind w:firstLine="480" w:firstLineChars="200"/>
        <w:rPr>
          <w:rFonts w:asciiTheme="minorEastAsia" w:hAnsiTheme="minorEastAsia" w:eastAsiaTheme="minorEastAsia"/>
          <w:color w:val="000000"/>
          <w:sz w:val="24"/>
        </w:rPr>
      </w:pPr>
      <w:r>
        <w:rPr>
          <w:rFonts w:asciiTheme="minorEastAsia" w:hAnsiTheme="minorEastAsia" w:eastAsiaTheme="minorEastAsia"/>
          <w:color w:val="000000"/>
          <w:sz w:val="24"/>
        </w:rPr>
        <w:t>18.</w:t>
      </w:r>
      <w:r>
        <w:rPr>
          <w:rFonts w:hint="eastAsia" w:asciiTheme="minorEastAsia" w:hAnsiTheme="minorEastAsia" w:eastAsiaTheme="minorEastAsia"/>
          <w:color w:val="000000"/>
          <w:sz w:val="24"/>
        </w:rPr>
        <w:t>城乡社区（类）…（款）…（项）：指……。</w:t>
      </w:r>
    </w:p>
    <w:p>
      <w:pPr>
        <w:adjustRightInd w:val="false"/>
        <w:snapToGrid w:val="false"/>
        <w:spacing w:line="360" w:lineRule="auto"/>
        <w:ind w:firstLine="480" w:firstLineChars="200"/>
        <w:rPr>
          <w:rFonts w:asciiTheme="minorEastAsia" w:hAnsiTheme="minorEastAsia" w:eastAsiaTheme="minorEastAsia"/>
          <w:color w:val="000000"/>
          <w:sz w:val="24"/>
        </w:rPr>
      </w:pPr>
      <w:r>
        <w:rPr>
          <w:rFonts w:asciiTheme="minorEastAsia" w:hAnsiTheme="minorEastAsia" w:eastAsiaTheme="minorEastAsia"/>
          <w:color w:val="000000"/>
          <w:sz w:val="24"/>
        </w:rPr>
        <w:t>19.</w:t>
      </w:r>
      <w:r>
        <w:rPr>
          <w:rFonts w:hint="eastAsia" w:asciiTheme="minorEastAsia" w:hAnsiTheme="minorEastAsia" w:eastAsiaTheme="minorEastAsia"/>
          <w:color w:val="000000"/>
          <w:sz w:val="24"/>
        </w:rPr>
        <w:t>农林水（类）…（款）…（项）：指……。</w:t>
      </w:r>
    </w:p>
    <w:p>
      <w:pPr>
        <w:adjustRightInd w:val="false"/>
        <w:snapToGrid w:val="false"/>
        <w:spacing w:line="360" w:lineRule="auto"/>
        <w:ind w:firstLine="480" w:firstLineChars="200"/>
        <w:rPr>
          <w:rFonts w:asciiTheme="minorEastAsia" w:hAnsiTheme="minorEastAsia" w:eastAsiaTheme="minorEastAsia"/>
          <w:color w:val="000000"/>
          <w:sz w:val="24"/>
        </w:rPr>
      </w:pPr>
      <w:r>
        <w:rPr>
          <w:rFonts w:asciiTheme="minorEastAsia" w:hAnsiTheme="minorEastAsia" w:eastAsiaTheme="minorEastAsia"/>
          <w:color w:val="000000"/>
          <w:sz w:val="24"/>
        </w:rPr>
        <w:t>20.</w:t>
      </w:r>
      <w:r>
        <w:rPr>
          <w:rFonts w:hint="eastAsia" w:asciiTheme="minorEastAsia" w:hAnsiTheme="minorEastAsia" w:eastAsiaTheme="minorEastAsia"/>
          <w:color w:val="000000"/>
          <w:sz w:val="24"/>
        </w:rPr>
        <w:t>交通运输（类）…（款）…（项）：指……。</w:t>
      </w:r>
    </w:p>
    <w:p>
      <w:pPr>
        <w:adjustRightInd w:val="false"/>
        <w:snapToGrid w:val="false"/>
        <w:spacing w:line="360" w:lineRule="auto"/>
        <w:ind w:firstLine="480" w:firstLineChars="200"/>
        <w:rPr>
          <w:rFonts w:asciiTheme="minorEastAsia" w:hAnsiTheme="minorEastAsia" w:eastAsiaTheme="minorEastAsia"/>
          <w:color w:val="000000"/>
          <w:sz w:val="24"/>
        </w:rPr>
      </w:pPr>
      <w:r>
        <w:rPr>
          <w:rFonts w:asciiTheme="minorEastAsia" w:hAnsiTheme="minorEastAsia" w:eastAsiaTheme="minorEastAsia"/>
          <w:color w:val="000000"/>
          <w:sz w:val="24"/>
        </w:rPr>
        <w:t>21.</w:t>
      </w:r>
      <w:r>
        <w:rPr>
          <w:rFonts w:hint="eastAsia" w:asciiTheme="minorEastAsia" w:hAnsiTheme="minorEastAsia" w:eastAsiaTheme="minorEastAsia"/>
          <w:color w:val="000000"/>
          <w:sz w:val="24"/>
        </w:rPr>
        <w:t>资源勘探信息等（类）…（款）…（项）：指……。</w:t>
      </w:r>
    </w:p>
    <w:p>
      <w:pPr>
        <w:adjustRightInd w:val="false"/>
        <w:snapToGrid w:val="false"/>
        <w:spacing w:line="360" w:lineRule="auto"/>
        <w:ind w:firstLine="480" w:firstLineChars="200"/>
        <w:rPr>
          <w:rFonts w:asciiTheme="minorEastAsia" w:hAnsiTheme="minorEastAsia" w:eastAsiaTheme="minorEastAsia"/>
          <w:color w:val="000000"/>
          <w:sz w:val="24"/>
        </w:rPr>
      </w:pPr>
      <w:r>
        <w:rPr>
          <w:rFonts w:asciiTheme="minorEastAsia" w:hAnsiTheme="minorEastAsia" w:eastAsiaTheme="minorEastAsia"/>
          <w:color w:val="000000"/>
          <w:sz w:val="24"/>
        </w:rPr>
        <w:t>22.</w:t>
      </w:r>
      <w:r>
        <w:rPr>
          <w:rFonts w:hint="eastAsia" w:asciiTheme="minorEastAsia" w:hAnsiTheme="minorEastAsia" w:eastAsiaTheme="minorEastAsia"/>
          <w:color w:val="000000"/>
          <w:sz w:val="24"/>
        </w:rPr>
        <w:t>商业服务业（类）…（款）…（项）：指……。</w:t>
      </w:r>
    </w:p>
    <w:p>
      <w:pPr>
        <w:adjustRightInd w:val="false"/>
        <w:snapToGrid w:val="false"/>
        <w:spacing w:line="360" w:lineRule="auto"/>
        <w:ind w:firstLine="480" w:firstLineChars="200"/>
        <w:rPr>
          <w:rFonts w:asciiTheme="minorEastAsia" w:hAnsiTheme="minorEastAsia" w:eastAsiaTheme="minorEastAsia"/>
          <w:color w:val="000000"/>
          <w:sz w:val="24"/>
        </w:rPr>
      </w:pPr>
      <w:r>
        <w:rPr>
          <w:rFonts w:asciiTheme="minorEastAsia" w:hAnsiTheme="minorEastAsia" w:eastAsiaTheme="minorEastAsia"/>
          <w:color w:val="000000"/>
          <w:sz w:val="24"/>
        </w:rPr>
        <w:t>23.</w:t>
      </w:r>
      <w:r>
        <w:rPr>
          <w:rFonts w:hint="eastAsia" w:asciiTheme="minorEastAsia" w:hAnsiTheme="minorEastAsia" w:eastAsiaTheme="minorEastAsia"/>
          <w:color w:val="000000"/>
          <w:sz w:val="24"/>
        </w:rPr>
        <w:t>金融（类）…（款）…（项）：指……。</w:t>
      </w:r>
    </w:p>
    <w:p>
      <w:pPr>
        <w:adjustRightInd w:val="false"/>
        <w:snapToGrid w:val="false"/>
        <w:spacing w:line="360" w:lineRule="auto"/>
        <w:ind w:firstLine="480" w:firstLineChars="200"/>
        <w:rPr>
          <w:rFonts w:asciiTheme="minorEastAsia" w:hAnsiTheme="minorEastAsia" w:eastAsiaTheme="minorEastAsia"/>
          <w:color w:val="000000"/>
          <w:sz w:val="24"/>
        </w:rPr>
      </w:pPr>
      <w:r>
        <w:rPr>
          <w:rFonts w:asciiTheme="minorEastAsia" w:hAnsiTheme="minorEastAsia" w:eastAsiaTheme="minorEastAsia"/>
          <w:color w:val="000000"/>
          <w:sz w:val="24"/>
        </w:rPr>
        <w:t>24.</w:t>
      </w:r>
      <w:r>
        <w:rPr>
          <w:rFonts w:hint="eastAsia" w:asciiTheme="minorEastAsia" w:hAnsiTheme="minorEastAsia" w:eastAsiaTheme="minorEastAsia"/>
          <w:color w:val="000000"/>
          <w:sz w:val="24"/>
        </w:rPr>
        <w:t>国土海洋气象等（类）…（款）…（项）：指……。</w:t>
      </w:r>
    </w:p>
    <w:p>
      <w:pPr>
        <w:adjustRightInd w:val="false"/>
        <w:snapToGrid w:val="false"/>
        <w:spacing w:line="360" w:lineRule="auto"/>
        <w:ind w:firstLine="480" w:firstLineChars="200"/>
        <w:rPr>
          <w:rFonts w:asciiTheme="minorEastAsia" w:hAnsiTheme="minorEastAsia" w:eastAsiaTheme="minorEastAsia"/>
          <w:color w:val="000000"/>
          <w:sz w:val="24"/>
        </w:rPr>
      </w:pPr>
      <w:r>
        <w:rPr>
          <w:rFonts w:asciiTheme="minorEastAsia" w:hAnsiTheme="minorEastAsia" w:eastAsiaTheme="minorEastAsia"/>
          <w:color w:val="000000"/>
          <w:sz w:val="24"/>
        </w:rPr>
        <w:t>25.</w:t>
      </w:r>
      <w:r>
        <w:rPr>
          <w:rFonts w:hint="eastAsia" w:asciiTheme="minorEastAsia" w:hAnsiTheme="minorEastAsia" w:eastAsiaTheme="minorEastAsia"/>
          <w:color w:val="000000"/>
          <w:sz w:val="24"/>
        </w:rPr>
        <w:t>住房保障（类）…（款）…（项）：指……。</w:t>
      </w:r>
    </w:p>
    <w:p>
      <w:pPr>
        <w:adjustRightInd w:val="false"/>
        <w:snapToGrid w:val="false"/>
        <w:spacing w:line="360" w:lineRule="auto"/>
        <w:ind w:firstLine="480" w:firstLineChars="200"/>
        <w:rPr>
          <w:rFonts w:asciiTheme="minorEastAsia" w:hAnsiTheme="minorEastAsia" w:eastAsiaTheme="minorEastAsia"/>
          <w:color w:val="000000"/>
          <w:sz w:val="24"/>
        </w:rPr>
      </w:pPr>
      <w:r>
        <w:rPr>
          <w:rFonts w:asciiTheme="minorEastAsia" w:hAnsiTheme="minorEastAsia" w:eastAsiaTheme="minorEastAsia"/>
          <w:color w:val="000000"/>
          <w:sz w:val="24"/>
        </w:rPr>
        <w:t>26.</w:t>
      </w:r>
      <w:r>
        <w:rPr>
          <w:rFonts w:hint="eastAsia" w:asciiTheme="minorEastAsia" w:hAnsiTheme="minorEastAsia" w:eastAsiaTheme="minorEastAsia"/>
          <w:color w:val="000000"/>
          <w:sz w:val="24"/>
        </w:rPr>
        <w:t>粮油物资储备（类）…（款）…（项）：指……。</w:t>
      </w:r>
    </w:p>
    <w:p>
      <w:pPr>
        <w:adjustRightInd w:val="false"/>
        <w:snapToGrid w:val="false"/>
        <w:spacing w:line="360" w:lineRule="auto"/>
        <w:ind w:firstLine="480" w:firstLineChars="200"/>
        <w:rPr>
          <w:rFonts w:asciiTheme="minorEastAsia" w:hAnsiTheme="minorEastAsia" w:eastAsiaTheme="minorEastAsia"/>
          <w:color w:val="000000"/>
          <w:sz w:val="24"/>
        </w:rPr>
      </w:pPr>
      <w:r>
        <w:rPr>
          <w:rFonts w:hint="eastAsia" w:asciiTheme="minorEastAsia" w:hAnsiTheme="minorEastAsia" w:eastAsiaTheme="minorEastAsia"/>
          <w:color w:val="000000"/>
          <w:sz w:val="24"/>
        </w:rPr>
        <w:t>……</w:t>
      </w:r>
    </w:p>
    <w:p>
      <w:pPr>
        <w:adjustRightInd w:val="false"/>
        <w:snapToGrid w:val="false"/>
        <w:spacing w:line="360" w:lineRule="auto"/>
        <w:ind w:firstLine="480" w:firstLineChars="200"/>
        <w:rPr>
          <w:rFonts w:asciiTheme="minorEastAsia" w:hAnsiTheme="minorEastAsia" w:eastAsiaTheme="minorEastAsia"/>
          <w:color w:val="000000"/>
          <w:sz w:val="24"/>
        </w:rPr>
      </w:pPr>
      <w:r>
        <w:rPr>
          <w:rFonts w:asciiTheme="minorEastAsia" w:hAnsiTheme="minorEastAsia" w:eastAsiaTheme="minorEastAsia"/>
          <w:color w:val="000000"/>
          <w:sz w:val="24"/>
        </w:rPr>
        <w:t>27.</w:t>
      </w:r>
      <w:r>
        <w:rPr>
          <w:rFonts w:hint="eastAsia" w:asciiTheme="minorEastAsia" w:hAnsiTheme="minorEastAsia" w:eastAsiaTheme="minorEastAsia"/>
          <w:color w:val="000000"/>
          <w:sz w:val="24"/>
        </w:rPr>
        <w:t>基本支出：指为保障机构正常运转、完成日常工作任务而发生的人员支出和公用支出。</w:t>
      </w:r>
    </w:p>
    <w:p>
      <w:pPr>
        <w:adjustRightInd w:val="false"/>
        <w:snapToGrid w:val="false"/>
        <w:spacing w:line="360" w:lineRule="auto"/>
        <w:ind w:firstLine="480" w:firstLineChars="200"/>
        <w:rPr>
          <w:rFonts w:asciiTheme="minorEastAsia" w:hAnsiTheme="minorEastAsia" w:eastAsiaTheme="minorEastAsia"/>
          <w:color w:val="000000"/>
          <w:sz w:val="24"/>
        </w:rPr>
      </w:pPr>
      <w:r>
        <w:rPr>
          <w:rFonts w:asciiTheme="minorEastAsia" w:hAnsiTheme="minorEastAsia" w:eastAsiaTheme="minorEastAsia"/>
          <w:color w:val="000000"/>
          <w:sz w:val="24"/>
        </w:rPr>
        <w:t>28.</w:t>
      </w:r>
      <w:r>
        <w:rPr>
          <w:rFonts w:hint="eastAsia" w:asciiTheme="minorEastAsia" w:hAnsiTheme="minorEastAsia" w:eastAsiaTheme="minorEastAsia"/>
          <w:color w:val="000000"/>
          <w:sz w:val="24"/>
        </w:rPr>
        <w:t>项目支出：指在基本支出之外为完成特定行政任务和事业发展目标所发生的支出。</w:t>
      </w:r>
      <w:r>
        <w:rPr>
          <w:rFonts w:asciiTheme="minorEastAsia" w:hAnsiTheme="minorEastAsia" w:eastAsiaTheme="minorEastAsia"/>
          <w:color w:val="000000"/>
          <w:sz w:val="24"/>
        </w:rPr>
        <w:t xml:space="preserve"> </w:t>
      </w:r>
    </w:p>
    <w:p>
      <w:pPr>
        <w:adjustRightInd w:val="false"/>
        <w:snapToGrid w:val="false"/>
        <w:spacing w:line="360" w:lineRule="auto"/>
        <w:ind w:firstLine="480" w:firstLineChars="200"/>
        <w:rPr>
          <w:rFonts w:asciiTheme="minorEastAsia" w:hAnsiTheme="minorEastAsia" w:eastAsiaTheme="minorEastAsia"/>
          <w:color w:val="000000"/>
          <w:sz w:val="24"/>
        </w:rPr>
      </w:pPr>
      <w:r>
        <w:rPr>
          <w:rFonts w:asciiTheme="minorEastAsia" w:hAnsiTheme="minorEastAsia" w:eastAsiaTheme="minorEastAsia"/>
          <w:color w:val="000000"/>
          <w:sz w:val="24"/>
        </w:rPr>
        <w:t>29.</w:t>
      </w:r>
      <w:r>
        <w:rPr>
          <w:rFonts w:hint="eastAsia" w:asciiTheme="minorEastAsia" w:hAnsiTheme="minorEastAsia" w:eastAsiaTheme="minorEastAsia"/>
          <w:color w:val="000000"/>
          <w:sz w:val="24"/>
        </w:rPr>
        <w:t>经营支出：指事业单位在专业业务活动及其辅助活动之外开展非独立核算经营活动发生的支出。</w:t>
      </w:r>
    </w:p>
    <w:p>
      <w:pPr>
        <w:pStyle w:val="00000c"/>
        <w:snapToGrid w:val="false"/>
        <w:spacing w:line="360" w:lineRule="auto"/>
        <w:ind w:firstLine="480" w:firstLineChars="200"/>
        <w:jc w:val="both"/>
        <w:rPr>
          <w:rFonts w:asciiTheme="minorEastAsia" w:hAnsiTheme="minorEastAsia" w:eastAsiaTheme="minorEastAsia"/>
        </w:rPr>
      </w:pPr>
      <w:r>
        <w:rPr>
          <w:rFonts w:asciiTheme="minorEastAsia" w:hAnsiTheme="minorEastAsia" w:eastAsiaTheme="minorEastAsia"/>
        </w:rPr>
        <w:t>30.</w:t>
      </w:r>
      <w:r>
        <w:rPr>
          <w:rFonts w:hint="eastAsia" w:asciiTheme="minorEastAsia" w:hAnsiTheme="minorEastAsia" w:eastAsiaTheme="minorEastAsia"/>
        </w:rPr>
        <w:t>“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pStyle w:val="00000c"/>
        <w:snapToGrid w:val="false"/>
        <w:spacing w:line="360" w:lineRule="auto"/>
        <w:ind w:firstLine="480" w:firstLineChars="200"/>
        <w:jc w:val="both"/>
        <w:rPr>
          <w:rFonts w:asciiTheme="minorEastAsia" w:hAnsiTheme="minorEastAsia" w:eastAsiaTheme="minorEastAsia"/>
        </w:rPr>
      </w:pPr>
      <w:r>
        <w:rPr>
          <w:rFonts w:asciiTheme="minorEastAsia" w:hAnsiTheme="minorEastAsia" w:eastAsiaTheme="minorEastAsia"/>
        </w:rPr>
        <w:t>31.</w:t>
      </w:r>
      <w:r>
        <w:rPr>
          <w:rFonts w:hint="eastAsia" w:asciiTheme="minorEastAsia" w:hAnsiTheme="minorEastAsia" w:eastAsiaTheme="minorEastAsia"/>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00000c"/>
        <w:snapToGrid w:val="false"/>
        <w:spacing w:line="360" w:lineRule="auto"/>
        <w:ind w:firstLine="480" w:firstLineChars="200"/>
        <w:jc w:val="both"/>
        <w:rPr>
          <w:rFonts w:asciiTheme="minorEastAsia" w:hAnsiTheme="minorEastAsia" w:eastAsiaTheme="minorEastAsia"/>
        </w:rPr>
      </w:pPr>
      <w:r>
        <w:rPr>
          <w:rFonts w:hint="eastAsia" w:asciiTheme="minorEastAsia" w:hAnsiTheme="minorEastAsia" w:eastAsiaTheme="minorEastAsia"/>
        </w:rPr>
        <w:t>……</w:t>
      </w:r>
    </w:p>
    <w:p>
      <w:pPr>
        <w:spacing w:line="600" w:lineRule="exact"/>
        <w:ind/>
        <w:jc w:val="center"/>
        <w:outlineLvl w:val="0"/>
        <w:rPr>
          <w:rStyle w:val="24"/>
          <w:rFonts w:ascii="黑体" w:hAnsi="黑体" w:eastAsia="黑体"/>
          <w:sz w:val="36"/>
          <w:szCs w:val="36"/>
        </w:rPr>
      </w:pPr>
      <w:r>
        <w:rPr>
          <w:rFonts w:ascii="宋体"/>
          <w:b/>
          <w:color w:val="000000"/>
          <w:sz w:val="44"/>
          <w:szCs w:val="44"/>
        </w:rPr>
        <w:br w:type="page"/>
      </w:r>
      <w:bookmarkStart w:id="57" w:name="_Toc15396614"/>
      <w:r>
        <w:rPr>
          <w:rFonts w:hint="eastAsia" w:ascii="黑体" w:hAnsi="黑体" w:eastAsia="黑体"/>
          <w:color w:val="000000"/>
          <w:sz w:val="36"/>
          <w:szCs w:val="36"/>
        </w:rPr>
        <w:t>第</w:t>
      </w:r>
      <w:r>
        <w:rPr>
          <w:rStyle w:val="000017"/>
          <w:rFonts w:hint="eastAsia" w:ascii="黑体" w:hAnsi="黑体" w:eastAsia="黑体"/>
          <w:sz w:val="36"/>
          <w:szCs w:val="36"/>
        </w:rPr>
        <w:t>四部分 附件</w:t>
      </w:r>
      <w:bookmarkEnd w:id="57"/>
    </w:p>
    <w:p>
      <w:pPr>
        <w:spacing w:line="600" w:lineRule="exact"/>
        <w:ind/>
        <w:jc w:val="left"/>
        <w:outlineLvl w:val="0"/>
        <w:rPr>
          <w:rFonts w:ascii="方正小标宋简体" w:hAnsi="方正小标宋简体" w:eastAsia="方正小标宋简体" w:cs="方正小标宋简体"/>
          <w:sz w:val="32"/>
          <w:szCs w:val="32"/>
        </w:rPr>
      </w:pPr>
      <w:r>
        <w:rPr>
          <w:rFonts w:hint="eastAsia" w:ascii="黑体" w:hAnsi="黑体" w:eastAsia="黑体" w:cs="黑体"/>
          <w:sz w:val="32"/>
          <w:szCs w:val="32"/>
        </w:rPr>
        <w:t>附件1</w:t>
      </w:r>
    </w:p>
    <w:p>
      <w:pPr>
        <w:adjustRightInd w:val="false"/>
        <w:snapToGrid w:val="false"/>
        <w:ind/>
        <w:jc w:val="center"/>
        <w:rPr>
          <w:rFonts w:ascii="黑体" w:hAnsi="黑体" w:eastAsia="黑体"/>
          <w:b/>
          <w:bCs/>
          <w:kern w:val="0"/>
          <w:sz w:val="32"/>
          <w:szCs w:val="32"/>
        </w:rPr>
      </w:pPr>
      <w:r>
        <w:rPr>
          <w:rFonts w:hint="eastAsia" w:ascii="黑体" w:hAnsi="黑体" w:eastAsia="黑体"/>
          <w:b/>
          <w:bCs/>
          <w:kern w:val="0"/>
          <w:sz w:val="32"/>
          <w:szCs w:val="32"/>
        </w:rPr>
        <w:t>广汉市雒城镇第一小学校</w:t>
      </w:r>
    </w:p>
    <w:p>
      <w:pPr>
        <w:adjustRightInd w:val="false"/>
        <w:snapToGrid w:val="false"/>
        <w:ind/>
        <w:jc w:val="center"/>
        <w:rPr>
          <w:rFonts w:hint="eastAsia" w:ascii="黑体" w:hAnsi="黑体" w:eastAsia="黑体"/>
          <w:b/>
          <w:bCs/>
          <w:kern w:val="0"/>
          <w:sz w:val="32"/>
          <w:szCs w:val="32"/>
        </w:rPr>
      </w:pPr>
      <w:r>
        <w:rPr>
          <w:rFonts w:hint="eastAsia" w:ascii="黑体" w:hAnsi="黑体" w:eastAsia="黑体"/>
          <w:b/>
          <w:bCs/>
          <w:kern w:val="0"/>
          <w:sz w:val="32"/>
          <w:szCs w:val="32"/>
        </w:rPr>
        <w:t>2019年整体支出绩效评价报告</w:t>
      </w:r>
    </w:p>
    <w:p>
      <w:pPr>
        <w:autoSpaceDE w:val="false"/>
        <w:autoSpaceDN w:val="false"/>
        <w:adjustRightInd w:val="false"/>
        <w:snapToGrid w:val="false"/>
        <w:spacing w:line="360" w:lineRule="auto"/>
        <w:ind w:firstLine="480" w:firstLineChars="200"/>
        <w:rPr>
          <w:rFonts w:hint="eastAsia" w:ascii="仿宋_GB2312" w:eastAsia="仿宋_GB2312"/>
          <w:kern w:val="0"/>
          <w:sz w:val="24"/>
        </w:rPr>
      </w:pPr>
      <w:r>
        <w:rPr>
          <w:rFonts w:hint="eastAsia" w:ascii="仿宋_GB2312" w:eastAsia="仿宋_GB2312"/>
          <w:kern w:val="0"/>
          <w:sz w:val="24"/>
        </w:rPr>
        <w:t xml:space="preserve"> </w:t>
      </w:r>
    </w:p>
    <w:p>
      <w:pPr>
        <w:autoSpaceDE w:val="false"/>
        <w:autoSpaceDN w:val="false"/>
        <w:adjustRightInd w:val="false"/>
        <w:snapToGrid w:val="false"/>
        <w:spacing w:line="360" w:lineRule="auto"/>
        <w:ind w:firstLine="482" w:firstLineChars="200"/>
        <w:rPr>
          <w:rFonts w:hint="eastAsia" w:ascii="宋体" w:hAnsi="宋体"/>
          <w:b/>
          <w:bCs/>
          <w:kern w:val="0"/>
          <w:sz w:val="24"/>
        </w:rPr>
      </w:pPr>
      <w:r>
        <w:rPr>
          <w:rFonts w:hint="eastAsia" w:ascii="宋体" w:hAnsi="宋体"/>
          <w:b/>
          <w:bCs/>
          <w:kern w:val="0"/>
          <w:sz w:val="24"/>
        </w:rPr>
        <w:t>一、单位概况</w:t>
      </w:r>
    </w:p>
    <w:p>
      <w:pPr>
        <w:autoSpaceDE w:val="false"/>
        <w:autoSpaceDN w:val="false"/>
        <w:adjustRightInd w:val="false"/>
        <w:snapToGrid w:val="false"/>
        <w:spacing w:line="360" w:lineRule="auto"/>
        <w:ind w:firstLine="480" w:firstLineChars="200"/>
        <w:rPr>
          <w:rFonts w:hint="eastAsia" w:ascii="宋体" w:hAnsi="宋体"/>
          <w:kern w:val="0"/>
          <w:sz w:val="24"/>
        </w:rPr>
      </w:pPr>
      <w:r>
        <w:rPr>
          <w:rFonts w:hint="eastAsia" w:ascii="宋体" w:hAnsi="宋体"/>
          <w:kern w:val="0"/>
          <w:sz w:val="24"/>
        </w:rPr>
        <w:t>（一）基本情况。</w:t>
      </w:r>
    </w:p>
    <w:p>
      <w:pPr>
        <w:autoSpaceDE w:val="false"/>
        <w:autoSpaceDN w:val="false"/>
        <w:adjustRightInd w:val="false"/>
        <w:snapToGrid w:val="false"/>
        <w:spacing w:line="360" w:lineRule="auto"/>
        <w:ind w:firstLine="480" w:firstLineChars="200"/>
        <w:rPr>
          <w:rFonts w:hint="eastAsia" w:ascii="宋体" w:hAnsi="宋体"/>
          <w:kern w:val="0"/>
          <w:sz w:val="24"/>
        </w:rPr>
      </w:pPr>
      <w:r>
        <w:rPr>
          <w:rFonts w:hint="eastAsia" w:ascii="宋体" w:hAnsi="宋体"/>
          <w:kern w:val="0"/>
          <w:sz w:val="24"/>
        </w:rPr>
        <w:t>广汉市雒城镇第一小学校是广汉市教育局所属的一所全日制小学。学校内设机构有：教导处、政教处、总务处、行政办公室、安全办公室，党支部和教工会。2020年3月27日更名为“广汉市第一小学”（广汉是委编办【2020】-13号文）</w:t>
      </w:r>
    </w:p>
    <w:p>
      <w:pPr>
        <w:autoSpaceDE w:val="false"/>
        <w:autoSpaceDN w:val="false"/>
        <w:adjustRightInd w:val="false"/>
        <w:snapToGrid w:val="false"/>
        <w:spacing w:line="360" w:lineRule="auto"/>
        <w:ind w:firstLine="480" w:firstLineChars="200"/>
        <w:rPr>
          <w:rFonts w:hint="eastAsia" w:ascii="宋体" w:hAnsi="宋体"/>
          <w:kern w:val="0"/>
          <w:sz w:val="24"/>
        </w:rPr>
      </w:pPr>
      <w:r>
        <w:rPr>
          <w:rFonts w:hint="eastAsia" w:ascii="宋体" w:hAnsi="宋体"/>
          <w:kern w:val="0"/>
          <w:sz w:val="24"/>
        </w:rPr>
        <w:t>校园占地面积8380平方米，建筑面积5604平方米。学校教育教学设施设备齐全，宽敞明亮的教室、功能室、办公室，优美的校园环境、幽雅的校园文化。2019年在编教职工89人，退休教职工48人，学校临聘人员8人。有小学教育班34个，附设学前教育班4个，在校学生1583人（其中小学生1483人，学前班学生145人）。学校认真贯彻执行党的教育方针。积极稳妥地推进课堂教学改革，认真组织教育教学、学科研究活动，不断提高教育教学质量，学校特色和学生的个性得到了发展。根据学校规模，设置学校管理机构，建立健全各项规章制度和岗位责任制。坚持教书育人，服务育人，环境育人方针，维护教职工利益，保障教职工合法权益，以养成学生良好习惯为重点，为教职工和学生的幸福人生奠基。</w:t>
      </w:r>
    </w:p>
    <w:p>
      <w:pPr>
        <w:autoSpaceDE w:val="false"/>
        <w:autoSpaceDN w:val="false"/>
        <w:adjustRightInd w:val="false"/>
        <w:snapToGrid w:val="false"/>
        <w:spacing w:line="360" w:lineRule="auto"/>
        <w:ind w:firstLine="480" w:firstLineChars="200"/>
        <w:rPr>
          <w:rFonts w:hint="eastAsia" w:ascii="宋体" w:hAnsi="宋体"/>
          <w:kern w:val="0"/>
          <w:sz w:val="24"/>
        </w:rPr>
      </w:pPr>
      <w:r>
        <w:rPr>
          <w:rFonts w:hint="eastAsia" w:ascii="宋体" w:hAnsi="宋体"/>
          <w:kern w:val="0"/>
          <w:sz w:val="24"/>
        </w:rPr>
        <w:t>（二）2019年度主要工作目标及重点工作。</w:t>
      </w:r>
    </w:p>
    <w:p>
      <w:pPr>
        <w:autoSpaceDE w:val="false"/>
        <w:autoSpaceDN w:val="false"/>
        <w:adjustRightInd w:val="false"/>
        <w:snapToGrid w:val="false"/>
        <w:spacing w:line="360" w:lineRule="auto"/>
        <w:ind w:firstLine="480" w:firstLineChars="200"/>
        <w:rPr>
          <w:rFonts w:hint="eastAsia" w:ascii="宋体" w:hAnsi="宋体"/>
          <w:kern w:val="0"/>
          <w:sz w:val="24"/>
        </w:rPr>
      </w:pPr>
      <w:r>
        <w:rPr>
          <w:rFonts w:hint="eastAsia" w:ascii="宋体" w:hAnsi="宋体"/>
          <w:kern w:val="0"/>
          <w:sz w:val="24"/>
        </w:rPr>
        <w:t>2019年学校的工作思路是：树教改先锋，办书香校园，育儒雅师生。</w:t>
      </w:r>
    </w:p>
    <w:p>
      <w:pPr>
        <w:autoSpaceDE w:val="false"/>
        <w:autoSpaceDN w:val="false"/>
        <w:adjustRightInd w:val="false"/>
        <w:snapToGrid w:val="false"/>
        <w:spacing w:line="360" w:lineRule="auto"/>
        <w:ind w:firstLine="480" w:firstLineChars="200"/>
        <w:rPr>
          <w:rFonts w:hint="eastAsia" w:ascii="宋体" w:hAnsi="宋体"/>
          <w:kern w:val="0"/>
          <w:sz w:val="24"/>
        </w:rPr>
      </w:pPr>
      <w:r>
        <w:rPr>
          <w:rFonts w:hint="eastAsia" w:ascii="宋体" w:hAnsi="宋体"/>
          <w:kern w:val="0"/>
          <w:sz w:val="24"/>
        </w:rPr>
        <w:t>主要工作目标及重点工作是：围绕办品牌学校一个中心，抓好教育质量和校园特色两条主线；培养三支只队伍（富有创造力的领导班子、德艺双馨的教师队伍、成熟合作的家长队伍），促师生和家长幸福成长；打造四个校园（平安校园、数码校园、书香校园、“儒雅”校园），营造学生快乐成长环境。</w:t>
      </w:r>
    </w:p>
    <w:p>
      <w:pPr>
        <w:autoSpaceDE w:val="false"/>
        <w:autoSpaceDN w:val="false"/>
        <w:adjustRightInd w:val="false"/>
        <w:snapToGrid w:val="false"/>
        <w:spacing w:line="360" w:lineRule="auto"/>
        <w:ind w:firstLine="482" w:firstLineChars="200"/>
        <w:rPr>
          <w:rFonts w:hint="eastAsia" w:ascii="宋体" w:hAnsi="宋体"/>
          <w:b/>
          <w:bCs/>
          <w:kern w:val="0"/>
          <w:sz w:val="24"/>
        </w:rPr>
      </w:pPr>
      <w:r>
        <w:rPr>
          <w:rFonts w:hint="eastAsia" w:ascii="宋体" w:hAnsi="宋体"/>
          <w:b/>
          <w:bCs/>
          <w:kern w:val="0"/>
          <w:sz w:val="24"/>
        </w:rPr>
        <w:t>二、预算管理情况</w:t>
      </w:r>
    </w:p>
    <w:p>
      <w:pPr>
        <w:autoSpaceDE w:val="false"/>
        <w:autoSpaceDN w:val="false"/>
        <w:adjustRightInd w:val="false"/>
        <w:snapToGrid w:val="false"/>
        <w:spacing w:line="360" w:lineRule="auto"/>
        <w:ind w:firstLine="480" w:firstLineChars="200"/>
        <w:rPr>
          <w:rFonts w:hint="eastAsia" w:ascii="宋体" w:hAnsi="宋体"/>
          <w:kern w:val="0"/>
          <w:sz w:val="24"/>
        </w:rPr>
      </w:pPr>
      <w:r>
        <w:rPr>
          <w:rFonts w:hint="eastAsia" w:ascii="宋体" w:hAnsi="宋体"/>
          <w:kern w:val="0"/>
          <w:sz w:val="24"/>
        </w:rPr>
        <w:t>（一）预算编制情况。</w:t>
      </w:r>
    </w:p>
    <w:p>
      <w:pPr>
        <w:autoSpaceDE w:val="false"/>
        <w:autoSpaceDN w:val="false"/>
        <w:adjustRightInd w:val="false"/>
        <w:snapToGrid w:val="false"/>
        <w:spacing w:line="360" w:lineRule="auto"/>
        <w:ind w:firstLine="480" w:firstLineChars="200"/>
        <w:rPr>
          <w:rFonts w:hint="eastAsia" w:ascii="宋体" w:hAnsi="宋体"/>
          <w:kern w:val="0"/>
          <w:sz w:val="24"/>
        </w:rPr>
      </w:pPr>
      <w:r>
        <w:rPr>
          <w:rFonts w:hint="eastAsia" w:ascii="宋体" w:hAnsi="宋体"/>
          <w:kern w:val="0"/>
          <w:sz w:val="24"/>
        </w:rPr>
        <w:t>根据广财预【2018】19号文件要求和学校办班的规模，及其有关规定，对学校2019年度经费收支进行预算编制调整。</w:t>
      </w:r>
    </w:p>
    <w:p>
      <w:pPr>
        <w:autoSpaceDE w:val="false"/>
        <w:autoSpaceDN w:val="false"/>
        <w:adjustRightInd w:val="false"/>
        <w:snapToGrid w:val="false"/>
        <w:spacing w:line="360" w:lineRule="auto"/>
        <w:ind w:firstLine="480" w:firstLineChars="200"/>
        <w:rPr>
          <w:rFonts w:hint="eastAsia" w:ascii="宋体" w:hAnsi="宋体"/>
          <w:kern w:val="0"/>
          <w:sz w:val="24"/>
        </w:rPr>
      </w:pPr>
      <w:r>
        <w:rPr>
          <w:rFonts w:hint="eastAsia" w:ascii="宋体" w:hAnsi="宋体"/>
          <w:kern w:val="0"/>
          <w:sz w:val="24"/>
        </w:rPr>
        <w:t>1、年初预算收入情况：合计1124.58万元，其中：一般公共预算财政拨款收入1106.58万元，教育收费（学前班保教费）18万元。</w:t>
      </w:r>
    </w:p>
    <w:p>
      <w:pPr>
        <w:autoSpaceDE w:val="false"/>
        <w:autoSpaceDN w:val="false"/>
        <w:adjustRightInd w:val="false"/>
        <w:snapToGrid w:val="false"/>
        <w:spacing w:line="360" w:lineRule="auto"/>
        <w:ind w:firstLine="480" w:firstLineChars="200"/>
        <w:rPr>
          <w:rFonts w:hint="eastAsia" w:ascii="宋体" w:hAnsi="宋体"/>
          <w:kern w:val="0"/>
          <w:sz w:val="24"/>
        </w:rPr>
      </w:pPr>
      <w:r>
        <w:rPr>
          <w:rFonts w:hint="eastAsia" w:ascii="宋体" w:hAnsi="宋体"/>
          <w:kern w:val="0"/>
          <w:sz w:val="24"/>
        </w:rPr>
        <w:t>2、调整预算收入情况：合计1461.68万元，其中：一般公共预算财政拨款收入1356.69万元，教育收费（学前班保教费）17.88万元，其他收入（课后延时服务收费）87.11万元。</w:t>
      </w:r>
    </w:p>
    <w:p>
      <w:pPr>
        <w:autoSpaceDE w:val="false"/>
        <w:autoSpaceDN w:val="false"/>
        <w:adjustRightInd w:val="false"/>
        <w:snapToGrid w:val="false"/>
        <w:spacing w:line="360" w:lineRule="auto"/>
        <w:ind w:firstLine="480" w:firstLineChars="200"/>
        <w:rPr>
          <w:rFonts w:hint="eastAsia" w:ascii="宋体" w:hAnsi="宋体"/>
          <w:kern w:val="0"/>
          <w:sz w:val="24"/>
        </w:rPr>
      </w:pPr>
      <w:r>
        <w:rPr>
          <w:rFonts w:hint="eastAsia" w:ascii="宋体" w:hAnsi="宋体"/>
          <w:kern w:val="0"/>
          <w:sz w:val="24"/>
        </w:rPr>
        <w:t>3、年初预算支出（基本支出）情况：合计1387.63万元（包括本年预算的1124.58万元和上年结转结余的263.05万元）。</w:t>
      </w:r>
    </w:p>
    <w:p>
      <w:pPr>
        <w:autoSpaceDE w:val="false"/>
        <w:autoSpaceDN w:val="false"/>
        <w:adjustRightInd w:val="false"/>
        <w:snapToGrid w:val="false"/>
        <w:spacing w:line="360" w:lineRule="auto"/>
        <w:ind w:firstLine="480" w:firstLineChars="200"/>
        <w:rPr>
          <w:rFonts w:hint="eastAsia" w:ascii="宋体" w:hAnsi="宋体"/>
          <w:kern w:val="0"/>
          <w:sz w:val="24"/>
        </w:rPr>
      </w:pPr>
      <w:r>
        <w:rPr>
          <w:rFonts w:hint="eastAsia" w:ascii="宋体" w:hAnsi="宋体"/>
          <w:kern w:val="0"/>
          <w:sz w:val="24"/>
        </w:rPr>
        <w:t>（1）人员经费：991.66万元；</w:t>
      </w:r>
    </w:p>
    <w:p>
      <w:pPr>
        <w:autoSpaceDE w:val="false"/>
        <w:autoSpaceDN w:val="false"/>
        <w:adjustRightInd w:val="false"/>
        <w:snapToGrid w:val="false"/>
        <w:spacing w:line="360" w:lineRule="auto"/>
        <w:ind w:firstLine="480" w:firstLineChars="200"/>
        <w:rPr>
          <w:rFonts w:hint="eastAsia" w:ascii="宋体" w:hAnsi="宋体"/>
          <w:kern w:val="0"/>
          <w:sz w:val="24"/>
        </w:rPr>
      </w:pPr>
      <w:r>
        <w:rPr>
          <w:rFonts w:hint="eastAsia" w:ascii="宋体" w:hAnsi="宋体"/>
          <w:kern w:val="0"/>
          <w:sz w:val="24"/>
        </w:rPr>
        <w:t>（2）日常公用经费：395.97万元。</w:t>
      </w:r>
    </w:p>
    <w:p>
      <w:pPr>
        <w:autoSpaceDE w:val="false"/>
        <w:autoSpaceDN w:val="false"/>
        <w:adjustRightInd w:val="false"/>
        <w:snapToGrid w:val="false"/>
        <w:spacing w:line="360" w:lineRule="auto"/>
        <w:ind w:firstLine="480" w:firstLineChars="200"/>
        <w:rPr>
          <w:rFonts w:hint="eastAsia" w:ascii="宋体" w:hAnsi="宋体"/>
          <w:kern w:val="0"/>
          <w:sz w:val="24"/>
        </w:rPr>
      </w:pPr>
      <w:r>
        <w:rPr>
          <w:rFonts w:hint="eastAsia" w:ascii="宋体" w:hAnsi="宋体"/>
          <w:kern w:val="0"/>
          <w:sz w:val="24"/>
        </w:rPr>
        <w:t>其中：教育支出1050.33万元，社会保障和就业支出184.42万元，卫生健康支出66.64万元，住房保障支出86.24万元。</w:t>
      </w:r>
    </w:p>
    <w:p>
      <w:pPr>
        <w:autoSpaceDE w:val="false"/>
        <w:autoSpaceDN w:val="false"/>
        <w:adjustRightInd w:val="false"/>
        <w:snapToGrid w:val="false"/>
        <w:spacing w:line="360" w:lineRule="auto"/>
        <w:ind w:firstLine="480" w:firstLineChars="200"/>
        <w:rPr>
          <w:rFonts w:hint="eastAsia" w:ascii="宋体" w:hAnsi="宋体"/>
          <w:kern w:val="0"/>
          <w:sz w:val="24"/>
        </w:rPr>
      </w:pPr>
      <w:r>
        <w:rPr>
          <w:rFonts w:hint="eastAsia" w:ascii="宋体" w:hAnsi="宋体"/>
          <w:kern w:val="0"/>
          <w:sz w:val="24"/>
        </w:rPr>
        <w:t>4、调整预算支出（基本支出）情况：合计1724.73万元（包括本年调整预算的1461.68万元和上年累计结转结余的263.05万元）。</w:t>
      </w:r>
    </w:p>
    <w:p>
      <w:pPr>
        <w:autoSpaceDE w:val="false"/>
        <w:autoSpaceDN w:val="false"/>
        <w:adjustRightInd w:val="false"/>
        <w:snapToGrid w:val="false"/>
        <w:spacing w:line="360" w:lineRule="auto"/>
        <w:ind w:firstLine="480" w:firstLineChars="200"/>
        <w:rPr>
          <w:rFonts w:hint="eastAsia" w:ascii="宋体" w:hAnsi="宋体"/>
          <w:kern w:val="0"/>
          <w:sz w:val="24"/>
        </w:rPr>
      </w:pPr>
      <w:r>
        <w:rPr>
          <w:rFonts w:hint="eastAsia" w:ascii="宋体" w:hAnsi="宋体"/>
          <w:kern w:val="0"/>
          <w:sz w:val="24"/>
        </w:rPr>
        <w:t>（1）人员经费：1033.16万元；</w:t>
      </w:r>
    </w:p>
    <w:p>
      <w:pPr>
        <w:autoSpaceDE w:val="false"/>
        <w:autoSpaceDN w:val="false"/>
        <w:adjustRightInd w:val="false"/>
        <w:snapToGrid w:val="false"/>
        <w:spacing w:line="360" w:lineRule="auto"/>
        <w:ind w:firstLine="480" w:firstLineChars="200"/>
        <w:rPr>
          <w:rFonts w:hint="eastAsia" w:ascii="宋体" w:hAnsi="宋体"/>
          <w:kern w:val="0"/>
          <w:sz w:val="24"/>
        </w:rPr>
      </w:pPr>
      <w:r>
        <w:rPr>
          <w:rFonts w:hint="eastAsia" w:ascii="宋体" w:hAnsi="宋体"/>
          <w:kern w:val="0"/>
          <w:sz w:val="24"/>
        </w:rPr>
        <w:t>（2）日常公用经费：691.57万元。</w:t>
      </w:r>
    </w:p>
    <w:p>
      <w:pPr>
        <w:autoSpaceDE w:val="false"/>
        <w:autoSpaceDN w:val="false"/>
        <w:adjustRightInd w:val="false"/>
        <w:snapToGrid w:val="false"/>
        <w:spacing w:line="360" w:lineRule="auto"/>
        <w:ind w:firstLine="480" w:firstLineChars="200"/>
        <w:rPr>
          <w:rFonts w:hint="eastAsia" w:ascii="宋体" w:hAnsi="宋体"/>
          <w:kern w:val="0"/>
          <w:sz w:val="24"/>
        </w:rPr>
      </w:pPr>
      <w:r>
        <w:rPr>
          <w:rFonts w:hint="eastAsia" w:ascii="宋体" w:hAnsi="宋体"/>
          <w:kern w:val="0"/>
          <w:sz w:val="24"/>
        </w:rPr>
        <w:t>其中：教育支出1383.52万元，社会保障和就业支出194.01万元，卫生健康支出61.14万元，住房保障支出86.06万元。</w:t>
      </w:r>
    </w:p>
    <w:p>
      <w:pPr>
        <w:autoSpaceDE w:val="false"/>
        <w:autoSpaceDN w:val="false"/>
        <w:adjustRightInd w:val="false"/>
        <w:snapToGrid w:val="false"/>
        <w:spacing w:line="360" w:lineRule="auto"/>
        <w:ind w:firstLine="480" w:firstLineChars="200"/>
        <w:rPr>
          <w:rFonts w:hint="eastAsia" w:ascii="宋体" w:hAnsi="宋体"/>
          <w:kern w:val="0"/>
          <w:sz w:val="24"/>
        </w:rPr>
      </w:pPr>
      <w:r>
        <w:rPr>
          <w:rFonts w:hint="eastAsia" w:ascii="宋体" w:hAnsi="宋体"/>
          <w:kern w:val="0"/>
          <w:sz w:val="24"/>
        </w:rPr>
        <w:t>（二）预算执行情况。</w:t>
      </w:r>
    </w:p>
    <w:p>
      <w:pPr>
        <w:autoSpaceDE w:val="false"/>
        <w:autoSpaceDN w:val="false"/>
        <w:adjustRightInd w:val="false"/>
        <w:snapToGrid w:val="false"/>
        <w:spacing w:line="360" w:lineRule="auto"/>
        <w:ind w:firstLine="480" w:firstLineChars="200"/>
        <w:rPr>
          <w:rFonts w:hint="eastAsia" w:ascii="宋体" w:hAnsi="宋体"/>
          <w:kern w:val="0"/>
          <w:sz w:val="24"/>
        </w:rPr>
      </w:pPr>
      <w:r>
        <w:rPr>
          <w:rFonts w:hint="eastAsia" w:ascii="宋体" w:hAnsi="宋体"/>
          <w:kern w:val="0"/>
          <w:sz w:val="24"/>
        </w:rPr>
        <w:t>学校严格按照预算执行。在收到财政下达的各类款项后，按照资金的用途使用，支出总额控制在预算总额以内，按照预算执行进度，及时支付。本年度收入合计1461.68万元，其中财政拨款收入1356.69万元，事业收入（教育收费—学前班保教费）17.88万元，其他收入（课后延时服务收费）87.11万元。本年支出（基本支出）合计1315.76万元，其中工资福利支出993.09万元，商品和服务支出278.71万元，对个人和家庭的补助40.06万元，资本性支出3.90万元。2019年年末累计结转结余资金为391.08万元（包括上年累计结转结余263.05万元和本年结转结余128.03万元）。</w:t>
      </w:r>
    </w:p>
    <w:p>
      <w:pPr>
        <w:autoSpaceDE w:val="false"/>
        <w:autoSpaceDN w:val="false"/>
        <w:adjustRightInd w:val="false"/>
        <w:snapToGrid w:val="false"/>
        <w:spacing w:line="360" w:lineRule="auto"/>
        <w:ind w:firstLine="480" w:firstLineChars="200"/>
        <w:rPr>
          <w:rFonts w:hint="eastAsia" w:ascii="宋体" w:hAnsi="宋体"/>
          <w:kern w:val="0"/>
          <w:sz w:val="24"/>
        </w:rPr>
      </w:pPr>
      <w:r>
        <w:rPr>
          <w:rFonts w:hint="eastAsia" w:ascii="宋体" w:hAnsi="宋体"/>
          <w:kern w:val="0"/>
          <w:sz w:val="24"/>
        </w:rPr>
        <w:t>2019年我校无预算项目收支。</w:t>
      </w:r>
    </w:p>
    <w:p>
      <w:pPr>
        <w:autoSpaceDE w:val="false"/>
        <w:autoSpaceDN w:val="false"/>
        <w:adjustRightInd w:val="false"/>
        <w:snapToGrid w:val="false"/>
        <w:spacing w:line="360" w:lineRule="auto"/>
        <w:ind w:firstLine="482" w:firstLineChars="200"/>
        <w:rPr>
          <w:rFonts w:hint="eastAsia" w:ascii="宋体" w:hAnsi="宋体"/>
          <w:b/>
          <w:bCs/>
          <w:kern w:val="0"/>
          <w:sz w:val="24"/>
        </w:rPr>
      </w:pPr>
      <w:r>
        <w:rPr>
          <w:rFonts w:hint="eastAsia" w:ascii="宋体" w:hAnsi="宋体"/>
          <w:b/>
          <w:bCs/>
          <w:kern w:val="0"/>
          <w:sz w:val="24"/>
        </w:rPr>
        <w:t>三、部门管理情况</w:t>
      </w:r>
    </w:p>
    <w:p>
      <w:pPr>
        <w:autoSpaceDE w:val="false"/>
        <w:autoSpaceDN w:val="false"/>
        <w:adjustRightInd w:val="false"/>
        <w:snapToGrid w:val="false"/>
        <w:spacing w:line="360" w:lineRule="auto"/>
        <w:ind w:firstLine="480" w:firstLineChars="200"/>
        <w:rPr>
          <w:rFonts w:hint="eastAsia" w:ascii="宋体" w:hAnsi="宋体"/>
          <w:kern w:val="0"/>
          <w:sz w:val="24"/>
        </w:rPr>
      </w:pPr>
      <w:r>
        <w:rPr>
          <w:rFonts w:hint="eastAsia" w:ascii="宋体" w:hAnsi="宋体"/>
          <w:kern w:val="0"/>
          <w:sz w:val="24"/>
        </w:rPr>
        <w:t xml:space="preserve">2019年度，我校在财务管理上坚持依法管理，严格执行国家的相关财经法规。学前教育严格按照收费许可证收费，没有乱收费现象。在实际工作中，严格按照 “财务收支两条线”的管理，我校的所有行政事业性收入（幼儿教育收费），其他收入，所有收取款项不截留、不转移、不隐匿也不以现金形式存放。在进行支付时，严格按照《关于加强预算单位现金使用管理的通知》的要求，500元以上使用转账支付，相关转账尽可能在大平台进行支付。在本年度学校杜绝了“小金库”的存在。在财产管理方面，加强了财产管理，做到了责任到人。 </w:t>
      </w:r>
    </w:p>
    <w:p>
      <w:pPr>
        <w:autoSpaceDE w:val="false"/>
        <w:autoSpaceDN w:val="false"/>
        <w:adjustRightInd w:val="false"/>
        <w:snapToGrid w:val="false"/>
        <w:spacing w:line="360" w:lineRule="auto"/>
        <w:ind w:firstLine="480" w:firstLineChars="200"/>
        <w:rPr>
          <w:rFonts w:hint="eastAsia" w:ascii="宋体" w:hAnsi="宋体"/>
          <w:kern w:val="0"/>
          <w:sz w:val="24"/>
        </w:rPr>
      </w:pPr>
      <w:r>
        <w:rPr>
          <w:rFonts w:hint="eastAsia" w:ascii="宋体" w:hAnsi="宋体"/>
          <w:kern w:val="0"/>
          <w:sz w:val="24"/>
        </w:rPr>
        <w:t>我校严格按照《中小学会计制度》《中小学财务管理制度》《中小学公用经费管理办法》进行相关财务的管理和核算工作。年初预算做到坚持依法合规原则、综合预算原则、真实准确原则、优先保障原则、定员定额管理原则；平时财务做到财务监督与财务公开并重，让职工了解学校相关财务工作。年终决算前，做到（1）认真清理各项资金、资产；（2）核对账务。认真对往来款项进行清理。（3）核定收支。首先核定收入：财政补助收入、事业收入、其他收入等款项同财政局国库科、大平台的各项指标核对，确保准确无误。其次，核定本年度支出。并严格按照财政局最新的决算要求进行相关会计核算。</w:t>
      </w:r>
    </w:p>
    <w:p>
      <w:pPr>
        <w:autoSpaceDE w:val="false"/>
        <w:autoSpaceDN w:val="false"/>
        <w:adjustRightInd w:val="false"/>
        <w:snapToGrid w:val="false"/>
        <w:spacing w:line="360" w:lineRule="auto"/>
        <w:ind w:firstLine="480" w:firstLineChars="200"/>
        <w:rPr>
          <w:rFonts w:hint="eastAsia" w:ascii="宋体" w:hAnsi="宋体"/>
          <w:kern w:val="0"/>
          <w:sz w:val="24"/>
        </w:rPr>
      </w:pPr>
      <w:r>
        <w:rPr>
          <w:rFonts w:hint="eastAsia" w:ascii="宋体" w:hAnsi="宋体"/>
          <w:kern w:val="0"/>
          <w:sz w:val="24"/>
        </w:rPr>
        <w:t>2019年我校严格贯彻落实中央八项规定，学校多次对</w:t>
      </w:r>
      <w:r>
        <w:rPr>
          <w:rFonts w:hint="eastAsia" w:ascii="宋体" w:hAnsi="宋体"/>
          <w:kern w:val="0"/>
          <w:sz w:val="24"/>
        </w:rPr>
        <w:t>“三公”经费</w:t>
      </w:r>
      <w:r>
        <w:rPr>
          <w:rFonts w:hint="eastAsia" w:ascii="宋体" w:hAnsi="宋体"/>
          <w:kern w:val="0"/>
          <w:sz w:val="24"/>
        </w:rPr>
        <w:t>使用情况进行，严控，自查，完善了“三公”经费各项使用制度，有效控制了“三公”经费开支。年初“三公”经费只预算了公务接待费0.5万元，决算支出“三公”经费为0元。</w:t>
      </w:r>
    </w:p>
    <w:p>
      <w:pPr>
        <w:autoSpaceDE w:val="false"/>
        <w:autoSpaceDN w:val="false"/>
        <w:adjustRightInd w:val="false"/>
        <w:snapToGrid w:val="false"/>
        <w:spacing w:line="360" w:lineRule="auto"/>
        <w:ind w:firstLine="482" w:firstLineChars="200"/>
        <w:rPr>
          <w:rFonts w:hint="eastAsia" w:ascii="宋体" w:hAnsi="宋体"/>
          <w:b/>
          <w:bCs/>
          <w:kern w:val="0"/>
          <w:sz w:val="24"/>
        </w:rPr>
      </w:pPr>
      <w:r>
        <w:rPr>
          <w:rFonts w:hint="eastAsia" w:ascii="宋体" w:hAnsi="宋体"/>
          <w:b/>
          <w:bCs/>
          <w:kern w:val="0"/>
          <w:sz w:val="24"/>
        </w:rPr>
        <w:t>四、部门履职效能</w:t>
      </w:r>
    </w:p>
    <w:p>
      <w:pPr>
        <w:adjustRightInd w:val="false"/>
        <w:snapToGrid w:val="false"/>
        <w:spacing w:line="360" w:lineRule="auto"/>
        <w:ind w:firstLine="480" w:firstLineChars="200"/>
        <w:rPr>
          <w:rFonts w:hint="eastAsia" w:ascii="宋体" w:hAnsi="宋体"/>
          <w:kern w:val="0"/>
          <w:sz w:val="24"/>
        </w:rPr>
      </w:pPr>
      <w:r>
        <w:rPr>
          <w:rFonts w:hint="eastAsia" w:ascii="宋体" w:hAnsi="宋体"/>
          <w:kern w:val="0"/>
          <w:sz w:val="24"/>
        </w:rPr>
        <w:t>2019年，我校紧紧围绕“三满意”，均衡义务教育，深入推进素质教育的总体目标，圆满完成了各项任务。</w:t>
      </w:r>
    </w:p>
    <w:p>
      <w:pPr>
        <w:adjustRightInd w:val="false"/>
        <w:snapToGrid w:val="false"/>
        <w:spacing w:line="360" w:lineRule="auto"/>
        <w:ind w:firstLine="480" w:firstLineChars="200"/>
        <w:rPr>
          <w:rFonts w:hint="eastAsia" w:ascii="宋体" w:hAnsi="宋体"/>
          <w:kern w:val="0"/>
          <w:sz w:val="24"/>
        </w:rPr>
      </w:pPr>
      <w:r>
        <w:rPr>
          <w:rFonts w:hint="eastAsia" w:ascii="宋体" w:hAnsi="宋体"/>
          <w:kern w:val="0"/>
          <w:sz w:val="24"/>
        </w:rPr>
        <w:t>1、以品德为首位，立德树人养正气</w:t>
      </w:r>
    </w:p>
    <w:p>
      <w:pPr>
        <w:adjustRightInd w:val="false"/>
        <w:snapToGrid w:val="false"/>
        <w:spacing w:line="360" w:lineRule="auto"/>
        <w:ind w:firstLine="480" w:firstLineChars="200"/>
        <w:rPr>
          <w:rFonts w:hint="eastAsia" w:ascii="宋体" w:hAnsi="宋体"/>
          <w:kern w:val="0"/>
          <w:sz w:val="24"/>
        </w:rPr>
      </w:pPr>
      <w:r>
        <w:rPr>
          <w:rFonts w:hint="eastAsia" w:ascii="宋体" w:hAnsi="宋体"/>
          <w:kern w:val="0"/>
          <w:sz w:val="24"/>
        </w:rPr>
        <w:t>做好“七个一”，在日常行为习惯中抓实德育常规；结合重大主题日开展活动，形式多样展示德育系列活动；树立榜样、弘扬先进；办好家长学校，做好《家校连心桥》教材，培养成熟家长。</w:t>
      </w:r>
    </w:p>
    <w:p>
      <w:pPr>
        <w:adjustRightInd w:val="false"/>
        <w:snapToGrid w:val="false"/>
        <w:spacing w:line="360" w:lineRule="auto"/>
        <w:ind w:firstLine="480" w:firstLineChars="200"/>
        <w:rPr>
          <w:rFonts w:hint="eastAsia" w:ascii="宋体" w:hAnsi="宋体"/>
          <w:kern w:val="0"/>
          <w:sz w:val="24"/>
        </w:rPr>
      </w:pPr>
      <w:r>
        <w:rPr>
          <w:rFonts w:hint="eastAsia" w:ascii="宋体" w:hAnsi="宋体"/>
          <w:kern w:val="0"/>
          <w:sz w:val="24"/>
        </w:rPr>
        <w:t>2、以质量为生命，精细管理出成绩</w:t>
      </w:r>
    </w:p>
    <w:p>
      <w:pPr>
        <w:adjustRightInd w:val="false"/>
        <w:snapToGrid w:val="false"/>
        <w:spacing w:line="360" w:lineRule="auto"/>
        <w:ind w:firstLine="480" w:firstLineChars="200"/>
        <w:rPr>
          <w:rFonts w:hint="eastAsia" w:ascii="宋体" w:hAnsi="宋体"/>
          <w:kern w:val="0"/>
          <w:sz w:val="24"/>
        </w:rPr>
      </w:pPr>
      <w:r>
        <w:rPr>
          <w:rFonts w:hint="eastAsia" w:ascii="宋体" w:hAnsi="宋体"/>
          <w:kern w:val="0"/>
          <w:sz w:val="24"/>
        </w:rPr>
        <w:t>精细化管理，为质量护航；教师培训，为教学质量提升加油；电化教学，助力课堂教学质量提升；以科研为龙头，引领课堂教学促高效。</w:t>
      </w:r>
    </w:p>
    <w:p>
      <w:pPr>
        <w:adjustRightInd w:val="false"/>
        <w:snapToGrid w:val="false"/>
        <w:spacing w:line="360" w:lineRule="auto"/>
        <w:ind w:firstLine="480" w:firstLineChars="200"/>
        <w:rPr>
          <w:rFonts w:hint="eastAsia" w:ascii="宋体" w:hAnsi="宋体"/>
          <w:kern w:val="0"/>
          <w:sz w:val="24"/>
        </w:rPr>
      </w:pPr>
      <w:r>
        <w:rPr>
          <w:rFonts w:hint="eastAsia" w:ascii="宋体" w:hAnsi="宋体"/>
          <w:kern w:val="0"/>
          <w:sz w:val="24"/>
        </w:rPr>
        <w:t xml:space="preserve"> 3、以服务为主线，环境育人陶性情 </w:t>
      </w:r>
    </w:p>
    <w:p>
      <w:pPr>
        <w:adjustRightInd w:val="false"/>
        <w:snapToGrid w:val="false"/>
        <w:spacing w:line="360" w:lineRule="auto"/>
        <w:ind w:firstLine="480" w:firstLineChars="200"/>
        <w:rPr>
          <w:rFonts w:hint="eastAsia" w:ascii="宋体" w:hAnsi="宋体"/>
          <w:kern w:val="0"/>
          <w:sz w:val="24"/>
        </w:rPr>
      </w:pPr>
      <w:r>
        <w:rPr>
          <w:rFonts w:hint="eastAsia" w:ascii="宋体" w:hAnsi="宋体"/>
          <w:kern w:val="0"/>
          <w:sz w:val="24"/>
        </w:rPr>
        <w:t>积极争取尽快实施教学楼改造建设；校园文化建设化设计全面完成，准备施工；后勤管理务实高效，绿化维护效果好；</w:t>
      </w:r>
    </w:p>
    <w:p>
      <w:pPr>
        <w:adjustRightInd w:val="false"/>
        <w:snapToGrid w:val="false"/>
        <w:spacing w:line="360" w:lineRule="auto"/>
        <w:ind w:firstLine="480" w:firstLineChars="200"/>
        <w:rPr>
          <w:rFonts w:hint="eastAsia" w:ascii="宋体" w:hAnsi="宋体"/>
          <w:kern w:val="0"/>
          <w:sz w:val="24"/>
        </w:rPr>
      </w:pPr>
      <w:r>
        <w:rPr>
          <w:rFonts w:hint="eastAsia" w:ascii="宋体" w:hAnsi="宋体"/>
          <w:kern w:val="0"/>
          <w:sz w:val="24"/>
        </w:rPr>
        <w:t>4、以平安为核心，安全管理见实效</w:t>
      </w:r>
    </w:p>
    <w:p>
      <w:pPr>
        <w:adjustRightInd w:val="false"/>
        <w:snapToGrid w:val="false"/>
        <w:spacing w:line="360" w:lineRule="auto"/>
        <w:ind w:firstLine="480" w:firstLineChars="200"/>
        <w:rPr>
          <w:rFonts w:hint="eastAsia" w:ascii="宋体" w:hAnsi="宋体"/>
          <w:kern w:val="0"/>
          <w:sz w:val="24"/>
        </w:rPr>
      </w:pPr>
      <w:r>
        <w:rPr>
          <w:rFonts w:hint="eastAsia" w:ascii="宋体" w:hAnsi="宋体"/>
          <w:kern w:val="0"/>
          <w:sz w:val="24"/>
        </w:rPr>
        <w:t>加强组织领导，落实安全责任制；完善安全制度，加强安全管理；强化责任意识，加强防范管理；强化安全教育，树立安全意识；落实《安全管理考核奖励方案》，提高教师安全积极性；依法治校，积极开展普法教育。</w:t>
      </w:r>
    </w:p>
    <w:p>
      <w:pPr>
        <w:adjustRightInd w:val="false"/>
        <w:snapToGrid w:val="false"/>
        <w:spacing w:line="360" w:lineRule="auto"/>
        <w:ind w:firstLine="480" w:firstLineChars="200"/>
        <w:rPr>
          <w:rFonts w:hint="eastAsia" w:ascii="宋体" w:hAnsi="宋体"/>
          <w:kern w:val="0"/>
          <w:sz w:val="24"/>
        </w:rPr>
      </w:pPr>
      <w:r>
        <w:rPr>
          <w:rFonts w:hint="eastAsia" w:ascii="宋体" w:hAnsi="宋体"/>
          <w:kern w:val="0"/>
          <w:sz w:val="24"/>
        </w:rPr>
        <w:t>5、党建工作在精准扶贫中见实效</w:t>
      </w:r>
    </w:p>
    <w:p>
      <w:pPr>
        <w:adjustRightInd w:val="false"/>
        <w:snapToGrid w:val="false"/>
        <w:spacing w:line="360" w:lineRule="auto"/>
        <w:ind w:firstLine="480" w:firstLineChars="200"/>
        <w:rPr>
          <w:rFonts w:hint="eastAsia" w:ascii="宋体" w:hAnsi="宋体"/>
          <w:kern w:val="0"/>
          <w:sz w:val="24"/>
        </w:rPr>
      </w:pPr>
      <w:r>
        <w:rPr>
          <w:rFonts w:hint="eastAsia" w:ascii="宋体" w:hAnsi="宋体"/>
          <w:kern w:val="0"/>
          <w:sz w:val="24"/>
        </w:rPr>
        <w:t>定期走访，密切了党员和群众之间的关系；发挥党员的示范作用；增强党员干部的责任感和使命感。</w:t>
      </w:r>
    </w:p>
    <w:p>
      <w:pPr>
        <w:adjustRightInd w:val="false"/>
        <w:snapToGrid w:val="false"/>
        <w:spacing w:line="360" w:lineRule="auto"/>
        <w:ind w:firstLine="480" w:firstLineChars="200"/>
        <w:rPr>
          <w:rFonts w:hint="eastAsia" w:ascii="宋体" w:hAnsi="宋体"/>
          <w:kern w:val="0"/>
          <w:sz w:val="24"/>
        </w:rPr>
      </w:pPr>
      <w:r>
        <w:rPr>
          <w:rFonts w:hint="eastAsia" w:ascii="宋体" w:hAnsi="宋体"/>
          <w:kern w:val="0"/>
          <w:sz w:val="24"/>
        </w:rPr>
        <w:t>6、以工会为平台，民主管理聚人心</w:t>
      </w:r>
    </w:p>
    <w:p>
      <w:pPr>
        <w:adjustRightInd w:val="false"/>
        <w:snapToGrid w:val="false"/>
        <w:spacing w:line="360" w:lineRule="auto"/>
        <w:ind w:firstLine="480" w:firstLineChars="200"/>
        <w:rPr>
          <w:rFonts w:hint="eastAsia" w:ascii="宋体" w:hAnsi="宋体"/>
          <w:kern w:val="0"/>
          <w:sz w:val="24"/>
        </w:rPr>
      </w:pPr>
      <w:r>
        <w:rPr>
          <w:rFonts w:hint="eastAsia" w:ascii="宋体" w:hAnsi="宋体"/>
          <w:kern w:val="0"/>
          <w:sz w:val="24"/>
        </w:rPr>
        <w:t>落实教职工大会制度，促进民主建设；做好校务公开工作，推进民主管理；开展丰富多彩活动，活跃校园文化生活。</w:t>
      </w:r>
    </w:p>
    <w:p>
      <w:pPr>
        <w:adjustRightInd w:val="false"/>
        <w:snapToGrid w:val="false"/>
        <w:spacing w:line="360" w:lineRule="auto"/>
        <w:ind w:firstLine="480" w:firstLineChars="200"/>
        <w:rPr>
          <w:rFonts w:hint="eastAsia" w:ascii="宋体" w:hAnsi="宋体"/>
          <w:kern w:val="0"/>
          <w:sz w:val="24"/>
        </w:rPr>
      </w:pPr>
      <w:r>
        <w:rPr>
          <w:rFonts w:hint="eastAsia" w:ascii="宋体" w:hAnsi="宋体"/>
          <w:kern w:val="0"/>
          <w:sz w:val="24"/>
        </w:rPr>
        <w:t xml:space="preserve">7、协调发展，各项工作创一流    </w:t>
      </w:r>
    </w:p>
    <w:p>
      <w:pPr>
        <w:adjustRightInd w:val="false"/>
        <w:snapToGrid w:val="false"/>
        <w:spacing w:line="360" w:lineRule="auto"/>
        <w:ind w:firstLine="480" w:firstLineChars="200"/>
        <w:rPr>
          <w:rFonts w:hint="eastAsia" w:ascii="宋体" w:hAnsi="宋体"/>
          <w:kern w:val="0"/>
          <w:sz w:val="24"/>
        </w:rPr>
      </w:pPr>
      <w:r>
        <w:rPr>
          <w:rFonts w:hint="eastAsia" w:ascii="宋体" w:hAnsi="宋体"/>
          <w:kern w:val="0"/>
          <w:sz w:val="24"/>
        </w:rPr>
        <w:t>在各级领导支持下，师生成才，学校发展。</w:t>
      </w:r>
    </w:p>
    <w:p>
      <w:pPr>
        <w:adjustRightInd w:val="false"/>
        <w:snapToGrid w:val="false"/>
        <w:spacing w:line="360" w:lineRule="auto"/>
        <w:ind w:firstLine="480" w:firstLineChars="200"/>
        <w:rPr>
          <w:rFonts w:hint="eastAsia" w:ascii="宋体" w:hAnsi="宋体"/>
          <w:kern w:val="0"/>
          <w:sz w:val="24"/>
        </w:rPr>
      </w:pPr>
      <w:r>
        <w:rPr>
          <w:rFonts w:hint="eastAsia" w:ascii="宋体" w:hAnsi="宋体"/>
          <w:kern w:val="0"/>
          <w:sz w:val="24"/>
        </w:rPr>
        <w:t>（1）学生全面发展。</w:t>
      </w:r>
    </w:p>
    <w:p>
      <w:pPr>
        <w:adjustRightInd w:val="false"/>
        <w:snapToGrid w:val="false"/>
        <w:spacing w:line="360" w:lineRule="auto"/>
        <w:ind w:firstLine="480" w:firstLineChars="200"/>
        <w:rPr>
          <w:rFonts w:hint="eastAsia" w:ascii="宋体" w:hAnsi="宋体"/>
          <w:kern w:val="0"/>
          <w:sz w:val="24"/>
        </w:rPr>
      </w:pPr>
      <w:r>
        <w:rPr>
          <w:rFonts w:hint="eastAsia" w:ascii="宋体" w:hAnsi="宋体"/>
          <w:kern w:val="0"/>
          <w:sz w:val="24"/>
        </w:rPr>
        <w:t>学生全面发展。2019年7月，研培中心发布各项3—6年级全市统考统阅成绩，我校捷报频传，16项主要质量数据指标中有12项我校占第一，两个第二，两个第三，综合质量全市第一，持续创造我校教学质量历史。学生参加省市县比赛获得161个奖励，综合素质广汉领先。学生健康体质持续优化。体检报告显示，学生的肺活量不断提高，沙眼率和肥胖率持续下降。</w:t>
      </w:r>
    </w:p>
    <w:p>
      <w:pPr>
        <w:adjustRightInd w:val="false"/>
        <w:snapToGrid w:val="false"/>
        <w:spacing w:line="360" w:lineRule="auto"/>
        <w:ind w:firstLine="480" w:firstLineChars="200"/>
        <w:rPr>
          <w:rFonts w:hint="eastAsia" w:ascii="宋体" w:hAnsi="宋体"/>
          <w:kern w:val="0"/>
          <w:sz w:val="24"/>
        </w:rPr>
      </w:pPr>
      <w:r>
        <w:rPr>
          <w:rFonts w:hint="eastAsia" w:ascii="宋体" w:hAnsi="宋体"/>
          <w:kern w:val="0"/>
          <w:sz w:val="24"/>
        </w:rPr>
        <w:t>（2）教师幸福成长。</w:t>
      </w:r>
    </w:p>
    <w:p>
      <w:pPr>
        <w:adjustRightInd w:val="false"/>
        <w:snapToGrid w:val="false"/>
        <w:spacing w:line="360" w:lineRule="auto"/>
        <w:ind w:firstLine="480" w:firstLineChars="200"/>
        <w:rPr>
          <w:rFonts w:hint="eastAsia" w:ascii="宋体" w:hAnsi="宋体"/>
          <w:kern w:val="0"/>
          <w:sz w:val="24"/>
        </w:rPr>
      </w:pPr>
      <w:r>
        <w:rPr>
          <w:rFonts w:hint="eastAsia" w:ascii="宋体" w:hAnsi="宋体"/>
          <w:kern w:val="0"/>
          <w:sz w:val="24"/>
        </w:rPr>
        <w:t>教师表现优秀。学校教师师德高尚、业务精湛、团结互助，积极向上，学校有省市县各级名师、学科带头人、骨干教师32人，每个学科都有广汉顶尖的教师，教师参加省市县比赛获得154个奖励。</w:t>
      </w:r>
    </w:p>
    <w:p>
      <w:pPr>
        <w:adjustRightInd w:val="false"/>
        <w:snapToGrid w:val="false"/>
        <w:spacing w:line="360" w:lineRule="auto"/>
        <w:ind w:firstLine="480" w:firstLineChars="200"/>
        <w:rPr>
          <w:rFonts w:hint="eastAsia" w:ascii="宋体" w:hAnsi="宋体"/>
          <w:kern w:val="0"/>
          <w:sz w:val="24"/>
        </w:rPr>
      </w:pPr>
      <w:r>
        <w:rPr>
          <w:rFonts w:hint="eastAsia" w:ascii="宋体" w:hAnsi="宋体"/>
          <w:kern w:val="0"/>
          <w:sz w:val="24"/>
        </w:rPr>
        <w:t>（3）学校持续发展</w:t>
      </w:r>
    </w:p>
    <w:p>
      <w:pPr>
        <w:adjustRightInd w:val="false"/>
        <w:snapToGrid w:val="false"/>
        <w:spacing w:line="360" w:lineRule="auto"/>
        <w:ind w:firstLine="480" w:firstLineChars="200"/>
        <w:rPr>
          <w:rFonts w:hint="eastAsia" w:ascii="宋体" w:hAnsi="宋体"/>
          <w:kern w:val="0"/>
          <w:sz w:val="24"/>
        </w:rPr>
      </w:pPr>
      <w:r>
        <w:rPr>
          <w:rFonts w:hint="eastAsia" w:ascii="宋体" w:hAnsi="宋体"/>
          <w:kern w:val="0"/>
          <w:sz w:val="24"/>
        </w:rPr>
        <w:t>学校获得多项荣誉。学校获得全国规范化家长学校实践基地、四川省首届小学生诗词大会线上初选活动优秀组织奖、“十三五”规划课题“基于大规模推广群文阅读理论与实践深化研究首批子课题”省级示范单位等33项国家、省、市、县表彰奖励。学校联盟，携手共进。学校联盟南丰小学、新平小学、高坪小学、金鱼小学、新丰小学、和兴小学等农村小学，对口帮扶金阳县天台小学共同发展。对口帮扶天台小学经验在四川省会议交流发言，联盟各校进部大。</w:t>
      </w:r>
    </w:p>
    <w:p>
      <w:pPr>
        <w:adjustRightInd w:val="false"/>
        <w:snapToGrid w:val="false"/>
        <w:spacing w:line="360" w:lineRule="auto"/>
        <w:ind w:firstLine="480" w:firstLineChars="200"/>
        <w:rPr>
          <w:rFonts w:hint="eastAsia" w:ascii="宋体" w:hAnsi="宋体"/>
          <w:kern w:val="0"/>
          <w:sz w:val="24"/>
        </w:rPr>
      </w:pPr>
      <w:r>
        <w:rPr>
          <w:rFonts w:hint="eastAsia" w:ascii="宋体" w:hAnsi="宋体"/>
          <w:kern w:val="0"/>
          <w:sz w:val="24"/>
        </w:rPr>
        <w:t>2019年我校各项工作取得优异成绩，上级综合考核名列全市小学前列，在全市发挥了窗口示范和引领作用。</w:t>
      </w:r>
    </w:p>
    <w:p>
      <w:pPr>
        <w:autoSpaceDE w:val="false"/>
        <w:autoSpaceDN w:val="false"/>
        <w:adjustRightInd w:val="false"/>
        <w:snapToGrid w:val="false"/>
        <w:spacing w:line="360" w:lineRule="auto"/>
        <w:ind w:firstLine="482" w:firstLineChars="200"/>
        <w:rPr>
          <w:rFonts w:hint="eastAsia" w:ascii="宋体" w:hAnsi="宋体"/>
          <w:b/>
          <w:bCs/>
          <w:kern w:val="0"/>
          <w:sz w:val="24"/>
        </w:rPr>
      </w:pPr>
      <w:r>
        <w:rPr>
          <w:rFonts w:hint="eastAsia" w:ascii="宋体" w:hAnsi="宋体"/>
          <w:b/>
          <w:bCs/>
          <w:kern w:val="0"/>
          <w:sz w:val="24"/>
        </w:rPr>
        <w:t>五、评价结论及措施</w:t>
      </w:r>
    </w:p>
    <w:p>
      <w:pPr>
        <w:adjustRightInd w:val="false"/>
        <w:snapToGrid w:val="false"/>
        <w:spacing w:line="360" w:lineRule="auto"/>
        <w:ind w:firstLine="480" w:firstLineChars="200"/>
        <w:rPr>
          <w:rFonts w:hint="eastAsia" w:ascii="宋体" w:hAnsi="宋体"/>
          <w:kern w:val="0"/>
          <w:sz w:val="24"/>
        </w:rPr>
      </w:pPr>
      <w:r>
        <w:rPr>
          <w:rFonts w:hint="eastAsia" w:ascii="宋体" w:hAnsi="宋体"/>
          <w:kern w:val="0"/>
          <w:sz w:val="24"/>
        </w:rPr>
        <w:t>（一）评价结论</w:t>
      </w:r>
    </w:p>
    <w:p>
      <w:pPr>
        <w:adjustRightInd w:val="false"/>
        <w:snapToGrid w:val="false"/>
        <w:spacing w:line="360" w:lineRule="auto"/>
        <w:ind w:firstLine="480" w:firstLineChars="200"/>
        <w:rPr>
          <w:rFonts w:hint="eastAsia" w:ascii="宋体" w:hAnsi="宋体"/>
          <w:kern w:val="0"/>
          <w:sz w:val="24"/>
        </w:rPr>
      </w:pPr>
      <w:r>
        <w:rPr>
          <w:rFonts w:hint="eastAsia" w:ascii="宋体" w:hAnsi="宋体"/>
          <w:kern w:val="0"/>
          <w:sz w:val="24"/>
        </w:rPr>
        <w:t>2019年度我校履职效能情况良好。经费的使用认真遵守各项财务规章制度，严格执行各项支出审批程序，确保教育教学工作有效正常运转，无截留、挤占或挪用。“三公”经费响应零开支号召、厉行勤俭节约，切实提高资金效益。部门整体支出绩效情况如下：</w:t>
      </w:r>
    </w:p>
    <w:p>
      <w:pPr>
        <w:adjustRightInd w:val="false"/>
        <w:snapToGrid w:val="false"/>
        <w:spacing w:line="360" w:lineRule="auto"/>
        <w:ind w:firstLine="480" w:firstLineChars="200"/>
        <w:rPr>
          <w:rFonts w:hint="eastAsia" w:ascii="宋体" w:hAnsi="宋体"/>
          <w:kern w:val="0"/>
          <w:sz w:val="24"/>
        </w:rPr>
      </w:pPr>
      <w:r>
        <w:rPr>
          <w:rFonts w:hint="eastAsia" w:ascii="宋体" w:hAnsi="宋体"/>
          <w:kern w:val="0"/>
          <w:sz w:val="24"/>
        </w:rPr>
        <w:t>1.经济性分析</w:t>
      </w:r>
    </w:p>
    <w:p>
      <w:pPr>
        <w:adjustRightInd w:val="false"/>
        <w:snapToGrid w:val="false"/>
        <w:spacing w:line="360" w:lineRule="auto"/>
        <w:ind w:firstLine="480" w:firstLineChars="200"/>
        <w:rPr>
          <w:rFonts w:hint="eastAsia" w:ascii="宋体" w:hAnsi="宋体"/>
          <w:kern w:val="0"/>
          <w:sz w:val="24"/>
        </w:rPr>
      </w:pPr>
      <w:r>
        <w:rPr>
          <w:rFonts w:hint="eastAsia" w:ascii="宋体" w:hAnsi="宋体"/>
          <w:kern w:val="0"/>
          <w:sz w:val="24"/>
        </w:rPr>
        <w:t>2019年依据部门预算，严格控制日常开支，确保日常开支在厉行节约指标数内。本年无“三公”经费开支。</w:t>
      </w:r>
    </w:p>
    <w:p>
      <w:pPr>
        <w:adjustRightInd w:val="false"/>
        <w:snapToGrid w:val="false"/>
        <w:spacing w:line="360" w:lineRule="auto"/>
        <w:ind w:firstLine="480" w:firstLineChars="200"/>
        <w:rPr>
          <w:rFonts w:hint="eastAsia" w:ascii="宋体" w:hAnsi="宋体"/>
          <w:kern w:val="0"/>
          <w:sz w:val="24"/>
        </w:rPr>
      </w:pPr>
      <w:r>
        <w:rPr>
          <w:rFonts w:hint="eastAsia" w:ascii="宋体" w:hAnsi="宋体"/>
          <w:kern w:val="0"/>
          <w:sz w:val="24"/>
        </w:rPr>
        <w:t>2.效率性分析</w:t>
      </w:r>
    </w:p>
    <w:p>
      <w:pPr>
        <w:adjustRightInd w:val="false"/>
        <w:snapToGrid w:val="false"/>
        <w:spacing w:line="360" w:lineRule="auto"/>
        <w:ind w:firstLine="480" w:firstLineChars="200"/>
        <w:rPr>
          <w:rFonts w:hint="eastAsia" w:ascii="宋体" w:hAnsi="宋体"/>
          <w:kern w:val="0"/>
          <w:sz w:val="24"/>
        </w:rPr>
      </w:pPr>
      <w:r>
        <w:rPr>
          <w:rFonts w:hint="eastAsia" w:ascii="宋体" w:hAnsi="宋体"/>
          <w:kern w:val="0"/>
          <w:sz w:val="24"/>
        </w:rPr>
        <w:t>2019年我校认真贯彻执行国家教育方针，加强资金管理，贯彻落实中央八项规定和省、市规定，切实提高资金使用效益，保障学校可持续运转。关爱学生，引领学生的综合素质发展，做到让学生得到各方面成长、让家长对教育成果满意。</w:t>
      </w:r>
    </w:p>
    <w:p>
      <w:pPr>
        <w:adjustRightInd w:val="false"/>
        <w:snapToGrid w:val="false"/>
        <w:spacing w:line="360" w:lineRule="auto"/>
        <w:ind w:firstLine="480" w:firstLineChars="200"/>
        <w:rPr>
          <w:rFonts w:hint="eastAsia" w:ascii="宋体" w:hAnsi="宋体"/>
          <w:kern w:val="0"/>
          <w:sz w:val="24"/>
        </w:rPr>
      </w:pPr>
      <w:r>
        <w:rPr>
          <w:rFonts w:hint="eastAsia" w:ascii="宋体" w:hAnsi="宋体"/>
          <w:kern w:val="0"/>
          <w:sz w:val="24"/>
        </w:rPr>
        <w:t>3.可持续性分析</w:t>
      </w:r>
    </w:p>
    <w:p>
      <w:pPr>
        <w:adjustRightInd w:val="false"/>
        <w:snapToGrid w:val="false"/>
        <w:spacing w:line="360" w:lineRule="auto"/>
        <w:ind w:firstLine="480" w:firstLineChars="200"/>
        <w:rPr>
          <w:rFonts w:hint="eastAsia" w:ascii="宋体" w:hAnsi="宋体"/>
          <w:kern w:val="0"/>
          <w:sz w:val="24"/>
        </w:rPr>
      </w:pPr>
      <w:r>
        <w:rPr>
          <w:rFonts w:hint="eastAsia" w:ascii="宋体" w:hAnsi="宋体"/>
          <w:kern w:val="0"/>
          <w:sz w:val="24"/>
        </w:rPr>
        <w:t>2019年学校坚持以人为本，科研兴校，特色办学，全面推进素质教育。引导和培养学生德智体美等方面全面发展，为中学输送优秀人才。</w:t>
      </w:r>
    </w:p>
    <w:p>
      <w:pPr>
        <w:adjustRightInd w:val="false"/>
        <w:snapToGrid w:val="false"/>
        <w:spacing w:line="360" w:lineRule="auto"/>
        <w:ind w:firstLine="480" w:firstLineChars="200"/>
        <w:rPr>
          <w:rFonts w:hint="eastAsia" w:ascii="宋体" w:hAnsi="宋体"/>
          <w:kern w:val="0"/>
          <w:sz w:val="24"/>
        </w:rPr>
      </w:pPr>
      <w:r>
        <w:rPr>
          <w:rFonts w:hint="eastAsia" w:ascii="宋体" w:hAnsi="宋体"/>
          <w:kern w:val="0"/>
          <w:sz w:val="24"/>
        </w:rPr>
        <w:t>绩效评价总体结论：自评优良。（指标体系及评分表如下）。</w:t>
      </w:r>
    </w:p>
    <w:tbl>
      <w:tblPr>
        <w:tblStyle w:val="000012"/>
        <w:tblW w:w="0" w:type="auto"/>
        <w:tblInd w:w="0" w:type="dxa"/>
        <w:tblLayout w:type="fixed"/>
        <w:tblCellMar>
          <w:top w:w="0" w:type="dxa"/>
          <w:left w:w="108" w:type="dxa"/>
          <w:bottom w:w="0" w:type="dxa"/>
          <w:right w:w="108" w:type="dxa"/>
        </w:tblCellMar>
      </w:tblPr>
      <w:tblGrid>
        <w:gridCol w:w="525"/>
        <w:gridCol w:w="854"/>
        <w:gridCol w:w="1352"/>
        <w:gridCol w:w="441"/>
        <w:gridCol w:w="591"/>
        <w:gridCol w:w="1606"/>
        <w:gridCol w:w="2354"/>
        <w:gridCol w:w="799"/>
      </w:tblGrid>
      <w:tr>
        <w:trPr>
          <w:wBefore/>
          <w:trHeight w:val="600" w:hRule="atLeast"/>
        </w:trPr>
        <w:tc>
          <w:tcPr>
            <w:tcW w:w="8522" w:type="dxa"/>
            <w:gridSpan w:val="8"/>
            <w:tcBorders>
              <w:top w:val="nil"/>
              <w:left w:val="nil"/>
              <w:bottom w:val="single" w:color="auto" w:sz="4" w:space="0"/>
              <w:right w:val="nil"/>
            </w:tcBorders>
            <w:noWrap/>
            <w:vAlign w:val="center"/>
          </w:tcPr>
          <w:p>
            <w:pPr>
              <w:widowControl/>
              <w:ind/>
              <w:jc w:val="center"/>
              <w:rPr>
                <w:rFonts w:ascii="黑体" w:hAnsi="黑体" w:eastAsia="黑体" w:cs="宋体"/>
                <w:kern w:val="0"/>
                <w:szCs w:val="21"/>
              </w:rPr>
            </w:pPr>
            <w:r>
              <w:rPr>
                <w:rFonts w:hint="eastAsia" w:ascii="黑体" w:hAnsi="黑体" w:eastAsia="黑体" w:cs="宋体"/>
                <w:kern w:val="0"/>
                <w:szCs w:val="21"/>
              </w:rPr>
              <w:t>广汉市雒城镇第一小学校2019年部门整体支出绩效评价指标体系及评分表</w:t>
            </w:r>
          </w:p>
        </w:tc>
      </w:tr>
      <w:tr>
        <w:trPr>
          <w:wBefore/>
          <w:trHeight w:val="420" w:hRule="atLeast"/>
        </w:trPr>
        <w:tc>
          <w:tcPr>
            <w:tcW w:w="525" w:type="dxa"/>
            <w:tcBorders>
              <w:top w:val="nil"/>
              <w:left w:val="single" w:color="auto" w:sz="4" w:space="0"/>
              <w:bottom w:val="single" w:color="auto" w:sz="4" w:space="0"/>
              <w:right w:val="single" w:color="auto" w:sz="4" w:space="0"/>
            </w:tcBorders>
            <w:vAlign w:val="center"/>
          </w:tcPr>
          <w:p>
            <w:pPr>
              <w:widowControl/>
              <w:ind/>
              <w:jc w:val="center"/>
              <w:rPr>
                <w:rFonts w:ascii="宋体" w:hAnsi="宋体"/>
                <w:b/>
                <w:bCs/>
                <w:kern w:val="0"/>
                <w:sz w:val="15"/>
                <w:szCs w:val="15"/>
              </w:rPr>
            </w:pPr>
            <w:r>
              <w:rPr>
                <w:rFonts w:hint="eastAsia" w:ascii="宋体" w:hAnsi="宋体"/>
                <w:b/>
                <w:bCs/>
                <w:kern w:val="0"/>
                <w:sz w:val="15"/>
                <w:szCs w:val="15"/>
              </w:rPr>
              <w:t>一级指标</w:t>
            </w:r>
          </w:p>
        </w:tc>
        <w:tc>
          <w:tcPr>
            <w:tcW w:w="854" w:type="dxa"/>
            <w:tcBorders>
              <w:top w:val="nil"/>
              <w:left w:val="nil"/>
              <w:bottom w:val="single" w:color="auto" w:sz="4" w:space="0"/>
              <w:right w:val="single" w:color="auto" w:sz="4" w:space="0"/>
            </w:tcBorders>
            <w:vAlign w:val="center"/>
          </w:tcPr>
          <w:p>
            <w:pPr>
              <w:widowControl/>
              <w:ind/>
              <w:jc w:val="center"/>
              <w:rPr>
                <w:rFonts w:ascii="宋体" w:hAnsi="宋体"/>
                <w:b/>
                <w:bCs/>
                <w:kern w:val="0"/>
                <w:sz w:val="15"/>
                <w:szCs w:val="15"/>
              </w:rPr>
            </w:pPr>
            <w:r>
              <w:rPr>
                <w:rFonts w:hint="eastAsia" w:ascii="宋体" w:hAnsi="宋体"/>
                <w:b/>
                <w:bCs/>
                <w:kern w:val="0"/>
                <w:sz w:val="15"/>
                <w:szCs w:val="15"/>
              </w:rPr>
              <w:t>二级指标</w:t>
            </w:r>
          </w:p>
        </w:tc>
        <w:tc>
          <w:tcPr>
            <w:tcW w:w="1352" w:type="dxa"/>
            <w:tcBorders>
              <w:top w:val="nil"/>
              <w:left w:val="nil"/>
              <w:bottom w:val="single" w:color="auto" w:sz="4" w:space="0"/>
              <w:right w:val="single" w:color="auto" w:sz="4" w:space="0"/>
            </w:tcBorders>
            <w:vAlign w:val="center"/>
          </w:tcPr>
          <w:p>
            <w:pPr>
              <w:widowControl/>
              <w:ind/>
              <w:jc w:val="center"/>
              <w:rPr>
                <w:rFonts w:ascii="宋体" w:hAnsi="宋体"/>
                <w:b/>
                <w:bCs/>
                <w:kern w:val="0"/>
                <w:sz w:val="15"/>
                <w:szCs w:val="15"/>
              </w:rPr>
            </w:pPr>
            <w:r>
              <w:rPr>
                <w:rFonts w:hint="eastAsia" w:ascii="宋体" w:hAnsi="宋体"/>
                <w:b/>
                <w:bCs/>
                <w:kern w:val="0"/>
                <w:sz w:val="15"/>
                <w:szCs w:val="15"/>
              </w:rPr>
              <w:t>三级指标</w:t>
            </w:r>
          </w:p>
        </w:tc>
        <w:tc>
          <w:tcPr>
            <w:tcW w:w="441" w:type="dxa"/>
            <w:tcBorders>
              <w:top w:val="nil"/>
              <w:left w:val="nil"/>
              <w:bottom w:val="single" w:color="auto" w:sz="4" w:space="0"/>
              <w:right w:val="single" w:color="auto" w:sz="4" w:space="0"/>
            </w:tcBorders>
            <w:vAlign w:val="center"/>
          </w:tcPr>
          <w:p>
            <w:pPr>
              <w:widowControl/>
              <w:ind/>
              <w:jc w:val="center"/>
              <w:rPr>
                <w:rFonts w:ascii="宋体" w:hAnsi="宋体"/>
                <w:b/>
                <w:bCs/>
                <w:kern w:val="0"/>
                <w:sz w:val="15"/>
                <w:szCs w:val="15"/>
              </w:rPr>
            </w:pPr>
            <w:r>
              <w:rPr>
                <w:rFonts w:hint="eastAsia" w:ascii="宋体" w:hAnsi="宋体"/>
                <w:b/>
                <w:bCs/>
                <w:kern w:val="0"/>
                <w:sz w:val="15"/>
                <w:szCs w:val="15"/>
              </w:rPr>
              <w:t>分值</w:t>
            </w:r>
          </w:p>
        </w:tc>
        <w:tc>
          <w:tcPr>
            <w:tcW w:w="591" w:type="dxa"/>
            <w:tcBorders>
              <w:top w:val="nil"/>
              <w:left w:val="nil"/>
              <w:bottom w:val="single" w:color="auto" w:sz="4" w:space="0"/>
              <w:right w:val="single" w:color="auto" w:sz="4" w:space="0"/>
            </w:tcBorders>
            <w:vAlign w:val="center"/>
          </w:tcPr>
          <w:p>
            <w:pPr>
              <w:widowControl/>
              <w:ind/>
              <w:jc w:val="center"/>
              <w:rPr>
                <w:rFonts w:ascii="宋体" w:hAnsi="宋体"/>
                <w:b/>
                <w:bCs/>
                <w:kern w:val="0"/>
                <w:sz w:val="15"/>
                <w:szCs w:val="15"/>
              </w:rPr>
            </w:pPr>
            <w:r>
              <w:rPr>
                <w:rFonts w:hint="eastAsia" w:ascii="宋体" w:hAnsi="宋体"/>
                <w:b/>
                <w:bCs/>
                <w:kern w:val="0"/>
                <w:sz w:val="15"/>
                <w:szCs w:val="15"/>
              </w:rPr>
              <w:t>自评得分</w:t>
            </w:r>
          </w:p>
        </w:tc>
        <w:tc>
          <w:tcPr>
            <w:tcW w:w="1606" w:type="dxa"/>
            <w:tcBorders>
              <w:top w:val="nil"/>
              <w:left w:val="nil"/>
              <w:bottom w:val="single" w:color="auto" w:sz="4" w:space="0"/>
              <w:right w:val="single" w:color="auto" w:sz="4" w:space="0"/>
            </w:tcBorders>
            <w:vAlign w:val="center"/>
          </w:tcPr>
          <w:p>
            <w:pPr>
              <w:widowControl/>
              <w:ind/>
              <w:jc w:val="center"/>
              <w:rPr>
                <w:rFonts w:ascii="宋体" w:hAnsi="宋体"/>
                <w:b/>
                <w:bCs/>
                <w:kern w:val="0"/>
                <w:sz w:val="15"/>
                <w:szCs w:val="15"/>
              </w:rPr>
            </w:pPr>
            <w:r>
              <w:rPr>
                <w:rFonts w:hint="eastAsia" w:ascii="宋体" w:hAnsi="宋体"/>
                <w:b/>
                <w:bCs/>
                <w:kern w:val="0"/>
                <w:sz w:val="15"/>
                <w:szCs w:val="15"/>
              </w:rPr>
              <w:t>指标解释</w:t>
            </w:r>
          </w:p>
        </w:tc>
        <w:tc>
          <w:tcPr>
            <w:tcW w:w="2354" w:type="dxa"/>
            <w:tcBorders>
              <w:top w:val="nil"/>
              <w:left w:val="nil"/>
              <w:bottom w:val="single" w:color="auto" w:sz="4" w:space="0"/>
              <w:right w:val="single" w:color="auto" w:sz="4" w:space="0"/>
            </w:tcBorders>
            <w:vAlign w:val="center"/>
          </w:tcPr>
          <w:p>
            <w:pPr>
              <w:widowControl/>
              <w:ind/>
              <w:jc w:val="center"/>
              <w:rPr>
                <w:rFonts w:ascii="宋体" w:hAnsi="宋体"/>
                <w:b/>
                <w:bCs/>
                <w:kern w:val="0"/>
                <w:sz w:val="15"/>
                <w:szCs w:val="15"/>
              </w:rPr>
            </w:pPr>
            <w:r>
              <w:rPr>
                <w:rFonts w:hint="eastAsia" w:ascii="宋体" w:hAnsi="宋体"/>
                <w:b/>
                <w:bCs/>
                <w:kern w:val="0"/>
                <w:sz w:val="15"/>
                <w:szCs w:val="15"/>
              </w:rPr>
              <w:t>评分标准</w:t>
            </w:r>
          </w:p>
        </w:tc>
        <w:tc>
          <w:tcPr>
            <w:tcW w:w="799" w:type="dxa"/>
            <w:tcBorders>
              <w:top w:val="nil"/>
              <w:left w:val="nil"/>
              <w:bottom w:val="single" w:color="auto" w:sz="4" w:space="0"/>
              <w:right w:val="single" w:color="auto" w:sz="4" w:space="0"/>
            </w:tcBorders>
            <w:vAlign w:val="center"/>
          </w:tcPr>
          <w:p>
            <w:pPr>
              <w:widowControl/>
              <w:ind/>
              <w:jc w:val="center"/>
              <w:rPr>
                <w:rFonts w:ascii="等线" w:hAnsi="宋体" w:cs="宋体"/>
                <w:b/>
                <w:bCs/>
                <w:color w:val="000000"/>
                <w:kern w:val="0"/>
                <w:sz w:val="15"/>
                <w:szCs w:val="15"/>
              </w:rPr>
            </w:pPr>
            <w:r>
              <w:rPr>
                <w:rFonts w:ascii="等线" w:hAnsi="宋体" w:cs="宋体"/>
                <w:b/>
                <w:bCs/>
                <w:color w:val="000000"/>
                <w:kern w:val="0"/>
                <w:sz w:val="15"/>
                <w:szCs w:val="15"/>
              </w:rPr>
              <w:t>备注</w:t>
            </w:r>
          </w:p>
        </w:tc>
      </w:tr>
      <w:tr>
        <w:trPr>
          <w:wBefore/>
          <w:trHeight w:val="975" w:hRule="atLeast"/>
        </w:trPr>
        <w:tc>
          <w:tcPr>
            <w:tcW w:w="525" w:type="dxa"/>
            <w:vMerge w:val="restart"/>
            <w:tcBorders>
              <w:top w:val="nil"/>
              <w:left w:val="single" w:color="auto" w:sz="4" w:space="0"/>
              <w:bottom w:val="single" w:color="000000" w:sz="4" w:space="0"/>
              <w:right w:val="single" w:color="auto" w:sz="4" w:space="0"/>
            </w:tcBorders>
            <w:vAlign w:val="center"/>
          </w:tcPr>
          <w:p>
            <w:pPr>
              <w:widowControl/>
              <w:ind/>
              <w:jc w:val="center"/>
              <w:rPr>
                <w:rFonts w:ascii="宋体" w:hAnsi="宋体"/>
                <w:kern w:val="0"/>
                <w:sz w:val="15"/>
                <w:szCs w:val="15"/>
              </w:rPr>
            </w:pPr>
            <w:r>
              <w:rPr>
                <w:rFonts w:hint="eastAsia" w:ascii="宋体" w:hAnsi="宋体"/>
                <w:kern w:val="0"/>
                <w:sz w:val="15"/>
                <w:szCs w:val="15"/>
              </w:rPr>
              <w:t>（10分）</w:t>
            </w:r>
            <w:r>
              <w:rPr>
                <w:rFonts w:hint="eastAsia" w:ascii="宋体" w:hAnsi="宋体"/>
                <w:kern w:val="0"/>
                <w:sz w:val="15"/>
                <w:szCs w:val="15"/>
              </w:rPr>
              <w:br w:type="textWrapping"/>
            </w:r>
            <w:r>
              <w:rPr>
                <w:rFonts w:hint="eastAsia" w:ascii="宋体" w:hAnsi="宋体"/>
                <w:kern w:val="0"/>
                <w:sz w:val="15"/>
                <w:szCs w:val="15"/>
              </w:rPr>
              <w:t>预算管理</w:t>
            </w:r>
          </w:p>
        </w:tc>
        <w:tc>
          <w:tcPr>
            <w:tcW w:w="854" w:type="dxa"/>
            <w:tcBorders>
              <w:top w:val="nil"/>
              <w:left w:val="nil"/>
              <w:bottom w:val="single" w:color="auto" w:sz="4" w:space="0"/>
              <w:right w:val="single" w:color="auto" w:sz="4" w:space="0"/>
            </w:tcBorders>
            <w:vAlign w:val="center"/>
          </w:tcPr>
          <w:p>
            <w:pPr>
              <w:widowControl/>
              <w:ind/>
              <w:jc w:val="center"/>
              <w:rPr>
                <w:rFonts w:ascii="宋体" w:hAnsi="宋体"/>
                <w:kern w:val="0"/>
                <w:sz w:val="15"/>
                <w:szCs w:val="15"/>
              </w:rPr>
            </w:pPr>
            <w:r>
              <w:rPr>
                <w:rFonts w:hint="eastAsia" w:ascii="宋体" w:hAnsi="宋体"/>
                <w:kern w:val="0"/>
                <w:sz w:val="15"/>
                <w:szCs w:val="15"/>
              </w:rPr>
              <w:t>预算编制（5分）</w:t>
            </w:r>
          </w:p>
        </w:tc>
        <w:tc>
          <w:tcPr>
            <w:tcW w:w="1352" w:type="dxa"/>
            <w:tcBorders>
              <w:top w:val="nil"/>
              <w:left w:val="nil"/>
              <w:bottom w:val="single" w:color="auto" w:sz="4" w:space="0"/>
              <w:right w:val="single" w:color="auto" w:sz="4" w:space="0"/>
            </w:tcBorders>
            <w:vAlign w:val="center"/>
          </w:tcPr>
          <w:p>
            <w:pPr>
              <w:widowControl/>
              <w:ind/>
              <w:jc w:val="left"/>
              <w:rPr>
                <w:rFonts w:ascii="宋体" w:hAnsi="宋体"/>
                <w:kern w:val="0"/>
                <w:sz w:val="15"/>
                <w:szCs w:val="15"/>
              </w:rPr>
            </w:pPr>
            <w:r>
              <w:rPr>
                <w:rFonts w:hint="eastAsia" w:ascii="宋体" w:hAnsi="宋体"/>
                <w:kern w:val="0"/>
                <w:sz w:val="15"/>
                <w:szCs w:val="15"/>
              </w:rPr>
              <w:t>预算安排准确性</w:t>
            </w:r>
          </w:p>
        </w:tc>
        <w:tc>
          <w:tcPr>
            <w:tcW w:w="441" w:type="dxa"/>
            <w:tcBorders>
              <w:top w:val="nil"/>
              <w:left w:val="nil"/>
              <w:bottom w:val="single" w:color="auto" w:sz="4" w:space="0"/>
              <w:right w:val="single" w:color="auto" w:sz="4" w:space="0"/>
            </w:tcBorders>
            <w:vAlign w:val="center"/>
          </w:tcPr>
          <w:p>
            <w:pPr>
              <w:widowControl/>
              <w:ind/>
              <w:jc w:val="center"/>
              <w:rPr>
                <w:rFonts w:ascii="宋体" w:hAnsi="宋体"/>
                <w:kern w:val="0"/>
                <w:sz w:val="15"/>
                <w:szCs w:val="15"/>
              </w:rPr>
            </w:pPr>
            <w:r>
              <w:rPr>
                <w:rFonts w:hint="eastAsia" w:ascii="宋体" w:hAnsi="宋体"/>
                <w:kern w:val="0"/>
                <w:sz w:val="15"/>
                <w:szCs w:val="15"/>
              </w:rPr>
              <w:t>5</w:t>
            </w:r>
          </w:p>
        </w:tc>
        <w:tc>
          <w:tcPr>
            <w:tcW w:w="591" w:type="dxa"/>
            <w:tcBorders>
              <w:top w:val="nil"/>
              <w:left w:val="nil"/>
              <w:bottom w:val="single" w:color="auto" w:sz="4" w:space="0"/>
              <w:right w:val="single" w:color="auto" w:sz="4" w:space="0"/>
            </w:tcBorders>
            <w:vAlign w:val="center"/>
          </w:tcPr>
          <w:p>
            <w:pPr>
              <w:widowControl/>
              <w:ind/>
              <w:jc w:val="center"/>
              <w:rPr>
                <w:rFonts w:ascii="宋体" w:hAnsi="宋体"/>
                <w:kern w:val="0"/>
                <w:sz w:val="15"/>
                <w:szCs w:val="15"/>
              </w:rPr>
            </w:pPr>
            <w:r>
              <w:rPr>
                <w:rFonts w:hint="eastAsia" w:ascii="宋体" w:hAnsi="宋体"/>
                <w:kern w:val="0"/>
                <w:sz w:val="15"/>
                <w:szCs w:val="15"/>
              </w:rPr>
              <w:t>4.5</w:t>
            </w:r>
          </w:p>
        </w:tc>
        <w:tc>
          <w:tcPr>
            <w:tcW w:w="1606" w:type="dxa"/>
            <w:tcBorders>
              <w:top w:val="nil"/>
              <w:left w:val="nil"/>
              <w:bottom w:val="single" w:color="auto" w:sz="4" w:space="0"/>
              <w:right w:val="single" w:color="auto" w:sz="4" w:space="0"/>
            </w:tcBorders>
            <w:vAlign w:val="center"/>
          </w:tcPr>
          <w:p>
            <w:pPr>
              <w:widowControl/>
              <w:ind/>
              <w:jc w:val="left"/>
              <w:rPr>
                <w:rFonts w:ascii="宋体" w:hAnsi="宋体"/>
                <w:kern w:val="0"/>
                <w:sz w:val="15"/>
                <w:szCs w:val="15"/>
              </w:rPr>
            </w:pPr>
            <w:r>
              <w:rPr>
                <w:rFonts w:hint="eastAsia" w:ascii="宋体" w:hAnsi="宋体"/>
                <w:kern w:val="0"/>
                <w:sz w:val="15"/>
                <w:szCs w:val="15"/>
              </w:rPr>
              <w:t>反映部门（单位）年初预算安排的准确性</w:t>
            </w:r>
          </w:p>
        </w:tc>
        <w:tc>
          <w:tcPr>
            <w:tcW w:w="2354" w:type="dxa"/>
            <w:tcBorders>
              <w:top w:val="nil"/>
              <w:left w:val="nil"/>
              <w:bottom w:val="single" w:color="auto" w:sz="4" w:space="0"/>
              <w:right w:val="single" w:color="auto" w:sz="4" w:space="0"/>
            </w:tcBorders>
            <w:vAlign w:val="center"/>
          </w:tcPr>
          <w:p>
            <w:pPr>
              <w:widowControl/>
              <w:ind/>
              <w:jc w:val="left"/>
              <w:rPr>
                <w:rFonts w:ascii="宋体" w:hAnsi="宋体"/>
                <w:kern w:val="0"/>
                <w:sz w:val="15"/>
                <w:szCs w:val="15"/>
              </w:rPr>
            </w:pPr>
            <w:r>
              <w:rPr>
                <w:rFonts w:hint="eastAsia" w:ascii="宋体" w:hAnsi="宋体"/>
                <w:kern w:val="0"/>
                <w:sz w:val="15"/>
                <w:szCs w:val="15"/>
              </w:rPr>
              <w:t>指标得分=（预算资金总来源-中期评估调整取消资金-预算结余注销资金）/预算资金总来源*指标分值，预算资金总来源是指年初预算与执行中追加预算（不含当年中央、省专款）总和</w:t>
            </w:r>
          </w:p>
        </w:tc>
        <w:tc>
          <w:tcPr>
            <w:tcW w:w="799" w:type="dxa"/>
            <w:tcBorders>
              <w:top w:val="nil"/>
              <w:left w:val="nil"/>
              <w:bottom w:val="single" w:color="auto" w:sz="4" w:space="0"/>
              <w:right w:val="single" w:color="auto" w:sz="4" w:space="0"/>
            </w:tcBorders>
            <w:vAlign w:val="center"/>
          </w:tcPr>
          <w:p>
            <w:pPr>
              <w:widowControl/>
              <w:ind/>
              <w:jc w:val="left"/>
              <w:rPr>
                <w:rFonts w:ascii="宋体" w:hAnsi="宋体"/>
                <w:kern w:val="0"/>
                <w:sz w:val="15"/>
                <w:szCs w:val="15"/>
              </w:rPr>
            </w:pPr>
            <w:r>
              <w:rPr>
                <w:rFonts w:hint="eastAsia" w:ascii="宋体" w:hAnsi="宋体"/>
                <w:kern w:val="0"/>
                <w:sz w:val="15"/>
                <w:szCs w:val="15"/>
              </w:rPr>
              <w:t>　</w:t>
            </w:r>
          </w:p>
        </w:tc>
      </w:tr>
      <w:tr>
        <w:trPr>
          <w:wBefore/>
          <w:trHeight w:val="2115" w:hRule="atLeast"/>
        </w:trPr>
        <w:tc>
          <w:tcPr>
            <w:tcW w:w="52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kern w:val="0"/>
                <w:sz w:val="15"/>
                <w:szCs w:val="15"/>
              </w:rPr>
            </w:pPr>
          </w:p>
        </w:tc>
        <w:tc>
          <w:tcPr>
            <w:tcW w:w="854" w:type="dxa"/>
            <w:tcBorders>
              <w:top w:val="nil"/>
              <w:left w:val="nil"/>
              <w:bottom w:val="single" w:color="auto" w:sz="4" w:space="0"/>
              <w:right w:val="single" w:color="auto" w:sz="4" w:space="0"/>
            </w:tcBorders>
            <w:vAlign w:val="center"/>
          </w:tcPr>
          <w:p>
            <w:pPr>
              <w:widowControl/>
              <w:ind/>
              <w:jc w:val="center"/>
              <w:rPr>
                <w:rFonts w:ascii="宋体" w:hAnsi="宋体"/>
                <w:kern w:val="0"/>
                <w:sz w:val="15"/>
                <w:szCs w:val="15"/>
              </w:rPr>
            </w:pPr>
            <w:r>
              <w:rPr>
                <w:rFonts w:hint="eastAsia" w:ascii="宋体" w:hAnsi="宋体"/>
                <w:kern w:val="0"/>
                <w:sz w:val="15"/>
                <w:szCs w:val="15"/>
              </w:rPr>
              <w:t>执行进度（5分）</w:t>
            </w:r>
          </w:p>
        </w:tc>
        <w:tc>
          <w:tcPr>
            <w:tcW w:w="1352" w:type="dxa"/>
            <w:tcBorders>
              <w:top w:val="nil"/>
              <w:left w:val="nil"/>
              <w:bottom w:val="single" w:color="auto" w:sz="4" w:space="0"/>
              <w:right w:val="single" w:color="auto" w:sz="4" w:space="0"/>
            </w:tcBorders>
            <w:vAlign w:val="center"/>
          </w:tcPr>
          <w:p>
            <w:pPr>
              <w:widowControl/>
              <w:ind/>
              <w:jc w:val="left"/>
              <w:rPr>
                <w:rFonts w:ascii="宋体" w:hAnsi="宋体"/>
                <w:kern w:val="0"/>
                <w:sz w:val="15"/>
                <w:szCs w:val="15"/>
              </w:rPr>
            </w:pPr>
            <w:r>
              <w:rPr>
                <w:rFonts w:hint="eastAsia" w:ascii="宋体" w:hAnsi="宋体"/>
                <w:kern w:val="0"/>
                <w:sz w:val="15"/>
                <w:szCs w:val="15"/>
              </w:rPr>
              <w:t>部门总体执行进度</w:t>
            </w:r>
          </w:p>
        </w:tc>
        <w:tc>
          <w:tcPr>
            <w:tcW w:w="441" w:type="dxa"/>
            <w:tcBorders>
              <w:top w:val="nil"/>
              <w:left w:val="nil"/>
              <w:bottom w:val="single" w:color="auto" w:sz="4" w:space="0"/>
              <w:right w:val="single" w:color="auto" w:sz="4" w:space="0"/>
            </w:tcBorders>
            <w:vAlign w:val="center"/>
          </w:tcPr>
          <w:p>
            <w:pPr>
              <w:widowControl/>
              <w:ind/>
              <w:jc w:val="center"/>
              <w:rPr>
                <w:rFonts w:ascii="宋体" w:hAnsi="宋体"/>
                <w:kern w:val="0"/>
                <w:sz w:val="15"/>
                <w:szCs w:val="15"/>
              </w:rPr>
            </w:pPr>
            <w:r>
              <w:rPr>
                <w:rFonts w:hint="eastAsia" w:ascii="宋体" w:hAnsi="宋体"/>
                <w:kern w:val="0"/>
                <w:sz w:val="15"/>
                <w:szCs w:val="15"/>
              </w:rPr>
              <w:t>5</w:t>
            </w:r>
          </w:p>
        </w:tc>
        <w:tc>
          <w:tcPr>
            <w:tcW w:w="591" w:type="dxa"/>
            <w:tcBorders>
              <w:top w:val="nil"/>
              <w:left w:val="nil"/>
              <w:bottom w:val="single" w:color="auto" w:sz="4" w:space="0"/>
              <w:right w:val="single" w:color="auto" w:sz="4" w:space="0"/>
            </w:tcBorders>
            <w:vAlign w:val="center"/>
          </w:tcPr>
          <w:p>
            <w:pPr>
              <w:widowControl/>
              <w:ind/>
              <w:jc w:val="center"/>
              <w:rPr>
                <w:rFonts w:ascii="宋体" w:hAnsi="宋体"/>
                <w:kern w:val="0"/>
                <w:sz w:val="15"/>
                <w:szCs w:val="15"/>
              </w:rPr>
            </w:pPr>
            <w:r>
              <w:rPr>
                <w:rFonts w:hint="eastAsia" w:ascii="宋体" w:hAnsi="宋体"/>
                <w:kern w:val="0"/>
                <w:sz w:val="15"/>
                <w:szCs w:val="15"/>
              </w:rPr>
              <w:t>5</w:t>
            </w:r>
          </w:p>
        </w:tc>
        <w:tc>
          <w:tcPr>
            <w:tcW w:w="1606" w:type="dxa"/>
            <w:tcBorders>
              <w:top w:val="nil"/>
              <w:left w:val="nil"/>
              <w:bottom w:val="single" w:color="auto" w:sz="4" w:space="0"/>
              <w:right w:val="single" w:color="auto" w:sz="4" w:space="0"/>
            </w:tcBorders>
            <w:vAlign w:val="center"/>
          </w:tcPr>
          <w:p>
            <w:pPr>
              <w:widowControl/>
              <w:ind/>
              <w:jc w:val="left"/>
              <w:rPr>
                <w:rFonts w:ascii="宋体" w:hAnsi="宋体"/>
                <w:kern w:val="0"/>
                <w:sz w:val="15"/>
                <w:szCs w:val="15"/>
              </w:rPr>
            </w:pPr>
            <w:r>
              <w:rPr>
                <w:rFonts w:hint="eastAsia" w:ascii="宋体" w:hAnsi="宋体"/>
                <w:kern w:val="0"/>
                <w:sz w:val="15"/>
                <w:szCs w:val="15"/>
              </w:rPr>
              <w:t>部门（单位）按要求严格预算管理</w:t>
            </w:r>
          </w:p>
        </w:tc>
        <w:tc>
          <w:tcPr>
            <w:tcW w:w="2354" w:type="dxa"/>
            <w:tcBorders>
              <w:top w:val="nil"/>
              <w:left w:val="nil"/>
              <w:bottom w:val="single" w:color="auto" w:sz="4" w:space="0"/>
              <w:right w:val="single" w:color="auto" w:sz="4" w:space="0"/>
            </w:tcBorders>
            <w:vAlign w:val="center"/>
          </w:tcPr>
          <w:p>
            <w:pPr>
              <w:widowControl/>
              <w:ind/>
              <w:jc w:val="left"/>
              <w:rPr>
                <w:rFonts w:ascii="宋体" w:hAnsi="宋体"/>
                <w:kern w:val="0"/>
                <w:sz w:val="15"/>
                <w:szCs w:val="15"/>
              </w:rPr>
            </w:pPr>
            <w:r>
              <w:rPr>
                <w:rFonts w:hint="eastAsia" w:ascii="宋体" w:hAnsi="宋体"/>
                <w:kern w:val="0"/>
                <w:sz w:val="15"/>
                <w:szCs w:val="15"/>
              </w:rPr>
              <w:t>部门总体执行进度达96%以上，不扣分；达92%以上，按80%打分；达88%以上，按60%打分；未达到88%，不得分。</w:t>
            </w:r>
            <w:r>
              <w:rPr>
                <w:rFonts w:hint="eastAsia" w:ascii="宋体" w:hAnsi="宋体"/>
                <w:kern w:val="0"/>
                <w:sz w:val="15"/>
                <w:szCs w:val="15"/>
              </w:rPr>
              <w:br w:type="textWrapping"/>
            </w:r>
            <w:r>
              <w:rPr>
                <w:rFonts w:hint="eastAsia" w:ascii="宋体" w:hAnsi="宋体"/>
                <w:kern w:val="0"/>
                <w:sz w:val="15"/>
                <w:szCs w:val="15"/>
              </w:rPr>
              <w:t>部门总体执行进度=财政拨款执行数÷财政拨款调整预算数，财政拨款包括当年一般公共预算财政拨款数和政府性基金预算财政拨款数、上年结转一般公共预算财政拨款数和政府性基金预算财政拨款数以及通过收回的存量资金再安排的预算数。调整预算数不包括年终时已进入政府采购程序的项目和跨年度执行的基建项目。</w:t>
            </w:r>
          </w:p>
        </w:tc>
        <w:tc>
          <w:tcPr>
            <w:tcW w:w="799" w:type="dxa"/>
            <w:tcBorders>
              <w:top w:val="nil"/>
              <w:left w:val="nil"/>
              <w:bottom w:val="single" w:color="auto" w:sz="4" w:space="0"/>
              <w:right w:val="single" w:color="auto" w:sz="4" w:space="0"/>
            </w:tcBorders>
            <w:vAlign w:val="center"/>
          </w:tcPr>
          <w:p>
            <w:pPr>
              <w:widowControl/>
              <w:ind/>
              <w:jc w:val="left"/>
              <w:rPr>
                <w:rFonts w:ascii="宋体" w:hAnsi="宋体"/>
                <w:kern w:val="0"/>
                <w:sz w:val="15"/>
                <w:szCs w:val="15"/>
              </w:rPr>
            </w:pPr>
            <w:r>
              <w:rPr>
                <w:rFonts w:hint="eastAsia" w:ascii="宋体" w:hAnsi="宋体"/>
                <w:kern w:val="0"/>
                <w:sz w:val="15"/>
                <w:szCs w:val="15"/>
              </w:rPr>
              <w:t>　</w:t>
            </w:r>
          </w:p>
        </w:tc>
      </w:tr>
      <w:tr>
        <w:trPr>
          <w:wBefore/>
          <w:trHeight w:val="720" w:hRule="atLeast"/>
        </w:trPr>
        <w:tc>
          <w:tcPr>
            <w:tcW w:w="525" w:type="dxa"/>
            <w:vMerge w:val="restart"/>
            <w:tcBorders>
              <w:top w:val="nil"/>
              <w:left w:val="single" w:color="auto" w:sz="4" w:space="0"/>
              <w:bottom w:val="single" w:color="000000" w:sz="4" w:space="0"/>
              <w:right w:val="single" w:color="auto" w:sz="4" w:space="0"/>
            </w:tcBorders>
            <w:vAlign w:val="center"/>
          </w:tcPr>
          <w:p>
            <w:pPr>
              <w:widowControl/>
              <w:ind/>
              <w:jc w:val="center"/>
              <w:rPr>
                <w:rFonts w:ascii="宋体" w:hAnsi="宋体"/>
                <w:kern w:val="0"/>
                <w:sz w:val="15"/>
                <w:szCs w:val="15"/>
              </w:rPr>
            </w:pPr>
            <w:r>
              <w:rPr>
                <w:rFonts w:hint="eastAsia" w:ascii="宋体" w:hAnsi="宋体"/>
                <w:kern w:val="0"/>
                <w:sz w:val="15"/>
                <w:szCs w:val="15"/>
              </w:rPr>
              <w:t>（10分）</w:t>
            </w:r>
            <w:r>
              <w:rPr>
                <w:rFonts w:hint="eastAsia" w:ascii="宋体" w:hAnsi="宋体"/>
                <w:kern w:val="0"/>
                <w:sz w:val="15"/>
                <w:szCs w:val="15"/>
              </w:rPr>
              <w:br w:type="textWrapping"/>
            </w:r>
            <w:r>
              <w:rPr>
                <w:rFonts w:hint="eastAsia" w:ascii="宋体" w:hAnsi="宋体"/>
                <w:kern w:val="0"/>
                <w:sz w:val="15"/>
                <w:szCs w:val="15"/>
              </w:rPr>
              <w:t>目标管理</w:t>
            </w:r>
          </w:p>
        </w:tc>
        <w:tc>
          <w:tcPr>
            <w:tcW w:w="854" w:type="dxa"/>
            <w:vMerge w:val="restart"/>
            <w:tcBorders>
              <w:top w:val="nil"/>
              <w:left w:val="nil"/>
              <w:bottom w:val="single" w:color="000000" w:sz="4" w:space="0"/>
              <w:right w:val="single" w:color="auto" w:sz="4" w:space="0"/>
            </w:tcBorders>
            <w:vAlign w:val="center"/>
          </w:tcPr>
          <w:p>
            <w:pPr>
              <w:widowControl/>
              <w:ind/>
              <w:jc w:val="center"/>
              <w:rPr>
                <w:rFonts w:ascii="宋体" w:hAnsi="宋体"/>
                <w:kern w:val="0"/>
                <w:sz w:val="15"/>
                <w:szCs w:val="15"/>
              </w:rPr>
            </w:pPr>
            <w:r>
              <w:rPr>
                <w:rFonts w:hint="eastAsia" w:ascii="宋体" w:hAnsi="宋体"/>
                <w:kern w:val="0"/>
                <w:sz w:val="15"/>
                <w:szCs w:val="15"/>
              </w:rPr>
              <w:t>绩效目标（10分）</w:t>
            </w:r>
          </w:p>
        </w:tc>
        <w:tc>
          <w:tcPr>
            <w:tcW w:w="1352" w:type="dxa"/>
            <w:tcBorders>
              <w:top w:val="nil"/>
              <w:left w:val="nil"/>
              <w:bottom w:val="single" w:color="auto" w:sz="4" w:space="0"/>
              <w:right w:val="single" w:color="auto" w:sz="4" w:space="0"/>
            </w:tcBorders>
            <w:vAlign w:val="center"/>
          </w:tcPr>
          <w:p>
            <w:pPr>
              <w:widowControl/>
              <w:ind/>
              <w:jc w:val="left"/>
              <w:rPr>
                <w:rFonts w:ascii="宋体" w:hAnsi="宋体"/>
                <w:kern w:val="0"/>
                <w:sz w:val="15"/>
                <w:szCs w:val="15"/>
              </w:rPr>
            </w:pPr>
            <w:r>
              <w:rPr>
                <w:rFonts w:hint="eastAsia" w:ascii="宋体" w:hAnsi="宋体"/>
                <w:kern w:val="0"/>
                <w:sz w:val="15"/>
                <w:szCs w:val="15"/>
              </w:rPr>
              <w:t>目标填报</w:t>
            </w:r>
          </w:p>
        </w:tc>
        <w:tc>
          <w:tcPr>
            <w:tcW w:w="441" w:type="dxa"/>
            <w:tcBorders>
              <w:top w:val="nil"/>
              <w:left w:val="nil"/>
              <w:bottom w:val="single" w:color="auto" w:sz="4" w:space="0"/>
              <w:right w:val="single" w:color="auto" w:sz="4" w:space="0"/>
            </w:tcBorders>
            <w:vAlign w:val="center"/>
          </w:tcPr>
          <w:p>
            <w:pPr>
              <w:widowControl/>
              <w:ind/>
              <w:jc w:val="center"/>
              <w:rPr>
                <w:rFonts w:ascii="宋体" w:hAnsi="宋体"/>
                <w:kern w:val="0"/>
                <w:sz w:val="15"/>
                <w:szCs w:val="15"/>
              </w:rPr>
            </w:pPr>
            <w:r>
              <w:rPr>
                <w:rFonts w:hint="eastAsia" w:ascii="宋体" w:hAnsi="宋体"/>
                <w:kern w:val="0"/>
                <w:sz w:val="15"/>
                <w:szCs w:val="15"/>
              </w:rPr>
              <w:t>2</w:t>
            </w:r>
          </w:p>
        </w:tc>
        <w:tc>
          <w:tcPr>
            <w:tcW w:w="591" w:type="dxa"/>
            <w:tcBorders>
              <w:top w:val="nil"/>
              <w:left w:val="nil"/>
              <w:bottom w:val="single" w:color="auto" w:sz="4" w:space="0"/>
              <w:right w:val="single" w:color="auto" w:sz="4" w:space="0"/>
            </w:tcBorders>
            <w:vAlign w:val="center"/>
          </w:tcPr>
          <w:p>
            <w:pPr>
              <w:widowControl/>
              <w:ind/>
              <w:jc w:val="center"/>
              <w:rPr>
                <w:rFonts w:ascii="宋体" w:hAnsi="宋体"/>
                <w:kern w:val="0"/>
                <w:sz w:val="15"/>
                <w:szCs w:val="15"/>
              </w:rPr>
            </w:pPr>
            <w:r>
              <w:rPr>
                <w:rFonts w:hint="eastAsia" w:ascii="宋体" w:hAnsi="宋体"/>
                <w:kern w:val="0"/>
                <w:sz w:val="15"/>
                <w:szCs w:val="15"/>
              </w:rPr>
              <w:t>　</w:t>
            </w:r>
          </w:p>
        </w:tc>
        <w:tc>
          <w:tcPr>
            <w:tcW w:w="1606" w:type="dxa"/>
            <w:tcBorders>
              <w:top w:val="nil"/>
              <w:left w:val="nil"/>
              <w:bottom w:val="single" w:color="auto" w:sz="4" w:space="0"/>
              <w:right w:val="single" w:color="auto" w:sz="4" w:space="0"/>
            </w:tcBorders>
            <w:vAlign w:val="center"/>
          </w:tcPr>
          <w:p>
            <w:pPr>
              <w:widowControl/>
              <w:ind/>
              <w:jc w:val="left"/>
              <w:rPr>
                <w:rFonts w:ascii="宋体" w:hAnsi="宋体"/>
                <w:kern w:val="0"/>
                <w:sz w:val="15"/>
                <w:szCs w:val="15"/>
              </w:rPr>
            </w:pPr>
            <w:r>
              <w:rPr>
                <w:rFonts w:hint="eastAsia" w:ascii="宋体" w:hAnsi="宋体"/>
                <w:kern w:val="0"/>
                <w:sz w:val="15"/>
                <w:szCs w:val="15"/>
              </w:rPr>
              <w:t>考核部门是否按要求编制专项资金、部门专项类项目绩效目标</w:t>
            </w:r>
          </w:p>
        </w:tc>
        <w:tc>
          <w:tcPr>
            <w:tcW w:w="2354" w:type="dxa"/>
            <w:tcBorders>
              <w:top w:val="nil"/>
              <w:left w:val="nil"/>
              <w:bottom w:val="single" w:color="auto" w:sz="4" w:space="0"/>
              <w:right w:val="single" w:color="auto" w:sz="4" w:space="0"/>
            </w:tcBorders>
            <w:vAlign w:val="center"/>
          </w:tcPr>
          <w:p>
            <w:pPr>
              <w:widowControl/>
              <w:ind/>
              <w:jc w:val="left"/>
              <w:rPr>
                <w:rFonts w:ascii="宋体" w:hAnsi="宋体"/>
                <w:kern w:val="0"/>
                <w:sz w:val="15"/>
                <w:szCs w:val="15"/>
              </w:rPr>
            </w:pPr>
            <w:r>
              <w:rPr>
                <w:rFonts w:hint="eastAsia" w:ascii="宋体" w:hAnsi="宋体"/>
                <w:kern w:val="0"/>
                <w:sz w:val="15"/>
                <w:szCs w:val="15"/>
              </w:rPr>
              <w:t>应编制绩效目标的专项类项目、专项资金未按要求申报绩效目标，发现1个项目扣0.5分；填报内容不规范，发现1处扣0.5分。直至扣完</w:t>
            </w:r>
          </w:p>
        </w:tc>
        <w:tc>
          <w:tcPr>
            <w:tcW w:w="799" w:type="dxa"/>
            <w:tcBorders>
              <w:top w:val="nil"/>
              <w:left w:val="nil"/>
              <w:bottom w:val="single" w:color="auto" w:sz="4" w:space="0"/>
              <w:right w:val="single" w:color="auto" w:sz="4" w:space="0"/>
            </w:tcBorders>
            <w:vAlign w:val="center"/>
          </w:tcPr>
          <w:p>
            <w:pPr>
              <w:widowControl/>
              <w:ind/>
              <w:jc w:val="center"/>
              <w:rPr>
                <w:rFonts w:ascii="宋体" w:hAnsi="宋体"/>
                <w:kern w:val="0"/>
                <w:sz w:val="15"/>
                <w:szCs w:val="15"/>
              </w:rPr>
            </w:pPr>
            <w:r>
              <w:rPr>
                <w:rFonts w:hint="eastAsia" w:ascii="宋体" w:hAnsi="宋体"/>
                <w:kern w:val="0"/>
                <w:sz w:val="15"/>
                <w:szCs w:val="15"/>
              </w:rPr>
              <w:t>本年度无专项类项目指标内容</w:t>
            </w:r>
          </w:p>
        </w:tc>
      </w:tr>
      <w:tr>
        <w:trPr>
          <w:wBefore/>
          <w:trHeight w:val="615" w:hRule="atLeast"/>
        </w:trPr>
        <w:tc>
          <w:tcPr>
            <w:tcW w:w="52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kern w:val="0"/>
                <w:sz w:val="15"/>
                <w:szCs w:val="15"/>
              </w:rPr>
            </w:pPr>
          </w:p>
        </w:tc>
        <w:tc>
          <w:tcPr>
            <w:tcW w:w="854" w:type="dxa"/>
            <w:vMerge w:val="continue"/>
            <w:tcBorders>
              <w:top w:val="nil"/>
              <w:left w:val="nil"/>
              <w:bottom w:val="single" w:color="000000" w:sz="4" w:space="0"/>
              <w:right w:val="single" w:color="auto" w:sz="4" w:space="0"/>
            </w:tcBorders>
            <w:vAlign w:val="center"/>
          </w:tcPr>
          <w:p>
            <w:pPr>
              <w:widowControl/>
              <w:jc w:val="left"/>
              <w:rPr>
                <w:rFonts w:ascii="宋体" w:hAnsi="宋体"/>
                <w:kern w:val="0"/>
                <w:sz w:val="15"/>
                <w:szCs w:val="15"/>
              </w:rPr>
            </w:pPr>
          </w:p>
        </w:tc>
        <w:tc>
          <w:tcPr>
            <w:tcW w:w="1352" w:type="dxa"/>
            <w:tcBorders>
              <w:top w:val="nil"/>
              <w:left w:val="nil"/>
              <w:bottom w:val="single" w:color="auto" w:sz="4" w:space="0"/>
              <w:right w:val="single" w:color="auto" w:sz="4" w:space="0"/>
            </w:tcBorders>
            <w:vAlign w:val="center"/>
          </w:tcPr>
          <w:p>
            <w:pPr>
              <w:widowControl/>
              <w:ind/>
              <w:jc w:val="left"/>
              <w:rPr>
                <w:rFonts w:ascii="宋体" w:hAnsi="宋体"/>
                <w:kern w:val="0"/>
                <w:sz w:val="15"/>
                <w:szCs w:val="15"/>
              </w:rPr>
            </w:pPr>
            <w:r>
              <w:rPr>
                <w:rFonts w:hint="eastAsia" w:ascii="宋体" w:hAnsi="宋体"/>
                <w:kern w:val="0"/>
                <w:sz w:val="15"/>
                <w:szCs w:val="15"/>
              </w:rPr>
              <w:t>目标量化</w:t>
            </w:r>
          </w:p>
        </w:tc>
        <w:tc>
          <w:tcPr>
            <w:tcW w:w="441" w:type="dxa"/>
            <w:tcBorders>
              <w:top w:val="nil"/>
              <w:left w:val="nil"/>
              <w:bottom w:val="single" w:color="auto" w:sz="4" w:space="0"/>
              <w:right w:val="single" w:color="auto" w:sz="4" w:space="0"/>
            </w:tcBorders>
            <w:vAlign w:val="center"/>
          </w:tcPr>
          <w:p>
            <w:pPr>
              <w:widowControl/>
              <w:ind/>
              <w:jc w:val="center"/>
              <w:rPr>
                <w:rFonts w:ascii="宋体" w:hAnsi="宋体"/>
                <w:kern w:val="0"/>
                <w:sz w:val="15"/>
                <w:szCs w:val="15"/>
              </w:rPr>
            </w:pPr>
            <w:r>
              <w:rPr>
                <w:rFonts w:hint="eastAsia" w:ascii="宋体" w:hAnsi="宋体"/>
                <w:kern w:val="0"/>
                <w:sz w:val="15"/>
                <w:szCs w:val="15"/>
              </w:rPr>
              <w:t>3</w:t>
            </w:r>
          </w:p>
        </w:tc>
        <w:tc>
          <w:tcPr>
            <w:tcW w:w="591" w:type="dxa"/>
            <w:tcBorders>
              <w:top w:val="nil"/>
              <w:left w:val="nil"/>
              <w:bottom w:val="single" w:color="auto" w:sz="4" w:space="0"/>
              <w:right w:val="single" w:color="auto" w:sz="4" w:space="0"/>
            </w:tcBorders>
            <w:vAlign w:val="center"/>
          </w:tcPr>
          <w:p>
            <w:pPr>
              <w:widowControl/>
              <w:ind/>
              <w:jc w:val="center"/>
              <w:rPr>
                <w:rFonts w:ascii="宋体" w:hAnsi="宋体"/>
                <w:kern w:val="0"/>
                <w:sz w:val="15"/>
                <w:szCs w:val="15"/>
              </w:rPr>
            </w:pPr>
            <w:r>
              <w:rPr>
                <w:rFonts w:hint="eastAsia" w:ascii="宋体" w:hAnsi="宋体"/>
                <w:kern w:val="0"/>
                <w:sz w:val="15"/>
                <w:szCs w:val="15"/>
              </w:rPr>
              <w:t>　</w:t>
            </w:r>
          </w:p>
        </w:tc>
        <w:tc>
          <w:tcPr>
            <w:tcW w:w="1606" w:type="dxa"/>
            <w:tcBorders>
              <w:top w:val="nil"/>
              <w:left w:val="nil"/>
              <w:bottom w:val="single" w:color="auto" w:sz="4" w:space="0"/>
              <w:right w:val="single" w:color="auto" w:sz="4" w:space="0"/>
            </w:tcBorders>
            <w:vAlign w:val="center"/>
          </w:tcPr>
          <w:p>
            <w:pPr>
              <w:widowControl/>
              <w:ind/>
              <w:jc w:val="left"/>
              <w:rPr>
                <w:rFonts w:ascii="宋体" w:hAnsi="宋体"/>
                <w:kern w:val="0"/>
                <w:sz w:val="15"/>
                <w:szCs w:val="15"/>
              </w:rPr>
            </w:pPr>
            <w:r>
              <w:rPr>
                <w:rFonts w:hint="eastAsia" w:ascii="宋体" w:hAnsi="宋体"/>
                <w:kern w:val="0"/>
                <w:sz w:val="15"/>
                <w:szCs w:val="15"/>
              </w:rPr>
              <w:t>考核部门申报绩效目标的量化程度</w:t>
            </w:r>
          </w:p>
        </w:tc>
        <w:tc>
          <w:tcPr>
            <w:tcW w:w="2354" w:type="dxa"/>
            <w:tcBorders>
              <w:top w:val="nil"/>
              <w:left w:val="nil"/>
              <w:bottom w:val="single" w:color="auto" w:sz="4" w:space="0"/>
              <w:right w:val="single" w:color="auto" w:sz="4" w:space="0"/>
            </w:tcBorders>
            <w:vAlign w:val="center"/>
          </w:tcPr>
          <w:p>
            <w:pPr>
              <w:widowControl/>
              <w:ind/>
              <w:jc w:val="left"/>
              <w:rPr>
                <w:rFonts w:ascii="宋体" w:hAnsi="宋体"/>
                <w:kern w:val="0"/>
                <w:sz w:val="15"/>
                <w:szCs w:val="15"/>
              </w:rPr>
            </w:pPr>
            <w:r>
              <w:rPr>
                <w:rFonts w:hint="eastAsia" w:ascii="宋体" w:hAnsi="宋体"/>
                <w:kern w:val="0"/>
                <w:sz w:val="15"/>
                <w:szCs w:val="15"/>
              </w:rPr>
              <w:t>专项类项目、专项资金设定的产出指标均应量化，效果指标中应至少50%以上量化指标。发现1个项目未达到要求扣0.5分，直至扣完。</w:t>
            </w:r>
          </w:p>
        </w:tc>
        <w:tc>
          <w:tcPr>
            <w:tcW w:w="799" w:type="dxa"/>
            <w:tcBorders>
              <w:top w:val="nil"/>
              <w:left w:val="nil"/>
              <w:bottom w:val="single" w:color="auto" w:sz="4" w:space="0"/>
              <w:right w:val="single" w:color="auto" w:sz="4" w:space="0"/>
            </w:tcBorders>
            <w:vAlign w:val="center"/>
          </w:tcPr>
          <w:p>
            <w:pPr>
              <w:widowControl/>
              <w:ind/>
              <w:jc w:val="center"/>
              <w:rPr>
                <w:rFonts w:ascii="宋体" w:hAnsi="宋体"/>
                <w:kern w:val="0"/>
                <w:sz w:val="15"/>
                <w:szCs w:val="15"/>
              </w:rPr>
            </w:pPr>
            <w:r>
              <w:rPr>
                <w:rFonts w:hint="eastAsia" w:ascii="宋体" w:hAnsi="宋体"/>
                <w:kern w:val="0"/>
                <w:sz w:val="15"/>
                <w:szCs w:val="15"/>
              </w:rPr>
              <w:t>本年度无专项类项目指标内容</w:t>
            </w:r>
          </w:p>
        </w:tc>
      </w:tr>
      <w:tr>
        <w:trPr>
          <w:wBefore/>
          <w:trHeight w:val="555" w:hRule="atLeast"/>
        </w:trPr>
        <w:tc>
          <w:tcPr>
            <w:tcW w:w="52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kern w:val="0"/>
                <w:sz w:val="15"/>
                <w:szCs w:val="15"/>
              </w:rPr>
            </w:pPr>
          </w:p>
        </w:tc>
        <w:tc>
          <w:tcPr>
            <w:tcW w:w="854" w:type="dxa"/>
            <w:vMerge w:val="continue"/>
            <w:tcBorders>
              <w:top w:val="nil"/>
              <w:left w:val="nil"/>
              <w:bottom w:val="single" w:color="000000" w:sz="4" w:space="0"/>
              <w:right w:val="single" w:color="auto" w:sz="4" w:space="0"/>
            </w:tcBorders>
            <w:vAlign w:val="center"/>
          </w:tcPr>
          <w:p>
            <w:pPr>
              <w:widowControl/>
              <w:jc w:val="left"/>
              <w:rPr>
                <w:rFonts w:ascii="宋体" w:hAnsi="宋体"/>
                <w:kern w:val="0"/>
                <w:sz w:val="15"/>
                <w:szCs w:val="15"/>
              </w:rPr>
            </w:pPr>
          </w:p>
        </w:tc>
        <w:tc>
          <w:tcPr>
            <w:tcW w:w="1352" w:type="dxa"/>
            <w:tcBorders>
              <w:top w:val="nil"/>
              <w:left w:val="nil"/>
              <w:bottom w:val="single" w:color="auto" w:sz="4" w:space="0"/>
              <w:right w:val="single" w:color="auto" w:sz="4" w:space="0"/>
            </w:tcBorders>
            <w:vAlign w:val="center"/>
          </w:tcPr>
          <w:p>
            <w:pPr>
              <w:widowControl/>
              <w:ind/>
              <w:jc w:val="left"/>
              <w:rPr>
                <w:rFonts w:ascii="宋体" w:hAnsi="宋体"/>
                <w:kern w:val="0"/>
                <w:sz w:val="15"/>
                <w:szCs w:val="15"/>
              </w:rPr>
            </w:pPr>
            <w:r>
              <w:rPr>
                <w:rFonts w:hint="eastAsia" w:ascii="宋体" w:hAnsi="宋体"/>
                <w:kern w:val="0"/>
                <w:sz w:val="15"/>
                <w:szCs w:val="15"/>
              </w:rPr>
              <w:t>目标匹配</w:t>
            </w:r>
          </w:p>
        </w:tc>
        <w:tc>
          <w:tcPr>
            <w:tcW w:w="441" w:type="dxa"/>
            <w:tcBorders>
              <w:top w:val="nil"/>
              <w:left w:val="nil"/>
              <w:bottom w:val="single" w:color="auto" w:sz="4" w:space="0"/>
              <w:right w:val="single" w:color="auto" w:sz="4" w:space="0"/>
            </w:tcBorders>
            <w:vAlign w:val="center"/>
          </w:tcPr>
          <w:p>
            <w:pPr>
              <w:widowControl/>
              <w:ind/>
              <w:jc w:val="center"/>
              <w:rPr>
                <w:rFonts w:ascii="宋体" w:hAnsi="宋体"/>
                <w:kern w:val="0"/>
                <w:sz w:val="15"/>
                <w:szCs w:val="15"/>
              </w:rPr>
            </w:pPr>
            <w:r>
              <w:rPr>
                <w:rFonts w:hint="eastAsia" w:ascii="宋体" w:hAnsi="宋体"/>
                <w:kern w:val="0"/>
                <w:sz w:val="15"/>
                <w:szCs w:val="15"/>
              </w:rPr>
              <w:t>5</w:t>
            </w:r>
          </w:p>
        </w:tc>
        <w:tc>
          <w:tcPr>
            <w:tcW w:w="591" w:type="dxa"/>
            <w:tcBorders>
              <w:top w:val="nil"/>
              <w:left w:val="nil"/>
              <w:bottom w:val="single" w:color="auto" w:sz="4" w:space="0"/>
              <w:right w:val="single" w:color="auto" w:sz="4" w:space="0"/>
            </w:tcBorders>
            <w:vAlign w:val="center"/>
          </w:tcPr>
          <w:p>
            <w:pPr>
              <w:widowControl/>
              <w:ind/>
              <w:jc w:val="center"/>
              <w:rPr>
                <w:rFonts w:ascii="宋体" w:hAnsi="宋体"/>
                <w:kern w:val="0"/>
                <w:sz w:val="15"/>
                <w:szCs w:val="15"/>
              </w:rPr>
            </w:pPr>
            <w:r>
              <w:rPr>
                <w:rFonts w:hint="eastAsia" w:ascii="宋体" w:hAnsi="宋体"/>
                <w:kern w:val="0"/>
                <w:sz w:val="15"/>
                <w:szCs w:val="15"/>
              </w:rPr>
              <w:t>　</w:t>
            </w:r>
          </w:p>
        </w:tc>
        <w:tc>
          <w:tcPr>
            <w:tcW w:w="1606" w:type="dxa"/>
            <w:tcBorders>
              <w:top w:val="nil"/>
              <w:left w:val="nil"/>
              <w:bottom w:val="single" w:color="auto" w:sz="4" w:space="0"/>
              <w:right w:val="single" w:color="auto" w:sz="4" w:space="0"/>
            </w:tcBorders>
            <w:vAlign w:val="center"/>
          </w:tcPr>
          <w:p>
            <w:pPr>
              <w:widowControl/>
              <w:ind/>
              <w:jc w:val="left"/>
              <w:rPr>
                <w:rFonts w:ascii="宋体" w:hAnsi="宋体"/>
                <w:kern w:val="0"/>
                <w:sz w:val="15"/>
                <w:szCs w:val="15"/>
              </w:rPr>
            </w:pPr>
            <w:r>
              <w:rPr>
                <w:rFonts w:hint="eastAsia" w:ascii="宋体" w:hAnsi="宋体"/>
                <w:kern w:val="0"/>
                <w:sz w:val="15"/>
                <w:szCs w:val="15"/>
              </w:rPr>
              <w:t>考核部门申报的绩效目标是否与部门职能职责相关</w:t>
            </w:r>
          </w:p>
        </w:tc>
        <w:tc>
          <w:tcPr>
            <w:tcW w:w="2354" w:type="dxa"/>
            <w:tcBorders>
              <w:top w:val="nil"/>
              <w:left w:val="nil"/>
              <w:bottom w:val="single" w:color="auto" w:sz="4" w:space="0"/>
              <w:right w:val="single" w:color="auto" w:sz="4" w:space="0"/>
            </w:tcBorders>
            <w:vAlign w:val="center"/>
          </w:tcPr>
          <w:p>
            <w:pPr>
              <w:widowControl/>
              <w:ind/>
              <w:jc w:val="left"/>
              <w:rPr>
                <w:rFonts w:ascii="宋体" w:hAnsi="宋体"/>
                <w:kern w:val="0"/>
                <w:sz w:val="15"/>
                <w:szCs w:val="15"/>
              </w:rPr>
            </w:pPr>
            <w:r>
              <w:rPr>
                <w:rFonts w:hint="eastAsia" w:ascii="宋体" w:hAnsi="宋体"/>
                <w:kern w:val="0"/>
                <w:sz w:val="15"/>
                <w:szCs w:val="15"/>
              </w:rPr>
              <w:t>专项类项目、专项资金设定的绩效目标与部门职能职责不一致的，发现一个项目扣1分，直至扣完。</w:t>
            </w:r>
          </w:p>
        </w:tc>
        <w:tc>
          <w:tcPr>
            <w:tcW w:w="799" w:type="dxa"/>
            <w:tcBorders>
              <w:top w:val="nil"/>
              <w:left w:val="nil"/>
              <w:bottom w:val="single" w:color="auto" w:sz="4" w:space="0"/>
              <w:right w:val="single" w:color="auto" w:sz="4" w:space="0"/>
            </w:tcBorders>
            <w:vAlign w:val="center"/>
          </w:tcPr>
          <w:p>
            <w:pPr>
              <w:widowControl/>
              <w:ind/>
              <w:jc w:val="center"/>
              <w:rPr>
                <w:rFonts w:ascii="宋体" w:hAnsi="宋体"/>
                <w:kern w:val="0"/>
                <w:sz w:val="15"/>
                <w:szCs w:val="15"/>
              </w:rPr>
            </w:pPr>
            <w:r>
              <w:rPr>
                <w:rFonts w:hint="eastAsia" w:ascii="宋体" w:hAnsi="宋体"/>
                <w:kern w:val="0"/>
                <w:sz w:val="15"/>
                <w:szCs w:val="15"/>
              </w:rPr>
              <w:t>本年度无专项类项目指标内容</w:t>
            </w:r>
          </w:p>
        </w:tc>
      </w:tr>
      <w:tr>
        <w:trPr>
          <w:wBefore/>
          <w:trHeight w:val="870" w:hRule="atLeast"/>
        </w:trPr>
        <w:tc>
          <w:tcPr>
            <w:tcW w:w="525" w:type="dxa"/>
            <w:vMerge w:val="restart"/>
            <w:tcBorders>
              <w:top w:val="nil"/>
              <w:left w:val="single" w:color="auto" w:sz="4" w:space="0"/>
              <w:bottom w:val="single" w:color="000000" w:sz="4" w:space="0"/>
              <w:right w:val="single" w:color="auto" w:sz="4" w:space="0"/>
            </w:tcBorders>
            <w:vAlign w:val="center"/>
          </w:tcPr>
          <w:p>
            <w:pPr>
              <w:widowControl/>
              <w:ind/>
              <w:jc w:val="center"/>
              <w:rPr>
                <w:rFonts w:ascii="宋体" w:hAnsi="宋体"/>
                <w:kern w:val="0"/>
                <w:sz w:val="15"/>
                <w:szCs w:val="15"/>
              </w:rPr>
            </w:pPr>
            <w:r>
              <w:rPr>
                <w:rFonts w:hint="eastAsia" w:ascii="宋体" w:hAnsi="宋体"/>
                <w:kern w:val="0"/>
                <w:sz w:val="15"/>
                <w:szCs w:val="15"/>
              </w:rPr>
              <w:t>（10分）</w:t>
            </w:r>
            <w:r>
              <w:rPr>
                <w:rFonts w:hint="eastAsia" w:ascii="宋体" w:hAnsi="宋体"/>
                <w:kern w:val="0"/>
                <w:sz w:val="15"/>
                <w:szCs w:val="15"/>
              </w:rPr>
              <w:br w:type="textWrapping"/>
            </w:r>
            <w:r>
              <w:rPr>
                <w:rFonts w:hint="eastAsia" w:ascii="宋体" w:hAnsi="宋体"/>
                <w:kern w:val="0"/>
                <w:sz w:val="15"/>
                <w:szCs w:val="15"/>
              </w:rPr>
              <w:t>部门管理</w:t>
            </w:r>
          </w:p>
        </w:tc>
        <w:tc>
          <w:tcPr>
            <w:tcW w:w="854" w:type="dxa"/>
            <w:vMerge w:val="restart"/>
            <w:tcBorders>
              <w:top w:val="nil"/>
              <w:left w:val="nil"/>
              <w:bottom w:val="single" w:color="000000" w:sz="4" w:space="0"/>
              <w:right w:val="single" w:color="auto" w:sz="4" w:space="0"/>
            </w:tcBorders>
            <w:vAlign w:val="center"/>
          </w:tcPr>
          <w:p>
            <w:pPr>
              <w:widowControl/>
              <w:ind/>
              <w:jc w:val="center"/>
              <w:rPr>
                <w:rFonts w:ascii="宋体" w:hAnsi="宋体"/>
                <w:kern w:val="0"/>
                <w:sz w:val="15"/>
                <w:szCs w:val="15"/>
              </w:rPr>
            </w:pPr>
            <w:r>
              <w:rPr>
                <w:rFonts w:hint="eastAsia" w:ascii="宋体" w:hAnsi="宋体"/>
                <w:kern w:val="0"/>
                <w:sz w:val="15"/>
                <w:szCs w:val="15"/>
              </w:rPr>
              <w:t>基础管理（4分）</w:t>
            </w:r>
          </w:p>
        </w:tc>
        <w:tc>
          <w:tcPr>
            <w:tcW w:w="1352" w:type="dxa"/>
            <w:tcBorders>
              <w:top w:val="nil"/>
              <w:left w:val="nil"/>
              <w:bottom w:val="single" w:color="auto" w:sz="4" w:space="0"/>
              <w:right w:val="single" w:color="auto" w:sz="4" w:space="0"/>
            </w:tcBorders>
            <w:vAlign w:val="center"/>
          </w:tcPr>
          <w:p>
            <w:pPr>
              <w:widowControl/>
              <w:ind/>
              <w:jc w:val="left"/>
              <w:rPr>
                <w:rFonts w:ascii="宋体" w:hAnsi="宋体"/>
                <w:kern w:val="0"/>
                <w:sz w:val="15"/>
                <w:szCs w:val="15"/>
              </w:rPr>
            </w:pPr>
            <w:r>
              <w:rPr>
                <w:rFonts w:hint="eastAsia" w:ascii="宋体" w:hAnsi="宋体"/>
                <w:kern w:val="0"/>
                <w:sz w:val="15"/>
                <w:szCs w:val="15"/>
              </w:rPr>
              <w:t>管理制度健全性</w:t>
            </w:r>
          </w:p>
        </w:tc>
        <w:tc>
          <w:tcPr>
            <w:tcW w:w="441" w:type="dxa"/>
            <w:tcBorders>
              <w:top w:val="nil"/>
              <w:left w:val="nil"/>
              <w:bottom w:val="single" w:color="auto" w:sz="4" w:space="0"/>
              <w:right w:val="single" w:color="auto" w:sz="4" w:space="0"/>
            </w:tcBorders>
            <w:vAlign w:val="center"/>
          </w:tcPr>
          <w:p>
            <w:pPr>
              <w:widowControl/>
              <w:ind/>
              <w:jc w:val="center"/>
              <w:rPr>
                <w:rFonts w:ascii="宋体" w:hAnsi="宋体"/>
                <w:kern w:val="0"/>
                <w:sz w:val="15"/>
                <w:szCs w:val="15"/>
              </w:rPr>
            </w:pPr>
            <w:r>
              <w:rPr>
                <w:rFonts w:hint="eastAsia" w:ascii="宋体" w:hAnsi="宋体"/>
                <w:kern w:val="0"/>
                <w:sz w:val="15"/>
                <w:szCs w:val="15"/>
              </w:rPr>
              <w:t>1</w:t>
            </w:r>
          </w:p>
        </w:tc>
        <w:tc>
          <w:tcPr>
            <w:tcW w:w="591" w:type="dxa"/>
            <w:tcBorders>
              <w:top w:val="nil"/>
              <w:left w:val="nil"/>
              <w:bottom w:val="single" w:color="auto" w:sz="4" w:space="0"/>
              <w:right w:val="single" w:color="auto" w:sz="4" w:space="0"/>
            </w:tcBorders>
            <w:vAlign w:val="center"/>
          </w:tcPr>
          <w:p>
            <w:pPr>
              <w:widowControl/>
              <w:ind/>
              <w:jc w:val="center"/>
              <w:rPr>
                <w:rFonts w:ascii="宋体" w:hAnsi="宋体"/>
                <w:kern w:val="0"/>
                <w:sz w:val="15"/>
                <w:szCs w:val="15"/>
              </w:rPr>
            </w:pPr>
            <w:r>
              <w:rPr>
                <w:rFonts w:hint="eastAsia" w:ascii="宋体" w:hAnsi="宋体"/>
                <w:kern w:val="0"/>
                <w:sz w:val="15"/>
                <w:szCs w:val="15"/>
              </w:rPr>
              <w:t>1</w:t>
            </w:r>
          </w:p>
        </w:tc>
        <w:tc>
          <w:tcPr>
            <w:tcW w:w="1606" w:type="dxa"/>
            <w:tcBorders>
              <w:top w:val="nil"/>
              <w:left w:val="nil"/>
              <w:bottom w:val="single" w:color="auto" w:sz="4" w:space="0"/>
              <w:right w:val="single" w:color="auto" w:sz="4" w:space="0"/>
            </w:tcBorders>
            <w:vAlign w:val="center"/>
          </w:tcPr>
          <w:p>
            <w:pPr>
              <w:widowControl/>
              <w:ind/>
              <w:jc w:val="left"/>
              <w:rPr>
                <w:rFonts w:ascii="宋体" w:hAnsi="宋体"/>
                <w:kern w:val="0"/>
                <w:sz w:val="15"/>
                <w:szCs w:val="15"/>
              </w:rPr>
            </w:pPr>
            <w:r>
              <w:rPr>
                <w:rFonts w:hint="eastAsia" w:ascii="宋体" w:hAnsi="宋体"/>
                <w:kern w:val="0"/>
                <w:sz w:val="15"/>
                <w:szCs w:val="15"/>
              </w:rPr>
              <w:t>部门（单位）为加强预算管理、推进厉行节约、规范财务行为而制定的管理制度是否健全完整</w:t>
            </w:r>
          </w:p>
        </w:tc>
        <w:tc>
          <w:tcPr>
            <w:tcW w:w="2354" w:type="dxa"/>
            <w:tcBorders>
              <w:top w:val="nil"/>
              <w:left w:val="nil"/>
              <w:bottom w:val="single" w:color="auto" w:sz="4" w:space="0"/>
              <w:right w:val="single" w:color="auto" w:sz="4" w:space="0"/>
            </w:tcBorders>
            <w:vAlign w:val="center"/>
          </w:tcPr>
          <w:p>
            <w:pPr>
              <w:widowControl/>
              <w:ind/>
              <w:jc w:val="left"/>
              <w:rPr>
                <w:rFonts w:ascii="宋体" w:hAnsi="宋体"/>
                <w:kern w:val="0"/>
                <w:sz w:val="15"/>
                <w:szCs w:val="15"/>
              </w:rPr>
            </w:pPr>
            <w:r>
              <w:rPr>
                <w:rFonts w:hint="eastAsia" w:ascii="宋体" w:hAnsi="宋体"/>
                <w:kern w:val="0"/>
                <w:sz w:val="15"/>
                <w:szCs w:val="15"/>
              </w:rPr>
              <w:t>是否已制定或具有预算资金管理办法、厉行节约管理措施、内部财务管理制度、会计核算制度等管理制度；相关管理制度是否合法、合规、完整；相关管理制度是否得到有效执行。定性评价。</w:t>
            </w:r>
          </w:p>
        </w:tc>
        <w:tc>
          <w:tcPr>
            <w:tcW w:w="799" w:type="dxa"/>
            <w:tcBorders>
              <w:top w:val="nil"/>
              <w:left w:val="nil"/>
              <w:bottom w:val="single" w:color="auto" w:sz="4" w:space="0"/>
              <w:right w:val="single" w:color="auto" w:sz="4" w:space="0"/>
            </w:tcBorders>
            <w:vAlign w:val="center"/>
          </w:tcPr>
          <w:p>
            <w:pPr>
              <w:widowControl/>
              <w:ind/>
              <w:jc w:val="left"/>
              <w:rPr>
                <w:rFonts w:ascii="宋体" w:hAnsi="宋体"/>
                <w:kern w:val="0"/>
                <w:sz w:val="15"/>
                <w:szCs w:val="15"/>
              </w:rPr>
            </w:pPr>
            <w:r>
              <w:rPr>
                <w:rFonts w:hint="eastAsia" w:ascii="宋体" w:hAnsi="宋体"/>
                <w:kern w:val="0"/>
                <w:sz w:val="15"/>
                <w:szCs w:val="15"/>
              </w:rPr>
              <w:t>　</w:t>
            </w:r>
          </w:p>
        </w:tc>
      </w:tr>
      <w:tr>
        <w:trPr>
          <w:wBefore/>
          <w:trHeight w:val="1260" w:hRule="atLeast"/>
        </w:trPr>
        <w:tc>
          <w:tcPr>
            <w:tcW w:w="52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kern w:val="0"/>
                <w:sz w:val="15"/>
                <w:szCs w:val="15"/>
              </w:rPr>
            </w:pPr>
          </w:p>
        </w:tc>
        <w:tc>
          <w:tcPr>
            <w:tcW w:w="854" w:type="dxa"/>
            <w:vMerge w:val="continue"/>
            <w:tcBorders>
              <w:top w:val="nil"/>
              <w:left w:val="nil"/>
              <w:bottom w:val="single" w:color="000000" w:sz="4" w:space="0"/>
              <w:right w:val="single" w:color="auto" w:sz="4" w:space="0"/>
            </w:tcBorders>
            <w:vAlign w:val="center"/>
          </w:tcPr>
          <w:p>
            <w:pPr>
              <w:widowControl/>
              <w:jc w:val="left"/>
              <w:rPr>
                <w:rFonts w:ascii="宋体" w:hAnsi="宋体"/>
                <w:kern w:val="0"/>
                <w:sz w:val="15"/>
                <w:szCs w:val="15"/>
              </w:rPr>
            </w:pPr>
          </w:p>
        </w:tc>
        <w:tc>
          <w:tcPr>
            <w:tcW w:w="1352" w:type="dxa"/>
            <w:tcBorders>
              <w:top w:val="nil"/>
              <w:left w:val="nil"/>
              <w:bottom w:val="single" w:color="auto" w:sz="4" w:space="0"/>
              <w:right w:val="single" w:color="auto" w:sz="4" w:space="0"/>
            </w:tcBorders>
            <w:vAlign w:val="center"/>
          </w:tcPr>
          <w:p>
            <w:pPr>
              <w:widowControl/>
              <w:ind/>
              <w:jc w:val="left"/>
              <w:rPr>
                <w:rFonts w:ascii="宋体" w:hAnsi="宋体"/>
                <w:kern w:val="0"/>
                <w:sz w:val="15"/>
                <w:szCs w:val="15"/>
              </w:rPr>
            </w:pPr>
            <w:r>
              <w:rPr>
                <w:rFonts w:hint="eastAsia" w:ascii="宋体" w:hAnsi="宋体"/>
                <w:kern w:val="0"/>
                <w:sz w:val="15"/>
                <w:szCs w:val="15"/>
              </w:rPr>
              <w:t>资金使用合规性</w:t>
            </w:r>
          </w:p>
        </w:tc>
        <w:tc>
          <w:tcPr>
            <w:tcW w:w="441" w:type="dxa"/>
            <w:tcBorders>
              <w:top w:val="nil"/>
              <w:left w:val="nil"/>
              <w:bottom w:val="single" w:color="auto" w:sz="4" w:space="0"/>
              <w:right w:val="single" w:color="auto" w:sz="4" w:space="0"/>
            </w:tcBorders>
            <w:vAlign w:val="center"/>
          </w:tcPr>
          <w:p>
            <w:pPr>
              <w:widowControl/>
              <w:ind/>
              <w:jc w:val="center"/>
              <w:rPr>
                <w:rFonts w:ascii="宋体" w:hAnsi="宋体"/>
                <w:kern w:val="0"/>
                <w:sz w:val="15"/>
                <w:szCs w:val="15"/>
              </w:rPr>
            </w:pPr>
            <w:r>
              <w:rPr>
                <w:rFonts w:hint="eastAsia" w:ascii="宋体" w:hAnsi="宋体"/>
                <w:kern w:val="0"/>
                <w:sz w:val="15"/>
                <w:szCs w:val="15"/>
              </w:rPr>
              <w:t>1</w:t>
            </w:r>
          </w:p>
        </w:tc>
        <w:tc>
          <w:tcPr>
            <w:tcW w:w="591" w:type="dxa"/>
            <w:tcBorders>
              <w:top w:val="nil"/>
              <w:left w:val="nil"/>
              <w:bottom w:val="single" w:color="auto" w:sz="4" w:space="0"/>
              <w:right w:val="single" w:color="auto" w:sz="4" w:space="0"/>
            </w:tcBorders>
            <w:vAlign w:val="center"/>
          </w:tcPr>
          <w:p>
            <w:pPr>
              <w:widowControl/>
              <w:ind/>
              <w:jc w:val="center"/>
              <w:rPr>
                <w:rFonts w:ascii="宋体" w:hAnsi="宋体"/>
                <w:kern w:val="0"/>
                <w:sz w:val="15"/>
                <w:szCs w:val="15"/>
              </w:rPr>
            </w:pPr>
            <w:r>
              <w:rPr>
                <w:rFonts w:hint="eastAsia" w:ascii="宋体" w:hAnsi="宋体"/>
                <w:kern w:val="0"/>
                <w:sz w:val="15"/>
                <w:szCs w:val="15"/>
              </w:rPr>
              <w:t>1</w:t>
            </w:r>
          </w:p>
        </w:tc>
        <w:tc>
          <w:tcPr>
            <w:tcW w:w="1606" w:type="dxa"/>
            <w:tcBorders>
              <w:top w:val="nil"/>
              <w:left w:val="nil"/>
              <w:bottom w:val="single" w:color="auto" w:sz="4" w:space="0"/>
              <w:right w:val="single" w:color="auto" w:sz="4" w:space="0"/>
            </w:tcBorders>
            <w:vAlign w:val="center"/>
          </w:tcPr>
          <w:p>
            <w:pPr>
              <w:widowControl/>
              <w:ind/>
              <w:jc w:val="left"/>
              <w:rPr>
                <w:rFonts w:ascii="宋体" w:hAnsi="宋体"/>
                <w:kern w:val="0"/>
                <w:sz w:val="15"/>
                <w:szCs w:val="15"/>
              </w:rPr>
            </w:pPr>
            <w:r>
              <w:rPr>
                <w:rFonts w:hint="eastAsia" w:ascii="宋体" w:hAnsi="宋体"/>
                <w:kern w:val="0"/>
                <w:sz w:val="15"/>
                <w:szCs w:val="15"/>
              </w:rPr>
              <w:t>部门（单位）使用预算资金是否符合相关的预算财务管理制度的规定</w:t>
            </w:r>
          </w:p>
        </w:tc>
        <w:tc>
          <w:tcPr>
            <w:tcW w:w="2354" w:type="dxa"/>
            <w:tcBorders>
              <w:top w:val="nil"/>
              <w:left w:val="nil"/>
              <w:bottom w:val="single" w:color="auto" w:sz="4" w:space="0"/>
              <w:right w:val="single" w:color="auto" w:sz="4" w:space="0"/>
            </w:tcBorders>
            <w:vAlign w:val="center"/>
          </w:tcPr>
          <w:p>
            <w:pPr>
              <w:widowControl/>
              <w:ind/>
              <w:jc w:val="left"/>
              <w:rPr>
                <w:rFonts w:ascii="宋体" w:hAnsi="宋体"/>
                <w:kern w:val="0"/>
                <w:sz w:val="15"/>
                <w:szCs w:val="15"/>
              </w:rPr>
            </w:pPr>
            <w:r>
              <w:rPr>
                <w:rFonts w:hint="eastAsia" w:ascii="宋体" w:hAnsi="宋体"/>
                <w:kern w:val="0"/>
                <w:sz w:val="15"/>
                <w:szCs w:val="15"/>
              </w:rPr>
              <w:t>是否符合国家财经法规和财务管理制度规定以及有关专项资金管理办法的规定；资金的拨付是否有完整的审批程序和手续；项目的重大开支是否经过评估论证；是否符合部门预算批复的用途；是否存在截留、挤占、挪用、虚列支出等情况。发现一个问题点扣0.25分。</w:t>
            </w:r>
          </w:p>
        </w:tc>
        <w:tc>
          <w:tcPr>
            <w:tcW w:w="799" w:type="dxa"/>
            <w:tcBorders>
              <w:top w:val="nil"/>
              <w:left w:val="nil"/>
              <w:bottom w:val="single" w:color="auto" w:sz="4" w:space="0"/>
              <w:right w:val="single" w:color="auto" w:sz="4" w:space="0"/>
            </w:tcBorders>
            <w:vAlign w:val="center"/>
          </w:tcPr>
          <w:p>
            <w:pPr>
              <w:widowControl/>
              <w:ind/>
              <w:jc w:val="left"/>
              <w:rPr>
                <w:rFonts w:ascii="宋体" w:hAnsi="宋体"/>
                <w:kern w:val="0"/>
                <w:sz w:val="15"/>
                <w:szCs w:val="15"/>
              </w:rPr>
            </w:pPr>
            <w:r>
              <w:rPr>
                <w:rFonts w:hint="eastAsia" w:ascii="宋体" w:hAnsi="宋体"/>
                <w:kern w:val="0"/>
                <w:sz w:val="15"/>
                <w:szCs w:val="15"/>
              </w:rPr>
              <w:t>　</w:t>
            </w:r>
          </w:p>
        </w:tc>
      </w:tr>
      <w:tr>
        <w:trPr>
          <w:wBefore/>
          <w:trHeight w:val="690" w:hRule="atLeast"/>
        </w:trPr>
        <w:tc>
          <w:tcPr>
            <w:tcW w:w="52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kern w:val="0"/>
                <w:sz w:val="15"/>
                <w:szCs w:val="15"/>
              </w:rPr>
            </w:pPr>
          </w:p>
        </w:tc>
        <w:tc>
          <w:tcPr>
            <w:tcW w:w="854" w:type="dxa"/>
            <w:vMerge w:val="continue"/>
            <w:tcBorders>
              <w:top w:val="nil"/>
              <w:left w:val="nil"/>
              <w:bottom w:val="single" w:color="000000" w:sz="4" w:space="0"/>
              <w:right w:val="single" w:color="auto" w:sz="4" w:space="0"/>
            </w:tcBorders>
            <w:vAlign w:val="center"/>
          </w:tcPr>
          <w:p>
            <w:pPr>
              <w:widowControl/>
              <w:jc w:val="left"/>
              <w:rPr>
                <w:rFonts w:ascii="宋体" w:hAnsi="宋体"/>
                <w:kern w:val="0"/>
                <w:sz w:val="15"/>
                <w:szCs w:val="15"/>
              </w:rPr>
            </w:pPr>
          </w:p>
        </w:tc>
        <w:tc>
          <w:tcPr>
            <w:tcW w:w="1352" w:type="dxa"/>
            <w:tcBorders>
              <w:top w:val="nil"/>
              <w:left w:val="nil"/>
              <w:bottom w:val="single" w:color="auto" w:sz="4" w:space="0"/>
              <w:right w:val="single" w:color="auto" w:sz="4" w:space="0"/>
            </w:tcBorders>
            <w:vAlign w:val="center"/>
          </w:tcPr>
          <w:p>
            <w:pPr>
              <w:widowControl/>
              <w:ind/>
              <w:jc w:val="left"/>
              <w:rPr>
                <w:rFonts w:ascii="宋体" w:hAnsi="宋体"/>
                <w:kern w:val="0"/>
                <w:sz w:val="15"/>
                <w:szCs w:val="15"/>
              </w:rPr>
            </w:pPr>
            <w:r>
              <w:rPr>
                <w:rFonts w:hint="eastAsia" w:ascii="宋体" w:hAnsi="宋体"/>
                <w:kern w:val="0"/>
                <w:sz w:val="15"/>
                <w:szCs w:val="15"/>
              </w:rPr>
              <w:t>财务监控有效性</w:t>
            </w:r>
          </w:p>
        </w:tc>
        <w:tc>
          <w:tcPr>
            <w:tcW w:w="441" w:type="dxa"/>
            <w:tcBorders>
              <w:top w:val="nil"/>
              <w:left w:val="nil"/>
              <w:bottom w:val="single" w:color="auto" w:sz="4" w:space="0"/>
              <w:right w:val="single" w:color="auto" w:sz="4" w:space="0"/>
            </w:tcBorders>
            <w:vAlign w:val="center"/>
          </w:tcPr>
          <w:p>
            <w:pPr>
              <w:widowControl/>
              <w:ind/>
              <w:jc w:val="center"/>
              <w:rPr>
                <w:rFonts w:ascii="宋体" w:hAnsi="宋体"/>
                <w:kern w:val="0"/>
                <w:sz w:val="15"/>
                <w:szCs w:val="15"/>
              </w:rPr>
            </w:pPr>
            <w:r>
              <w:rPr>
                <w:rFonts w:hint="eastAsia" w:ascii="宋体" w:hAnsi="宋体"/>
                <w:kern w:val="0"/>
                <w:sz w:val="15"/>
                <w:szCs w:val="15"/>
              </w:rPr>
              <w:t>2</w:t>
            </w:r>
          </w:p>
        </w:tc>
        <w:tc>
          <w:tcPr>
            <w:tcW w:w="591" w:type="dxa"/>
            <w:tcBorders>
              <w:top w:val="nil"/>
              <w:left w:val="nil"/>
              <w:bottom w:val="single" w:color="auto" w:sz="4" w:space="0"/>
              <w:right w:val="single" w:color="auto" w:sz="4" w:space="0"/>
            </w:tcBorders>
            <w:vAlign w:val="center"/>
          </w:tcPr>
          <w:p>
            <w:pPr>
              <w:widowControl/>
              <w:ind/>
              <w:jc w:val="center"/>
              <w:rPr>
                <w:rFonts w:ascii="宋体" w:hAnsi="宋体"/>
                <w:kern w:val="0"/>
                <w:sz w:val="15"/>
                <w:szCs w:val="15"/>
              </w:rPr>
            </w:pPr>
            <w:r>
              <w:rPr>
                <w:rFonts w:hint="eastAsia" w:ascii="宋体" w:hAnsi="宋体"/>
                <w:kern w:val="0"/>
                <w:sz w:val="15"/>
                <w:szCs w:val="15"/>
              </w:rPr>
              <w:t>2</w:t>
            </w:r>
          </w:p>
        </w:tc>
        <w:tc>
          <w:tcPr>
            <w:tcW w:w="1606" w:type="dxa"/>
            <w:tcBorders>
              <w:top w:val="nil"/>
              <w:left w:val="nil"/>
              <w:bottom w:val="single" w:color="auto" w:sz="4" w:space="0"/>
              <w:right w:val="single" w:color="auto" w:sz="4" w:space="0"/>
            </w:tcBorders>
            <w:vAlign w:val="center"/>
          </w:tcPr>
          <w:p>
            <w:pPr>
              <w:widowControl/>
              <w:ind/>
              <w:jc w:val="left"/>
              <w:rPr>
                <w:rFonts w:ascii="宋体" w:hAnsi="宋体"/>
                <w:kern w:val="0"/>
                <w:sz w:val="15"/>
                <w:szCs w:val="15"/>
              </w:rPr>
            </w:pPr>
            <w:r>
              <w:rPr>
                <w:rFonts w:hint="eastAsia" w:ascii="宋体" w:hAnsi="宋体"/>
                <w:kern w:val="0"/>
                <w:sz w:val="15"/>
                <w:szCs w:val="15"/>
              </w:rPr>
              <w:t>考察部门是否对部门内部、各所属单位，专项资金分配的区（市）县或项目实施主体进行工作监督和定期考核。</w:t>
            </w:r>
          </w:p>
        </w:tc>
        <w:tc>
          <w:tcPr>
            <w:tcW w:w="2354" w:type="dxa"/>
            <w:tcBorders>
              <w:top w:val="nil"/>
              <w:left w:val="nil"/>
              <w:bottom w:val="single" w:color="auto" w:sz="4" w:space="0"/>
              <w:right w:val="single" w:color="auto" w:sz="4" w:space="0"/>
            </w:tcBorders>
            <w:vAlign w:val="center"/>
          </w:tcPr>
          <w:p>
            <w:pPr>
              <w:widowControl/>
              <w:ind/>
              <w:jc w:val="left"/>
              <w:rPr>
                <w:rFonts w:ascii="宋体" w:hAnsi="宋体"/>
                <w:kern w:val="0"/>
                <w:sz w:val="15"/>
                <w:szCs w:val="15"/>
              </w:rPr>
            </w:pPr>
            <w:r>
              <w:rPr>
                <w:rFonts w:hint="eastAsia" w:ascii="宋体" w:hAnsi="宋体"/>
                <w:kern w:val="0"/>
                <w:sz w:val="15"/>
                <w:szCs w:val="15"/>
              </w:rPr>
              <w:t>对部门内部、下属单位、分配的专项资金①制定明确的财务监控监督措施，得1分；②监控、监督措施执行有效，得1分。</w:t>
            </w:r>
          </w:p>
        </w:tc>
        <w:tc>
          <w:tcPr>
            <w:tcW w:w="799" w:type="dxa"/>
            <w:tcBorders>
              <w:top w:val="nil"/>
              <w:left w:val="nil"/>
              <w:bottom w:val="single" w:color="auto" w:sz="4" w:space="0"/>
              <w:right w:val="single" w:color="auto" w:sz="4" w:space="0"/>
            </w:tcBorders>
            <w:vAlign w:val="center"/>
          </w:tcPr>
          <w:p>
            <w:pPr>
              <w:widowControl/>
              <w:ind/>
              <w:jc w:val="center"/>
              <w:rPr>
                <w:rFonts w:ascii="宋体" w:hAnsi="宋体"/>
                <w:kern w:val="0"/>
                <w:sz w:val="15"/>
                <w:szCs w:val="15"/>
              </w:rPr>
            </w:pPr>
            <w:r>
              <w:rPr>
                <w:rFonts w:hint="eastAsia" w:ascii="宋体" w:hAnsi="宋体"/>
                <w:kern w:val="0"/>
                <w:sz w:val="15"/>
                <w:szCs w:val="15"/>
              </w:rPr>
              <w:t>　</w:t>
            </w:r>
          </w:p>
        </w:tc>
      </w:tr>
      <w:tr>
        <w:trPr>
          <w:wBefore/>
          <w:trHeight w:val="630" w:hRule="atLeast"/>
        </w:trPr>
        <w:tc>
          <w:tcPr>
            <w:tcW w:w="52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kern w:val="0"/>
                <w:sz w:val="15"/>
                <w:szCs w:val="15"/>
              </w:rPr>
            </w:pPr>
          </w:p>
        </w:tc>
        <w:tc>
          <w:tcPr>
            <w:tcW w:w="854" w:type="dxa"/>
            <w:tcBorders>
              <w:top w:val="nil"/>
              <w:left w:val="nil"/>
              <w:bottom w:val="single" w:color="auto" w:sz="4" w:space="0"/>
              <w:right w:val="single" w:color="auto" w:sz="4" w:space="0"/>
            </w:tcBorders>
            <w:vAlign w:val="center"/>
          </w:tcPr>
          <w:p>
            <w:pPr>
              <w:widowControl/>
              <w:ind/>
              <w:jc w:val="center"/>
              <w:rPr>
                <w:rFonts w:ascii="宋体" w:hAnsi="宋体"/>
                <w:kern w:val="0"/>
                <w:sz w:val="15"/>
                <w:szCs w:val="15"/>
              </w:rPr>
            </w:pPr>
            <w:r>
              <w:rPr>
                <w:rFonts w:hint="eastAsia" w:ascii="宋体" w:hAnsi="宋体"/>
                <w:kern w:val="0"/>
                <w:sz w:val="15"/>
                <w:szCs w:val="15"/>
              </w:rPr>
              <w:t>行政成本（1分）</w:t>
            </w:r>
          </w:p>
        </w:tc>
        <w:tc>
          <w:tcPr>
            <w:tcW w:w="1352" w:type="dxa"/>
            <w:tcBorders>
              <w:top w:val="nil"/>
              <w:left w:val="nil"/>
              <w:bottom w:val="single" w:color="auto" w:sz="4" w:space="0"/>
              <w:right w:val="single" w:color="auto" w:sz="4" w:space="0"/>
            </w:tcBorders>
            <w:vAlign w:val="center"/>
          </w:tcPr>
          <w:p>
            <w:pPr>
              <w:widowControl/>
              <w:ind/>
              <w:jc w:val="left"/>
              <w:rPr>
                <w:rFonts w:ascii="宋体" w:hAnsi="宋体"/>
                <w:kern w:val="0"/>
                <w:sz w:val="15"/>
                <w:szCs w:val="15"/>
              </w:rPr>
            </w:pPr>
            <w:r>
              <w:rPr>
                <w:rFonts w:hint="eastAsia" w:ascii="宋体" w:hAnsi="宋体"/>
                <w:kern w:val="0"/>
                <w:sz w:val="15"/>
                <w:szCs w:val="15"/>
              </w:rPr>
              <w:t>“三公”经费控制</w:t>
            </w:r>
          </w:p>
        </w:tc>
        <w:tc>
          <w:tcPr>
            <w:tcW w:w="441" w:type="dxa"/>
            <w:tcBorders>
              <w:top w:val="nil"/>
              <w:left w:val="nil"/>
              <w:bottom w:val="single" w:color="auto" w:sz="4" w:space="0"/>
              <w:right w:val="single" w:color="auto" w:sz="4" w:space="0"/>
            </w:tcBorders>
            <w:vAlign w:val="center"/>
          </w:tcPr>
          <w:p>
            <w:pPr>
              <w:widowControl/>
              <w:ind/>
              <w:jc w:val="center"/>
              <w:rPr>
                <w:rFonts w:ascii="宋体" w:hAnsi="宋体"/>
                <w:kern w:val="0"/>
                <w:sz w:val="15"/>
                <w:szCs w:val="15"/>
              </w:rPr>
            </w:pPr>
            <w:r>
              <w:rPr>
                <w:rFonts w:hint="eastAsia" w:ascii="宋体" w:hAnsi="宋体"/>
                <w:kern w:val="0"/>
                <w:sz w:val="15"/>
                <w:szCs w:val="15"/>
              </w:rPr>
              <w:t>1</w:t>
            </w:r>
          </w:p>
        </w:tc>
        <w:tc>
          <w:tcPr>
            <w:tcW w:w="591" w:type="dxa"/>
            <w:tcBorders>
              <w:top w:val="nil"/>
              <w:left w:val="nil"/>
              <w:bottom w:val="single" w:color="auto" w:sz="4" w:space="0"/>
              <w:right w:val="single" w:color="auto" w:sz="4" w:space="0"/>
            </w:tcBorders>
            <w:vAlign w:val="center"/>
          </w:tcPr>
          <w:p>
            <w:pPr>
              <w:widowControl/>
              <w:ind/>
              <w:jc w:val="center"/>
              <w:rPr>
                <w:rFonts w:ascii="宋体" w:hAnsi="宋体"/>
                <w:kern w:val="0"/>
                <w:sz w:val="15"/>
                <w:szCs w:val="15"/>
              </w:rPr>
            </w:pPr>
            <w:r>
              <w:rPr>
                <w:rFonts w:hint="eastAsia" w:ascii="宋体" w:hAnsi="宋体"/>
                <w:kern w:val="0"/>
                <w:sz w:val="15"/>
                <w:szCs w:val="15"/>
              </w:rPr>
              <w:t>1</w:t>
            </w:r>
          </w:p>
        </w:tc>
        <w:tc>
          <w:tcPr>
            <w:tcW w:w="1606" w:type="dxa"/>
            <w:tcBorders>
              <w:top w:val="nil"/>
              <w:left w:val="nil"/>
              <w:bottom w:val="single" w:color="auto" w:sz="4" w:space="0"/>
              <w:right w:val="single" w:color="auto" w:sz="4" w:space="0"/>
            </w:tcBorders>
            <w:vAlign w:val="center"/>
          </w:tcPr>
          <w:p>
            <w:pPr>
              <w:widowControl/>
              <w:ind/>
              <w:jc w:val="left"/>
              <w:rPr>
                <w:rFonts w:ascii="宋体" w:hAnsi="宋体"/>
                <w:kern w:val="0"/>
                <w:sz w:val="15"/>
                <w:szCs w:val="15"/>
              </w:rPr>
            </w:pPr>
            <w:r>
              <w:rPr>
                <w:rFonts w:hint="eastAsia" w:ascii="宋体" w:hAnsi="宋体"/>
                <w:kern w:val="0"/>
                <w:sz w:val="15"/>
                <w:szCs w:val="15"/>
              </w:rPr>
              <w:t>当年“三公”经费预算与当年决算比，反映“三公”经费控制情况</w:t>
            </w:r>
          </w:p>
        </w:tc>
        <w:tc>
          <w:tcPr>
            <w:tcW w:w="2354" w:type="dxa"/>
            <w:tcBorders>
              <w:top w:val="nil"/>
              <w:left w:val="nil"/>
              <w:bottom w:val="single" w:color="auto" w:sz="4" w:space="0"/>
              <w:right w:val="single" w:color="auto" w:sz="4" w:space="0"/>
            </w:tcBorders>
            <w:vAlign w:val="center"/>
          </w:tcPr>
          <w:p>
            <w:pPr>
              <w:widowControl/>
              <w:ind/>
              <w:jc w:val="left"/>
              <w:rPr>
                <w:rFonts w:ascii="宋体" w:hAnsi="宋体"/>
                <w:kern w:val="0"/>
                <w:sz w:val="15"/>
                <w:szCs w:val="15"/>
              </w:rPr>
            </w:pPr>
            <w:r>
              <w:rPr>
                <w:rFonts w:hint="eastAsia" w:ascii="宋体" w:hAnsi="宋体"/>
                <w:kern w:val="0"/>
                <w:sz w:val="15"/>
                <w:szCs w:val="15"/>
              </w:rPr>
              <w:t>部门“三公”经费决算数一项超预算扣0.5分，两项扣1分。</w:t>
            </w:r>
          </w:p>
        </w:tc>
        <w:tc>
          <w:tcPr>
            <w:tcW w:w="799" w:type="dxa"/>
            <w:tcBorders>
              <w:top w:val="nil"/>
              <w:left w:val="nil"/>
              <w:bottom w:val="single" w:color="auto" w:sz="4" w:space="0"/>
              <w:right w:val="single" w:color="auto" w:sz="4" w:space="0"/>
            </w:tcBorders>
            <w:vAlign w:val="center"/>
          </w:tcPr>
          <w:p>
            <w:pPr>
              <w:widowControl/>
              <w:ind/>
              <w:jc w:val="left"/>
              <w:rPr>
                <w:rFonts w:ascii="宋体" w:hAnsi="宋体"/>
                <w:kern w:val="0"/>
                <w:sz w:val="15"/>
                <w:szCs w:val="15"/>
              </w:rPr>
            </w:pPr>
            <w:r>
              <w:rPr>
                <w:rFonts w:hint="eastAsia" w:ascii="宋体" w:hAnsi="宋体"/>
                <w:kern w:val="0"/>
                <w:sz w:val="15"/>
                <w:szCs w:val="15"/>
              </w:rPr>
              <w:t>　</w:t>
            </w:r>
          </w:p>
        </w:tc>
      </w:tr>
      <w:tr>
        <w:trPr>
          <w:wBefore/>
          <w:trHeight w:val="420" w:hRule="atLeast"/>
        </w:trPr>
        <w:tc>
          <w:tcPr>
            <w:tcW w:w="52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kern w:val="0"/>
                <w:sz w:val="15"/>
                <w:szCs w:val="15"/>
              </w:rPr>
            </w:pPr>
          </w:p>
        </w:tc>
        <w:tc>
          <w:tcPr>
            <w:tcW w:w="854" w:type="dxa"/>
            <w:tcBorders>
              <w:top w:val="nil"/>
              <w:left w:val="nil"/>
              <w:bottom w:val="single" w:color="auto" w:sz="4" w:space="0"/>
              <w:right w:val="single" w:color="auto" w:sz="4" w:space="0"/>
            </w:tcBorders>
            <w:vAlign w:val="center"/>
          </w:tcPr>
          <w:p>
            <w:pPr>
              <w:widowControl/>
              <w:ind/>
              <w:jc w:val="center"/>
              <w:rPr>
                <w:rFonts w:ascii="宋体" w:hAnsi="宋体"/>
                <w:kern w:val="0"/>
                <w:sz w:val="15"/>
                <w:szCs w:val="15"/>
              </w:rPr>
            </w:pPr>
            <w:r>
              <w:rPr>
                <w:rFonts w:hint="eastAsia" w:ascii="宋体" w:hAnsi="宋体"/>
                <w:kern w:val="0"/>
                <w:sz w:val="15"/>
                <w:szCs w:val="15"/>
              </w:rPr>
              <w:t>政府采购（1分）</w:t>
            </w:r>
          </w:p>
        </w:tc>
        <w:tc>
          <w:tcPr>
            <w:tcW w:w="1352" w:type="dxa"/>
            <w:tcBorders>
              <w:top w:val="nil"/>
              <w:left w:val="nil"/>
              <w:bottom w:val="single" w:color="auto" w:sz="4" w:space="0"/>
              <w:right w:val="single" w:color="auto" w:sz="4" w:space="0"/>
            </w:tcBorders>
            <w:vAlign w:val="center"/>
          </w:tcPr>
          <w:p>
            <w:pPr>
              <w:widowControl/>
              <w:ind/>
              <w:jc w:val="left"/>
              <w:rPr>
                <w:rFonts w:ascii="宋体" w:hAnsi="宋体"/>
                <w:kern w:val="0"/>
                <w:sz w:val="15"/>
                <w:szCs w:val="15"/>
              </w:rPr>
            </w:pPr>
            <w:r>
              <w:rPr>
                <w:rFonts w:hint="eastAsia" w:ascii="宋体" w:hAnsi="宋体"/>
                <w:kern w:val="0"/>
                <w:sz w:val="15"/>
                <w:szCs w:val="15"/>
              </w:rPr>
              <w:t>采购规范性</w:t>
            </w:r>
          </w:p>
        </w:tc>
        <w:tc>
          <w:tcPr>
            <w:tcW w:w="441" w:type="dxa"/>
            <w:tcBorders>
              <w:top w:val="nil"/>
              <w:left w:val="nil"/>
              <w:bottom w:val="single" w:color="auto" w:sz="4" w:space="0"/>
              <w:right w:val="single" w:color="auto" w:sz="4" w:space="0"/>
            </w:tcBorders>
            <w:vAlign w:val="center"/>
          </w:tcPr>
          <w:p>
            <w:pPr>
              <w:widowControl/>
              <w:ind/>
              <w:jc w:val="center"/>
              <w:rPr>
                <w:rFonts w:ascii="宋体" w:hAnsi="宋体"/>
                <w:kern w:val="0"/>
                <w:sz w:val="15"/>
                <w:szCs w:val="15"/>
              </w:rPr>
            </w:pPr>
            <w:r>
              <w:rPr>
                <w:rFonts w:hint="eastAsia" w:ascii="宋体" w:hAnsi="宋体"/>
                <w:kern w:val="0"/>
                <w:sz w:val="15"/>
                <w:szCs w:val="15"/>
              </w:rPr>
              <w:t>1</w:t>
            </w:r>
          </w:p>
        </w:tc>
        <w:tc>
          <w:tcPr>
            <w:tcW w:w="591" w:type="dxa"/>
            <w:tcBorders>
              <w:top w:val="nil"/>
              <w:left w:val="nil"/>
              <w:bottom w:val="single" w:color="auto" w:sz="4" w:space="0"/>
              <w:right w:val="single" w:color="auto" w:sz="4" w:space="0"/>
            </w:tcBorders>
            <w:vAlign w:val="center"/>
          </w:tcPr>
          <w:p>
            <w:pPr>
              <w:widowControl/>
              <w:ind/>
              <w:jc w:val="center"/>
              <w:rPr>
                <w:rFonts w:ascii="宋体" w:hAnsi="宋体"/>
                <w:kern w:val="0"/>
                <w:sz w:val="15"/>
                <w:szCs w:val="15"/>
              </w:rPr>
            </w:pPr>
            <w:r>
              <w:rPr>
                <w:rFonts w:hint="eastAsia" w:ascii="宋体" w:hAnsi="宋体"/>
                <w:kern w:val="0"/>
                <w:sz w:val="15"/>
                <w:szCs w:val="15"/>
              </w:rPr>
              <w:t>1</w:t>
            </w:r>
          </w:p>
        </w:tc>
        <w:tc>
          <w:tcPr>
            <w:tcW w:w="1606" w:type="dxa"/>
            <w:tcBorders>
              <w:top w:val="nil"/>
              <w:left w:val="nil"/>
              <w:bottom w:val="single" w:color="auto" w:sz="4" w:space="0"/>
              <w:right w:val="single" w:color="auto" w:sz="4" w:space="0"/>
            </w:tcBorders>
            <w:vAlign w:val="center"/>
          </w:tcPr>
          <w:p>
            <w:pPr>
              <w:widowControl/>
              <w:ind/>
              <w:jc w:val="left"/>
              <w:rPr>
                <w:rFonts w:ascii="宋体" w:hAnsi="宋体"/>
                <w:kern w:val="0"/>
                <w:sz w:val="15"/>
                <w:szCs w:val="15"/>
              </w:rPr>
            </w:pPr>
            <w:r>
              <w:rPr>
                <w:rFonts w:hint="eastAsia" w:ascii="宋体" w:hAnsi="宋体"/>
                <w:kern w:val="0"/>
                <w:sz w:val="15"/>
                <w:szCs w:val="15"/>
              </w:rPr>
              <w:t>考察政府采购项目的采购程序、 采购方式的规范性</w:t>
            </w:r>
          </w:p>
        </w:tc>
        <w:tc>
          <w:tcPr>
            <w:tcW w:w="2354" w:type="dxa"/>
            <w:tcBorders>
              <w:top w:val="nil"/>
              <w:left w:val="nil"/>
              <w:bottom w:val="single" w:color="auto" w:sz="4" w:space="0"/>
              <w:right w:val="single" w:color="auto" w:sz="4" w:space="0"/>
            </w:tcBorders>
            <w:vAlign w:val="center"/>
          </w:tcPr>
          <w:p>
            <w:pPr>
              <w:widowControl/>
              <w:ind/>
              <w:jc w:val="left"/>
              <w:rPr>
                <w:rFonts w:ascii="宋体" w:hAnsi="宋体"/>
                <w:kern w:val="0"/>
                <w:sz w:val="15"/>
                <w:szCs w:val="15"/>
              </w:rPr>
            </w:pPr>
            <w:r>
              <w:rPr>
                <w:rFonts w:hint="eastAsia" w:ascii="宋体" w:hAnsi="宋体"/>
                <w:kern w:val="0"/>
                <w:sz w:val="15"/>
                <w:szCs w:val="15"/>
              </w:rPr>
              <w:t>采购方式、程序中每一点不规范，扣 0.5 分，直至扣完。</w:t>
            </w:r>
          </w:p>
        </w:tc>
        <w:tc>
          <w:tcPr>
            <w:tcW w:w="799" w:type="dxa"/>
            <w:tcBorders>
              <w:top w:val="nil"/>
              <w:left w:val="nil"/>
              <w:bottom w:val="single" w:color="auto" w:sz="4" w:space="0"/>
              <w:right w:val="single" w:color="auto" w:sz="4" w:space="0"/>
            </w:tcBorders>
            <w:vAlign w:val="center"/>
          </w:tcPr>
          <w:p>
            <w:pPr>
              <w:widowControl/>
              <w:ind/>
              <w:jc w:val="left"/>
              <w:rPr>
                <w:rFonts w:ascii="宋体" w:hAnsi="宋体"/>
                <w:kern w:val="0"/>
                <w:sz w:val="15"/>
                <w:szCs w:val="15"/>
              </w:rPr>
            </w:pPr>
            <w:r>
              <w:rPr>
                <w:rFonts w:hint="eastAsia" w:ascii="宋体" w:hAnsi="宋体"/>
                <w:kern w:val="0"/>
                <w:sz w:val="15"/>
                <w:szCs w:val="15"/>
              </w:rPr>
              <w:t>　</w:t>
            </w:r>
          </w:p>
        </w:tc>
      </w:tr>
      <w:tr>
        <w:trPr>
          <w:wBefore/>
          <w:trHeight w:val="900" w:hRule="atLeast"/>
        </w:trPr>
        <w:tc>
          <w:tcPr>
            <w:tcW w:w="52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kern w:val="0"/>
                <w:sz w:val="15"/>
                <w:szCs w:val="15"/>
              </w:rPr>
            </w:pPr>
          </w:p>
        </w:tc>
        <w:tc>
          <w:tcPr>
            <w:tcW w:w="854" w:type="dxa"/>
            <w:tcBorders>
              <w:top w:val="nil"/>
              <w:left w:val="nil"/>
              <w:bottom w:val="single" w:color="auto" w:sz="4" w:space="0"/>
              <w:right w:val="single" w:color="auto" w:sz="4" w:space="0"/>
            </w:tcBorders>
            <w:vAlign w:val="center"/>
          </w:tcPr>
          <w:p>
            <w:pPr>
              <w:widowControl/>
              <w:ind/>
              <w:jc w:val="center"/>
              <w:rPr>
                <w:rFonts w:ascii="宋体" w:hAnsi="宋体"/>
                <w:kern w:val="0"/>
                <w:sz w:val="15"/>
                <w:szCs w:val="15"/>
              </w:rPr>
            </w:pPr>
            <w:r>
              <w:rPr>
                <w:rFonts w:hint="eastAsia" w:ascii="宋体" w:hAnsi="宋体"/>
                <w:kern w:val="0"/>
                <w:sz w:val="15"/>
                <w:szCs w:val="15"/>
              </w:rPr>
              <w:t>资产管理（2分）</w:t>
            </w:r>
          </w:p>
        </w:tc>
        <w:tc>
          <w:tcPr>
            <w:tcW w:w="1352" w:type="dxa"/>
            <w:tcBorders>
              <w:top w:val="nil"/>
              <w:left w:val="nil"/>
              <w:bottom w:val="single" w:color="auto" w:sz="4" w:space="0"/>
              <w:right w:val="single" w:color="auto" w:sz="4" w:space="0"/>
            </w:tcBorders>
            <w:vAlign w:val="center"/>
          </w:tcPr>
          <w:p>
            <w:pPr>
              <w:widowControl/>
              <w:ind/>
              <w:jc w:val="left"/>
              <w:rPr>
                <w:rFonts w:ascii="宋体" w:hAnsi="宋体"/>
                <w:kern w:val="0"/>
                <w:sz w:val="15"/>
                <w:szCs w:val="15"/>
              </w:rPr>
            </w:pPr>
            <w:r>
              <w:rPr>
                <w:rFonts w:hint="eastAsia" w:ascii="宋体" w:hAnsi="宋体"/>
                <w:kern w:val="0"/>
                <w:sz w:val="15"/>
                <w:szCs w:val="15"/>
              </w:rPr>
              <w:t>固定资产在用率</w:t>
            </w:r>
          </w:p>
        </w:tc>
        <w:tc>
          <w:tcPr>
            <w:tcW w:w="441" w:type="dxa"/>
            <w:tcBorders>
              <w:top w:val="nil"/>
              <w:left w:val="nil"/>
              <w:bottom w:val="single" w:color="auto" w:sz="4" w:space="0"/>
              <w:right w:val="single" w:color="auto" w:sz="4" w:space="0"/>
            </w:tcBorders>
            <w:vAlign w:val="center"/>
          </w:tcPr>
          <w:p>
            <w:pPr>
              <w:widowControl/>
              <w:ind/>
              <w:jc w:val="center"/>
              <w:rPr>
                <w:rFonts w:ascii="宋体" w:hAnsi="宋体"/>
                <w:kern w:val="0"/>
                <w:sz w:val="15"/>
                <w:szCs w:val="15"/>
              </w:rPr>
            </w:pPr>
            <w:r>
              <w:rPr>
                <w:rFonts w:hint="eastAsia" w:ascii="宋体" w:hAnsi="宋体"/>
                <w:kern w:val="0"/>
                <w:sz w:val="15"/>
                <w:szCs w:val="15"/>
              </w:rPr>
              <w:t>2</w:t>
            </w:r>
          </w:p>
        </w:tc>
        <w:tc>
          <w:tcPr>
            <w:tcW w:w="591" w:type="dxa"/>
            <w:tcBorders>
              <w:top w:val="nil"/>
              <w:left w:val="nil"/>
              <w:bottom w:val="single" w:color="auto" w:sz="4" w:space="0"/>
              <w:right w:val="single" w:color="auto" w:sz="4" w:space="0"/>
            </w:tcBorders>
            <w:vAlign w:val="center"/>
          </w:tcPr>
          <w:p>
            <w:pPr>
              <w:widowControl/>
              <w:ind/>
              <w:jc w:val="center"/>
              <w:rPr>
                <w:rFonts w:ascii="宋体" w:hAnsi="宋体"/>
                <w:kern w:val="0"/>
                <w:sz w:val="15"/>
                <w:szCs w:val="15"/>
              </w:rPr>
            </w:pPr>
            <w:r>
              <w:rPr>
                <w:rFonts w:hint="eastAsia" w:ascii="宋体" w:hAnsi="宋体"/>
                <w:kern w:val="0"/>
                <w:sz w:val="15"/>
                <w:szCs w:val="15"/>
              </w:rPr>
              <w:t>2</w:t>
            </w:r>
          </w:p>
        </w:tc>
        <w:tc>
          <w:tcPr>
            <w:tcW w:w="1606" w:type="dxa"/>
            <w:tcBorders>
              <w:top w:val="nil"/>
              <w:left w:val="nil"/>
              <w:bottom w:val="single" w:color="auto" w:sz="4" w:space="0"/>
              <w:right w:val="single" w:color="auto" w:sz="4" w:space="0"/>
            </w:tcBorders>
            <w:vAlign w:val="center"/>
          </w:tcPr>
          <w:p>
            <w:pPr>
              <w:widowControl/>
              <w:ind/>
              <w:jc w:val="left"/>
              <w:rPr>
                <w:rFonts w:ascii="宋体" w:hAnsi="宋体"/>
                <w:kern w:val="0"/>
                <w:sz w:val="15"/>
                <w:szCs w:val="15"/>
              </w:rPr>
            </w:pPr>
            <w:r>
              <w:rPr>
                <w:rFonts w:hint="eastAsia" w:ascii="宋体" w:hAnsi="宋体"/>
                <w:kern w:val="0"/>
                <w:sz w:val="15"/>
                <w:szCs w:val="15"/>
              </w:rPr>
              <w:t>部门实际在用固定资产总额与所有固定资产总额的比率， 用以反映和考核部门固定资产使用效率及程度。</w:t>
            </w:r>
          </w:p>
        </w:tc>
        <w:tc>
          <w:tcPr>
            <w:tcW w:w="2354" w:type="dxa"/>
            <w:tcBorders>
              <w:top w:val="nil"/>
              <w:left w:val="nil"/>
              <w:bottom w:val="single" w:color="auto" w:sz="4" w:space="0"/>
              <w:right w:val="single" w:color="auto" w:sz="4" w:space="0"/>
            </w:tcBorders>
            <w:vAlign w:val="center"/>
          </w:tcPr>
          <w:p>
            <w:pPr>
              <w:widowControl/>
              <w:ind/>
              <w:jc w:val="left"/>
              <w:rPr>
                <w:rFonts w:ascii="宋体" w:hAnsi="宋体"/>
                <w:kern w:val="0"/>
                <w:sz w:val="15"/>
                <w:szCs w:val="15"/>
              </w:rPr>
            </w:pPr>
            <w:r>
              <w:rPr>
                <w:rFonts w:hint="eastAsia" w:ascii="宋体" w:hAnsi="宋体"/>
                <w:kern w:val="0"/>
                <w:sz w:val="15"/>
                <w:szCs w:val="15"/>
              </w:rPr>
              <w:t>固定资产在用率=（实际在用固定资产总额/所有固定资产总额）×100%。 固定资产在用率达到 95%以上得满分。 相较95%，每降低 5个百分点扣1分，直至扣完。</w:t>
            </w:r>
          </w:p>
        </w:tc>
        <w:tc>
          <w:tcPr>
            <w:tcW w:w="799" w:type="dxa"/>
            <w:tcBorders>
              <w:top w:val="nil"/>
              <w:left w:val="nil"/>
              <w:bottom w:val="single" w:color="auto" w:sz="4" w:space="0"/>
              <w:right w:val="single" w:color="auto" w:sz="4" w:space="0"/>
            </w:tcBorders>
            <w:vAlign w:val="center"/>
          </w:tcPr>
          <w:p>
            <w:pPr>
              <w:widowControl/>
              <w:ind/>
              <w:jc w:val="left"/>
              <w:rPr>
                <w:rFonts w:ascii="宋体" w:hAnsi="宋体"/>
                <w:kern w:val="0"/>
                <w:sz w:val="15"/>
                <w:szCs w:val="15"/>
              </w:rPr>
            </w:pPr>
            <w:r>
              <w:rPr>
                <w:rFonts w:hint="eastAsia" w:ascii="宋体" w:hAnsi="宋体"/>
                <w:kern w:val="0"/>
                <w:sz w:val="15"/>
                <w:szCs w:val="15"/>
              </w:rPr>
              <w:t>　</w:t>
            </w:r>
          </w:p>
        </w:tc>
      </w:tr>
      <w:tr>
        <w:trPr>
          <w:wBefore/>
          <w:trHeight w:val="840" w:hRule="atLeast"/>
        </w:trPr>
        <w:tc>
          <w:tcPr>
            <w:tcW w:w="52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kern w:val="0"/>
                <w:sz w:val="15"/>
                <w:szCs w:val="15"/>
              </w:rPr>
            </w:pPr>
          </w:p>
        </w:tc>
        <w:tc>
          <w:tcPr>
            <w:tcW w:w="854" w:type="dxa"/>
            <w:tcBorders>
              <w:top w:val="nil"/>
              <w:left w:val="nil"/>
              <w:bottom w:val="single" w:color="auto" w:sz="4" w:space="0"/>
              <w:right w:val="single" w:color="auto" w:sz="4" w:space="0"/>
            </w:tcBorders>
            <w:vAlign w:val="center"/>
          </w:tcPr>
          <w:p>
            <w:pPr>
              <w:widowControl/>
              <w:ind/>
              <w:jc w:val="center"/>
              <w:rPr>
                <w:rFonts w:ascii="宋体" w:hAnsi="宋体"/>
                <w:kern w:val="0"/>
                <w:sz w:val="15"/>
                <w:szCs w:val="15"/>
              </w:rPr>
            </w:pPr>
            <w:r>
              <w:rPr>
                <w:rFonts w:hint="eastAsia" w:ascii="宋体" w:hAnsi="宋体"/>
                <w:kern w:val="0"/>
                <w:sz w:val="15"/>
                <w:szCs w:val="15"/>
              </w:rPr>
              <w:t>信息公开（2分）</w:t>
            </w:r>
          </w:p>
        </w:tc>
        <w:tc>
          <w:tcPr>
            <w:tcW w:w="1352" w:type="dxa"/>
            <w:tcBorders>
              <w:top w:val="nil"/>
              <w:left w:val="nil"/>
              <w:bottom w:val="single" w:color="auto" w:sz="4" w:space="0"/>
              <w:right w:val="single" w:color="auto" w:sz="4" w:space="0"/>
            </w:tcBorders>
            <w:vAlign w:val="center"/>
          </w:tcPr>
          <w:p>
            <w:pPr>
              <w:widowControl/>
              <w:ind/>
              <w:jc w:val="left"/>
              <w:rPr>
                <w:rFonts w:ascii="宋体" w:hAnsi="宋体"/>
                <w:kern w:val="0"/>
                <w:sz w:val="15"/>
                <w:szCs w:val="15"/>
              </w:rPr>
            </w:pPr>
            <w:r>
              <w:rPr>
                <w:rFonts w:hint="eastAsia" w:ascii="宋体" w:hAnsi="宋体"/>
                <w:kern w:val="0"/>
                <w:sz w:val="15"/>
                <w:szCs w:val="15"/>
              </w:rPr>
              <w:t>信息公开</w:t>
            </w:r>
          </w:p>
        </w:tc>
        <w:tc>
          <w:tcPr>
            <w:tcW w:w="441" w:type="dxa"/>
            <w:tcBorders>
              <w:top w:val="nil"/>
              <w:left w:val="nil"/>
              <w:bottom w:val="single" w:color="auto" w:sz="4" w:space="0"/>
              <w:right w:val="single" w:color="auto" w:sz="4" w:space="0"/>
            </w:tcBorders>
            <w:vAlign w:val="center"/>
          </w:tcPr>
          <w:p>
            <w:pPr>
              <w:widowControl/>
              <w:ind/>
              <w:jc w:val="center"/>
              <w:rPr>
                <w:rFonts w:ascii="宋体" w:hAnsi="宋体"/>
                <w:kern w:val="0"/>
                <w:sz w:val="15"/>
                <w:szCs w:val="15"/>
              </w:rPr>
            </w:pPr>
            <w:r>
              <w:rPr>
                <w:rFonts w:hint="eastAsia" w:ascii="宋体" w:hAnsi="宋体"/>
                <w:kern w:val="0"/>
                <w:sz w:val="15"/>
                <w:szCs w:val="15"/>
              </w:rPr>
              <w:t>2</w:t>
            </w:r>
          </w:p>
        </w:tc>
        <w:tc>
          <w:tcPr>
            <w:tcW w:w="591" w:type="dxa"/>
            <w:tcBorders>
              <w:top w:val="nil"/>
              <w:left w:val="nil"/>
              <w:bottom w:val="single" w:color="auto" w:sz="4" w:space="0"/>
              <w:right w:val="single" w:color="auto" w:sz="4" w:space="0"/>
            </w:tcBorders>
            <w:vAlign w:val="center"/>
          </w:tcPr>
          <w:p>
            <w:pPr>
              <w:widowControl/>
              <w:ind/>
              <w:jc w:val="center"/>
              <w:rPr>
                <w:rFonts w:ascii="宋体" w:hAnsi="宋体"/>
                <w:kern w:val="0"/>
                <w:sz w:val="15"/>
                <w:szCs w:val="15"/>
              </w:rPr>
            </w:pPr>
            <w:r>
              <w:rPr>
                <w:rFonts w:hint="eastAsia" w:ascii="宋体" w:hAnsi="宋体"/>
                <w:kern w:val="0"/>
                <w:sz w:val="15"/>
                <w:szCs w:val="15"/>
              </w:rPr>
              <w:t>2</w:t>
            </w:r>
          </w:p>
        </w:tc>
        <w:tc>
          <w:tcPr>
            <w:tcW w:w="1606" w:type="dxa"/>
            <w:tcBorders>
              <w:top w:val="nil"/>
              <w:left w:val="nil"/>
              <w:bottom w:val="single" w:color="auto" w:sz="4" w:space="0"/>
              <w:right w:val="single" w:color="auto" w:sz="4" w:space="0"/>
            </w:tcBorders>
            <w:vAlign w:val="center"/>
          </w:tcPr>
          <w:p>
            <w:pPr>
              <w:widowControl/>
              <w:ind/>
              <w:jc w:val="left"/>
              <w:rPr>
                <w:rFonts w:ascii="宋体" w:hAnsi="宋体"/>
                <w:kern w:val="0"/>
                <w:sz w:val="15"/>
                <w:szCs w:val="15"/>
              </w:rPr>
            </w:pPr>
            <w:r>
              <w:rPr>
                <w:rFonts w:hint="eastAsia" w:ascii="宋体" w:hAnsi="宋体"/>
                <w:kern w:val="0"/>
                <w:sz w:val="15"/>
                <w:szCs w:val="15"/>
              </w:rPr>
              <w:t>除涉密单位和信息外，考核部门（单位）是否按财政要求及时完成预算、决算、绩效等信息公开工作</w:t>
            </w:r>
          </w:p>
        </w:tc>
        <w:tc>
          <w:tcPr>
            <w:tcW w:w="2354" w:type="dxa"/>
            <w:tcBorders>
              <w:top w:val="nil"/>
              <w:left w:val="nil"/>
              <w:bottom w:val="single" w:color="auto" w:sz="4" w:space="0"/>
              <w:right w:val="single" w:color="auto" w:sz="4" w:space="0"/>
            </w:tcBorders>
            <w:vAlign w:val="center"/>
          </w:tcPr>
          <w:p>
            <w:pPr>
              <w:widowControl/>
              <w:ind/>
              <w:jc w:val="left"/>
              <w:rPr>
                <w:rFonts w:ascii="宋体" w:hAnsi="宋体"/>
                <w:kern w:val="0"/>
                <w:sz w:val="15"/>
                <w:szCs w:val="15"/>
              </w:rPr>
            </w:pPr>
            <w:r>
              <w:rPr>
                <w:rFonts w:hint="eastAsia" w:ascii="宋体" w:hAnsi="宋体"/>
                <w:kern w:val="0"/>
                <w:sz w:val="15"/>
                <w:szCs w:val="15"/>
              </w:rPr>
              <w:t>一项公开工作未完成的扣1分，直至扣完。</w:t>
            </w:r>
          </w:p>
        </w:tc>
        <w:tc>
          <w:tcPr>
            <w:tcW w:w="799" w:type="dxa"/>
            <w:tcBorders>
              <w:top w:val="nil"/>
              <w:left w:val="nil"/>
              <w:bottom w:val="single" w:color="auto" w:sz="4" w:space="0"/>
              <w:right w:val="single" w:color="auto" w:sz="4" w:space="0"/>
            </w:tcBorders>
            <w:vAlign w:val="center"/>
          </w:tcPr>
          <w:p>
            <w:pPr>
              <w:widowControl/>
              <w:ind/>
              <w:jc w:val="left"/>
              <w:rPr>
                <w:rFonts w:ascii="宋体" w:hAnsi="宋体"/>
                <w:kern w:val="0"/>
                <w:sz w:val="15"/>
                <w:szCs w:val="15"/>
              </w:rPr>
            </w:pPr>
            <w:r>
              <w:rPr>
                <w:rFonts w:hint="eastAsia" w:ascii="宋体" w:hAnsi="宋体"/>
                <w:kern w:val="0"/>
                <w:sz w:val="15"/>
                <w:szCs w:val="15"/>
              </w:rPr>
              <w:t>　</w:t>
            </w:r>
          </w:p>
        </w:tc>
      </w:tr>
      <w:tr>
        <w:trPr>
          <w:wBefore/>
          <w:trHeight w:val="840" w:hRule="atLeast"/>
        </w:trPr>
        <w:tc>
          <w:tcPr>
            <w:tcW w:w="525" w:type="dxa"/>
            <w:vMerge w:val="restart"/>
            <w:tcBorders>
              <w:top w:val="nil"/>
              <w:left w:val="single" w:color="auto" w:sz="4" w:space="0"/>
              <w:bottom w:val="single" w:color="auto" w:sz="4" w:space="0"/>
              <w:right w:val="single" w:color="auto" w:sz="4" w:space="0"/>
            </w:tcBorders>
            <w:vAlign w:val="center"/>
          </w:tcPr>
          <w:p>
            <w:pPr>
              <w:widowControl/>
              <w:ind/>
              <w:jc w:val="center"/>
              <w:rPr>
                <w:rFonts w:ascii="宋体" w:hAnsi="宋体"/>
                <w:kern w:val="0"/>
                <w:sz w:val="15"/>
                <w:szCs w:val="15"/>
              </w:rPr>
            </w:pPr>
            <w:r>
              <w:rPr>
                <w:rFonts w:hint="eastAsia" w:ascii="宋体" w:hAnsi="宋体"/>
                <w:kern w:val="0"/>
                <w:sz w:val="15"/>
                <w:szCs w:val="15"/>
              </w:rPr>
              <w:t>（70分）</w:t>
            </w:r>
            <w:r>
              <w:rPr>
                <w:rFonts w:hint="eastAsia" w:ascii="宋体" w:hAnsi="宋体"/>
                <w:kern w:val="0"/>
                <w:sz w:val="15"/>
                <w:szCs w:val="15"/>
              </w:rPr>
              <w:br w:type="textWrapping"/>
            </w:r>
            <w:r>
              <w:rPr>
                <w:rFonts w:hint="eastAsia" w:ascii="宋体" w:hAnsi="宋体"/>
                <w:kern w:val="0"/>
                <w:sz w:val="15"/>
                <w:szCs w:val="15"/>
              </w:rPr>
              <w:t>履职效能</w:t>
            </w:r>
          </w:p>
        </w:tc>
        <w:tc>
          <w:tcPr>
            <w:tcW w:w="854" w:type="dxa"/>
            <w:vMerge w:val="restart"/>
            <w:tcBorders>
              <w:top w:val="nil"/>
              <w:left w:val="nil"/>
              <w:bottom w:val="nil"/>
              <w:right w:val="single" w:color="auto" w:sz="4" w:space="0"/>
            </w:tcBorders>
            <w:vAlign w:val="center"/>
          </w:tcPr>
          <w:p>
            <w:pPr>
              <w:widowControl/>
              <w:ind/>
              <w:jc w:val="center"/>
              <w:rPr>
                <w:rFonts w:ascii="宋体" w:hAnsi="宋体"/>
                <w:kern w:val="0"/>
                <w:sz w:val="15"/>
                <w:szCs w:val="15"/>
              </w:rPr>
            </w:pPr>
            <w:r>
              <w:rPr>
                <w:rFonts w:hint="eastAsia" w:ascii="宋体" w:hAnsi="宋体"/>
                <w:kern w:val="0"/>
                <w:sz w:val="15"/>
                <w:szCs w:val="15"/>
              </w:rPr>
              <w:t>重点任务一（围绕办品牌学校一个中心，抓好教育质量和校园特色两条主线）              （30分）</w:t>
            </w:r>
          </w:p>
        </w:tc>
        <w:tc>
          <w:tcPr>
            <w:tcW w:w="1352" w:type="dxa"/>
            <w:tcBorders>
              <w:top w:val="nil"/>
              <w:left w:val="nil"/>
              <w:bottom w:val="single" w:color="auto" w:sz="4" w:space="0"/>
              <w:right w:val="single" w:color="auto" w:sz="4" w:space="0"/>
            </w:tcBorders>
            <w:vAlign w:val="center"/>
          </w:tcPr>
          <w:p>
            <w:pPr>
              <w:widowControl/>
              <w:ind/>
              <w:jc w:val="left"/>
              <w:rPr>
                <w:rFonts w:ascii="宋体" w:hAnsi="宋体"/>
                <w:kern w:val="0"/>
                <w:sz w:val="15"/>
                <w:szCs w:val="15"/>
              </w:rPr>
            </w:pPr>
            <w:r>
              <w:rPr>
                <w:rFonts w:hint="eastAsia" w:ascii="宋体" w:hAnsi="宋体"/>
                <w:kern w:val="0"/>
                <w:sz w:val="15"/>
                <w:szCs w:val="15"/>
              </w:rPr>
              <w:t>任务完成率</w:t>
            </w:r>
          </w:p>
        </w:tc>
        <w:tc>
          <w:tcPr>
            <w:tcW w:w="441" w:type="dxa"/>
            <w:tcBorders>
              <w:top w:val="nil"/>
              <w:left w:val="nil"/>
              <w:bottom w:val="single" w:color="auto" w:sz="4" w:space="0"/>
              <w:right w:val="single" w:color="auto" w:sz="4" w:space="0"/>
            </w:tcBorders>
            <w:vAlign w:val="center"/>
          </w:tcPr>
          <w:p>
            <w:pPr>
              <w:widowControl/>
              <w:ind/>
              <w:jc w:val="center"/>
              <w:rPr>
                <w:rFonts w:ascii="宋体" w:hAnsi="宋体"/>
                <w:kern w:val="0"/>
                <w:sz w:val="15"/>
                <w:szCs w:val="15"/>
              </w:rPr>
            </w:pPr>
            <w:r>
              <w:rPr>
                <w:rFonts w:hint="eastAsia" w:ascii="宋体" w:hAnsi="宋体"/>
                <w:kern w:val="0"/>
                <w:sz w:val="15"/>
                <w:szCs w:val="15"/>
              </w:rPr>
              <w:t>6</w:t>
            </w:r>
          </w:p>
        </w:tc>
        <w:tc>
          <w:tcPr>
            <w:tcW w:w="591" w:type="dxa"/>
            <w:tcBorders>
              <w:top w:val="nil"/>
              <w:left w:val="nil"/>
              <w:bottom w:val="single" w:color="auto" w:sz="4" w:space="0"/>
              <w:right w:val="single" w:color="auto" w:sz="4" w:space="0"/>
            </w:tcBorders>
            <w:vAlign w:val="center"/>
          </w:tcPr>
          <w:p>
            <w:pPr>
              <w:widowControl/>
              <w:ind/>
              <w:jc w:val="center"/>
              <w:rPr>
                <w:rFonts w:ascii="宋体" w:hAnsi="宋体"/>
                <w:kern w:val="0"/>
                <w:sz w:val="15"/>
                <w:szCs w:val="15"/>
              </w:rPr>
            </w:pPr>
            <w:r>
              <w:rPr>
                <w:rFonts w:hint="eastAsia" w:ascii="宋体" w:hAnsi="宋体"/>
                <w:kern w:val="0"/>
                <w:sz w:val="15"/>
                <w:szCs w:val="15"/>
              </w:rPr>
              <w:t>6</w:t>
            </w:r>
          </w:p>
        </w:tc>
        <w:tc>
          <w:tcPr>
            <w:tcW w:w="1606" w:type="dxa"/>
            <w:tcBorders>
              <w:top w:val="nil"/>
              <w:left w:val="nil"/>
              <w:bottom w:val="single" w:color="auto" w:sz="4" w:space="0"/>
              <w:right w:val="single" w:color="auto" w:sz="4" w:space="0"/>
            </w:tcBorders>
            <w:vAlign w:val="center"/>
          </w:tcPr>
          <w:p>
            <w:pPr>
              <w:widowControl/>
              <w:ind/>
              <w:jc w:val="left"/>
              <w:rPr>
                <w:rFonts w:ascii="宋体" w:hAnsi="宋体"/>
                <w:kern w:val="0"/>
                <w:sz w:val="15"/>
                <w:szCs w:val="15"/>
              </w:rPr>
            </w:pPr>
            <w:r>
              <w:rPr>
                <w:rFonts w:hint="eastAsia" w:ascii="宋体" w:hAnsi="宋体"/>
                <w:kern w:val="0"/>
                <w:sz w:val="15"/>
                <w:szCs w:val="15"/>
              </w:rPr>
              <w:t>得分=分值×实际完成任务量/绩效目标设定任务量×100%。实际完成任务量大于绩效目标设定任务量得满分。</w:t>
            </w:r>
          </w:p>
        </w:tc>
        <w:tc>
          <w:tcPr>
            <w:tcW w:w="2354" w:type="dxa"/>
            <w:vMerge w:val="restart"/>
            <w:tcBorders>
              <w:top w:val="nil"/>
              <w:left w:val="nil"/>
              <w:bottom w:val="nil"/>
              <w:right w:val="single" w:color="auto" w:sz="4" w:space="0"/>
            </w:tcBorders>
            <w:vAlign w:val="center"/>
          </w:tcPr>
          <w:p>
            <w:pPr>
              <w:widowControl/>
              <w:ind/>
              <w:jc w:val="left"/>
              <w:rPr>
                <w:rFonts w:ascii="宋体" w:hAnsi="宋体"/>
                <w:kern w:val="0"/>
                <w:sz w:val="15"/>
                <w:szCs w:val="15"/>
              </w:rPr>
            </w:pPr>
            <w:r>
              <w:rPr>
                <w:rFonts w:hint="eastAsia" w:ascii="宋体" w:hAnsi="宋体"/>
                <w:kern w:val="0"/>
                <w:sz w:val="15"/>
                <w:szCs w:val="15"/>
              </w:rPr>
              <w:t>1.履职效能指标设定，由评价工作组根据部门职能职责、年度工作计划等梳理年度重点工作任务。各项重点任务分值，由评价工作组根据任务重要性在总权重分值（70分）中分配。</w:t>
            </w:r>
            <w:r>
              <w:rPr>
                <w:rFonts w:hint="eastAsia" w:ascii="宋体" w:hAnsi="宋体"/>
                <w:kern w:val="0"/>
                <w:sz w:val="15"/>
                <w:szCs w:val="15"/>
              </w:rPr>
              <w:br w:type="textWrapping"/>
            </w:r>
            <w:r>
              <w:rPr>
                <w:rFonts w:hint="eastAsia" w:ascii="宋体" w:hAnsi="宋体"/>
                <w:kern w:val="0"/>
                <w:sz w:val="15"/>
                <w:szCs w:val="15"/>
              </w:rPr>
              <w:t>2.重点任务指标设定，应根据相关重点任务实际情况，设置具体三级指标。其中，任务完成率和满意度指标是共性指标，每一项重点任务均应设定，共性指标分值应占该重点任务重分值的40%（任务完成率和满意度指标各占20%，如该重点任务不适合做满意度调查，可不设满意度指标，满意度分值合并到任务完成率指标）。关键绩效指标为个性指标，根据具体任务实际确定，每项重点任务至少设定2个关键业绩指标，量化指标不少于1个，个性指标分值应占该重点任务重分值的60%，由评价工作组按指标重要性进行分配。</w:t>
            </w:r>
          </w:p>
        </w:tc>
        <w:tc>
          <w:tcPr>
            <w:tcW w:w="799" w:type="dxa"/>
            <w:tcBorders>
              <w:top w:val="nil"/>
              <w:left w:val="nil"/>
              <w:bottom w:val="single" w:color="auto" w:sz="4" w:space="0"/>
              <w:right w:val="single" w:color="auto" w:sz="4" w:space="0"/>
            </w:tcBorders>
            <w:vAlign w:val="center"/>
          </w:tcPr>
          <w:p>
            <w:pPr>
              <w:widowControl/>
              <w:ind/>
              <w:jc w:val="center"/>
              <w:rPr>
                <w:rFonts w:ascii="宋体" w:hAnsi="宋体"/>
                <w:kern w:val="0"/>
                <w:sz w:val="15"/>
                <w:szCs w:val="15"/>
              </w:rPr>
            </w:pPr>
            <w:r>
              <w:rPr>
                <w:rFonts w:hint="eastAsia" w:ascii="宋体" w:hAnsi="宋体"/>
                <w:kern w:val="0"/>
                <w:sz w:val="15"/>
                <w:szCs w:val="15"/>
              </w:rPr>
              <w:t>校园特色需进一步强化</w:t>
            </w:r>
          </w:p>
        </w:tc>
      </w:tr>
      <w:tr>
        <w:trPr>
          <w:wBefore/>
          <w:trHeight w:val="285" w:hRule="atLeast"/>
        </w:trPr>
        <w:tc>
          <w:tcPr>
            <w:tcW w:w="52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15"/>
                <w:szCs w:val="15"/>
              </w:rPr>
            </w:pPr>
          </w:p>
        </w:tc>
        <w:tc>
          <w:tcPr>
            <w:tcW w:w="854" w:type="dxa"/>
            <w:vMerge w:val="continue"/>
            <w:tcBorders>
              <w:top w:val="nil"/>
              <w:left w:val="nil"/>
              <w:bottom w:val="nil"/>
              <w:right w:val="single" w:color="auto" w:sz="4" w:space="0"/>
            </w:tcBorders>
            <w:vAlign w:val="center"/>
          </w:tcPr>
          <w:p>
            <w:pPr>
              <w:widowControl/>
              <w:jc w:val="left"/>
              <w:rPr>
                <w:rFonts w:ascii="宋体" w:hAnsi="宋体"/>
                <w:kern w:val="0"/>
                <w:sz w:val="15"/>
                <w:szCs w:val="15"/>
              </w:rPr>
            </w:pPr>
          </w:p>
        </w:tc>
        <w:tc>
          <w:tcPr>
            <w:tcW w:w="1352" w:type="dxa"/>
            <w:tcBorders>
              <w:top w:val="nil"/>
              <w:left w:val="nil"/>
              <w:bottom w:val="single" w:color="auto" w:sz="4" w:space="0"/>
              <w:right w:val="single" w:color="auto" w:sz="4" w:space="0"/>
            </w:tcBorders>
            <w:vAlign w:val="center"/>
          </w:tcPr>
          <w:p>
            <w:pPr>
              <w:widowControl/>
              <w:ind/>
              <w:jc w:val="left"/>
              <w:rPr>
                <w:rFonts w:ascii="宋体" w:hAnsi="宋体"/>
                <w:kern w:val="0"/>
                <w:sz w:val="15"/>
                <w:szCs w:val="15"/>
              </w:rPr>
            </w:pPr>
            <w:r>
              <w:rPr>
                <w:rFonts w:hint="eastAsia" w:ascii="宋体" w:hAnsi="宋体"/>
                <w:kern w:val="0"/>
                <w:sz w:val="15"/>
                <w:szCs w:val="15"/>
              </w:rPr>
              <w:t>服务对象(受益)对象满意度</w:t>
            </w:r>
          </w:p>
        </w:tc>
        <w:tc>
          <w:tcPr>
            <w:tcW w:w="441" w:type="dxa"/>
            <w:tcBorders>
              <w:top w:val="nil"/>
              <w:left w:val="nil"/>
              <w:bottom w:val="single" w:color="auto" w:sz="4" w:space="0"/>
              <w:right w:val="single" w:color="auto" w:sz="4" w:space="0"/>
            </w:tcBorders>
            <w:vAlign w:val="center"/>
          </w:tcPr>
          <w:p>
            <w:pPr>
              <w:widowControl/>
              <w:ind/>
              <w:jc w:val="center"/>
              <w:rPr>
                <w:rFonts w:ascii="宋体" w:hAnsi="宋体"/>
                <w:kern w:val="0"/>
                <w:sz w:val="15"/>
                <w:szCs w:val="15"/>
              </w:rPr>
            </w:pPr>
            <w:r>
              <w:rPr>
                <w:rFonts w:hint="eastAsia" w:ascii="宋体" w:hAnsi="宋体"/>
                <w:kern w:val="0"/>
                <w:sz w:val="15"/>
                <w:szCs w:val="15"/>
              </w:rPr>
              <w:t>6</w:t>
            </w:r>
          </w:p>
        </w:tc>
        <w:tc>
          <w:tcPr>
            <w:tcW w:w="591" w:type="dxa"/>
            <w:tcBorders>
              <w:top w:val="nil"/>
              <w:left w:val="nil"/>
              <w:bottom w:val="single" w:color="auto" w:sz="4" w:space="0"/>
              <w:right w:val="single" w:color="auto" w:sz="4" w:space="0"/>
            </w:tcBorders>
            <w:vAlign w:val="center"/>
          </w:tcPr>
          <w:p>
            <w:pPr>
              <w:widowControl/>
              <w:ind/>
              <w:jc w:val="center"/>
              <w:rPr>
                <w:rFonts w:ascii="宋体" w:hAnsi="宋体"/>
                <w:kern w:val="0"/>
                <w:sz w:val="15"/>
                <w:szCs w:val="15"/>
              </w:rPr>
            </w:pPr>
            <w:r>
              <w:rPr>
                <w:rFonts w:hint="eastAsia" w:ascii="宋体" w:hAnsi="宋体"/>
                <w:kern w:val="0"/>
                <w:sz w:val="15"/>
                <w:szCs w:val="15"/>
              </w:rPr>
              <w:t>5.88</w:t>
            </w:r>
          </w:p>
        </w:tc>
        <w:tc>
          <w:tcPr>
            <w:tcW w:w="1606" w:type="dxa"/>
            <w:tcBorders>
              <w:top w:val="nil"/>
              <w:left w:val="nil"/>
              <w:bottom w:val="single" w:color="auto" w:sz="4" w:space="0"/>
              <w:right w:val="single" w:color="auto" w:sz="4" w:space="0"/>
            </w:tcBorders>
            <w:vAlign w:val="center"/>
          </w:tcPr>
          <w:p>
            <w:pPr>
              <w:widowControl/>
              <w:ind/>
              <w:jc w:val="left"/>
              <w:rPr>
                <w:rFonts w:ascii="宋体" w:hAnsi="宋体"/>
                <w:kern w:val="0"/>
                <w:sz w:val="15"/>
                <w:szCs w:val="15"/>
              </w:rPr>
            </w:pPr>
            <w:r>
              <w:rPr>
                <w:rFonts w:hint="eastAsia" w:ascii="宋体" w:hAnsi="宋体"/>
                <w:kern w:val="0"/>
                <w:sz w:val="15"/>
                <w:szCs w:val="15"/>
              </w:rPr>
              <w:t>根据满意度调查评分</w:t>
            </w:r>
          </w:p>
        </w:tc>
        <w:tc>
          <w:tcPr>
            <w:tcW w:w="2354" w:type="dxa"/>
            <w:vMerge w:val="continue"/>
            <w:tcBorders>
              <w:top w:val="nil"/>
              <w:left w:val="nil"/>
              <w:bottom w:val="nil"/>
              <w:right w:val="single" w:color="auto" w:sz="4" w:space="0"/>
            </w:tcBorders>
            <w:vAlign w:val="center"/>
          </w:tcPr>
          <w:p>
            <w:pPr>
              <w:widowControl/>
              <w:jc w:val="left"/>
              <w:rPr>
                <w:rFonts w:ascii="宋体" w:hAnsi="宋体"/>
                <w:kern w:val="0"/>
                <w:sz w:val="15"/>
                <w:szCs w:val="15"/>
              </w:rPr>
            </w:pPr>
          </w:p>
        </w:tc>
        <w:tc>
          <w:tcPr>
            <w:tcW w:w="799" w:type="dxa"/>
            <w:tcBorders>
              <w:top w:val="nil"/>
              <w:left w:val="nil"/>
              <w:bottom w:val="single" w:color="auto" w:sz="4" w:space="0"/>
              <w:right w:val="single" w:color="auto" w:sz="4" w:space="0"/>
            </w:tcBorders>
            <w:vAlign w:val="center"/>
          </w:tcPr>
          <w:p>
            <w:pPr>
              <w:widowControl/>
              <w:ind/>
              <w:jc w:val="center"/>
              <w:rPr>
                <w:rFonts w:ascii="宋体" w:hAnsi="宋体"/>
                <w:kern w:val="0"/>
                <w:sz w:val="15"/>
                <w:szCs w:val="15"/>
              </w:rPr>
            </w:pPr>
            <w:r>
              <w:rPr>
                <w:rFonts w:hint="eastAsia" w:ascii="宋体" w:hAnsi="宋体"/>
                <w:kern w:val="0"/>
                <w:sz w:val="15"/>
                <w:szCs w:val="15"/>
              </w:rPr>
              <w:t>满意度98%</w:t>
            </w:r>
          </w:p>
        </w:tc>
      </w:tr>
      <w:tr>
        <w:trPr>
          <w:wBefore/>
          <w:trHeight w:val="420" w:hRule="atLeast"/>
        </w:trPr>
        <w:tc>
          <w:tcPr>
            <w:tcW w:w="52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15"/>
                <w:szCs w:val="15"/>
              </w:rPr>
            </w:pPr>
          </w:p>
        </w:tc>
        <w:tc>
          <w:tcPr>
            <w:tcW w:w="854" w:type="dxa"/>
            <w:vMerge w:val="continue"/>
            <w:tcBorders>
              <w:top w:val="nil"/>
              <w:left w:val="nil"/>
              <w:bottom w:val="nil"/>
              <w:right w:val="single" w:color="auto" w:sz="4" w:space="0"/>
            </w:tcBorders>
            <w:vAlign w:val="center"/>
          </w:tcPr>
          <w:p>
            <w:pPr>
              <w:widowControl/>
              <w:jc w:val="left"/>
              <w:rPr>
                <w:rFonts w:ascii="宋体" w:hAnsi="宋体"/>
                <w:kern w:val="0"/>
                <w:sz w:val="15"/>
                <w:szCs w:val="15"/>
              </w:rPr>
            </w:pPr>
          </w:p>
        </w:tc>
        <w:tc>
          <w:tcPr>
            <w:tcW w:w="1352" w:type="dxa"/>
            <w:tcBorders>
              <w:top w:val="nil"/>
              <w:left w:val="nil"/>
              <w:bottom w:val="single" w:color="auto" w:sz="4" w:space="0"/>
              <w:right w:val="single" w:color="auto" w:sz="4" w:space="0"/>
            </w:tcBorders>
            <w:vAlign w:val="center"/>
          </w:tcPr>
          <w:p>
            <w:pPr>
              <w:widowControl/>
              <w:ind/>
              <w:jc w:val="left"/>
              <w:rPr>
                <w:rFonts w:ascii="宋体" w:hAnsi="宋体"/>
                <w:kern w:val="0"/>
                <w:sz w:val="15"/>
                <w:szCs w:val="15"/>
              </w:rPr>
            </w:pPr>
            <w:r>
              <w:rPr>
                <w:rFonts w:hint="eastAsia" w:ascii="宋体" w:hAnsi="宋体"/>
                <w:kern w:val="0"/>
                <w:sz w:val="15"/>
                <w:szCs w:val="15"/>
              </w:rPr>
              <w:t>关键绩效指标一（以品德为首位，立德树人养正气）</w:t>
            </w:r>
          </w:p>
        </w:tc>
        <w:tc>
          <w:tcPr>
            <w:tcW w:w="441" w:type="dxa"/>
            <w:tcBorders>
              <w:top w:val="nil"/>
              <w:left w:val="nil"/>
              <w:bottom w:val="single" w:color="auto" w:sz="4" w:space="0"/>
              <w:right w:val="single" w:color="auto" w:sz="4" w:space="0"/>
            </w:tcBorders>
            <w:vAlign w:val="center"/>
          </w:tcPr>
          <w:p>
            <w:pPr>
              <w:widowControl/>
              <w:ind/>
              <w:jc w:val="center"/>
              <w:rPr>
                <w:rFonts w:ascii="宋体" w:hAnsi="宋体"/>
                <w:kern w:val="0"/>
                <w:sz w:val="15"/>
                <w:szCs w:val="15"/>
              </w:rPr>
            </w:pPr>
            <w:r>
              <w:rPr>
                <w:rFonts w:hint="eastAsia" w:ascii="宋体" w:hAnsi="宋体"/>
                <w:kern w:val="0"/>
                <w:sz w:val="15"/>
                <w:szCs w:val="15"/>
              </w:rPr>
              <w:t>9</w:t>
            </w:r>
          </w:p>
        </w:tc>
        <w:tc>
          <w:tcPr>
            <w:tcW w:w="591" w:type="dxa"/>
            <w:tcBorders>
              <w:top w:val="nil"/>
              <w:left w:val="nil"/>
              <w:bottom w:val="single" w:color="auto" w:sz="4" w:space="0"/>
              <w:right w:val="single" w:color="auto" w:sz="4" w:space="0"/>
            </w:tcBorders>
            <w:vAlign w:val="center"/>
          </w:tcPr>
          <w:p>
            <w:pPr>
              <w:widowControl/>
              <w:ind/>
              <w:jc w:val="center"/>
              <w:rPr>
                <w:rFonts w:ascii="宋体" w:hAnsi="宋体"/>
                <w:kern w:val="0"/>
                <w:sz w:val="15"/>
                <w:szCs w:val="15"/>
              </w:rPr>
            </w:pPr>
            <w:r>
              <w:rPr>
                <w:rFonts w:hint="eastAsia" w:ascii="宋体" w:hAnsi="宋体"/>
                <w:kern w:val="0"/>
                <w:sz w:val="15"/>
                <w:szCs w:val="15"/>
              </w:rPr>
              <w:t>8</w:t>
            </w:r>
          </w:p>
        </w:tc>
        <w:tc>
          <w:tcPr>
            <w:tcW w:w="1606" w:type="dxa"/>
            <w:tcBorders>
              <w:top w:val="nil"/>
              <w:left w:val="nil"/>
              <w:bottom w:val="single" w:color="auto" w:sz="4" w:space="0"/>
              <w:right w:val="single" w:color="auto" w:sz="4" w:space="0"/>
            </w:tcBorders>
            <w:vAlign w:val="center"/>
          </w:tcPr>
          <w:p>
            <w:pPr>
              <w:widowControl/>
              <w:ind/>
              <w:jc w:val="left"/>
              <w:rPr>
                <w:rFonts w:ascii="宋体" w:hAnsi="宋体"/>
                <w:kern w:val="0"/>
                <w:sz w:val="15"/>
                <w:szCs w:val="15"/>
              </w:rPr>
            </w:pPr>
            <w:r>
              <w:rPr>
                <w:rFonts w:hint="eastAsia" w:ascii="宋体" w:hAnsi="宋体"/>
                <w:kern w:val="0"/>
                <w:sz w:val="15"/>
                <w:szCs w:val="15"/>
              </w:rPr>
              <w:t>　</w:t>
            </w:r>
          </w:p>
        </w:tc>
        <w:tc>
          <w:tcPr>
            <w:tcW w:w="2354" w:type="dxa"/>
            <w:vMerge w:val="continue"/>
            <w:tcBorders>
              <w:top w:val="nil"/>
              <w:left w:val="nil"/>
              <w:bottom w:val="nil"/>
              <w:right w:val="single" w:color="auto" w:sz="4" w:space="0"/>
            </w:tcBorders>
            <w:vAlign w:val="center"/>
          </w:tcPr>
          <w:p>
            <w:pPr>
              <w:widowControl/>
              <w:jc w:val="left"/>
              <w:rPr>
                <w:rFonts w:ascii="宋体" w:hAnsi="宋体"/>
                <w:kern w:val="0"/>
                <w:sz w:val="15"/>
                <w:szCs w:val="15"/>
              </w:rPr>
            </w:pPr>
          </w:p>
        </w:tc>
        <w:tc>
          <w:tcPr>
            <w:tcW w:w="799" w:type="dxa"/>
            <w:tcBorders>
              <w:top w:val="nil"/>
              <w:left w:val="nil"/>
              <w:bottom w:val="single" w:color="auto" w:sz="4" w:space="0"/>
              <w:right w:val="single" w:color="auto" w:sz="4" w:space="0"/>
            </w:tcBorders>
            <w:vAlign w:val="center"/>
          </w:tcPr>
          <w:p>
            <w:pPr>
              <w:widowControl/>
              <w:ind/>
              <w:jc w:val="center"/>
              <w:rPr>
                <w:rFonts w:ascii="宋体" w:hAnsi="宋体"/>
                <w:kern w:val="0"/>
                <w:sz w:val="15"/>
                <w:szCs w:val="15"/>
              </w:rPr>
            </w:pPr>
            <w:r>
              <w:rPr>
                <w:rFonts w:hint="eastAsia" w:ascii="宋体" w:hAnsi="宋体"/>
                <w:kern w:val="0"/>
                <w:sz w:val="15"/>
                <w:szCs w:val="15"/>
              </w:rPr>
              <w:t>学生综合素质广汉领先</w:t>
            </w:r>
          </w:p>
        </w:tc>
      </w:tr>
      <w:tr>
        <w:trPr>
          <w:wBefore/>
          <w:trHeight w:val="420" w:hRule="atLeast"/>
        </w:trPr>
        <w:tc>
          <w:tcPr>
            <w:tcW w:w="52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15"/>
                <w:szCs w:val="15"/>
              </w:rPr>
            </w:pPr>
          </w:p>
        </w:tc>
        <w:tc>
          <w:tcPr>
            <w:tcW w:w="854" w:type="dxa"/>
            <w:vMerge w:val="continue"/>
            <w:tcBorders>
              <w:top w:val="nil"/>
              <w:left w:val="nil"/>
              <w:bottom w:val="nil"/>
              <w:right w:val="single" w:color="auto" w:sz="4" w:space="0"/>
            </w:tcBorders>
            <w:vAlign w:val="center"/>
          </w:tcPr>
          <w:p>
            <w:pPr>
              <w:widowControl/>
              <w:jc w:val="left"/>
              <w:rPr>
                <w:rFonts w:ascii="宋体" w:hAnsi="宋体"/>
                <w:kern w:val="0"/>
                <w:sz w:val="15"/>
                <w:szCs w:val="15"/>
              </w:rPr>
            </w:pPr>
          </w:p>
        </w:tc>
        <w:tc>
          <w:tcPr>
            <w:tcW w:w="1352" w:type="dxa"/>
            <w:tcBorders>
              <w:top w:val="nil"/>
              <w:left w:val="nil"/>
              <w:bottom w:val="single" w:color="auto" w:sz="4" w:space="0"/>
              <w:right w:val="single" w:color="auto" w:sz="4" w:space="0"/>
            </w:tcBorders>
            <w:vAlign w:val="center"/>
          </w:tcPr>
          <w:p>
            <w:pPr>
              <w:widowControl/>
              <w:ind/>
              <w:jc w:val="left"/>
              <w:rPr>
                <w:rFonts w:ascii="宋体" w:hAnsi="宋体"/>
                <w:kern w:val="0"/>
                <w:sz w:val="15"/>
                <w:szCs w:val="15"/>
              </w:rPr>
            </w:pPr>
            <w:r>
              <w:rPr>
                <w:rFonts w:hint="eastAsia" w:ascii="宋体" w:hAnsi="宋体"/>
                <w:kern w:val="0"/>
                <w:sz w:val="15"/>
                <w:szCs w:val="15"/>
              </w:rPr>
              <w:t>关键绩效指标二（以质量为生命，精细管理出成绩）</w:t>
            </w:r>
          </w:p>
        </w:tc>
        <w:tc>
          <w:tcPr>
            <w:tcW w:w="441" w:type="dxa"/>
            <w:tcBorders>
              <w:top w:val="nil"/>
              <w:left w:val="nil"/>
              <w:bottom w:val="single" w:color="auto" w:sz="4" w:space="0"/>
              <w:right w:val="single" w:color="auto" w:sz="4" w:space="0"/>
            </w:tcBorders>
            <w:vAlign w:val="center"/>
          </w:tcPr>
          <w:p>
            <w:pPr>
              <w:widowControl/>
              <w:ind/>
              <w:jc w:val="center"/>
              <w:rPr>
                <w:rFonts w:ascii="宋体" w:hAnsi="宋体"/>
                <w:kern w:val="0"/>
                <w:sz w:val="15"/>
                <w:szCs w:val="15"/>
              </w:rPr>
            </w:pPr>
            <w:r>
              <w:rPr>
                <w:rFonts w:hint="eastAsia" w:ascii="宋体" w:hAnsi="宋体"/>
                <w:kern w:val="0"/>
                <w:sz w:val="15"/>
                <w:szCs w:val="15"/>
              </w:rPr>
              <w:t>9</w:t>
            </w:r>
          </w:p>
        </w:tc>
        <w:tc>
          <w:tcPr>
            <w:tcW w:w="591" w:type="dxa"/>
            <w:tcBorders>
              <w:top w:val="nil"/>
              <w:left w:val="nil"/>
              <w:bottom w:val="single" w:color="auto" w:sz="4" w:space="0"/>
              <w:right w:val="single" w:color="auto" w:sz="4" w:space="0"/>
            </w:tcBorders>
            <w:vAlign w:val="center"/>
          </w:tcPr>
          <w:p>
            <w:pPr>
              <w:widowControl/>
              <w:ind/>
              <w:jc w:val="center"/>
              <w:rPr>
                <w:rFonts w:ascii="宋体" w:hAnsi="宋体"/>
                <w:kern w:val="0"/>
                <w:sz w:val="15"/>
                <w:szCs w:val="15"/>
              </w:rPr>
            </w:pPr>
            <w:r>
              <w:rPr>
                <w:rFonts w:hint="eastAsia" w:ascii="宋体" w:hAnsi="宋体"/>
                <w:kern w:val="0"/>
                <w:sz w:val="15"/>
                <w:szCs w:val="15"/>
              </w:rPr>
              <w:t>9</w:t>
            </w:r>
          </w:p>
        </w:tc>
        <w:tc>
          <w:tcPr>
            <w:tcW w:w="1606" w:type="dxa"/>
            <w:tcBorders>
              <w:top w:val="nil"/>
              <w:left w:val="nil"/>
              <w:bottom w:val="single" w:color="auto" w:sz="4" w:space="0"/>
              <w:right w:val="single" w:color="auto" w:sz="4" w:space="0"/>
            </w:tcBorders>
            <w:vAlign w:val="center"/>
          </w:tcPr>
          <w:p>
            <w:pPr>
              <w:widowControl/>
              <w:ind/>
              <w:jc w:val="left"/>
              <w:rPr>
                <w:rFonts w:ascii="宋体" w:hAnsi="宋体"/>
                <w:kern w:val="0"/>
                <w:sz w:val="15"/>
                <w:szCs w:val="15"/>
              </w:rPr>
            </w:pPr>
            <w:r>
              <w:rPr>
                <w:rFonts w:hint="eastAsia" w:ascii="宋体" w:hAnsi="宋体"/>
                <w:kern w:val="0"/>
                <w:sz w:val="15"/>
                <w:szCs w:val="15"/>
              </w:rPr>
              <w:t>　</w:t>
            </w:r>
          </w:p>
        </w:tc>
        <w:tc>
          <w:tcPr>
            <w:tcW w:w="2354" w:type="dxa"/>
            <w:vMerge w:val="continue"/>
            <w:tcBorders>
              <w:top w:val="nil"/>
              <w:left w:val="nil"/>
              <w:bottom w:val="nil"/>
              <w:right w:val="single" w:color="auto" w:sz="4" w:space="0"/>
            </w:tcBorders>
            <w:vAlign w:val="center"/>
          </w:tcPr>
          <w:p>
            <w:pPr>
              <w:widowControl/>
              <w:jc w:val="left"/>
              <w:rPr>
                <w:rFonts w:ascii="宋体" w:hAnsi="宋体"/>
                <w:kern w:val="0"/>
                <w:sz w:val="15"/>
                <w:szCs w:val="15"/>
              </w:rPr>
            </w:pPr>
          </w:p>
        </w:tc>
        <w:tc>
          <w:tcPr>
            <w:tcW w:w="799" w:type="dxa"/>
            <w:tcBorders>
              <w:top w:val="nil"/>
              <w:left w:val="nil"/>
              <w:bottom w:val="single" w:color="auto" w:sz="4" w:space="0"/>
              <w:right w:val="single" w:color="auto" w:sz="4" w:space="0"/>
            </w:tcBorders>
            <w:vAlign w:val="center"/>
          </w:tcPr>
          <w:p>
            <w:pPr>
              <w:widowControl/>
              <w:ind/>
              <w:jc w:val="left"/>
              <w:rPr>
                <w:rFonts w:ascii="宋体" w:hAnsi="宋体"/>
                <w:kern w:val="0"/>
                <w:sz w:val="15"/>
                <w:szCs w:val="15"/>
              </w:rPr>
            </w:pPr>
            <w:r>
              <w:rPr>
                <w:rFonts w:hint="eastAsia" w:ascii="宋体" w:hAnsi="宋体"/>
                <w:kern w:val="0"/>
                <w:sz w:val="15"/>
                <w:szCs w:val="15"/>
              </w:rPr>
              <w:t>质量全市前茅</w:t>
            </w:r>
          </w:p>
        </w:tc>
      </w:tr>
      <w:tr>
        <w:trPr>
          <w:wBefore/>
          <w:trHeight w:val="285" w:hRule="atLeast"/>
        </w:trPr>
        <w:tc>
          <w:tcPr>
            <w:tcW w:w="52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15"/>
                <w:szCs w:val="15"/>
              </w:rPr>
            </w:pPr>
          </w:p>
        </w:tc>
        <w:tc>
          <w:tcPr>
            <w:tcW w:w="854" w:type="dxa"/>
            <w:vMerge w:val="restart"/>
            <w:tcBorders>
              <w:top w:val="single" w:color="auto" w:sz="4" w:space="0"/>
              <w:left w:val="nil"/>
              <w:bottom w:val="nil"/>
              <w:right w:val="single" w:color="auto" w:sz="4" w:space="0"/>
            </w:tcBorders>
            <w:vAlign w:val="center"/>
          </w:tcPr>
          <w:p>
            <w:pPr>
              <w:widowControl/>
              <w:ind/>
              <w:jc w:val="center"/>
              <w:rPr>
                <w:rFonts w:ascii="宋体" w:hAnsi="宋体"/>
                <w:kern w:val="0"/>
                <w:sz w:val="15"/>
                <w:szCs w:val="15"/>
              </w:rPr>
            </w:pPr>
            <w:r>
              <w:rPr>
                <w:rFonts w:hint="eastAsia" w:ascii="宋体" w:hAnsi="宋体"/>
                <w:kern w:val="0"/>
                <w:sz w:val="15"/>
                <w:szCs w:val="15"/>
              </w:rPr>
              <w:t>重点任务二（培养三支只队伍，促师生和家长幸福成长）                 （20分）</w:t>
            </w:r>
          </w:p>
        </w:tc>
        <w:tc>
          <w:tcPr>
            <w:tcW w:w="1352" w:type="dxa"/>
            <w:tcBorders>
              <w:top w:val="nil"/>
              <w:left w:val="nil"/>
              <w:bottom w:val="single" w:color="auto" w:sz="4" w:space="0"/>
              <w:right w:val="single" w:color="auto" w:sz="4" w:space="0"/>
            </w:tcBorders>
            <w:vAlign w:val="center"/>
          </w:tcPr>
          <w:p>
            <w:pPr>
              <w:widowControl/>
              <w:ind/>
              <w:jc w:val="left"/>
              <w:rPr>
                <w:rFonts w:ascii="宋体" w:hAnsi="宋体"/>
                <w:kern w:val="0"/>
                <w:sz w:val="15"/>
                <w:szCs w:val="15"/>
              </w:rPr>
            </w:pPr>
            <w:r>
              <w:rPr>
                <w:rFonts w:hint="eastAsia" w:ascii="宋体" w:hAnsi="宋体"/>
                <w:kern w:val="0"/>
                <w:sz w:val="15"/>
                <w:szCs w:val="15"/>
              </w:rPr>
              <w:t>任务完成率</w:t>
            </w:r>
          </w:p>
        </w:tc>
        <w:tc>
          <w:tcPr>
            <w:tcW w:w="441" w:type="dxa"/>
            <w:tcBorders>
              <w:top w:val="nil"/>
              <w:left w:val="nil"/>
              <w:bottom w:val="single" w:color="auto" w:sz="4" w:space="0"/>
              <w:right w:val="single" w:color="auto" w:sz="4" w:space="0"/>
            </w:tcBorders>
            <w:vAlign w:val="center"/>
          </w:tcPr>
          <w:p>
            <w:pPr>
              <w:widowControl/>
              <w:ind/>
              <w:jc w:val="center"/>
              <w:rPr>
                <w:rFonts w:ascii="宋体" w:hAnsi="宋体"/>
                <w:kern w:val="0"/>
                <w:sz w:val="15"/>
                <w:szCs w:val="15"/>
              </w:rPr>
            </w:pPr>
            <w:r>
              <w:rPr>
                <w:rFonts w:hint="eastAsia" w:ascii="宋体" w:hAnsi="宋体"/>
                <w:kern w:val="0"/>
                <w:sz w:val="15"/>
                <w:szCs w:val="15"/>
              </w:rPr>
              <w:t>4</w:t>
            </w:r>
          </w:p>
        </w:tc>
        <w:tc>
          <w:tcPr>
            <w:tcW w:w="591" w:type="dxa"/>
            <w:tcBorders>
              <w:top w:val="nil"/>
              <w:left w:val="nil"/>
              <w:bottom w:val="single" w:color="auto" w:sz="4" w:space="0"/>
              <w:right w:val="single" w:color="auto" w:sz="4" w:space="0"/>
            </w:tcBorders>
            <w:vAlign w:val="center"/>
          </w:tcPr>
          <w:p>
            <w:pPr>
              <w:widowControl/>
              <w:ind/>
              <w:jc w:val="center"/>
              <w:rPr>
                <w:rFonts w:ascii="宋体" w:hAnsi="宋体"/>
                <w:kern w:val="0"/>
                <w:sz w:val="15"/>
                <w:szCs w:val="15"/>
              </w:rPr>
            </w:pPr>
            <w:r>
              <w:rPr>
                <w:rFonts w:hint="eastAsia" w:ascii="宋体" w:hAnsi="宋体"/>
                <w:kern w:val="0"/>
                <w:sz w:val="15"/>
                <w:szCs w:val="15"/>
              </w:rPr>
              <w:t>4</w:t>
            </w:r>
          </w:p>
        </w:tc>
        <w:tc>
          <w:tcPr>
            <w:tcW w:w="1606" w:type="dxa"/>
            <w:tcBorders>
              <w:top w:val="nil"/>
              <w:left w:val="nil"/>
              <w:bottom w:val="single" w:color="auto" w:sz="4" w:space="0"/>
              <w:right w:val="single" w:color="auto" w:sz="4" w:space="0"/>
            </w:tcBorders>
            <w:vAlign w:val="center"/>
          </w:tcPr>
          <w:p>
            <w:pPr>
              <w:widowControl/>
              <w:ind/>
              <w:jc w:val="left"/>
              <w:rPr>
                <w:rFonts w:ascii="宋体" w:hAnsi="宋体"/>
                <w:kern w:val="0"/>
                <w:sz w:val="15"/>
                <w:szCs w:val="15"/>
              </w:rPr>
            </w:pPr>
            <w:r>
              <w:rPr>
                <w:rFonts w:hint="eastAsia" w:ascii="宋体" w:hAnsi="宋体"/>
                <w:kern w:val="0"/>
                <w:sz w:val="15"/>
                <w:szCs w:val="15"/>
              </w:rPr>
              <w:t>　</w:t>
            </w:r>
          </w:p>
        </w:tc>
        <w:tc>
          <w:tcPr>
            <w:tcW w:w="2354" w:type="dxa"/>
            <w:vMerge w:val="continue"/>
            <w:tcBorders>
              <w:top w:val="nil"/>
              <w:left w:val="nil"/>
              <w:bottom w:val="nil"/>
              <w:right w:val="single" w:color="auto" w:sz="4" w:space="0"/>
            </w:tcBorders>
            <w:vAlign w:val="center"/>
          </w:tcPr>
          <w:p>
            <w:pPr>
              <w:widowControl/>
              <w:jc w:val="left"/>
              <w:rPr>
                <w:rFonts w:ascii="宋体" w:hAnsi="宋体"/>
                <w:kern w:val="0"/>
                <w:sz w:val="15"/>
                <w:szCs w:val="15"/>
              </w:rPr>
            </w:pPr>
          </w:p>
        </w:tc>
        <w:tc>
          <w:tcPr>
            <w:tcW w:w="799" w:type="dxa"/>
            <w:tcBorders>
              <w:top w:val="nil"/>
              <w:left w:val="nil"/>
              <w:bottom w:val="single" w:color="auto" w:sz="4" w:space="0"/>
              <w:right w:val="single" w:color="auto" w:sz="4" w:space="0"/>
            </w:tcBorders>
            <w:vAlign w:val="center"/>
          </w:tcPr>
          <w:p>
            <w:pPr>
              <w:widowControl/>
              <w:ind/>
              <w:jc w:val="left"/>
              <w:rPr>
                <w:rFonts w:ascii="宋体" w:hAnsi="宋体"/>
                <w:kern w:val="0"/>
                <w:sz w:val="15"/>
                <w:szCs w:val="15"/>
              </w:rPr>
            </w:pPr>
            <w:r>
              <w:rPr>
                <w:rFonts w:hint="eastAsia" w:ascii="宋体" w:hAnsi="宋体"/>
                <w:kern w:val="0"/>
                <w:sz w:val="15"/>
                <w:szCs w:val="15"/>
              </w:rPr>
              <w:t>　</w:t>
            </w:r>
          </w:p>
        </w:tc>
      </w:tr>
      <w:tr>
        <w:trPr>
          <w:wBefore/>
          <w:trHeight w:val="285" w:hRule="atLeast"/>
        </w:trPr>
        <w:tc>
          <w:tcPr>
            <w:tcW w:w="52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15"/>
                <w:szCs w:val="15"/>
              </w:rPr>
            </w:pPr>
          </w:p>
        </w:tc>
        <w:tc>
          <w:tcPr>
            <w:tcW w:w="854" w:type="dxa"/>
            <w:vMerge w:val="continue"/>
            <w:tcBorders>
              <w:top w:val="single" w:color="auto" w:sz="4" w:space="0"/>
              <w:left w:val="nil"/>
              <w:bottom w:val="nil"/>
              <w:right w:val="single" w:color="auto" w:sz="4" w:space="0"/>
            </w:tcBorders>
            <w:vAlign w:val="center"/>
          </w:tcPr>
          <w:p>
            <w:pPr>
              <w:widowControl/>
              <w:jc w:val="left"/>
              <w:rPr>
                <w:rFonts w:ascii="宋体" w:hAnsi="宋体"/>
                <w:kern w:val="0"/>
                <w:sz w:val="15"/>
                <w:szCs w:val="15"/>
              </w:rPr>
            </w:pPr>
          </w:p>
        </w:tc>
        <w:tc>
          <w:tcPr>
            <w:tcW w:w="1352" w:type="dxa"/>
            <w:tcBorders>
              <w:top w:val="nil"/>
              <w:left w:val="nil"/>
              <w:bottom w:val="single" w:color="auto" w:sz="4" w:space="0"/>
              <w:right w:val="single" w:color="auto" w:sz="4" w:space="0"/>
            </w:tcBorders>
            <w:vAlign w:val="center"/>
          </w:tcPr>
          <w:p>
            <w:pPr>
              <w:widowControl/>
              <w:ind/>
              <w:jc w:val="left"/>
              <w:rPr>
                <w:rFonts w:ascii="宋体" w:hAnsi="宋体"/>
                <w:kern w:val="0"/>
                <w:sz w:val="15"/>
                <w:szCs w:val="15"/>
              </w:rPr>
            </w:pPr>
            <w:r>
              <w:rPr>
                <w:rFonts w:hint="eastAsia" w:ascii="宋体" w:hAnsi="宋体"/>
                <w:kern w:val="0"/>
                <w:sz w:val="15"/>
                <w:szCs w:val="15"/>
              </w:rPr>
              <w:t>服务对象或受益对象满意度</w:t>
            </w:r>
          </w:p>
        </w:tc>
        <w:tc>
          <w:tcPr>
            <w:tcW w:w="441" w:type="dxa"/>
            <w:tcBorders>
              <w:top w:val="nil"/>
              <w:left w:val="nil"/>
              <w:bottom w:val="single" w:color="auto" w:sz="4" w:space="0"/>
              <w:right w:val="single" w:color="auto" w:sz="4" w:space="0"/>
            </w:tcBorders>
            <w:vAlign w:val="center"/>
          </w:tcPr>
          <w:p>
            <w:pPr>
              <w:widowControl/>
              <w:ind/>
              <w:jc w:val="center"/>
              <w:rPr>
                <w:rFonts w:ascii="宋体" w:hAnsi="宋体"/>
                <w:kern w:val="0"/>
                <w:sz w:val="15"/>
                <w:szCs w:val="15"/>
              </w:rPr>
            </w:pPr>
            <w:r>
              <w:rPr>
                <w:rFonts w:hint="eastAsia" w:ascii="宋体" w:hAnsi="宋体"/>
                <w:kern w:val="0"/>
                <w:sz w:val="15"/>
                <w:szCs w:val="15"/>
              </w:rPr>
              <w:t>4</w:t>
            </w:r>
          </w:p>
        </w:tc>
        <w:tc>
          <w:tcPr>
            <w:tcW w:w="591" w:type="dxa"/>
            <w:tcBorders>
              <w:top w:val="nil"/>
              <w:left w:val="nil"/>
              <w:bottom w:val="single" w:color="auto" w:sz="4" w:space="0"/>
              <w:right w:val="single" w:color="auto" w:sz="4" w:space="0"/>
            </w:tcBorders>
            <w:vAlign w:val="center"/>
          </w:tcPr>
          <w:p>
            <w:pPr>
              <w:widowControl/>
              <w:ind/>
              <w:jc w:val="center"/>
              <w:rPr>
                <w:rFonts w:ascii="宋体" w:hAnsi="宋体"/>
                <w:kern w:val="0"/>
                <w:sz w:val="15"/>
                <w:szCs w:val="15"/>
              </w:rPr>
            </w:pPr>
            <w:r>
              <w:rPr>
                <w:rFonts w:hint="eastAsia" w:ascii="宋体" w:hAnsi="宋体"/>
                <w:kern w:val="0"/>
                <w:sz w:val="15"/>
                <w:szCs w:val="15"/>
              </w:rPr>
              <w:t>3.8</w:t>
            </w:r>
          </w:p>
        </w:tc>
        <w:tc>
          <w:tcPr>
            <w:tcW w:w="1606" w:type="dxa"/>
            <w:tcBorders>
              <w:top w:val="nil"/>
              <w:left w:val="nil"/>
              <w:bottom w:val="single" w:color="auto" w:sz="4" w:space="0"/>
              <w:right w:val="single" w:color="auto" w:sz="4" w:space="0"/>
            </w:tcBorders>
            <w:vAlign w:val="center"/>
          </w:tcPr>
          <w:p>
            <w:pPr>
              <w:widowControl/>
              <w:ind/>
              <w:jc w:val="left"/>
              <w:rPr>
                <w:rFonts w:ascii="宋体" w:hAnsi="宋体"/>
                <w:kern w:val="0"/>
                <w:sz w:val="15"/>
                <w:szCs w:val="15"/>
              </w:rPr>
            </w:pPr>
            <w:r>
              <w:rPr>
                <w:rFonts w:hint="eastAsia" w:ascii="宋体" w:hAnsi="宋体"/>
                <w:kern w:val="0"/>
                <w:sz w:val="15"/>
                <w:szCs w:val="15"/>
              </w:rPr>
              <w:t>　</w:t>
            </w:r>
          </w:p>
        </w:tc>
        <w:tc>
          <w:tcPr>
            <w:tcW w:w="2354" w:type="dxa"/>
            <w:vMerge w:val="continue"/>
            <w:tcBorders>
              <w:top w:val="nil"/>
              <w:left w:val="nil"/>
              <w:bottom w:val="nil"/>
              <w:right w:val="single" w:color="auto" w:sz="4" w:space="0"/>
            </w:tcBorders>
            <w:vAlign w:val="center"/>
          </w:tcPr>
          <w:p>
            <w:pPr>
              <w:widowControl/>
              <w:jc w:val="left"/>
              <w:rPr>
                <w:rFonts w:ascii="宋体" w:hAnsi="宋体"/>
                <w:kern w:val="0"/>
                <w:sz w:val="15"/>
                <w:szCs w:val="15"/>
              </w:rPr>
            </w:pPr>
          </w:p>
        </w:tc>
        <w:tc>
          <w:tcPr>
            <w:tcW w:w="799" w:type="dxa"/>
            <w:tcBorders>
              <w:top w:val="nil"/>
              <w:left w:val="nil"/>
              <w:bottom w:val="single" w:color="auto" w:sz="4" w:space="0"/>
              <w:right w:val="single" w:color="auto" w:sz="4" w:space="0"/>
            </w:tcBorders>
            <w:vAlign w:val="center"/>
          </w:tcPr>
          <w:p>
            <w:pPr>
              <w:widowControl/>
              <w:ind/>
              <w:jc w:val="center"/>
              <w:rPr>
                <w:rFonts w:ascii="宋体" w:hAnsi="宋体"/>
                <w:kern w:val="0"/>
                <w:sz w:val="15"/>
                <w:szCs w:val="15"/>
              </w:rPr>
            </w:pPr>
            <w:r>
              <w:rPr>
                <w:rFonts w:hint="eastAsia" w:ascii="宋体" w:hAnsi="宋体"/>
                <w:kern w:val="0"/>
                <w:sz w:val="15"/>
                <w:szCs w:val="15"/>
              </w:rPr>
              <w:t>满意度95%</w:t>
            </w:r>
          </w:p>
        </w:tc>
      </w:tr>
      <w:tr>
        <w:trPr>
          <w:wBefore/>
          <w:trHeight w:val="420" w:hRule="atLeast"/>
        </w:trPr>
        <w:tc>
          <w:tcPr>
            <w:tcW w:w="52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15"/>
                <w:szCs w:val="15"/>
              </w:rPr>
            </w:pPr>
          </w:p>
        </w:tc>
        <w:tc>
          <w:tcPr>
            <w:tcW w:w="854" w:type="dxa"/>
            <w:vMerge w:val="continue"/>
            <w:tcBorders>
              <w:top w:val="single" w:color="auto" w:sz="4" w:space="0"/>
              <w:left w:val="nil"/>
              <w:bottom w:val="nil"/>
              <w:right w:val="single" w:color="auto" w:sz="4" w:space="0"/>
            </w:tcBorders>
            <w:vAlign w:val="center"/>
          </w:tcPr>
          <w:p>
            <w:pPr>
              <w:widowControl/>
              <w:jc w:val="left"/>
              <w:rPr>
                <w:rFonts w:ascii="宋体" w:hAnsi="宋体"/>
                <w:kern w:val="0"/>
                <w:sz w:val="15"/>
                <w:szCs w:val="15"/>
              </w:rPr>
            </w:pPr>
          </w:p>
        </w:tc>
        <w:tc>
          <w:tcPr>
            <w:tcW w:w="1352" w:type="dxa"/>
            <w:tcBorders>
              <w:top w:val="nil"/>
              <w:left w:val="nil"/>
              <w:bottom w:val="single" w:color="auto" w:sz="4" w:space="0"/>
              <w:right w:val="single" w:color="auto" w:sz="4" w:space="0"/>
            </w:tcBorders>
            <w:vAlign w:val="center"/>
          </w:tcPr>
          <w:p>
            <w:pPr>
              <w:widowControl/>
              <w:ind/>
              <w:jc w:val="left"/>
              <w:rPr>
                <w:rFonts w:ascii="宋体" w:hAnsi="宋体"/>
                <w:kern w:val="0"/>
                <w:sz w:val="15"/>
                <w:szCs w:val="15"/>
              </w:rPr>
            </w:pPr>
            <w:r>
              <w:rPr>
                <w:rFonts w:hint="eastAsia" w:ascii="宋体" w:hAnsi="宋体"/>
                <w:kern w:val="0"/>
                <w:sz w:val="15"/>
                <w:szCs w:val="15"/>
              </w:rPr>
              <w:t>关键绩效指标一（党建工作在精准扶贫中见实效）</w:t>
            </w:r>
          </w:p>
        </w:tc>
        <w:tc>
          <w:tcPr>
            <w:tcW w:w="441" w:type="dxa"/>
            <w:tcBorders>
              <w:top w:val="nil"/>
              <w:left w:val="nil"/>
              <w:bottom w:val="single" w:color="auto" w:sz="4" w:space="0"/>
              <w:right w:val="single" w:color="auto" w:sz="4" w:space="0"/>
            </w:tcBorders>
            <w:vAlign w:val="center"/>
          </w:tcPr>
          <w:p>
            <w:pPr>
              <w:widowControl/>
              <w:ind/>
              <w:jc w:val="center"/>
              <w:rPr>
                <w:rFonts w:ascii="宋体" w:hAnsi="宋体"/>
                <w:kern w:val="0"/>
                <w:sz w:val="15"/>
                <w:szCs w:val="15"/>
              </w:rPr>
            </w:pPr>
            <w:r>
              <w:rPr>
                <w:rFonts w:hint="eastAsia" w:ascii="宋体" w:hAnsi="宋体"/>
                <w:kern w:val="0"/>
                <w:sz w:val="15"/>
                <w:szCs w:val="15"/>
              </w:rPr>
              <w:t>4</w:t>
            </w:r>
          </w:p>
        </w:tc>
        <w:tc>
          <w:tcPr>
            <w:tcW w:w="591" w:type="dxa"/>
            <w:tcBorders>
              <w:top w:val="nil"/>
              <w:left w:val="nil"/>
              <w:bottom w:val="single" w:color="auto" w:sz="4" w:space="0"/>
              <w:right w:val="single" w:color="auto" w:sz="4" w:space="0"/>
            </w:tcBorders>
            <w:vAlign w:val="center"/>
          </w:tcPr>
          <w:p>
            <w:pPr>
              <w:widowControl/>
              <w:ind/>
              <w:jc w:val="center"/>
              <w:rPr>
                <w:rFonts w:ascii="宋体" w:hAnsi="宋体"/>
                <w:kern w:val="0"/>
                <w:sz w:val="15"/>
                <w:szCs w:val="15"/>
              </w:rPr>
            </w:pPr>
            <w:r>
              <w:rPr>
                <w:rFonts w:hint="eastAsia" w:ascii="宋体" w:hAnsi="宋体"/>
                <w:kern w:val="0"/>
                <w:sz w:val="15"/>
                <w:szCs w:val="15"/>
              </w:rPr>
              <w:t>3.5</w:t>
            </w:r>
          </w:p>
        </w:tc>
        <w:tc>
          <w:tcPr>
            <w:tcW w:w="1606" w:type="dxa"/>
            <w:tcBorders>
              <w:top w:val="nil"/>
              <w:left w:val="nil"/>
              <w:bottom w:val="single" w:color="auto" w:sz="4" w:space="0"/>
              <w:right w:val="single" w:color="auto" w:sz="4" w:space="0"/>
            </w:tcBorders>
            <w:vAlign w:val="center"/>
          </w:tcPr>
          <w:p>
            <w:pPr>
              <w:widowControl/>
              <w:ind/>
              <w:jc w:val="left"/>
              <w:rPr>
                <w:rFonts w:ascii="宋体" w:hAnsi="宋体"/>
                <w:kern w:val="0"/>
                <w:sz w:val="15"/>
                <w:szCs w:val="15"/>
              </w:rPr>
            </w:pPr>
            <w:r>
              <w:rPr>
                <w:rFonts w:hint="eastAsia" w:ascii="宋体" w:hAnsi="宋体"/>
                <w:kern w:val="0"/>
                <w:sz w:val="15"/>
                <w:szCs w:val="15"/>
              </w:rPr>
              <w:t>　</w:t>
            </w:r>
          </w:p>
        </w:tc>
        <w:tc>
          <w:tcPr>
            <w:tcW w:w="2354" w:type="dxa"/>
            <w:vMerge w:val="continue"/>
            <w:tcBorders>
              <w:top w:val="nil"/>
              <w:left w:val="nil"/>
              <w:bottom w:val="nil"/>
              <w:right w:val="single" w:color="auto" w:sz="4" w:space="0"/>
            </w:tcBorders>
            <w:vAlign w:val="center"/>
          </w:tcPr>
          <w:p>
            <w:pPr>
              <w:widowControl/>
              <w:jc w:val="left"/>
              <w:rPr>
                <w:rFonts w:ascii="宋体" w:hAnsi="宋体"/>
                <w:kern w:val="0"/>
                <w:sz w:val="15"/>
                <w:szCs w:val="15"/>
              </w:rPr>
            </w:pPr>
          </w:p>
        </w:tc>
        <w:tc>
          <w:tcPr>
            <w:tcW w:w="799" w:type="dxa"/>
            <w:tcBorders>
              <w:top w:val="nil"/>
              <w:left w:val="nil"/>
              <w:bottom w:val="single" w:color="auto" w:sz="4" w:space="0"/>
              <w:right w:val="single" w:color="auto" w:sz="4" w:space="0"/>
            </w:tcBorders>
            <w:vAlign w:val="center"/>
          </w:tcPr>
          <w:p>
            <w:pPr>
              <w:widowControl/>
              <w:ind/>
              <w:jc w:val="center"/>
              <w:rPr>
                <w:rFonts w:ascii="宋体" w:hAnsi="宋体"/>
                <w:kern w:val="0"/>
                <w:sz w:val="15"/>
                <w:szCs w:val="15"/>
              </w:rPr>
            </w:pPr>
            <w:r>
              <w:rPr>
                <w:rFonts w:hint="eastAsia" w:ascii="宋体" w:hAnsi="宋体"/>
                <w:kern w:val="0"/>
                <w:sz w:val="15"/>
                <w:szCs w:val="15"/>
              </w:rPr>
              <w:t>　</w:t>
            </w:r>
          </w:p>
        </w:tc>
      </w:tr>
      <w:tr>
        <w:trPr>
          <w:wBefore/>
          <w:trHeight w:val="420" w:hRule="atLeast"/>
        </w:trPr>
        <w:tc>
          <w:tcPr>
            <w:tcW w:w="52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15"/>
                <w:szCs w:val="15"/>
              </w:rPr>
            </w:pPr>
          </w:p>
        </w:tc>
        <w:tc>
          <w:tcPr>
            <w:tcW w:w="854" w:type="dxa"/>
            <w:vMerge w:val="continue"/>
            <w:tcBorders>
              <w:top w:val="single" w:color="auto" w:sz="4" w:space="0"/>
              <w:left w:val="nil"/>
              <w:bottom w:val="nil"/>
              <w:right w:val="single" w:color="auto" w:sz="4" w:space="0"/>
            </w:tcBorders>
            <w:vAlign w:val="center"/>
          </w:tcPr>
          <w:p>
            <w:pPr>
              <w:widowControl/>
              <w:jc w:val="left"/>
              <w:rPr>
                <w:rFonts w:ascii="宋体" w:hAnsi="宋体"/>
                <w:kern w:val="0"/>
                <w:sz w:val="15"/>
                <w:szCs w:val="15"/>
              </w:rPr>
            </w:pPr>
          </w:p>
        </w:tc>
        <w:tc>
          <w:tcPr>
            <w:tcW w:w="1352" w:type="dxa"/>
            <w:tcBorders>
              <w:top w:val="nil"/>
              <w:left w:val="nil"/>
              <w:bottom w:val="single" w:color="auto" w:sz="4" w:space="0"/>
              <w:right w:val="single" w:color="auto" w:sz="4" w:space="0"/>
            </w:tcBorders>
            <w:vAlign w:val="center"/>
          </w:tcPr>
          <w:p>
            <w:pPr>
              <w:widowControl/>
              <w:ind/>
              <w:jc w:val="left"/>
              <w:rPr>
                <w:rFonts w:ascii="宋体" w:hAnsi="宋体"/>
                <w:kern w:val="0"/>
                <w:sz w:val="15"/>
                <w:szCs w:val="15"/>
              </w:rPr>
            </w:pPr>
            <w:r>
              <w:rPr>
                <w:rFonts w:hint="eastAsia" w:ascii="宋体" w:hAnsi="宋体"/>
                <w:kern w:val="0"/>
                <w:sz w:val="15"/>
                <w:szCs w:val="15"/>
              </w:rPr>
              <w:t>关键绩效指标二（以工会为平台，民主管理聚人心）</w:t>
            </w:r>
          </w:p>
        </w:tc>
        <w:tc>
          <w:tcPr>
            <w:tcW w:w="441" w:type="dxa"/>
            <w:tcBorders>
              <w:top w:val="nil"/>
              <w:left w:val="nil"/>
              <w:bottom w:val="single" w:color="auto" w:sz="4" w:space="0"/>
              <w:right w:val="single" w:color="auto" w:sz="4" w:space="0"/>
            </w:tcBorders>
            <w:vAlign w:val="center"/>
          </w:tcPr>
          <w:p>
            <w:pPr>
              <w:widowControl/>
              <w:ind/>
              <w:jc w:val="center"/>
              <w:rPr>
                <w:rFonts w:ascii="宋体" w:hAnsi="宋体"/>
                <w:kern w:val="0"/>
                <w:sz w:val="15"/>
                <w:szCs w:val="15"/>
              </w:rPr>
            </w:pPr>
            <w:r>
              <w:rPr>
                <w:rFonts w:hint="eastAsia" w:ascii="宋体" w:hAnsi="宋体"/>
                <w:kern w:val="0"/>
                <w:sz w:val="15"/>
                <w:szCs w:val="15"/>
              </w:rPr>
              <w:t>4</w:t>
            </w:r>
          </w:p>
        </w:tc>
        <w:tc>
          <w:tcPr>
            <w:tcW w:w="591" w:type="dxa"/>
            <w:tcBorders>
              <w:top w:val="nil"/>
              <w:left w:val="nil"/>
              <w:bottom w:val="single" w:color="auto" w:sz="4" w:space="0"/>
              <w:right w:val="single" w:color="auto" w:sz="4" w:space="0"/>
            </w:tcBorders>
            <w:vAlign w:val="center"/>
          </w:tcPr>
          <w:p>
            <w:pPr>
              <w:widowControl/>
              <w:ind/>
              <w:jc w:val="center"/>
              <w:rPr>
                <w:rFonts w:ascii="宋体" w:hAnsi="宋体"/>
                <w:kern w:val="0"/>
                <w:sz w:val="15"/>
                <w:szCs w:val="15"/>
              </w:rPr>
            </w:pPr>
            <w:r>
              <w:rPr>
                <w:rFonts w:hint="eastAsia" w:ascii="宋体" w:hAnsi="宋体"/>
                <w:kern w:val="0"/>
                <w:sz w:val="15"/>
                <w:szCs w:val="15"/>
              </w:rPr>
              <w:t>3.5</w:t>
            </w:r>
          </w:p>
        </w:tc>
        <w:tc>
          <w:tcPr>
            <w:tcW w:w="1606" w:type="dxa"/>
            <w:tcBorders>
              <w:top w:val="nil"/>
              <w:left w:val="nil"/>
              <w:bottom w:val="single" w:color="auto" w:sz="4" w:space="0"/>
              <w:right w:val="single" w:color="auto" w:sz="4" w:space="0"/>
            </w:tcBorders>
            <w:vAlign w:val="center"/>
          </w:tcPr>
          <w:p>
            <w:pPr>
              <w:widowControl/>
              <w:ind/>
              <w:jc w:val="left"/>
              <w:rPr>
                <w:rFonts w:ascii="宋体" w:hAnsi="宋体"/>
                <w:kern w:val="0"/>
                <w:sz w:val="15"/>
                <w:szCs w:val="15"/>
              </w:rPr>
            </w:pPr>
            <w:r>
              <w:rPr>
                <w:rFonts w:hint="eastAsia" w:ascii="宋体" w:hAnsi="宋体"/>
                <w:kern w:val="0"/>
                <w:sz w:val="15"/>
                <w:szCs w:val="15"/>
              </w:rPr>
              <w:t>　</w:t>
            </w:r>
          </w:p>
        </w:tc>
        <w:tc>
          <w:tcPr>
            <w:tcW w:w="2354" w:type="dxa"/>
            <w:vMerge w:val="continue"/>
            <w:tcBorders>
              <w:top w:val="nil"/>
              <w:left w:val="nil"/>
              <w:bottom w:val="nil"/>
              <w:right w:val="single" w:color="auto" w:sz="4" w:space="0"/>
            </w:tcBorders>
            <w:vAlign w:val="center"/>
          </w:tcPr>
          <w:p>
            <w:pPr>
              <w:widowControl/>
              <w:jc w:val="left"/>
              <w:rPr>
                <w:rFonts w:ascii="宋体" w:hAnsi="宋体"/>
                <w:kern w:val="0"/>
                <w:sz w:val="15"/>
                <w:szCs w:val="15"/>
              </w:rPr>
            </w:pPr>
          </w:p>
        </w:tc>
        <w:tc>
          <w:tcPr>
            <w:tcW w:w="799" w:type="dxa"/>
            <w:tcBorders>
              <w:top w:val="nil"/>
              <w:left w:val="nil"/>
              <w:bottom w:val="single" w:color="auto" w:sz="4" w:space="0"/>
              <w:right w:val="single" w:color="auto" w:sz="4" w:space="0"/>
            </w:tcBorders>
            <w:vAlign w:val="center"/>
          </w:tcPr>
          <w:p>
            <w:pPr>
              <w:widowControl/>
              <w:ind/>
              <w:jc w:val="left"/>
              <w:rPr>
                <w:rFonts w:ascii="宋体" w:hAnsi="宋体"/>
                <w:kern w:val="0"/>
                <w:sz w:val="15"/>
                <w:szCs w:val="15"/>
              </w:rPr>
            </w:pPr>
            <w:r>
              <w:rPr>
                <w:rFonts w:hint="eastAsia" w:ascii="宋体" w:hAnsi="宋体"/>
                <w:kern w:val="0"/>
                <w:sz w:val="15"/>
                <w:szCs w:val="15"/>
              </w:rPr>
              <w:t>　</w:t>
            </w:r>
          </w:p>
        </w:tc>
      </w:tr>
      <w:tr>
        <w:trPr>
          <w:wBefore/>
          <w:trHeight w:val="420" w:hRule="atLeast"/>
        </w:trPr>
        <w:tc>
          <w:tcPr>
            <w:tcW w:w="52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15"/>
                <w:szCs w:val="15"/>
              </w:rPr>
            </w:pPr>
          </w:p>
        </w:tc>
        <w:tc>
          <w:tcPr>
            <w:tcW w:w="854" w:type="dxa"/>
            <w:vMerge w:val="continue"/>
            <w:tcBorders>
              <w:top w:val="single" w:color="auto" w:sz="4" w:space="0"/>
              <w:left w:val="nil"/>
              <w:bottom w:val="nil"/>
              <w:right w:val="single" w:color="auto" w:sz="4" w:space="0"/>
            </w:tcBorders>
            <w:vAlign w:val="center"/>
          </w:tcPr>
          <w:p>
            <w:pPr>
              <w:widowControl/>
              <w:jc w:val="left"/>
              <w:rPr>
                <w:rFonts w:ascii="宋体" w:hAnsi="宋体"/>
                <w:kern w:val="0"/>
                <w:sz w:val="15"/>
                <w:szCs w:val="15"/>
              </w:rPr>
            </w:pPr>
          </w:p>
        </w:tc>
        <w:tc>
          <w:tcPr>
            <w:tcW w:w="1352" w:type="dxa"/>
            <w:tcBorders>
              <w:top w:val="nil"/>
              <w:left w:val="nil"/>
              <w:bottom w:val="single" w:color="auto" w:sz="4" w:space="0"/>
              <w:right w:val="single" w:color="auto" w:sz="4" w:space="0"/>
            </w:tcBorders>
            <w:vAlign w:val="center"/>
          </w:tcPr>
          <w:p>
            <w:pPr>
              <w:widowControl/>
              <w:ind/>
              <w:jc w:val="left"/>
              <w:rPr>
                <w:rFonts w:ascii="宋体" w:hAnsi="宋体"/>
                <w:kern w:val="0"/>
                <w:sz w:val="15"/>
                <w:szCs w:val="15"/>
              </w:rPr>
            </w:pPr>
            <w:r>
              <w:rPr>
                <w:rFonts w:hint="eastAsia" w:ascii="宋体" w:hAnsi="宋体"/>
                <w:kern w:val="0"/>
                <w:sz w:val="15"/>
                <w:szCs w:val="15"/>
              </w:rPr>
              <w:t>关键绩效指标三（挖掘资源，协调发展创一流）</w:t>
            </w:r>
          </w:p>
        </w:tc>
        <w:tc>
          <w:tcPr>
            <w:tcW w:w="441" w:type="dxa"/>
            <w:tcBorders>
              <w:top w:val="nil"/>
              <w:left w:val="nil"/>
              <w:bottom w:val="single" w:color="auto" w:sz="4" w:space="0"/>
              <w:right w:val="single" w:color="auto" w:sz="4" w:space="0"/>
            </w:tcBorders>
            <w:vAlign w:val="center"/>
          </w:tcPr>
          <w:p>
            <w:pPr>
              <w:widowControl/>
              <w:ind/>
              <w:jc w:val="center"/>
              <w:rPr>
                <w:rFonts w:ascii="宋体" w:hAnsi="宋体"/>
                <w:kern w:val="0"/>
                <w:sz w:val="15"/>
                <w:szCs w:val="15"/>
              </w:rPr>
            </w:pPr>
            <w:r>
              <w:rPr>
                <w:rFonts w:hint="eastAsia" w:ascii="宋体" w:hAnsi="宋体"/>
                <w:kern w:val="0"/>
                <w:sz w:val="15"/>
                <w:szCs w:val="15"/>
              </w:rPr>
              <w:t>4</w:t>
            </w:r>
          </w:p>
        </w:tc>
        <w:tc>
          <w:tcPr>
            <w:tcW w:w="591" w:type="dxa"/>
            <w:tcBorders>
              <w:top w:val="nil"/>
              <w:left w:val="nil"/>
              <w:bottom w:val="single" w:color="auto" w:sz="4" w:space="0"/>
              <w:right w:val="single" w:color="auto" w:sz="4" w:space="0"/>
            </w:tcBorders>
            <w:vAlign w:val="center"/>
          </w:tcPr>
          <w:p>
            <w:pPr>
              <w:widowControl/>
              <w:ind/>
              <w:jc w:val="center"/>
              <w:rPr>
                <w:rFonts w:ascii="宋体" w:hAnsi="宋体"/>
                <w:kern w:val="0"/>
                <w:sz w:val="15"/>
                <w:szCs w:val="15"/>
              </w:rPr>
            </w:pPr>
            <w:r>
              <w:rPr>
                <w:rFonts w:hint="eastAsia" w:ascii="宋体" w:hAnsi="宋体"/>
                <w:kern w:val="0"/>
                <w:sz w:val="15"/>
                <w:szCs w:val="15"/>
              </w:rPr>
              <w:t>3</w:t>
            </w:r>
          </w:p>
        </w:tc>
        <w:tc>
          <w:tcPr>
            <w:tcW w:w="1606" w:type="dxa"/>
            <w:tcBorders>
              <w:top w:val="nil"/>
              <w:left w:val="nil"/>
              <w:bottom w:val="single" w:color="auto" w:sz="4" w:space="0"/>
              <w:right w:val="single" w:color="auto" w:sz="4" w:space="0"/>
            </w:tcBorders>
            <w:vAlign w:val="center"/>
          </w:tcPr>
          <w:p>
            <w:pPr>
              <w:widowControl/>
              <w:ind/>
              <w:jc w:val="left"/>
              <w:rPr>
                <w:rFonts w:ascii="宋体" w:hAnsi="宋体"/>
                <w:kern w:val="0"/>
                <w:sz w:val="15"/>
                <w:szCs w:val="15"/>
              </w:rPr>
            </w:pPr>
            <w:r>
              <w:rPr>
                <w:rFonts w:hint="eastAsia" w:ascii="宋体" w:hAnsi="宋体"/>
                <w:kern w:val="0"/>
                <w:sz w:val="15"/>
                <w:szCs w:val="15"/>
              </w:rPr>
              <w:t>　</w:t>
            </w:r>
          </w:p>
        </w:tc>
        <w:tc>
          <w:tcPr>
            <w:tcW w:w="2354" w:type="dxa"/>
            <w:vMerge w:val="continue"/>
            <w:tcBorders>
              <w:top w:val="nil"/>
              <w:left w:val="nil"/>
              <w:bottom w:val="nil"/>
              <w:right w:val="single" w:color="auto" w:sz="4" w:space="0"/>
            </w:tcBorders>
            <w:vAlign w:val="center"/>
          </w:tcPr>
          <w:p>
            <w:pPr>
              <w:widowControl/>
              <w:jc w:val="left"/>
              <w:rPr>
                <w:rFonts w:ascii="宋体" w:hAnsi="宋体"/>
                <w:kern w:val="0"/>
                <w:sz w:val="15"/>
                <w:szCs w:val="15"/>
              </w:rPr>
            </w:pPr>
          </w:p>
        </w:tc>
        <w:tc>
          <w:tcPr>
            <w:tcW w:w="799" w:type="dxa"/>
            <w:tcBorders>
              <w:top w:val="nil"/>
              <w:left w:val="nil"/>
              <w:bottom w:val="single" w:color="auto" w:sz="4" w:space="0"/>
              <w:right w:val="single" w:color="auto" w:sz="4" w:space="0"/>
            </w:tcBorders>
            <w:vAlign w:val="center"/>
          </w:tcPr>
          <w:p>
            <w:pPr>
              <w:widowControl/>
              <w:ind/>
              <w:jc w:val="left"/>
              <w:rPr>
                <w:rFonts w:ascii="宋体" w:hAnsi="宋体"/>
                <w:kern w:val="0"/>
                <w:sz w:val="15"/>
                <w:szCs w:val="15"/>
              </w:rPr>
            </w:pPr>
            <w:r>
              <w:rPr>
                <w:rFonts w:hint="eastAsia" w:ascii="宋体" w:hAnsi="宋体"/>
                <w:kern w:val="0"/>
                <w:sz w:val="15"/>
                <w:szCs w:val="15"/>
              </w:rPr>
              <w:t>　</w:t>
            </w:r>
          </w:p>
        </w:tc>
      </w:tr>
      <w:tr>
        <w:trPr>
          <w:wBefore/>
          <w:trHeight w:val="840" w:hRule="atLeast"/>
        </w:trPr>
        <w:tc>
          <w:tcPr>
            <w:tcW w:w="52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15"/>
                <w:szCs w:val="15"/>
              </w:rPr>
            </w:pPr>
          </w:p>
        </w:tc>
        <w:tc>
          <w:tcPr>
            <w:tcW w:w="854" w:type="dxa"/>
            <w:vMerge w:val="restart"/>
            <w:tcBorders>
              <w:top w:val="single" w:color="auto" w:sz="4" w:space="0"/>
              <w:left w:val="nil"/>
              <w:bottom w:val="nil"/>
              <w:right w:val="single" w:color="auto" w:sz="4" w:space="0"/>
            </w:tcBorders>
            <w:vAlign w:val="center"/>
          </w:tcPr>
          <w:p>
            <w:pPr>
              <w:widowControl/>
              <w:ind/>
              <w:jc w:val="center"/>
              <w:rPr>
                <w:rFonts w:ascii="宋体" w:hAnsi="宋体"/>
                <w:kern w:val="0"/>
                <w:sz w:val="15"/>
                <w:szCs w:val="15"/>
              </w:rPr>
            </w:pPr>
            <w:r>
              <w:rPr>
                <w:rFonts w:hint="eastAsia" w:ascii="宋体" w:hAnsi="宋体"/>
                <w:kern w:val="0"/>
                <w:sz w:val="15"/>
                <w:szCs w:val="15"/>
              </w:rPr>
              <w:t>重点任务三（打造四个校园，营造学生快乐成长环境）                （20分）</w:t>
            </w:r>
          </w:p>
        </w:tc>
        <w:tc>
          <w:tcPr>
            <w:tcW w:w="1352" w:type="dxa"/>
            <w:tcBorders>
              <w:top w:val="nil"/>
              <w:left w:val="nil"/>
              <w:bottom w:val="single" w:color="auto" w:sz="4" w:space="0"/>
              <w:right w:val="single" w:color="auto" w:sz="4" w:space="0"/>
            </w:tcBorders>
            <w:vAlign w:val="center"/>
          </w:tcPr>
          <w:p>
            <w:pPr>
              <w:widowControl/>
              <w:ind/>
              <w:jc w:val="left"/>
              <w:rPr>
                <w:rFonts w:ascii="宋体" w:hAnsi="宋体"/>
                <w:kern w:val="0"/>
                <w:sz w:val="15"/>
                <w:szCs w:val="15"/>
              </w:rPr>
            </w:pPr>
            <w:r>
              <w:rPr>
                <w:rFonts w:hint="eastAsia" w:ascii="宋体" w:hAnsi="宋体"/>
                <w:kern w:val="0"/>
                <w:sz w:val="15"/>
                <w:szCs w:val="15"/>
              </w:rPr>
              <w:t>任务完成率</w:t>
            </w:r>
          </w:p>
        </w:tc>
        <w:tc>
          <w:tcPr>
            <w:tcW w:w="441" w:type="dxa"/>
            <w:tcBorders>
              <w:top w:val="nil"/>
              <w:left w:val="nil"/>
              <w:bottom w:val="single" w:color="auto" w:sz="4" w:space="0"/>
              <w:right w:val="single" w:color="auto" w:sz="4" w:space="0"/>
            </w:tcBorders>
            <w:vAlign w:val="center"/>
          </w:tcPr>
          <w:p>
            <w:pPr>
              <w:widowControl/>
              <w:ind/>
              <w:jc w:val="center"/>
              <w:rPr>
                <w:rFonts w:ascii="宋体" w:hAnsi="宋体"/>
                <w:kern w:val="0"/>
                <w:sz w:val="15"/>
                <w:szCs w:val="15"/>
              </w:rPr>
            </w:pPr>
            <w:r>
              <w:rPr>
                <w:rFonts w:hint="eastAsia" w:ascii="宋体" w:hAnsi="宋体"/>
                <w:kern w:val="0"/>
                <w:sz w:val="15"/>
                <w:szCs w:val="15"/>
              </w:rPr>
              <w:t>8</w:t>
            </w:r>
          </w:p>
        </w:tc>
        <w:tc>
          <w:tcPr>
            <w:tcW w:w="591" w:type="dxa"/>
            <w:tcBorders>
              <w:top w:val="nil"/>
              <w:left w:val="nil"/>
              <w:bottom w:val="single" w:color="auto" w:sz="4" w:space="0"/>
              <w:right w:val="single" w:color="auto" w:sz="4" w:space="0"/>
            </w:tcBorders>
            <w:vAlign w:val="center"/>
          </w:tcPr>
          <w:p>
            <w:pPr>
              <w:widowControl/>
              <w:ind/>
              <w:jc w:val="center"/>
              <w:rPr>
                <w:rFonts w:ascii="宋体" w:hAnsi="宋体"/>
                <w:kern w:val="0"/>
                <w:sz w:val="15"/>
                <w:szCs w:val="15"/>
              </w:rPr>
            </w:pPr>
            <w:r>
              <w:rPr>
                <w:rFonts w:hint="eastAsia" w:ascii="宋体" w:hAnsi="宋体"/>
                <w:kern w:val="0"/>
                <w:sz w:val="15"/>
                <w:szCs w:val="15"/>
              </w:rPr>
              <w:t>7</w:t>
            </w:r>
          </w:p>
        </w:tc>
        <w:tc>
          <w:tcPr>
            <w:tcW w:w="1606" w:type="dxa"/>
            <w:tcBorders>
              <w:top w:val="nil"/>
              <w:left w:val="nil"/>
              <w:bottom w:val="single" w:color="auto" w:sz="4" w:space="0"/>
              <w:right w:val="single" w:color="auto" w:sz="4" w:space="0"/>
            </w:tcBorders>
            <w:vAlign w:val="center"/>
          </w:tcPr>
          <w:p>
            <w:pPr>
              <w:widowControl/>
              <w:ind/>
              <w:jc w:val="left"/>
              <w:rPr>
                <w:rFonts w:ascii="宋体" w:hAnsi="宋体"/>
                <w:kern w:val="0"/>
                <w:sz w:val="15"/>
                <w:szCs w:val="15"/>
              </w:rPr>
            </w:pPr>
            <w:r>
              <w:rPr>
                <w:rFonts w:hint="eastAsia" w:ascii="宋体" w:hAnsi="宋体"/>
                <w:kern w:val="0"/>
                <w:sz w:val="15"/>
                <w:szCs w:val="15"/>
              </w:rPr>
              <w:t>得分=分值×实际完成任务量/绩效目标设定任务量×100%。实际完成任务量大于绩效目标设定任务量得满分。</w:t>
            </w:r>
          </w:p>
        </w:tc>
        <w:tc>
          <w:tcPr>
            <w:tcW w:w="2354" w:type="dxa"/>
            <w:vMerge w:val="continue"/>
            <w:tcBorders>
              <w:top w:val="nil"/>
              <w:left w:val="nil"/>
              <w:bottom w:val="nil"/>
              <w:right w:val="single" w:color="auto" w:sz="4" w:space="0"/>
            </w:tcBorders>
            <w:vAlign w:val="center"/>
          </w:tcPr>
          <w:p>
            <w:pPr>
              <w:widowControl/>
              <w:jc w:val="left"/>
              <w:rPr>
                <w:rFonts w:ascii="宋体" w:hAnsi="宋体"/>
                <w:kern w:val="0"/>
                <w:sz w:val="15"/>
                <w:szCs w:val="15"/>
              </w:rPr>
            </w:pPr>
          </w:p>
        </w:tc>
        <w:tc>
          <w:tcPr>
            <w:tcW w:w="799" w:type="dxa"/>
            <w:tcBorders>
              <w:top w:val="nil"/>
              <w:left w:val="nil"/>
              <w:bottom w:val="single" w:color="auto" w:sz="4" w:space="0"/>
              <w:right w:val="single" w:color="auto" w:sz="4" w:space="0"/>
            </w:tcBorders>
            <w:vAlign w:val="center"/>
          </w:tcPr>
          <w:p>
            <w:pPr>
              <w:widowControl/>
              <w:ind/>
              <w:jc w:val="left"/>
              <w:rPr>
                <w:rFonts w:ascii="宋体" w:hAnsi="宋体"/>
                <w:kern w:val="0"/>
                <w:sz w:val="15"/>
                <w:szCs w:val="15"/>
              </w:rPr>
            </w:pPr>
            <w:r>
              <w:rPr>
                <w:rFonts w:hint="eastAsia" w:ascii="宋体" w:hAnsi="宋体"/>
                <w:kern w:val="0"/>
                <w:sz w:val="15"/>
                <w:szCs w:val="15"/>
              </w:rPr>
              <w:t>　</w:t>
            </w:r>
          </w:p>
        </w:tc>
      </w:tr>
      <w:tr>
        <w:trPr>
          <w:wBefore/>
          <w:trHeight w:val="420" w:hRule="atLeast"/>
        </w:trPr>
        <w:tc>
          <w:tcPr>
            <w:tcW w:w="52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15"/>
                <w:szCs w:val="15"/>
              </w:rPr>
            </w:pPr>
          </w:p>
        </w:tc>
        <w:tc>
          <w:tcPr>
            <w:tcW w:w="854" w:type="dxa"/>
            <w:vMerge w:val="continue"/>
            <w:tcBorders>
              <w:top w:val="single" w:color="auto" w:sz="4" w:space="0"/>
              <w:left w:val="nil"/>
              <w:bottom w:val="nil"/>
              <w:right w:val="single" w:color="auto" w:sz="4" w:space="0"/>
            </w:tcBorders>
            <w:vAlign w:val="center"/>
          </w:tcPr>
          <w:p>
            <w:pPr>
              <w:widowControl/>
              <w:jc w:val="left"/>
              <w:rPr>
                <w:rFonts w:ascii="宋体" w:hAnsi="宋体"/>
                <w:kern w:val="0"/>
                <w:sz w:val="15"/>
                <w:szCs w:val="15"/>
              </w:rPr>
            </w:pPr>
          </w:p>
        </w:tc>
        <w:tc>
          <w:tcPr>
            <w:tcW w:w="1352" w:type="dxa"/>
            <w:tcBorders>
              <w:top w:val="nil"/>
              <w:left w:val="nil"/>
              <w:bottom w:val="single" w:color="auto" w:sz="4" w:space="0"/>
              <w:right w:val="single" w:color="auto" w:sz="4" w:space="0"/>
            </w:tcBorders>
            <w:vAlign w:val="center"/>
          </w:tcPr>
          <w:p>
            <w:pPr>
              <w:widowControl/>
              <w:ind/>
              <w:jc w:val="left"/>
              <w:rPr>
                <w:rFonts w:ascii="宋体" w:hAnsi="宋体"/>
                <w:kern w:val="0"/>
                <w:sz w:val="15"/>
                <w:szCs w:val="15"/>
              </w:rPr>
            </w:pPr>
            <w:r>
              <w:rPr>
                <w:rFonts w:hint="eastAsia" w:ascii="宋体" w:hAnsi="宋体"/>
                <w:kern w:val="0"/>
                <w:sz w:val="15"/>
                <w:szCs w:val="15"/>
              </w:rPr>
              <w:t>关键绩效指标一（以服务为主线，环境育人陶性情）</w:t>
            </w:r>
          </w:p>
        </w:tc>
        <w:tc>
          <w:tcPr>
            <w:tcW w:w="441" w:type="dxa"/>
            <w:tcBorders>
              <w:top w:val="nil"/>
              <w:left w:val="nil"/>
              <w:bottom w:val="single" w:color="auto" w:sz="4" w:space="0"/>
              <w:right w:val="single" w:color="auto" w:sz="4" w:space="0"/>
            </w:tcBorders>
            <w:vAlign w:val="center"/>
          </w:tcPr>
          <w:p>
            <w:pPr>
              <w:widowControl/>
              <w:ind/>
              <w:jc w:val="center"/>
              <w:rPr>
                <w:rFonts w:ascii="宋体" w:hAnsi="宋体"/>
                <w:kern w:val="0"/>
                <w:sz w:val="15"/>
                <w:szCs w:val="15"/>
              </w:rPr>
            </w:pPr>
            <w:r>
              <w:rPr>
                <w:rFonts w:hint="eastAsia" w:ascii="宋体" w:hAnsi="宋体"/>
                <w:kern w:val="0"/>
                <w:sz w:val="15"/>
                <w:szCs w:val="15"/>
              </w:rPr>
              <w:t>6</w:t>
            </w:r>
          </w:p>
        </w:tc>
        <w:tc>
          <w:tcPr>
            <w:tcW w:w="591" w:type="dxa"/>
            <w:tcBorders>
              <w:top w:val="nil"/>
              <w:left w:val="nil"/>
              <w:bottom w:val="single" w:color="auto" w:sz="4" w:space="0"/>
              <w:right w:val="single" w:color="auto" w:sz="4" w:space="0"/>
            </w:tcBorders>
            <w:vAlign w:val="center"/>
          </w:tcPr>
          <w:p>
            <w:pPr>
              <w:widowControl/>
              <w:ind/>
              <w:jc w:val="center"/>
              <w:rPr>
                <w:rFonts w:ascii="宋体" w:hAnsi="宋体"/>
                <w:kern w:val="0"/>
                <w:sz w:val="15"/>
                <w:szCs w:val="15"/>
              </w:rPr>
            </w:pPr>
            <w:r>
              <w:rPr>
                <w:rFonts w:hint="eastAsia" w:ascii="宋体" w:hAnsi="宋体"/>
                <w:kern w:val="0"/>
                <w:sz w:val="15"/>
                <w:szCs w:val="15"/>
              </w:rPr>
              <w:t>5</w:t>
            </w:r>
          </w:p>
        </w:tc>
        <w:tc>
          <w:tcPr>
            <w:tcW w:w="1606" w:type="dxa"/>
            <w:tcBorders>
              <w:top w:val="nil"/>
              <w:left w:val="nil"/>
              <w:bottom w:val="single" w:color="auto" w:sz="4" w:space="0"/>
              <w:right w:val="single" w:color="auto" w:sz="4" w:space="0"/>
            </w:tcBorders>
            <w:vAlign w:val="center"/>
          </w:tcPr>
          <w:p>
            <w:pPr>
              <w:widowControl/>
              <w:ind/>
              <w:jc w:val="left"/>
              <w:rPr>
                <w:rFonts w:ascii="宋体" w:hAnsi="宋体"/>
                <w:kern w:val="0"/>
                <w:sz w:val="15"/>
                <w:szCs w:val="15"/>
              </w:rPr>
            </w:pPr>
            <w:r>
              <w:rPr>
                <w:rFonts w:hint="eastAsia" w:ascii="宋体" w:hAnsi="宋体"/>
                <w:kern w:val="0"/>
                <w:sz w:val="15"/>
                <w:szCs w:val="15"/>
              </w:rPr>
              <w:t>　</w:t>
            </w:r>
          </w:p>
        </w:tc>
        <w:tc>
          <w:tcPr>
            <w:tcW w:w="2354" w:type="dxa"/>
            <w:vMerge w:val="continue"/>
            <w:tcBorders>
              <w:top w:val="nil"/>
              <w:left w:val="nil"/>
              <w:bottom w:val="nil"/>
              <w:right w:val="single" w:color="auto" w:sz="4" w:space="0"/>
            </w:tcBorders>
            <w:vAlign w:val="center"/>
          </w:tcPr>
          <w:p>
            <w:pPr>
              <w:widowControl/>
              <w:jc w:val="left"/>
              <w:rPr>
                <w:rFonts w:ascii="宋体" w:hAnsi="宋体"/>
                <w:kern w:val="0"/>
                <w:sz w:val="15"/>
                <w:szCs w:val="15"/>
              </w:rPr>
            </w:pPr>
          </w:p>
        </w:tc>
        <w:tc>
          <w:tcPr>
            <w:tcW w:w="799" w:type="dxa"/>
            <w:tcBorders>
              <w:top w:val="nil"/>
              <w:left w:val="nil"/>
              <w:bottom w:val="single" w:color="auto" w:sz="4" w:space="0"/>
              <w:right w:val="single" w:color="auto" w:sz="4" w:space="0"/>
            </w:tcBorders>
            <w:vAlign w:val="center"/>
          </w:tcPr>
          <w:p>
            <w:pPr>
              <w:widowControl/>
              <w:ind/>
              <w:jc w:val="left"/>
              <w:rPr>
                <w:rFonts w:ascii="宋体" w:hAnsi="宋体"/>
                <w:kern w:val="0"/>
                <w:sz w:val="15"/>
                <w:szCs w:val="15"/>
              </w:rPr>
            </w:pPr>
            <w:r>
              <w:rPr>
                <w:rFonts w:hint="eastAsia" w:ascii="宋体" w:hAnsi="宋体"/>
                <w:kern w:val="0"/>
                <w:sz w:val="15"/>
                <w:szCs w:val="15"/>
              </w:rPr>
              <w:t>　</w:t>
            </w:r>
          </w:p>
        </w:tc>
      </w:tr>
      <w:tr>
        <w:trPr>
          <w:wBefore/>
          <w:trHeight w:val="420" w:hRule="atLeast"/>
        </w:trPr>
        <w:tc>
          <w:tcPr>
            <w:tcW w:w="52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15"/>
                <w:szCs w:val="15"/>
              </w:rPr>
            </w:pPr>
          </w:p>
        </w:tc>
        <w:tc>
          <w:tcPr>
            <w:tcW w:w="854" w:type="dxa"/>
            <w:vMerge w:val="continue"/>
            <w:tcBorders>
              <w:top w:val="single" w:color="auto" w:sz="4" w:space="0"/>
              <w:left w:val="nil"/>
              <w:bottom w:val="nil"/>
              <w:right w:val="single" w:color="auto" w:sz="4" w:space="0"/>
            </w:tcBorders>
            <w:vAlign w:val="center"/>
          </w:tcPr>
          <w:p>
            <w:pPr>
              <w:widowControl/>
              <w:jc w:val="left"/>
              <w:rPr>
                <w:rFonts w:ascii="宋体" w:hAnsi="宋体"/>
                <w:kern w:val="0"/>
                <w:sz w:val="15"/>
                <w:szCs w:val="15"/>
              </w:rPr>
            </w:pPr>
          </w:p>
        </w:tc>
        <w:tc>
          <w:tcPr>
            <w:tcW w:w="1352" w:type="dxa"/>
            <w:tcBorders>
              <w:top w:val="nil"/>
              <w:left w:val="nil"/>
              <w:bottom w:val="single" w:color="auto" w:sz="4" w:space="0"/>
              <w:right w:val="single" w:color="auto" w:sz="4" w:space="0"/>
            </w:tcBorders>
            <w:vAlign w:val="center"/>
          </w:tcPr>
          <w:p>
            <w:pPr>
              <w:widowControl/>
              <w:ind/>
              <w:jc w:val="left"/>
              <w:rPr>
                <w:rFonts w:ascii="宋体" w:hAnsi="宋体"/>
                <w:kern w:val="0"/>
                <w:sz w:val="15"/>
                <w:szCs w:val="15"/>
              </w:rPr>
            </w:pPr>
            <w:r>
              <w:rPr>
                <w:rFonts w:hint="eastAsia" w:ascii="宋体" w:hAnsi="宋体"/>
                <w:kern w:val="0"/>
                <w:sz w:val="15"/>
                <w:szCs w:val="15"/>
              </w:rPr>
              <w:t>关键绩效指标二（以平安为核心，安全管理见实效）</w:t>
            </w:r>
          </w:p>
        </w:tc>
        <w:tc>
          <w:tcPr>
            <w:tcW w:w="441" w:type="dxa"/>
            <w:tcBorders>
              <w:top w:val="nil"/>
              <w:left w:val="nil"/>
              <w:bottom w:val="single" w:color="auto" w:sz="4" w:space="0"/>
              <w:right w:val="single" w:color="auto" w:sz="4" w:space="0"/>
            </w:tcBorders>
            <w:vAlign w:val="center"/>
          </w:tcPr>
          <w:p>
            <w:pPr>
              <w:widowControl/>
              <w:ind/>
              <w:jc w:val="center"/>
              <w:rPr>
                <w:rFonts w:ascii="宋体" w:hAnsi="宋体"/>
                <w:kern w:val="0"/>
                <w:sz w:val="15"/>
                <w:szCs w:val="15"/>
              </w:rPr>
            </w:pPr>
            <w:r>
              <w:rPr>
                <w:rFonts w:hint="eastAsia" w:ascii="宋体" w:hAnsi="宋体"/>
                <w:kern w:val="0"/>
                <w:sz w:val="15"/>
                <w:szCs w:val="15"/>
              </w:rPr>
              <w:t>6</w:t>
            </w:r>
          </w:p>
        </w:tc>
        <w:tc>
          <w:tcPr>
            <w:tcW w:w="591" w:type="dxa"/>
            <w:tcBorders>
              <w:top w:val="nil"/>
              <w:left w:val="nil"/>
              <w:bottom w:val="single" w:color="auto" w:sz="4" w:space="0"/>
              <w:right w:val="single" w:color="auto" w:sz="4" w:space="0"/>
            </w:tcBorders>
            <w:vAlign w:val="center"/>
          </w:tcPr>
          <w:p>
            <w:pPr>
              <w:widowControl/>
              <w:ind/>
              <w:jc w:val="center"/>
              <w:rPr>
                <w:rFonts w:ascii="宋体" w:hAnsi="宋体"/>
                <w:kern w:val="0"/>
                <w:sz w:val="15"/>
                <w:szCs w:val="15"/>
              </w:rPr>
            </w:pPr>
            <w:r>
              <w:rPr>
                <w:rFonts w:hint="eastAsia" w:ascii="宋体" w:hAnsi="宋体"/>
                <w:kern w:val="0"/>
                <w:sz w:val="15"/>
                <w:szCs w:val="15"/>
              </w:rPr>
              <w:t>6</w:t>
            </w:r>
          </w:p>
        </w:tc>
        <w:tc>
          <w:tcPr>
            <w:tcW w:w="1606" w:type="dxa"/>
            <w:tcBorders>
              <w:top w:val="nil"/>
              <w:left w:val="nil"/>
              <w:bottom w:val="single" w:color="auto" w:sz="4" w:space="0"/>
              <w:right w:val="single" w:color="auto" w:sz="4" w:space="0"/>
            </w:tcBorders>
            <w:vAlign w:val="center"/>
          </w:tcPr>
          <w:p>
            <w:pPr>
              <w:widowControl/>
              <w:ind/>
              <w:jc w:val="left"/>
              <w:rPr>
                <w:rFonts w:ascii="宋体" w:hAnsi="宋体"/>
                <w:kern w:val="0"/>
                <w:sz w:val="15"/>
                <w:szCs w:val="15"/>
              </w:rPr>
            </w:pPr>
            <w:r>
              <w:rPr>
                <w:rFonts w:hint="eastAsia" w:ascii="宋体" w:hAnsi="宋体"/>
                <w:kern w:val="0"/>
                <w:sz w:val="15"/>
                <w:szCs w:val="15"/>
              </w:rPr>
              <w:t>　</w:t>
            </w:r>
          </w:p>
        </w:tc>
        <w:tc>
          <w:tcPr>
            <w:tcW w:w="2354" w:type="dxa"/>
            <w:vMerge w:val="continue"/>
            <w:tcBorders>
              <w:top w:val="nil"/>
              <w:left w:val="nil"/>
              <w:bottom w:val="nil"/>
              <w:right w:val="single" w:color="auto" w:sz="4" w:space="0"/>
            </w:tcBorders>
            <w:vAlign w:val="center"/>
          </w:tcPr>
          <w:p>
            <w:pPr>
              <w:widowControl/>
              <w:jc w:val="left"/>
              <w:rPr>
                <w:rFonts w:ascii="宋体" w:hAnsi="宋体"/>
                <w:kern w:val="0"/>
                <w:sz w:val="15"/>
                <w:szCs w:val="15"/>
              </w:rPr>
            </w:pPr>
          </w:p>
        </w:tc>
        <w:tc>
          <w:tcPr>
            <w:tcW w:w="799" w:type="dxa"/>
            <w:tcBorders>
              <w:top w:val="nil"/>
              <w:left w:val="nil"/>
              <w:bottom w:val="single" w:color="auto" w:sz="4" w:space="0"/>
              <w:right w:val="single" w:color="auto" w:sz="4" w:space="0"/>
            </w:tcBorders>
            <w:vAlign w:val="center"/>
          </w:tcPr>
          <w:p>
            <w:pPr>
              <w:widowControl/>
              <w:ind/>
              <w:jc w:val="left"/>
              <w:rPr>
                <w:rFonts w:ascii="宋体" w:hAnsi="宋体"/>
                <w:kern w:val="0"/>
                <w:sz w:val="15"/>
                <w:szCs w:val="15"/>
              </w:rPr>
            </w:pPr>
            <w:r>
              <w:rPr>
                <w:rFonts w:hint="eastAsia" w:ascii="宋体" w:hAnsi="宋体"/>
                <w:kern w:val="0"/>
                <w:sz w:val="15"/>
                <w:szCs w:val="15"/>
              </w:rPr>
              <w:t>　</w:t>
            </w:r>
          </w:p>
        </w:tc>
      </w:tr>
      <w:tr>
        <w:trPr>
          <w:wBefore/>
          <w:trHeight w:val="285" w:hRule="atLeast"/>
        </w:trPr>
        <w:tc>
          <w:tcPr>
            <w:tcW w:w="2731" w:type="dxa"/>
            <w:gridSpan w:val="3"/>
            <w:tcBorders>
              <w:top w:val="single" w:color="auto" w:sz="4" w:space="0"/>
              <w:left w:val="single" w:color="auto" w:sz="4" w:space="0"/>
              <w:bottom w:val="single" w:color="auto" w:sz="4" w:space="0"/>
              <w:right w:val="single" w:color="000000" w:sz="4" w:space="0"/>
            </w:tcBorders>
            <w:vAlign w:val="center"/>
          </w:tcPr>
          <w:p>
            <w:pPr>
              <w:widowControl/>
              <w:ind/>
              <w:jc w:val="center"/>
              <w:rPr>
                <w:rFonts w:ascii="宋体" w:hAnsi="宋体"/>
                <w:kern w:val="0"/>
                <w:sz w:val="15"/>
                <w:szCs w:val="15"/>
              </w:rPr>
            </w:pPr>
            <w:r>
              <w:rPr>
                <w:rFonts w:hint="eastAsia" w:ascii="宋体" w:hAnsi="宋体"/>
                <w:kern w:val="0"/>
                <w:sz w:val="15"/>
                <w:szCs w:val="15"/>
              </w:rPr>
              <w:t>合计</w:t>
            </w:r>
          </w:p>
        </w:tc>
        <w:tc>
          <w:tcPr>
            <w:tcW w:w="441" w:type="dxa"/>
            <w:tcBorders>
              <w:top w:val="nil"/>
              <w:left w:val="nil"/>
              <w:bottom w:val="single" w:color="auto" w:sz="4" w:space="0"/>
              <w:right w:val="single" w:color="auto" w:sz="4" w:space="0"/>
            </w:tcBorders>
            <w:vAlign w:val="center"/>
          </w:tcPr>
          <w:p>
            <w:pPr>
              <w:widowControl/>
              <w:ind/>
              <w:jc w:val="center"/>
              <w:rPr>
                <w:rFonts w:ascii="宋体" w:hAnsi="宋体"/>
                <w:kern w:val="0"/>
                <w:sz w:val="15"/>
                <w:szCs w:val="15"/>
              </w:rPr>
            </w:pPr>
            <w:r>
              <w:rPr>
                <w:rFonts w:hint="eastAsia" w:ascii="宋体" w:hAnsi="宋体"/>
                <w:kern w:val="0"/>
                <w:sz w:val="15"/>
                <w:szCs w:val="15"/>
              </w:rPr>
              <w:t>100</w:t>
            </w:r>
          </w:p>
        </w:tc>
        <w:tc>
          <w:tcPr>
            <w:tcW w:w="591" w:type="dxa"/>
            <w:tcBorders>
              <w:top w:val="nil"/>
              <w:left w:val="nil"/>
              <w:bottom w:val="single" w:color="auto" w:sz="4" w:space="0"/>
              <w:right w:val="nil"/>
            </w:tcBorders>
            <w:vAlign w:val="center"/>
          </w:tcPr>
          <w:p>
            <w:pPr>
              <w:widowControl/>
              <w:ind/>
              <w:jc w:val="center"/>
              <w:rPr>
                <w:rFonts w:ascii="宋体" w:hAnsi="宋体"/>
                <w:kern w:val="0"/>
                <w:sz w:val="15"/>
                <w:szCs w:val="15"/>
              </w:rPr>
            </w:pPr>
            <w:r>
              <w:rPr>
                <w:rFonts w:hint="eastAsia" w:ascii="宋体" w:hAnsi="宋体"/>
                <w:kern w:val="0"/>
                <w:sz w:val="15"/>
                <w:szCs w:val="15"/>
              </w:rPr>
              <w:t>93.55</w:t>
            </w:r>
          </w:p>
        </w:tc>
        <w:tc>
          <w:tcPr>
            <w:tcW w:w="3960" w:type="dxa"/>
            <w:gridSpan w:val="2"/>
            <w:tcBorders>
              <w:top w:val="single" w:color="auto" w:sz="4" w:space="0"/>
              <w:left w:val="single" w:color="auto" w:sz="4" w:space="0"/>
              <w:bottom w:val="single" w:color="auto" w:sz="4" w:space="0"/>
              <w:right w:val="single" w:color="000000" w:sz="4" w:space="0"/>
            </w:tcBorders>
            <w:vAlign w:val="center"/>
          </w:tcPr>
          <w:p>
            <w:pPr>
              <w:widowControl/>
              <w:ind/>
              <w:jc w:val="center"/>
              <w:rPr>
                <w:rFonts w:ascii="宋体" w:hAnsi="宋体"/>
                <w:kern w:val="0"/>
                <w:sz w:val="15"/>
                <w:szCs w:val="15"/>
              </w:rPr>
            </w:pPr>
            <w:r>
              <w:rPr>
                <w:rFonts w:hint="eastAsia" w:ascii="宋体" w:hAnsi="宋体"/>
                <w:kern w:val="0"/>
                <w:sz w:val="15"/>
                <w:szCs w:val="15"/>
              </w:rPr>
              <w:t>　</w:t>
            </w:r>
          </w:p>
        </w:tc>
        <w:tc>
          <w:tcPr>
            <w:tcW w:w="799" w:type="dxa"/>
            <w:tcBorders>
              <w:top w:val="nil"/>
              <w:left w:val="nil"/>
              <w:bottom w:val="single" w:color="auto" w:sz="4" w:space="0"/>
              <w:right w:val="single" w:color="auto" w:sz="4" w:space="0"/>
            </w:tcBorders>
            <w:vAlign w:val="center"/>
          </w:tcPr>
          <w:p>
            <w:pPr>
              <w:widowControl/>
              <w:ind/>
              <w:jc w:val="left"/>
              <w:rPr>
                <w:rFonts w:ascii="宋体" w:hAnsi="宋体"/>
                <w:kern w:val="0"/>
                <w:sz w:val="15"/>
                <w:szCs w:val="15"/>
              </w:rPr>
            </w:pPr>
            <w:r>
              <w:rPr>
                <w:rFonts w:hint="eastAsia" w:ascii="宋体" w:hAnsi="宋体"/>
                <w:kern w:val="0"/>
                <w:sz w:val="15"/>
                <w:szCs w:val="15"/>
              </w:rPr>
              <w:t>　</w:t>
            </w:r>
          </w:p>
        </w:tc>
      </w:tr>
      <w:tr>
        <w:trPr>
          <w:wBefore/>
          <w:trHeight w:val="285" w:hRule="atLeast"/>
        </w:trPr>
        <w:tc>
          <w:tcPr>
            <w:tcW w:w="525" w:type="dxa"/>
            <w:tcBorders>
              <w:top w:val="nil"/>
              <w:left w:val="nil"/>
              <w:bottom w:val="nil"/>
              <w:right w:val="nil"/>
            </w:tcBorders>
            <w:vAlign w:val="bottom"/>
          </w:tcPr>
          <w:p>
            <w:pPr>
              <w:widowControl/>
              <w:ind/>
              <w:jc w:val="left"/>
              <w:rPr>
                <w:rFonts w:ascii="等线" w:hAnsi="宋体" w:cs="宋体"/>
                <w:color w:val="000000"/>
                <w:kern w:val="0"/>
                <w:sz w:val="15"/>
                <w:szCs w:val="15"/>
              </w:rPr>
            </w:pPr>
          </w:p>
        </w:tc>
        <w:tc>
          <w:tcPr>
            <w:tcW w:w="854" w:type="dxa"/>
            <w:tcBorders>
              <w:top w:val="nil"/>
              <w:left w:val="nil"/>
              <w:bottom w:val="nil"/>
              <w:right w:val="nil"/>
            </w:tcBorders>
            <w:vAlign w:val="bottom"/>
          </w:tcPr>
          <w:p>
            <w:pPr>
              <w:widowControl/>
              <w:ind/>
              <w:jc w:val="left"/>
              <w:rPr>
                <w:rFonts w:ascii="等线" w:hAnsi="宋体" w:cs="宋体"/>
                <w:color w:val="000000"/>
                <w:kern w:val="0"/>
                <w:sz w:val="15"/>
                <w:szCs w:val="15"/>
              </w:rPr>
            </w:pPr>
          </w:p>
        </w:tc>
        <w:tc>
          <w:tcPr>
            <w:tcW w:w="1352" w:type="dxa"/>
            <w:tcBorders>
              <w:top w:val="nil"/>
              <w:left w:val="nil"/>
              <w:bottom w:val="nil"/>
              <w:right w:val="nil"/>
            </w:tcBorders>
            <w:vAlign w:val="bottom"/>
          </w:tcPr>
          <w:p>
            <w:pPr>
              <w:widowControl/>
              <w:ind/>
              <w:jc w:val="left"/>
              <w:rPr>
                <w:rFonts w:ascii="等线" w:hAnsi="宋体" w:cs="宋体"/>
                <w:color w:val="000000"/>
                <w:kern w:val="0"/>
                <w:sz w:val="15"/>
                <w:szCs w:val="15"/>
              </w:rPr>
            </w:pPr>
          </w:p>
        </w:tc>
        <w:tc>
          <w:tcPr>
            <w:tcW w:w="441" w:type="dxa"/>
            <w:tcBorders>
              <w:top w:val="nil"/>
              <w:left w:val="nil"/>
              <w:bottom w:val="nil"/>
              <w:right w:val="nil"/>
            </w:tcBorders>
            <w:vAlign w:val="bottom"/>
          </w:tcPr>
          <w:p>
            <w:pPr>
              <w:widowControl/>
              <w:ind/>
              <w:jc w:val="center"/>
              <w:rPr>
                <w:rFonts w:ascii="等线" w:hAnsi="宋体" w:cs="宋体"/>
                <w:color w:val="000000"/>
                <w:kern w:val="0"/>
                <w:sz w:val="15"/>
                <w:szCs w:val="15"/>
              </w:rPr>
            </w:pPr>
          </w:p>
        </w:tc>
        <w:tc>
          <w:tcPr>
            <w:tcW w:w="591" w:type="dxa"/>
            <w:tcBorders>
              <w:top w:val="nil"/>
              <w:left w:val="nil"/>
              <w:bottom w:val="nil"/>
              <w:right w:val="nil"/>
            </w:tcBorders>
            <w:vAlign w:val="bottom"/>
          </w:tcPr>
          <w:p>
            <w:pPr>
              <w:widowControl/>
              <w:ind/>
              <w:jc w:val="center"/>
              <w:rPr>
                <w:rFonts w:ascii="等线" w:hAnsi="宋体" w:cs="宋体"/>
                <w:color w:val="000000"/>
                <w:kern w:val="0"/>
                <w:sz w:val="15"/>
                <w:szCs w:val="15"/>
              </w:rPr>
            </w:pPr>
          </w:p>
        </w:tc>
        <w:tc>
          <w:tcPr>
            <w:tcW w:w="1606" w:type="dxa"/>
            <w:tcBorders>
              <w:top w:val="nil"/>
              <w:left w:val="nil"/>
              <w:bottom w:val="nil"/>
              <w:right w:val="nil"/>
            </w:tcBorders>
            <w:vAlign w:val="bottom"/>
          </w:tcPr>
          <w:p>
            <w:pPr>
              <w:widowControl/>
              <w:ind/>
              <w:jc w:val="left"/>
              <w:rPr>
                <w:rFonts w:ascii="等线" w:hAnsi="宋体" w:cs="宋体"/>
                <w:color w:val="000000"/>
                <w:kern w:val="0"/>
                <w:sz w:val="15"/>
                <w:szCs w:val="15"/>
              </w:rPr>
            </w:pPr>
          </w:p>
        </w:tc>
        <w:tc>
          <w:tcPr>
            <w:tcW w:w="2354" w:type="dxa"/>
            <w:tcBorders>
              <w:top w:val="nil"/>
              <w:left w:val="nil"/>
              <w:bottom w:val="nil"/>
              <w:right w:val="nil"/>
            </w:tcBorders>
            <w:vAlign w:val="bottom"/>
          </w:tcPr>
          <w:p>
            <w:pPr>
              <w:widowControl/>
              <w:ind/>
              <w:jc w:val="left"/>
              <w:rPr>
                <w:rFonts w:ascii="等线" w:hAnsi="宋体" w:cs="宋体"/>
                <w:color w:val="000000"/>
                <w:kern w:val="0"/>
                <w:sz w:val="15"/>
                <w:szCs w:val="15"/>
              </w:rPr>
            </w:pPr>
          </w:p>
        </w:tc>
        <w:tc>
          <w:tcPr>
            <w:tcW w:w="799" w:type="dxa"/>
            <w:tcBorders>
              <w:top w:val="nil"/>
              <w:left w:val="nil"/>
              <w:bottom w:val="nil"/>
              <w:right w:val="nil"/>
            </w:tcBorders>
            <w:vAlign w:val="bottom"/>
          </w:tcPr>
          <w:p>
            <w:pPr>
              <w:widowControl/>
              <w:ind/>
              <w:jc w:val="left"/>
              <w:rPr>
                <w:rFonts w:ascii="宋体" w:hAnsi="宋体"/>
                <w:kern w:val="0"/>
                <w:sz w:val="15"/>
                <w:szCs w:val="15"/>
              </w:rPr>
            </w:pPr>
          </w:p>
        </w:tc>
      </w:tr>
      <w:tr>
        <w:trPr>
          <w:wBefore/>
          <w:trHeight w:val="499" w:hRule="atLeast"/>
        </w:trPr>
        <w:tc>
          <w:tcPr>
            <w:tcW w:w="8522" w:type="dxa"/>
            <w:gridSpan w:val="8"/>
            <w:tcBorders>
              <w:top w:val="nil"/>
              <w:left w:val="nil"/>
              <w:bottom w:val="nil"/>
              <w:right w:val="nil"/>
            </w:tcBorders>
            <w:vAlign w:val="center"/>
          </w:tcPr>
          <w:p>
            <w:pPr>
              <w:widowControl/>
              <w:ind/>
              <w:jc w:val="left"/>
              <w:rPr>
                <w:rFonts w:ascii="宋体" w:hAnsi="宋体"/>
                <w:kern w:val="0"/>
                <w:sz w:val="15"/>
                <w:szCs w:val="15"/>
              </w:rPr>
            </w:pPr>
            <w:r>
              <w:rPr>
                <w:rFonts w:hint="eastAsia" w:ascii="宋体" w:hAnsi="宋体"/>
                <w:kern w:val="0"/>
                <w:sz w:val="15"/>
                <w:szCs w:val="15"/>
              </w:rPr>
              <w:t>注：若某部门不存在某项评价内容或评价指标，则该评价内容或评价指标不计入该部门考核评价范围，即该部门评价总分=不含该评价内容或指标的实际评价总分/（100-该评价内容或指标所占分值）*100</w:t>
            </w:r>
          </w:p>
        </w:tc>
      </w:tr>
    </w:tbl>
    <w:p>
      <w:pPr>
        <w:adjustRightInd w:val="false"/>
        <w:snapToGrid w:val="false"/>
        <w:spacing w:line="360" w:lineRule="auto"/>
        <w:ind w:firstLine="480" w:firstLineChars="200"/>
        <w:rPr>
          <w:rFonts w:hint="eastAsia" w:ascii="宋体" w:hAnsi="宋体"/>
          <w:kern w:val="0"/>
          <w:sz w:val="24"/>
        </w:rPr>
      </w:pPr>
      <w:r>
        <w:rPr>
          <w:rFonts w:hint="eastAsia" w:ascii="宋体" w:hAnsi="宋体"/>
          <w:kern w:val="0"/>
          <w:sz w:val="24"/>
        </w:rPr>
        <w:t xml:space="preserve"> </w:t>
      </w:r>
    </w:p>
    <w:p>
      <w:pPr>
        <w:adjustRightInd w:val="false"/>
        <w:snapToGrid w:val="false"/>
        <w:spacing w:line="360" w:lineRule="auto"/>
        <w:ind w:firstLine="480" w:firstLineChars="200"/>
        <w:rPr>
          <w:rFonts w:hint="eastAsia" w:ascii="宋体" w:hAnsi="宋体"/>
          <w:kern w:val="0"/>
          <w:sz w:val="24"/>
        </w:rPr>
      </w:pPr>
      <w:r>
        <w:rPr>
          <w:rFonts w:hint="eastAsia" w:ascii="宋体" w:hAnsi="宋体"/>
          <w:kern w:val="0"/>
          <w:sz w:val="24"/>
        </w:rPr>
        <w:t>（二）存在的问题及原因</w:t>
      </w:r>
    </w:p>
    <w:p>
      <w:pPr>
        <w:adjustRightInd w:val="false"/>
        <w:snapToGrid w:val="false"/>
        <w:spacing w:line="360" w:lineRule="auto"/>
        <w:ind w:firstLine="480" w:firstLineChars="200"/>
        <w:rPr>
          <w:rFonts w:hint="eastAsia" w:ascii="宋体" w:hAnsi="宋体"/>
          <w:kern w:val="0"/>
          <w:sz w:val="24"/>
        </w:rPr>
      </w:pPr>
      <w:r>
        <w:rPr>
          <w:rFonts w:hint="eastAsia" w:ascii="宋体" w:hAnsi="宋体"/>
          <w:kern w:val="0"/>
          <w:sz w:val="24"/>
        </w:rPr>
        <w:t>2019年我校各项工作落实有力、成效显著，综合绩效考核取得了一定的成绩，实现了预期目标，但从执行情况来看，还存在着以下问题：</w:t>
      </w:r>
    </w:p>
    <w:p>
      <w:pPr>
        <w:adjustRightInd w:val="false"/>
        <w:snapToGrid w:val="false"/>
        <w:spacing w:line="360" w:lineRule="auto"/>
        <w:ind w:firstLine="480" w:firstLineChars="200"/>
        <w:rPr>
          <w:rFonts w:hint="eastAsia" w:ascii="宋体" w:hAnsi="宋体"/>
          <w:kern w:val="0"/>
          <w:sz w:val="24"/>
        </w:rPr>
      </w:pPr>
      <w:r>
        <w:rPr>
          <w:rFonts w:hint="eastAsia" w:ascii="宋体" w:hAnsi="宋体"/>
          <w:kern w:val="0"/>
          <w:sz w:val="24"/>
        </w:rPr>
        <w:t>1、年初设置绩效目标不够科学，目标设立不够明确、细化和量化；</w:t>
      </w:r>
    </w:p>
    <w:p>
      <w:pPr>
        <w:adjustRightInd w:val="false"/>
        <w:snapToGrid w:val="false"/>
        <w:spacing w:line="360" w:lineRule="auto"/>
        <w:ind w:firstLine="480" w:firstLineChars="200"/>
        <w:rPr>
          <w:rFonts w:hint="eastAsia" w:ascii="宋体" w:hAnsi="宋体"/>
          <w:kern w:val="0"/>
          <w:sz w:val="24"/>
        </w:rPr>
      </w:pPr>
      <w:r>
        <w:rPr>
          <w:rFonts w:hint="eastAsia" w:ascii="宋体" w:hAnsi="宋体"/>
          <w:kern w:val="0"/>
          <w:sz w:val="24"/>
        </w:rPr>
        <w:t>2、固定资产管理工作有待进一步加强；</w:t>
      </w:r>
    </w:p>
    <w:p>
      <w:pPr>
        <w:adjustRightInd w:val="false"/>
        <w:snapToGrid w:val="false"/>
        <w:spacing w:line="360" w:lineRule="auto"/>
        <w:ind w:firstLine="480" w:firstLineChars="200"/>
        <w:rPr>
          <w:rFonts w:hint="eastAsia" w:ascii="宋体" w:hAnsi="宋体"/>
          <w:kern w:val="0"/>
          <w:sz w:val="24"/>
        </w:rPr>
      </w:pPr>
      <w:r>
        <w:rPr>
          <w:rFonts w:hint="eastAsia" w:ascii="宋体" w:hAnsi="宋体"/>
          <w:kern w:val="0"/>
          <w:sz w:val="24"/>
        </w:rPr>
        <w:t>3、预算执行有待进一步严格，预算编制与实际支出项目有的仍存在一定差异。</w:t>
      </w:r>
    </w:p>
    <w:p>
      <w:pPr>
        <w:adjustRightInd w:val="false"/>
        <w:snapToGrid w:val="false"/>
        <w:spacing w:line="360" w:lineRule="auto"/>
        <w:ind w:firstLine="480" w:firstLineChars="200"/>
        <w:rPr>
          <w:rFonts w:hint="eastAsia" w:ascii="宋体" w:hAnsi="宋体"/>
          <w:kern w:val="0"/>
          <w:sz w:val="24"/>
        </w:rPr>
      </w:pPr>
      <w:r>
        <w:rPr>
          <w:rFonts w:hint="eastAsia" w:ascii="宋体" w:hAnsi="宋体"/>
          <w:kern w:val="0"/>
          <w:sz w:val="24"/>
        </w:rPr>
        <w:t>（三）改进措施</w:t>
      </w:r>
    </w:p>
    <w:p>
      <w:pPr>
        <w:adjustRightInd w:val="false"/>
        <w:snapToGrid w:val="false"/>
        <w:spacing w:line="360" w:lineRule="auto"/>
        <w:ind w:firstLine="480" w:firstLineChars="200"/>
        <w:rPr>
          <w:rFonts w:hint="eastAsia" w:ascii="宋体" w:hAnsi="宋体"/>
          <w:kern w:val="0"/>
          <w:sz w:val="24"/>
        </w:rPr>
      </w:pPr>
      <w:r>
        <w:rPr>
          <w:rFonts w:hint="eastAsia" w:ascii="宋体" w:hAnsi="宋体"/>
          <w:kern w:val="0"/>
          <w:sz w:val="24"/>
        </w:rPr>
        <w:t>针对在预算绩效工作中出现的问题，在今后的工作中主要做到以下改进：</w:t>
      </w:r>
    </w:p>
    <w:p>
      <w:pPr>
        <w:adjustRightInd w:val="false"/>
        <w:snapToGrid w:val="false"/>
        <w:spacing w:line="360" w:lineRule="auto"/>
        <w:ind w:firstLine="480" w:firstLineChars="200"/>
        <w:rPr>
          <w:rFonts w:hint="eastAsia" w:ascii="宋体" w:hAnsi="宋体"/>
          <w:kern w:val="0"/>
          <w:sz w:val="24"/>
        </w:rPr>
      </w:pPr>
      <w:r>
        <w:rPr>
          <w:rFonts w:hint="eastAsia" w:ascii="宋体" w:hAnsi="宋体"/>
          <w:kern w:val="0"/>
          <w:sz w:val="24"/>
        </w:rPr>
        <w:t>1、加强绩效评价相关文件和知识的学习，提升绩效自评能力，结合单位实际和项目资金实际科学合理设置绩效目标，尽可能细化、量化。</w:t>
      </w:r>
    </w:p>
    <w:p>
      <w:pPr>
        <w:adjustRightInd w:val="false"/>
        <w:snapToGrid w:val="false"/>
        <w:spacing w:line="360" w:lineRule="auto"/>
        <w:ind w:firstLine="480" w:firstLineChars="200"/>
        <w:rPr>
          <w:rFonts w:hint="eastAsia" w:ascii="宋体" w:hAnsi="宋体"/>
          <w:kern w:val="0"/>
          <w:sz w:val="24"/>
        </w:rPr>
      </w:pPr>
      <w:r>
        <w:rPr>
          <w:rFonts w:hint="eastAsia" w:ascii="宋体" w:hAnsi="宋体"/>
          <w:kern w:val="0"/>
          <w:sz w:val="24"/>
        </w:rPr>
        <w:t>2、严格执行固定资产管理办法，从资产采购、使用以及报废各环节规范固定资产的管理，提高固定资产使用效率，减少资金浪费。</w:t>
      </w:r>
    </w:p>
    <w:p>
      <w:pPr>
        <w:adjustRightInd w:val="false"/>
        <w:snapToGrid w:val="false"/>
        <w:spacing w:line="360" w:lineRule="auto"/>
        <w:ind w:firstLine="480" w:firstLineChars="200"/>
        <w:rPr>
          <w:rFonts w:hint="eastAsia" w:ascii="宋体" w:hAnsi="宋体"/>
          <w:kern w:val="0"/>
          <w:sz w:val="24"/>
        </w:rPr>
      </w:pPr>
      <w:r>
        <w:rPr>
          <w:rFonts w:hint="eastAsia" w:ascii="宋体" w:hAnsi="宋体"/>
          <w:kern w:val="0"/>
          <w:sz w:val="24"/>
        </w:rPr>
        <w:t>3、加强预算编制的合理性，细化预算编制，严格预算执行。进一步加强单位内部机构各单位各处室的预算管理意识，严格按照预算编制的相关制度和要求进行预算编制。按照预算规定的项目和用途严格财务审核，经费支出严格按预算规定项目的财务支出内容进行财务核算，在预算金额内严格控制费用的支出。同时进一步加强新政府会计制度和预算法等的学习，切实提高部门预算收支管理水平。</w:t>
      </w:r>
    </w:p>
    <w:p>
      <w:pPr>
        <w:adjustRightInd w:val="false"/>
        <w:snapToGrid w:val="false"/>
        <w:spacing w:line="360" w:lineRule="auto"/>
        <w:ind w:firstLine="480" w:firstLineChars="200"/>
        <w:rPr>
          <w:rFonts w:hint="eastAsia" w:ascii="宋体" w:hAnsi="宋体"/>
          <w:kern w:val="0"/>
          <w:sz w:val="24"/>
        </w:rPr>
      </w:pPr>
      <w:r>
        <w:rPr>
          <w:rFonts w:hint="eastAsia" w:ascii="宋体" w:hAnsi="宋体"/>
          <w:kern w:val="0"/>
          <w:sz w:val="24"/>
        </w:rPr>
        <w:t>4、进一步建立健全财务制度，规范财务管理，加强绩效评价管理评价的可操作性，对相关业务人员进行相关培训，以提高业务知识水平。</w:t>
      </w:r>
    </w:p>
    <w:bookmarkStart w:id="58" w:name="_Toc15396618"/>
    <w:p>
      <w:pPr>
        <w:spacing w:line="600" w:lineRule="exact"/>
        <w:ind/>
        <w:jc w:val="center"/>
        <w:outlineLvl w:val="0"/>
        <w:rPr>
          <w:rStyle w:val="24"/>
          <w:rFonts w:ascii="黑体" w:hAnsi="黑体" w:eastAsia="黑体"/>
          <w:b w:val="false"/>
        </w:rPr>
      </w:pPr>
    </w:p>
    <w:p>
      <w:pPr>
        <w:adjustRightInd w:val="false"/>
        <w:snapToGrid w:val="false"/>
        <w:spacing w:line="360" w:lineRule="auto"/>
        <w:ind/>
        <w:jc w:val="center"/>
        <w:rPr>
          <w:rStyle w:val="24"/>
          <w:rFonts w:hint="eastAsia" w:ascii="黑体" w:hAnsi="黑体" w:eastAsia="黑体"/>
          <w:sz w:val="36"/>
          <w:szCs w:val="36"/>
        </w:rPr>
      </w:pPr>
      <w:r>
        <w:rPr>
          <w:rFonts w:hint="eastAsia" w:ascii="黑体" w:hAnsi="黑体" w:eastAsia="黑体"/>
          <w:color w:val="000000"/>
          <w:sz w:val="36"/>
          <w:szCs w:val="36"/>
        </w:rPr>
        <w:t>第</w:t>
      </w:r>
      <w:r>
        <w:rPr>
          <w:rStyle w:val="000017"/>
          <w:rFonts w:hint="eastAsia" w:ascii="黑体" w:hAnsi="黑体" w:eastAsia="黑体"/>
          <w:sz w:val="36"/>
          <w:szCs w:val="36"/>
        </w:rPr>
        <w:t>五部分 附表</w:t>
      </w:r>
      <w:bookmarkEnd w:id="58"/>
    </w:p>
    <w:bookmarkStart w:id="59" w:name="_Toc15396619"/>
    <w:p>
      <w:pPr>
        <w:pStyle w:val="000006"/>
        <w:adjustRightInd w:val="false"/>
        <w:snapToGrid w:val="false"/>
        <w:spacing w:before="0" w:after="0" w:line="360" w:lineRule="auto"/>
        <w:ind w:firstLine="480" w:firstLineChars="200"/>
        <w:rPr>
          <w:rFonts w:hint="eastAsia" w:asciiTheme="minorEastAsia" w:hAnsiTheme="minorEastAsia" w:eastAsiaTheme="minorEastAsia"/>
          <w:b w:val="false"/>
          <w:color w:val="000000"/>
          <w:sz w:val="24"/>
          <w:szCs w:val="24"/>
        </w:rPr>
      </w:pPr>
    </w:p>
    <w:p>
      <w:pPr>
        <w:pStyle w:val="000006"/>
        <w:adjustRightInd w:val="false"/>
        <w:snapToGrid w:val="false"/>
        <w:spacing w:before="0" w:after="0" w:line="360" w:lineRule="auto"/>
        <w:ind w:firstLine="480" w:firstLineChars="200"/>
        <w:rPr>
          <w:rFonts w:asciiTheme="minorEastAsia" w:hAnsiTheme="minorEastAsia" w:eastAsiaTheme="minorEastAsia"/>
          <w:color w:val="000000"/>
          <w:sz w:val="24"/>
          <w:szCs w:val="24"/>
        </w:rPr>
      </w:pPr>
      <w:r>
        <w:rPr>
          <w:rFonts w:hint="eastAsia" w:asciiTheme="minorEastAsia" w:hAnsiTheme="minorEastAsia" w:eastAsiaTheme="minorEastAsia"/>
          <w:b w:val="false"/>
          <w:color w:val="000000"/>
          <w:sz w:val="24"/>
          <w:szCs w:val="24"/>
        </w:rPr>
        <w:t>一、收</w:t>
      </w:r>
      <w:r>
        <w:rPr>
          <w:rStyle w:val="000008"/>
          <w:rFonts w:hint="eastAsia" w:asciiTheme="minorEastAsia" w:hAnsiTheme="minorEastAsia" w:eastAsiaTheme="minorEastAsia"/>
          <w:b w:val="false"/>
          <w:bCs w:val="false"/>
          <w:sz w:val="24"/>
          <w:szCs w:val="24"/>
        </w:rPr>
        <w:t>入支出决算总表</w:t>
      </w:r>
      <w:bookmarkEnd w:id="59"/>
    </w:p>
    <w:bookmarkStart w:id="60" w:name="_Toc15396620"/>
    <w:p>
      <w:pPr>
        <w:pStyle w:val="000006"/>
        <w:adjustRightInd w:val="false"/>
        <w:snapToGrid w:val="false"/>
        <w:spacing w:before="0" w:after="0" w:line="360" w:lineRule="auto"/>
        <w:ind w:firstLine="480" w:firstLineChars="200"/>
        <w:rPr>
          <w:rFonts w:asciiTheme="minorEastAsia" w:hAnsiTheme="minorEastAsia" w:eastAsiaTheme="minorEastAsia"/>
          <w:color w:val="000000"/>
          <w:sz w:val="24"/>
          <w:szCs w:val="24"/>
        </w:rPr>
      </w:pPr>
      <w:r>
        <w:rPr>
          <w:rFonts w:hint="eastAsia" w:asciiTheme="minorEastAsia" w:hAnsiTheme="minorEastAsia" w:eastAsiaTheme="minorEastAsia"/>
          <w:b w:val="false"/>
          <w:color w:val="000000"/>
          <w:sz w:val="24"/>
          <w:szCs w:val="24"/>
        </w:rPr>
        <w:t>二、收</w:t>
      </w:r>
      <w:r>
        <w:rPr>
          <w:rStyle w:val="000008"/>
          <w:rFonts w:hint="eastAsia" w:asciiTheme="minorEastAsia" w:hAnsiTheme="minorEastAsia" w:eastAsiaTheme="minorEastAsia"/>
          <w:b w:val="false"/>
          <w:bCs w:val="false"/>
          <w:sz w:val="24"/>
          <w:szCs w:val="24"/>
        </w:rPr>
        <w:t>入决算表</w:t>
      </w:r>
      <w:bookmarkEnd w:id="60"/>
    </w:p>
    <w:bookmarkStart w:id="61" w:name="_Toc15396621"/>
    <w:p>
      <w:pPr>
        <w:pStyle w:val="000006"/>
        <w:adjustRightInd w:val="false"/>
        <w:snapToGrid w:val="false"/>
        <w:spacing w:before="0" w:after="0" w:line="360" w:lineRule="auto"/>
        <w:ind w:firstLine="480" w:firstLineChars="200"/>
        <w:rPr>
          <w:rFonts w:asciiTheme="minorEastAsia" w:hAnsiTheme="minorEastAsia" w:eastAsiaTheme="minorEastAsia"/>
          <w:color w:val="000000"/>
          <w:sz w:val="24"/>
          <w:szCs w:val="24"/>
        </w:rPr>
      </w:pPr>
      <w:r>
        <w:rPr>
          <w:rStyle w:val="000008"/>
          <w:rFonts w:hint="eastAsia" w:asciiTheme="minorEastAsia" w:hAnsiTheme="minorEastAsia" w:eastAsiaTheme="minorEastAsia"/>
          <w:b w:val="false"/>
          <w:bCs w:val="false"/>
          <w:sz w:val="24"/>
          <w:szCs w:val="24"/>
        </w:rPr>
        <w:t>三、</w:t>
      </w:r>
      <w:r>
        <w:rPr>
          <w:rFonts w:hint="eastAsia" w:asciiTheme="minorEastAsia" w:hAnsiTheme="minorEastAsia" w:eastAsiaTheme="minorEastAsia"/>
          <w:b w:val="false"/>
          <w:color w:val="000000"/>
          <w:sz w:val="24"/>
          <w:szCs w:val="24"/>
        </w:rPr>
        <w:t>支</w:t>
      </w:r>
      <w:r>
        <w:rPr>
          <w:rStyle w:val="000008"/>
          <w:rFonts w:hint="eastAsia" w:asciiTheme="minorEastAsia" w:hAnsiTheme="minorEastAsia" w:eastAsiaTheme="minorEastAsia"/>
          <w:b w:val="false"/>
          <w:bCs w:val="false"/>
          <w:sz w:val="24"/>
          <w:szCs w:val="24"/>
        </w:rPr>
        <w:t>出决算表</w:t>
      </w:r>
      <w:bookmarkEnd w:id="61"/>
    </w:p>
    <w:bookmarkStart w:id="62" w:name="_Toc15396622"/>
    <w:p>
      <w:pPr>
        <w:pStyle w:val="000006"/>
        <w:adjustRightInd w:val="false"/>
        <w:snapToGrid w:val="false"/>
        <w:spacing w:before="0" w:after="0" w:line="360" w:lineRule="auto"/>
        <w:ind w:firstLine="480" w:firstLineChars="200"/>
        <w:rPr>
          <w:rFonts w:asciiTheme="minorEastAsia" w:hAnsiTheme="minorEastAsia" w:eastAsiaTheme="minorEastAsia"/>
          <w:b w:val="false"/>
          <w:color w:val="000000"/>
          <w:sz w:val="24"/>
          <w:szCs w:val="24"/>
        </w:rPr>
      </w:pPr>
      <w:r>
        <w:rPr>
          <w:rStyle w:val="000008"/>
          <w:rFonts w:hint="eastAsia" w:asciiTheme="minorEastAsia" w:hAnsiTheme="minorEastAsia" w:eastAsiaTheme="minorEastAsia"/>
          <w:b w:val="false"/>
          <w:bCs w:val="false"/>
          <w:sz w:val="24"/>
          <w:szCs w:val="24"/>
        </w:rPr>
        <w:t>四、</w:t>
      </w:r>
      <w:r>
        <w:rPr>
          <w:rFonts w:hint="eastAsia" w:asciiTheme="minorEastAsia" w:hAnsiTheme="minorEastAsia" w:eastAsiaTheme="minorEastAsia"/>
          <w:b w:val="false"/>
          <w:color w:val="000000"/>
          <w:sz w:val="24"/>
          <w:szCs w:val="24"/>
        </w:rPr>
        <w:t>财</w:t>
      </w:r>
      <w:r>
        <w:rPr>
          <w:rStyle w:val="000008"/>
          <w:rFonts w:hint="eastAsia" w:asciiTheme="minorEastAsia" w:hAnsiTheme="minorEastAsia" w:eastAsiaTheme="minorEastAsia"/>
          <w:b w:val="false"/>
          <w:bCs w:val="false"/>
          <w:sz w:val="24"/>
          <w:szCs w:val="24"/>
        </w:rPr>
        <w:t>政拨款收入支出决算总表</w:t>
      </w:r>
      <w:bookmarkEnd w:id="62"/>
    </w:p>
    <w:bookmarkStart w:id="63" w:name="_Toc15396623"/>
    <w:p>
      <w:pPr>
        <w:pStyle w:val="000006"/>
        <w:adjustRightInd w:val="false"/>
        <w:snapToGrid w:val="false"/>
        <w:spacing w:before="0" w:after="0" w:line="360" w:lineRule="auto"/>
        <w:ind w:firstLine="480" w:firstLineChars="200"/>
        <w:rPr>
          <w:rStyle w:val="25"/>
          <w:rFonts w:asciiTheme="minorEastAsia" w:hAnsiTheme="minorEastAsia" w:eastAsiaTheme="minorEastAsia"/>
          <w:b w:val="false"/>
          <w:bCs w:val="false"/>
          <w:sz w:val="24"/>
          <w:szCs w:val="24"/>
        </w:rPr>
      </w:pPr>
      <w:r>
        <w:rPr>
          <w:rStyle w:val="000008"/>
          <w:rFonts w:hint="eastAsia" w:asciiTheme="minorEastAsia" w:hAnsiTheme="minorEastAsia" w:eastAsiaTheme="minorEastAsia"/>
          <w:b w:val="false"/>
          <w:bCs w:val="false"/>
          <w:sz w:val="24"/>
          <w:szCs w:val="24"/>
        </w:rPr>
        <w:t>五、</w:t>
      </w:r>
      <w:r>
        <w:rPr>
          <w:rFonts w:hint="eastAsia" w:asciiTheme="minorEastAsia" w:hAnsiTheme="minorEastAsia" w:eastAsiaTheme="minorEastAsia"/>
          <w:b w:val="false"/>
          <w:color w:val="000000"/>
          <w:sz w:val="24"/>
          <w:szCs w:val="24"/>
        </w:rPr>
        <w:t>财</w:t>
      </w:r>
      <w:r>
        <w:rPr>
          <w:rStyle w:val="000008"/>
          <w:rFonts w:hint="eastAsia" w:asciiTheme="minorEastAsia" w:hAnsiTheme="minorEastAsia" w:eastAsiaTheme="minorEastAsia"/>
          <w:b w:val="false"/>
          <w:bCs w:val="false"/>
          <w:sz w:val="24"/>
          <w:szCs w:val="24"/>
        </w:rPr>
        <w:t>政拨款支出决算明细表</w:t>
      </w:r>
      <w:bookmarkEnd w:id="63"/>
      <w:bookmarkStart w:id="64" w:name="_Toc15396624"/>
    </w:p>
    <w:p>
      <w:pPr>
        <w:pStyle w:val="000006"/>
        <w:adjustRightInd w:val="false"/>
        <w:snapToGrid w:val="false"/>
        <w:spacing w:before="0" w:after="0" w:line="360" w:lineRule="auto"/>
        <w:ind w:firstLine="480" w:firstLineChars="200"/>
        <w:rPr>
          <w:rFonts w:asciiTheme="minorEastAsia" w:hAnsiTheme="minorEastAsia" w:eastAsiaTheme="minorEastAsia"/>
          <w:color w:val="000000"/>
          <w:sz w:val="24"/>
          <w:szCs w:val="24"/>
        </w:rPr>
      </w:pPr>
      <w:r>
        <w:rPr>
          <w:rStyle w:val="000008"/>
          <w:rFonts w:hint="eastAsia" w:asciiTheme="minorEastAsia" w:hAnsiTheme="minorEastAsia" w:eastAsiaTheme="minorEastAsia"/>
          <w:b w:val="false"/>
          <w:bCs w:val="false"/>
          <w:sz w:val="24"/>
          <w:szCs w:val="24"/>
        </w:rPr>
        <w:t>六、</w:t>
      </w:r>
      <w:r>
        <w:rPr>
          <w:rFonts w:hint="eastAsia" w:asciiTheme="minorEastAsia" w:hAnsiTheme="minorEastAsia" w:eastAsiaTheme="minorEastAsia"/>
          <w:b w:val="false"/>
          <w:color w:val="000000"/>
          <w:sz w:val="24"/>
          <w:szCs w:val="24"/>
        </w:rPr>
        <w:t>一</w:t>
      </w:r>
      <w:r>
        <w:rPr>
          <w:rStyle w:val="000008"/>
          <w:rFonts w:hint="eastAsia" w:asciiTheme="minorEastAsia" w:hAnsiTheme="minorEastAsia" w:eastAsiaTheme="minorEastAsia"/>
          <w:b w:val="false"/>
          <w:bCs w:val="false"/>
          <w:sz w:val="24"/>
          <w:szCs w:val="24"/>
        </w:rPr>
        <w:t>般公共预算财政拨款支出决算表</w:t>
      </w:r>
      <w:bookmarkEnd w:id="64"/>
    </w:p>
    <w:bookmarkStart w:id="65" w:name="_Toc15396625"/>
    <w:p>
      <w:pPr>
        <w:pStyle w:val="000006"/>
        <w:adjustRightInd w:val="false"/>
        <w:snapToGrid w:val="false"/>
        <w:spacing w:before="0" w:after="0" w:line="360" w:lineRule="auto"/>
        <w:ind w:firstLine="480" w:firstLineChars="200"/>
        <w:rPr>
          <w:rFonts w:asciiTheme="minorEastAsia" w:hAnsiTheme="minorEastAsia" w:eastAsiaTheme="minorEastAsia"/>
          <w:color w:val="000000"/>
          <w:sz w:val="24"/>
          <w:szCs w:val="24"/>
        </w:rPr>
      </w:pPr>
      <w:r>
        <w:rPr>
          <w:rStyle w:val="000008"/>
          <w:rFonts w:hint="eastAsia" w:asciiTheme="minorEastAsia" w:hAnsiTheme="minorEastAsia" w:eastAsiaTheme="minorEastAsia"/>
          <w:b w:val="false"/>
          <w:bCs w:val="false"/>
          <w:sz w:val="24"/>
          <w:szCs w:val="24"/>
        </w:rPr>
        <w:t>七、</w:t>
      </w:r>
      <w:r>
        <w:rPr>
          <w:rFonts w:hint="eastAsia" w:asciiTheme="minorEastAsia" w:hAnsiTheme="minorEastAsia" w:eastAsiaTheme="minorEastAsia"/>
          <w:b w:val="false"/>
          <w:color w:val="000000"/>
          <w:sz w:val="24"/>
          <w:szCs w:val="24"/>
        </w:rPr>
        <w:t>一</w:t>
      </w:r>
      <w:r>
        <w:rPr>
          <w:rStyle w:val="000008"/>
          <w:rFonts w:hint="eastAsia" w:asciiTheme="minorEastAsia" w:hAnsiTheme="minorEastAsia" w:eastAsiaTheme="minorEastAsia"/>
          <w:b w:val="false"/>
          <w:bCs w:val="false"/>
          <w:sz w:val="24"/>
          <w:szCs w:val="24"/>
        </w:rPr>
        <w:t>般公共预算财政拨款支出决算明细表</w:t>
      </w:r>
      <w:bookmarkEnd w:id="65"/>
    </w:p>
    <w:bookmarkStart w:id="66" w:name="_Toc15396626"/>
    <w:p>
      <w:pPr>
        <w:pStyle w:val="000006"/>
        <w:adjustRightInd w:val="false"/>
        <w:snapToGrid w:val="false"/>
        <w:spacing w:before="0" w:after="0" w:line="360" w:lineRule="auto"/>
        <w:ind w:firstLine="480" w:firstLineChars="200"/>
        <w:rPr>
          <w:rFonts w:asciiTheme="minorEastAsia" w:hAnsiTheme="minorEastAsia" w:eastAsiaTheme="minorEastAsia"/>
          <w:color w:val="000000"/>
          <w:sz w:val="24"/>
          <w:szCs w:val="24"/>
        </w:rPr>
      </w:pPr>
      <w:r>
        <w:rPr>
          <w:rStyle w:val="000008"/>
          <w:rFonts w:hint="eastAsia" w:asciiTheme="minorEastAsia" w:hAnsiTheme="minorEastAsia" w:eastAsiaTheme="minorEastAsia"/>
          <w:b w:val="false"/>
          <w:bCs w:val="false"/>
          <w:sz w:val="24"/>
          <w:szCs w:val="24"/>
        </w:rPr>
        <w:t>八、</w:t>
      </w:r>
      <w:r>
        <w:rPr>
          <w:rFonts w:hint="eastAsia" w:asciiTheme="minorEastAsia" w:hAnsiTheme="minorEastAsia" w:eastAsiaTheme="minorEastAsia"/>
          <w:b w:val="false"/>
          <w:color w:val="000000"/>
          <w:sz w:val="24"/>
          <w:szCs w:val="24"/>
        </w:rPr>
        <w:t>一</w:t>
      </w:r>
      <w:r>
        <w:rPr>
          <w:rStyle w:val="000008"/>
          <w:rFonts w:hint="eastAsia" w:asciiTheme="minorEastAsia" w:hAnsiTheme="minorEastAsia" w:eastAsiaTheme="minorEastAsia"/>
          <w:b w:val="false"/>
          <w:bCs w:val="false"/>
          <w:sz w:val="24"/>
          <w:szCs w:val="24"/>
        </w:rPr>
        <w:t>般公共预算财政拨款基本支出决算表</w:t>
      </w:r>
      <w:bookmarkEnd w:id="66"/>
    </w:p>
    <w:bookmarkStart w:id="67" w:name="_Toc15396627"/>
    <w:p>
      <w:pPr>
        <w:pStyle w:val="000006"/>
        <w:adjustRightInd w:val="false"/>
        <w:snapToGrid w:val="false"/>
        <w:spacing w:before="0" w:after="0" w:line="360" w:lineRule="auto"/>
        <w:ind w:firstLine="480" w:firstLineChars="200"/>
        <w:rPr>
          <w:rFonts w:asciiTheme="minorEastAsia" w:hAnsiTheme="minorEastAsia" w:eastAsiaTheme="minorEastAsia"/>
          <w:color w:val="000000"/>
          <w:sz w:val="24"/>
          <w:szCs w:val="24"/>
        </w:rPr>
      </w:pPr>
      <w:r>
        <w:rPr>
          <w:rStyle w:val="000008"/>
          <w:rFonts w:hint="eastAsia" w:asciiTheme="minorEastAsia" w:hAnsiTheme="minorEastAsia" w:eastAsiaTheme="minorEastAsia"/>
          <w:b w:val="false"/>
          <w:bCs w:val="false"/>
          <w:sz w:val="24"/>
          <w:szCs w:val="24"/>
        </w:rPr>
        <w:t>九、</w:t>
      </w:r>
      <w:r>
        <w:rPr>
          <w:rFonts w:hint="eastAsia" w:asciiTheme="minorEastAsia" w:hAnsiTheme="minorEastAsia" w:eastAsiaTheme="minorEastAsia"/>
          <w:b w:val="false"/>
          <w:color w:val="000000"/>
          <w:sz w:val="24"/>
          <w:szCs w:val="24"/>
        </w:rPr>
        <w:t>一</w:t>
      </w:r>
      <w:r>
        <w:rPr>
          <w:rStyle w:val="000008"/>
          <w:rFonts w:hint="eastAsia" w:asciiTheme="minorEastAsia" w:hAnsiTheme="minorEastAsia" w:eastAsiaTheme="minorEastAsia"/>
          <w:b w:val="false"/>
          <w:bCs w:val="false"/>
          <w:sz w:val="24"/>
          <w:szCs w:val="24"/>
        </w:rPr>
        <w:t>般公共预算财政拨款项目支出决算表</w:t>
      </w:r>
      <w:bookmarkEnd w:id="67"/>
    </w:p>
    <w:bookmarkStart w:id="68" w:name="_Toc15396628"/>
    <w:p>
      <w:pPr>
        <w:pStyle w:val="000006"/>
        <w:adjustRightInd w:val="false"/>
        <w:snapToGrid w:val="false"/>
        <w:spacing w:before="0" w:after="0" w:line="360" w:lineRule="auto"/>
        <w:ind w:firstLine="480" w:firstLineChars="200"/>
        <w:rPr>
          <w:rFonts w:asciiTheme="minorEastAsia" w:hAnsiTheme="minorEastAsia" w:eastAsiaTheme="minorEastAsia"/>
          <w:color w:val="000000"/>
          <w:sz w:val="24"/>
          <w:szCs w:val="24"/>
        </w:rPr>
      </w:pPr>
      <w:r>
        <w:rPr>
          <w:rStyle w:val="000008"/>
          <w:rFonts w:hint="eastAsia" w:asciiTheme="minorEastAsia" w:hAnsiTheme="minorEastAsia" w:eastAsiaTheme="minorEastAsia"/>
          <w:b w:val="false"/>
          <w:bCs w:val="false"/>
          <w:sz w:val="24"/>
          <w:szCs w:val="24"/>
        </w:rPr>
        <w:t>十、</w:t>
      </w:r>
      <w:r>
        <w:rPr>
          <w:rFonts w:hint="eastAsia" w:asciiTheme="minorEastAsia" w:hAnsiTheme="minorEastAsia" w:eastAsiaTheme="minorEastAsia"/>
          <w:b w:val="false"/>
          <w:color w:val="000000"/>
          <w:sz w:val="24"/>
          <w:szCs w:val="24"/>
        </w:rPr>
        <w:t>一</w:t>
      </w:r>
      <w:r>
        <w:rPr>
          <w:rStyle w:val="000008"/>
          <w:rFonts w:hint="eastAsia" w:asciiTheme="minorEastAsia" w:hAnsiTheme="minorEastAsia" w:eastAsiaTheme="minorEastAsia"/>
          <w:b w:val="false"/>
          <w:bCs w:val="false"/>
          <w:sz w:val="24"/>
          <w:szCs w:val="24"/>
        </w:rPr>
        <w:t>般公共预算财政拨款“三公”经费支出决算表</w:t>
      </w:r>
      <w:bookmarkEnd w:id="68"/>
    </w:p>
    <w:bookmarkStart w:id="69" w:name="_Toc15396629"/>
    <w:p>
      <w:pPr>
        <w:pStyle w:val="000006"/>
        <w:adjustRightInd w:val="false"/>
        <w:snapToGrid w:val="false"/>
        <w:spacing w:before="0" w:after="0" w:line="360" w:lineRule="auto"/>
        <w:ind w:firstLine="480" w:firstLineChars="200"/>
        <w:rPr>
          <w:rFonts w:asciiTheme="minorEastAsia" w:hAnsiTheme="minorEastAsia" w:eastAsiaTheme="minorEastAsia"/>
          <w:color w:val="000000"/>
          <w:sz w:val="24"/>
          <w:szCs w:val="24"/>
        </w:rPr>
      </w:pPr>
      <w:r>
        <w:rPr>
          <w:rStyle w:val="000008"/>
          <w:rFonts w:hint="eastAsia" w:asciiTheme="minorEastAsia" w:hAnsiTheme="minorEastAsia" w:eastAsiaTheme="minorEastAsia"/>
          <w:b w:val="false"/>
          <w:bCs w:val="false"/>
          <w:sz w:val="24"/>
          <w:szCs w:val="24"/>
        </w:rPr>
        <w:t>十一、</w:t>
      </w:r>
      <w:r>
        <w:rPr>
          <w:rFonts w:hint="eastAsia" w:asciiTheme="minorEastAsia" w:hAnsiTheme="minorEastAsia" w:eastAsiaTheme="minorEastAsia"/>
          <w:b w:val="false"/>
          <w:color w:val="000000"/>
          <w:sz w:val="24"/>
          <w:szCs w:val="24"/>
        </w:rPr>
        <w:t>政</w:t>
      </w:r>
      <w:r>
        <w:rPr>
          <w:rStyle w:val="000008"/>
          <w:rFonts w:hint="eastAsia" w:asciiTheme="minorEastAsia" w:hAnsiTheme="minorEastAsia" w:eastAsiaTheme="minorEastAsia"/>
          <w:b w:val="false"/>
          <w:bCs w:val="false"/>
          <w:sz w:val="24"/>
          <w:szCs w:val="24"/>
        </w:rPr>
        <w:t>府性基金预算财政拨款收入支出决算表</w:t>
      </w:r>
      <w:bookmarkEnd w:id="69"/>
    </w:p>
    <w:bookmarkStart w:id="70" w:name="_Toc15396630"/>
    <w:p>
      <w:pPr>
        <w:pStyle w:val="000006"/>
        <w:adjustRightInd w:val="false"/>
        <w:snapToGrid w:val="false"/>
        <w:spacing w:before="0" w:after="0" w:line="360" w:lineRule="auto"/>
        <w:ind w:firstLine="480" w:firstLineChars="200"/>
        <w:rPr>
          <w:rFonts w:asciiTheme="minorEastAsia" w:hAnsiTheme="minorEastAsia" w:eastAsiaTheme="minorEastAsia"/>
          <w:color w:val="000000"/>
          <w:sz w:val="24"/>
          <w:szCs w:val="24"/>
        </w:rPr>
      </w:pPr>
      <w:r>
        <w:rPr>
          <w:rStyle w:val="000008"/>
          <w:rFonts w:hint="eastAsia" w:asciiTheme="minorEastAsia" w:hAnsiTheme="minorEastAsia" w:eastAsiaTheme="minorEastAsia"/>
          <w:b w:val="false"/>
          <w:bCs w:val="false"/>
          <w:sz w:val="24"/>
          <w:szCs w:val="24"/>
        </w:rPr>
        <w:t>十二、</w:t>
      </w:r>
      <w:r>
        <w:rPr>
          <w:rFonts w:hint="eastAsia" w:asciiTheme="minorEastAsia" w:hAnsiTheme="minorEastAsia" w:eastAsiaTheme="minorEastAsia"/>
          <w:b w:val="false"/>
          <w:color w:val="000000"/>
          <w:sz w:val="24"/>
          <w:szCs w:val="24"/>
        </w:rPr>
        <w:t>政</w:t>
      </w:r>
      <w:r>
        <w:rPr>
          <w:rStyle w:val="000008"/>
          <w:rFonts w:hint="eastAsia" w:asciiTheme="minorEastAsia" w:hAnsiTheme="minorEastAsia" w:eastAsiaTheme="minorEastAsia"/>
          <w:b w:val="false"/>
          <w:bCs w:val="false"/>
          <w:sz w:val="24"/>
          <w:szCs w:val="24"/>
        </w:rPr>
        <w:t>府性基金预算财政拨款“三公”经费支出决算表</w:t>
      </w:r>
      <w:bookmarkEnd w:id="70"/>
    </w:p>
    <w:bookmarkStart w:id="71" w:name="_Toc15396631"/>
    <w:p>
      <w:pPr>
        <w:pStyle w:val="000006"/>
        <w:adjustRightInd w:val="false"/>
        <w:snapToGrid w:val="false"/>
        <w:spacing w:before="0" w:after="0" w:line="360" w:lineRule="auto"/>
        <w:ind w:firstLine="480" w:firstLineChars="200"/>
        <w:rPr>
          <w:rFonts w:asciiTheme="minorEastAsia" w:hAnsiTheme="minorEastAsia" w:eastAsiaTheme="minorEastAsia"/>
          <w:color w:val="000000" w:themeColor="text1"/>
          <w:sz w:val="24"/>
          <w:szCs w:val="24"/>
        </w:rPr>
      </w:pPr>
      <w:r>
        <w:rPr>
          <w:rStyle w:val="000008"/>
          <w:rFonts w:hint="eastAsia" w:asciiTheme="minorEastAsia" w:hAnsiTheme="minorEastAsia" w:eastAsiaTheme="minorEastAsia"/>
          <w:b w:val="false"/>
          <w:bCs w:val="false"/>
          <w:sz w:val="24"/>
          <w:szCs w:val="24"/>
        </w:rPr>
        <w:t>十三、</w:t>
      </w:r>
      <w:r>
        <w:rPr>
          <w:rFonts w:hint="eastAsia" w:asciiTheme="minorEastAsia" w:hAnsiTheme="minorEastAsia" w:eastAsiaTheme="minorEastAsia"/>
          <w:b w:val="false"/>
          <w:color w:val="000000"/>
          <w:sz w:val="24"/>
          <w:szCs w:val="24"/>
        </w:rPr>
        <w:t>国</w:t>
      </w:r>
      <w:r>
        <w:rPr>
          <w:rStyle w:val="000008"/>
          <w:rFonts w:hint="eastAsia" w:asciiTheme="minorEastAsia" w:hAnsiTheme="minorEastAsia" w:eastAsiaTheme="minorEastAsia"/>
          <w:b w:val="false"/>
          <w:bCs w:val="false"/>
          <w:sz w:val="24"/>
          <w:szCs w:val="24"/>
        </w:rPr>
        <w:t>有资本经营预算支出决算表</w:t>
      </w:r>
      <w:bookmarkEnd w:id="71"/>
    </w:p>
    <w:sectPr>
      <w:headerReference r:id="rId4" w:type="default"/>
      <w:footerReference r:id="rId5" w:type="default"/>
      <w:pgSz w:w="11906" w:h="16838"/>
      <w:pgMar w:top="1440" w:right="1800" w:bottom="1440" w:left="1800" w:header="851" w:footer="992" w:gutter="0"/>
      <w:pgNumType w:start="1"/>
      <w:cols w:space="425" w:num="1"/>
      <w:titlePg/>
      <w:docGrid w:type="lines" w:linePitch="312" w:charSpace="0"/>
    </w:sectPr>
  </w:body>
</w:document>
</file>

<file path=word/fontTable.xml><?xml version="1.0" encoding="utf-8"?>
<w:fonts xmlns:w="http://schemas.openxmlformats.org/wordprocessingml/2006/main">
  <w:font w:name="Symbol">
    <w:panose1 w:val="05050102010706020507"/>
    <w:charset w:val="02" w:characterSet="ISO-8859-1"/>
    <w:family w:val="roman"/>
    <w:pitch w:val="default"/>
    <w:sig w:usb0="00000000" w:usb1="00000000" w:usb2="00000000" w:usb3="00000000" w:csb0="80000000" w:csb1="00000000"/>
  </w:font>
  <w:font w:name="等线 Light">
    <w:panose1 w:val="02010600030101010101"/>
    <w:charset w:val="86" w:characterSet="ISO-8859-1"/>
    <w:family w:val="auto"/>
    <w:pitch w:val="variable"/>
    <w:sig w:usb0="A00002BF" w:usb1="38CF7CFA" w:usb2="00000016" w:usb3="00000000" w:csb0="0004000F" w:csb1="00000000"/>
  </w:font>
  <w:font w:name="宋体">
    <w:panose1 w:val="02010600030101010101"/>
    <w:charset w:val="86" w:characterSet="ISO-8859-1"/>
    <w:family w:val="auto"/>
    <w:pitch w:val="default"/>
    <w:sig w:usb0="00000003" w:usb1="288F0000" w:usb2="00000006" w:usb3="00000000" w:csb0="00040001" w:csb1="00000000"/>
  </w:font>
  <w:font w:name="Calibri">
    <w:panose1 w:val="020F0502020204030204"/>
    <w:charset w:val="00" w:characterSet="ISO-8859-1"/>
    <w:family w:val="swiss"/>
    <w:pitch w:val="default"/>
    <w:sig w:usb0="E00002FF" w:usb1="4000ACFF" w:usb2="00000001" w:usb3="00000000" w:csb0="2000019F" w:csb1="00000000"/>
  </w:font>
  <w:font w:name="Courier New">
    <w:panose1 w:val="02070309020205020404"/>
    <w:charset w:val="01" w:characterSet="ISO-8859-1"/>
    <w:family w:val="modern"/>
    <w:pitch w:val="default"/>
    <w:sig w:usb0="E0002AFF" w:usb1="C0007843" w:usb2="00000009" w:usb3="00000000" w:csb0="400001FF" w:csb1="FFFF0000"/>
  </w:font>
  <w:font w:name="方正小标宋简体">
    <w:altName w:val="黑体"/>
    <w:panose1 w:val="00000000000000000000"/>
    <w:charset w:val="86" w:characterSet="ISO-8859-1"/>
    <w:family w:val="script"/>
    <w:pitch w:val="default"/>
    <w:sig w:usb0="00000000" w:usb1="00000000" w:usb2="00000010" w:usb3="00000000" w:csb0="00040000" w:csb1="00000000"/>
  </w:font>
  <w:font w:name="Times New Roman">
    <w:panose1 w:val="02020603050405020304"/>
    <w:charset w:val="00" w:characterSet="ISO-8859-1"/>
    <w:family w:val="roman"/>
    <w:pitch w:val="variable"/>
    <w:sig w:usb0="20007A87" w:usb1="80000000" w:usb2="00000008" w:usb3="00000000" w:csb0="000001FF" w:csb1="00000000"/>
  </w:font>
  <w:font w:name="黑体">
    <w:panose1 w:val="02010609060101010101"/>
    <w:charset w:val="86" w:characterSet="ISO-8859-1"/>
    <w:family w:val="auto"/>
    <w:pitch w:val="default"/>
    <w:sig w:usb0="800002BF" w:usb1="38CF7CFA" w:usb2="00000016" w:usb3="00000000" w:csb0="00040001" w:csb1="00000000"/>
  </w:font>
  <w:font w:name="等线">
    <w:altName w:val="Times New Roman"/>
    <w:panose1 w:val="00000000000000000000"/>
    <w:charset w:val="00" w:characterSet="ISO-8859-1"/>
    <w:family w:val="auto"/>
    <w:pitch w:val="default"/>
    <w:sig w:usb0="00000000" w:usb1="00000000" w:usb2="00000000" w:usb3="00000000" w:csb0="00000000" w:csb1="00000000"/>
  </w:font>
  <w:font w:name="DengXian">
    <w:altName w:val="等线"/>
    <w:panose1 w:val="02010600030101010101"/>
    <w:charset w:val="86" w:characterSet="ISO-8859-1"/>
    <w:family w:val="auto"/>
    <w:pitch w:val="variable"/>
    <w:sig w:usb0="A00002BF" w:usb1="38CF7CFA" w:usb2="00000016" w:usb3="00000000" w:csb0="0004000F" w:csb1="00000000"/>
  </w:font>
  <w:font w:name="楷体_GB2312">
    <w:altName w:val="楷体"/>
    <w:panose1 w:val="00000000000000000000"/>
    <w:charset w:val="86" w:characterSet="ISO-8859-1"/>
    <w:family w:val="modern"/>
    <w:pitch w:val="default"/>
    <w:sig w:usb0="00000000" w:usb1="00000000" w:usb2="00000010" w:usb3="00000000" w:csb0="00040000" w:csb1="00000000"/>
  </w:font>
  <w:font w:name="Cambria">
    <w:panose1 w:val="02040503050406030204"/>
    <w:charset w:val="00" w:characterSet="ISO-8859-1"/>
    <w:family w:val="roman"/>
    <w:pitch w:val="default"/>
    <w:sig w:usb0="E00002FF" w:usb1="400004FF" w:usb2="00000000" w:usb3="00000000" w:csb0="2000019F" w:csb1="00000000"/>
  </w:font>
  <w:font w:name="仿宋_GB2312">
    <w:altName w:val="仿宋"/>
    <w:panose1 w:val="00000000000000000000"/>
    <w:charset w:val="86" w:characterSet="ISO-8859-1"/>
    <w:family w:val="modern"/>
    <w:pitch w:val="default"/>
    <w:sig w:usb0="00000000" w:usb1="00000000" w:usb2="00000010" w:usb3="00000000" w:csb0="00040000" w:csb1="00000000"/>
  </w:font>
  <w:font w:name="Wingdings">
    <w:panose1 w:val="05000000000000000000"/>
    <w:charset w:val="02" w:characterSet="ISO-8859-1"/>
    <w:family w:val="auto"/>
    <w:pitch w:val="default"/>
    <w:sig w:usb0="00000000" w:usb1="00000000" w:usb2="00000000" w:usb3="00000000" w:csb0="80000000" w:csb1="00000000"/>
  </w:font>
  <w:font w:name="楷体">
    <w:panose1 w:val="02010609060101010101"/>
    <w:charset w:val="86" w:characterSet="ISO-8859-1"/>
    <w:family w:val="auto"/>
    <w:pitch w:val="default"/>
    <w:sig w:usb0="800002BF" w:usb1="38CF7CFA" w:usb2="00000016" w:usb3="00000000" w:csb0="00040001" w:csb1="00000000"/>
  </w:font>
  <w:font w:name="仿宋">
    <w:panose1 w:val="02010609060101010101"/>
    <w:charset w:val="86" w:characterSet="ISO-8859-1"/>
    <w:family w:val="modern"/>
    <w:pitch w:val="default"/>
    <w:sig w:usb0="800002BF" w:usb1="38CF7CFA" w:usb2="00000016" w:usb3="00000000" w:csb0="00040001" w:csb1="00000000"/>
  </w:font>
  <w:font w:name="Arial">
    <w:panose1 w:val="020B0604020202020204"/>
    <w:charset w:val="01" w:characterSet="ISO-8859-1"/>
    <w:family w:val="swiss"/>
    <w:pitch w:val="default"/>
    <w:sig w:usb0="E0002AFF" w:usb1="C0007843" w:usb2="00000009" w:usb3="00000000" w:csb0="400001FF" w:csb1="FFFF0000"/>
  </w:font>
</w:fonts>
</file>

<file path=word/footer1.xml><?xml version="1.0" encoding="utf-8"?>
<w:ftr xmlns:w="http://schemas.openxmlformats.org/wordprocessingml/2006/main">
  <w:p>
    <w:pPr>
      <w:pStyle w:val="000015"/>
      <w:ind/>
      <w:jc w:val="center"/>
      <w:rPr/>
    </w:pPr>
    <w:r>
      <w:rPr/>
      <w:fldChar w:fldCharType="begin"/>
    </w:r>
    <w:r>
      <w:rPr/>
      <w:instrText>PAGE   \* MERGEFORMAT</w:instrText>
    </w:r>
    <w:r>
      <w:rPr/>
      <w:fldChar w:fldCharType="separate"/>
    </w:r>
    <w:r>
      <w:rPr>
        <w:lang w:val="zh-CN"/>
      </w:rPr>
      <w:t>6</w:t>
    </w:r>
    <w:r>
      <w:rPr>
        <w:lang w:val="zh-CN"/>
      </w:rPr>
      <w:fldChar w:fldCharType="end"/>
    </w:r>
  </w:p>
  <w:p>
    <w:pPr>
      <w:pStyle w:val="000015"/>
      <w:ind/>
      <w:rPr/>
    </w:pPr>
  </w:p>
</w:ftr>
</file>

<file path=word/header1.xml><?xml version="1.0" encoding="utf-8"?>
<w:hdr xmlns:w="http://schemas.openxmlformats.org/wordprocessingml/2006/main">
  <w:p>
    <w:pPr>
      <w:pStyle w:val="00000f"/>
      <w:pBdr>
        <w:bottom w:val="none" w:color="auto" w:sz="0" w:space="0"/>
      </w:pBdr>
      <w:ind/>
      <w:rPr/>
    </w:pPr>
  </w:p>
</w:hdr>
</file>

<file path=word/settings.xml><?xml version="1.0" encoding="utf-8"?>
<w:settings xmlns:w="http://schemas.openxmlformats.org/wordprocessingml/2006/main">
  <w:zoom w:percent="100"/>
  <w:bordersDoNotSurroundHeader/>
  <w:bordersDoNotSurroundFooter/>
  <w:documentProtection w:edit="none" w:enforcement="false"/>
  <w:defaultTabStop w:val="420"/>
  <w:drawingGridHorizontalSpacing w:val="105"/>
  <w:drawingGridVerticalSpacing w:val="156"/>
  <w:displayHorizontalDrawingGridEvery w:val="0"/>
  <w:displayVerticalDrawingGridEvery w:val="2"/>
  <w:noPunctuationKerning/>
  <w:characterSpacingControl w:val="compressPunctuation"/>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useWord2013TrackBottomHyphenation" w:uri="http://schemas.microsoft.com/office/word" w:val="0"/>
    <w:compatSetting w:name="differentiateMultirowTableHeaders" w:uri="http://schemas.microsoft.com/office/word" w:val="1"/>
    <w:compatSetting w:name="doNotFlipMirrorIndents" w:uri="http://schemas.microsoft.com/office/word" w:val="1"/>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
  <w:rsids>
    <w:rsidRoot w:val="00F1361C"/>
    <w:rsid w:val="00002CF2"/>
    <w:rsid w:val="000222C6"/>
    <w:rsid w:val="0002549F"/>
    <w:rsid w:val="000468DB"/>
    <w:rsid w:val="0006487A"/>
    <w:rsid w:val="00065F8F"/>
    <w:rsid w:val="00070A43"/>
    <w:rsid w:val="000768F2"/>
    <w:rsid w:val="0009184B"/>
    <w:rsid w:val="00094236"/>
    <w:rsid w:val="0009593C"/>
    <w:rsid w:val="00095DCF"/>
    <w:rsid w:val="00097322"/>
    <w:rsid w:val="000A6A92"/>
    <w:rsid w:val="000B047F"/>
    <w:rsid w:val="000B5923"/>
    <w:rsid w:val="000B5A48"/>
    <w:rsid w:val="000B6FF3"/>
    <w:rsid w:val="000C3467"/>
    <w:rsid w:val="000C3CA6"/>
    <w:rsid w:val="000D1267"/>
    <w:rsid w:val="000D1D50"/>
    <w:rsid w:val="000D5782"/>
    <w:rsid w:val="000E6613"/>
    <w:rsid w:val="000E7119"/>
    <w:rsid w:val="000F1707"/>
    <w:rsid w:val="000F430A"/>
    <w:rsid w:val="00114E9B"/>
    <w:rsid w:val="00130893"/>
    <w:rsid w:val="00137832"/>
    <w:rsid w:val="00142216"/>
    <w:rsid w:val="00144D6A"/>
    <w:rsid w:val="0014729F"/>
    <w:rsid w:val="00147927"/>
    <w:rsid w:val="00157BAB"/>
    <w:rsid w:val="001654D1"/>
    <w:rsid w:val="00174518"/>
    <w:rsid w:val="0018106D"/>
    <w:rsid w:val="00184390"/>
    <w:rsid w:val="001877A7"/>
    <w:rsid w:val="00191536"/>
    <w:rsid w:val="00196687"/>
    <w:rsid w:val="001B158B"/>
    <w:rsid w:val="001B7686"/>
    <w:rsid w:val="001C0962"/>
    <w:rsid w:val="001C4BA5"/>
    <w:rsid w:val="001D7531"/>
    <w:rsid w:val="001E737D"/>
    <w:rsid w:val="001F0592"/>
    <w:rsid w:val="001F0CBD"/>
    <w:rsid w:val="001F7506"/>
    <w:rsid w:val="002006CD"/>
    <w:rsid w:val="00202B36"/>
    <w:rsid w:val="00204B7A"/>
    <w:rsid w:val="00204CDE"/>
    <w:rsid w:val="0021101A"/>
    <w:rsid w:val="00217E63"/>
    <w:rsid w:val="00220536"/>
    <w:rsid w:val="00235629"/>
    <w:rsid w:val="00260C38"/>
    <w:rsid w:val="002616C0"/>
    <w:rsid w:val="00265372"/>
    <w:rsid w:val="002662AA"/>
    <w:rsid w:val="00280496"/>
    <w:rsid w:val="00294DC9"/>
    <w:rsid w:val="00295495"/>
    <w:rsid w:val="002A31DE"/>
    <w:rsid w:val="002B2613"/>
    <w:rsid w:val="002D19B0"/>
    <w:rsid w:val="002D38D5"/>
    <w:rsid w:val="002D6D05"/>
    <w:rsid w:val="002F1818"/>
    <w:rsid w:val="002F567B"/>
    <w:rsid w:val="002F639D"/>
    <w:rsid w:val="003216A9"/>
    <w:rsid w:val="0032341E"/>
    <w:rsid w:val="00335A74"/>
    <w:rsid w:val="00346CF6"/>
    <w:rsid w:val="0036561B"/>
    <w:rsid w:val="0037013F"/>
    <w:rsid w:val="00380C92"/>
    <w:rsid w:val="003811DC"/>
    <w:rsid w:val="003A484F"/>
    <w:rsid w:val="003A4883"/>
    <w:rsid w:val="003B0BE0"/>
    <w:rsid w:val="003B0C1B"/>
    <w:rsid w:val="003B688C"/>
    <w:rsid w:val="003C0291"/>
    <w:rsid w:val="003C39AE"/>
    <w:rsid w:val="003C7B60"/>
    <w:rsid w:val="003D0C0F"/>
    <w:rsid w:val="003D1FB2"/>
    <w:rsid w:val="003D66DA"/>
    <w:rsid w:val="003E1310"/>
    <w:rsid w:val="003E6F55"/>
    <w:rsid w:val="00406254"/>
    <w:rsid w:val="00416CD4"/>
    <w:rsid w:val="004223DE"/>
    <w:rsid w:val="00434489"/>
    <w:rsid w:val="00437085"/>
    <w:rsid w:val="00443880"/>
    <w:rsid w:val="004464F4"/>
    <w:rsid w:val="00471401"/>
    <w:rsid w:val="00473F31"/>
    <w:rsid w:val="0048263A"/>
    <w:rsid w:val="00487E5D"/>
    <w:rsid w:val="004A711F"/>
    <w:rsid w:val="004B199D"/>
    <w:rsid w:val="004B4690"/>
    <w:rsid w:val="004E0A2D"/>
    <w:rsid w:val="004E206B"/>
    <w:rsid w:val="004E6DF7"/>
    <w:rsid w:val="004F0FBD"/>
    <w:rsid w:val="004F403E"/>
    <w:rsid w:val="00505A47"/>
    <w:rsid w:val="00512FDA"/>
    <w:rsid w:val="00520DA0"/>
    <w:rsid w:val="005664BB"/>
    <w:rsid w:val="00566FFA"/>
    <w:rsid w:val="0057481D"/>
    <w:rsid w:val="00575F0B"/>
    <w:rsid w:val="0058486E"/>
    <w:rsid w:val="00585B33"/>
    <w:rsid w:val="0059014D"/>
    <w:rsid w:val="005953C4"/>
    <w:rsid w:val="005B5C64"/>
    <w:rsid w:val="005C1DD1"/>
    <w:rsid w:val="005C6BD0"/>
    <w:rsid w:val="005C6C4C"/>
    <w:rsid w:val="005D1C8B"/>
    <w:rsid w:val="005D468D"/>
    <w:rsid w:val="005D5CED"/>
    <w:rsid w:val="005D6709"/>
    <w:rsid w:val="005F1A4C"/>
    <w:rsid w:val="00605688"/>
    <w:rsid w:val="006070AF"/>
    <w:rsid w:val="00607E6C"/>
    <w:rsid w:val="006101B1"/>
    <w:rsid w:val="00614E44"/>
    <w:rsid w:val="0062270A"/>
    <w:rsid w:val="00622830"/>
    <w:rsid w:val="00623DA0"/>
    <w:rsid w:val="00630AEF"/>
    <w:rsid w:val="006325F8"/>
    <w:rsid w:val="00633463"/>
    <w:rsid w:val="00634C9A"/>
    <w:rsid w:val="006370C7"/>
    <w:rsid w:val="006440E4"/>
    <w:rsid w:val="0066343B"/>
    <w:rsid w:val="00664777"/>
    <w:rsid w:val="006748A4"/>
    <w:rsid w:val="006754B5"/>
    <w:rsid w:val="00681A31"/>
    <w:rsid w:val="00683E73"/>
    <w:rsid w:val="00686455"/>
    <w:rsid w:val="006A3141"/>
    <w:rsid w:val="006A5E34"/>
    <w:rsid w:val="006B2422"/>
    <w:rsid w:val="006B2B9A"/>
    <w:rsid w:val="006C1937"/>
    <w:rsid w:val="006F020C"/>
    <w:rsid w:val="006F74E3"/>
    <w:rsid w:val="00706F17"/>
    <w:rsid w:val="007127B7"/>
    <w:rsid w:val="0071798E"/>
    <w:rsid w:val="00727533"/>
    <w:rsid w:val="007416B6"/>
    <w:rsid w:val="00746F48"/>
    <w:rsid w:val="0075404D"/>
    <w:rsid w:val="0076182A"/>
    <w:rsid w:val="00767B7E"/>
    <w:rsid w:val="007770C3"/>
    <w:rsid w:val="00784D24"/>
    <w:rsid w:val="00785FBA"/>
    <w:rsid w:val="00786E4A"/>
    <w:rsid w:val="007875EB"/>
    <w:rsid w:val="0079426B"/>
    <w:rsid w:val="007C20A3"/>
    <w:rsid w:val="007D09E9"/>
    <w:rsid w:val="007D1682"/>
    <w:rsid w:val="007D2ABB"/>
    <w:rsid w:val="007D312A"/>
    <w:rsid w:val="007D3F19"/>
    <w:rsid w:val="007E23B0"/>
    <w:rsid w:val="007F1991"/>
    <w:rsid w:val="007F2C2F"/>
    <w:rsid w:val="007F55FC"/>
    <w:rsid w:val="007F5665"/>
    <w:rsid w:val="00800112"/>
    <w:rsid w:val="00813348"/>
    <w:rsid w:val="008253BB"/>
    <w:rsid w:val="00833962"/>
    <w:rsid w:val="0083706E"/>
    <w:rsid w:val="008408F6"/>
    <w:rsid w:val="008423A5"/>
    <w:rsid w:val="00850625"/>
    <w:rsid w:val="00853718"/>
    <w:rsid w:val="00855221"/>
    <w:rsid w:val="00860645"/>
    <w:rsid w:val="00871F71"/>
    <w:rsid w:val="00872FD8"/>
    <w:rsid w:val="00885AF4"/>
    <w:rsid w:val="008939CD"/>
    <w:rsid w:val="008B0965"/>
    <w:rsid w:val="008B768C"/>
    <w:rsid w:val="008C4DB1"/>
    <w:rsid w:val="008C4EAF"/>
    <w:rsid w:val="008C5176"/>
    <w:rsid w:val="008C7FD0"/>
    <w:rsid w:val="008E1DE7"/>
    <w:rsid w:val="008E707C"/>
    <w:rsid w:val="00900B08"/>
    <w:rsid w:val="00902155"/>
    <w:rsid w:val="009022E7"/>
    <w:rsid w:val="00902FA3"/>
    <w:rsid w:val="00911364"/>
    <w:rsid w:val="00923564"/>
    <w:rsid w:val="0092392E"/>
    <w:rsid w:val="009315F9"/>
    <w:rsid w:val="00933499"/>
    <w:rsid w:val="00935C98"/>
    <w:rsid w:val="00946945"/>
    <w:rsid w:val="00951248"/>
    <w:rsid w:val="0095152F"/>
    <w:rsid w:val="00954C49"/>
    <w:rsid w:val="00955E37"/>
    <w:rsid w:val="0097099F"/>
    <w:rsid w:val="00971997"/>
    <w:rsid w:val="00971FFC"/>
    <w:rsid w:val="0098660A"/>
    <w:rsid w:val="009931C3"/>
    <w:rsid w:val="009B2C43"/>
    <w:rsid w:val="009B4EAE"/>
    <w:rsid w:val="009B7573"/>
    <w:rsid w:val="009C22F4"/>
    <w:rsid w:val="009C2E98"/>
    <w:rsid w:val="009C37FB"/>
    <w:rsid w:val="009D3447"/>
    <w:rsid w:val="009D3AA7"/>
    <w:rsid w:val="009D4711"/>
    <w:rsid w:val="009F1185"/>
    <w:rsid w:val="009F18CD"/>
    <w:rsid w:val="009F2A13"/>
    <w:rsid w:val="009F7527"/>
    <w:rsid w:val="00A039ED"/>
    <w:rsid w:val="00A04EB0"/>
    <w:rsid w:val="00A10FEF"/>
    <w:rsid w:val="00A13CC1"/>
    <w:rsid w:val="00A16847"/>
    <w:rsid w:val="00A237D8"/>
    <w:rsid w:val="00A256A4"/>
    <w:rsid w:val="00A268C4"/>
    <w:rsid w:val="00A307CD"/>
    <w:rsid w:val="00A331C8"/>
    <w:rsid w:val="00A35117"/>
    <w:rsid w:val="00A40A00"/>
    <w:rsid w:val="00A4142F"/>
    <w:rsid w:val="00A422EB"/>
    <w:rsid w:val="00A45261"/>
    <w:rsid w:val="00A45BB7"/>
    <w:rsid w:val="00A56DF2"/>
    <w:rsid w:val="00A56E6E"/>
    <w:rsid w:val="00A65AEC"/>
    <w:rsid w:val="00A67AB5"/>
    <w:rsid w:val="00A733B2"/>
    <w:rsid w:val="00A741C2"/>
    <w:rsid w:val="00A91760"/>
    <w:rsid w:val="00A93B00"/>
    <w:rsid w:val="00A93C21"/>
    <w:rsid w:val="00AB64C9"/>
    <w:rsid w:val="00AC3C6A"/>
    <w:rsid w:val="00AD0F83"/>
    <w:rsid w:val="00AD5620"/>
    <w:rsid w:val="00AD656B"/>
    <w:rsid w:val="00AD7C1B"/>
    <w:rsid w:val="00AD7D99"/>
    <w:rsid w:val="00AE16BA"/>
    <w:rsid w:val="00AE1EBE"/>
    <w:rsid w:val="00B03C9D"/>
    <w:rsid w:val="00B060AE"/>
    <w:rsid w:val="00B10517"/>
    <w:rsid w:val="00B14E76"/>
    <w:rsid w:val="00B161B8"/>
    <w:rsid w:val="00B2048C"/>
    <w:rsid w:val="00B310B9"/>
    <w:rsid w:val="00B34DB2"/>
    <w:rsid w:val="00B35F3F"/>
    <w:rsid w:val="00B36CBB"/>
    <w:rsid w:val="00B425E0"/>
    <w:rsid w:val="00B440AA"/>
    <w:rsid w:val="00B44B70"/>
    <w:rsid w:val="00B53C56"/>
    <w:rsid w:val="00B57DAF"/>
    <w:rsid w:val="00B77EA6"/>
    <w:rsid w:val="00B81598"/>
    <w:rsid w:val="00B841F1"/>
    <w:rsid w:val="00B944D6"/>
    <w:rsid w:val="00BA6EB8"/>
    <w:rsid w:val="00BB4DF0"/>
    <w:rsid w:val="00BC289F"/>
    <w:rsid w:val="00BC2D50"/>
    <w:rsid w:val="00BC5361"/>
    <w:rsid w:val="00BC5460"/>
    <w:rsid w:val="00BC6B50"/>
    <w:rsid w:val="00BD0E25"/>
    <w:rsid w:val="00BF5BD6"/>
    <w:rsid w:val="00C03E31"/>
    <w:rsid w:val="00C30E69"/>
    <w:rsid w:val="00C33E72"/>
    <w:rsid w:val="00C354B2"/>
    <w:rsid w:val="00C35554"/>
    <w:rsid w:val="00C412DB"/>
    <w:rsid w:val="00C42709"/>
    <w:rsid w:val="00C533CC"/>
    <w:rsid w:val="00C56938"/>
    <w:rsid w:val="00C5751C"/>
    <w:rsid w:val="00C61BFC"/>
    <w:rsid w:val="00C62B85"/>
    <w:rsid w:val="00C65438"/>
    <w:rsid w:val="00C85280"/>
    <w:rsid w:val="00C85782"/>
    <w:rsid w:val="00C91CBB"/>
    <w:rsid w:val="00CB4E70"/>
    <w:rsid w:val="00CC09B6"/>
    <w:rsid w:val="00CC666F"/>
    <w:rsid w:val="00CD1E3F"/>
    <w:rsid w:val="00CE44F6"/>
    <w:rsid w:val="00CE49DA"/>
    <w:rsid w:val="00CE7B61"/>
    <w:rsid w:val="00CF3002"/>
    <w:rsid w:val="00D00095"/>
    <w:rsid w:val="00D114F0"/>
    <w:rsid w:val="00D15C7E"/>
    <w:rsid w:val="00D20620"/>
    <w:rsid w:val="00D2232A"/>
    <w:rsid w:val="00D254F7"/>
    <w:rsid w:val="00D26091"/>
    <w:rsid w:val="00D2685C"/>
    <w:rsid w:val="00D34E7C"/>
    <w:rsid w:val="00D35489"/>
    <w:rsid w:val="00D36AFE"/>
    <w:rsid w:val="00D51276"/>
    <w:rsid w:val="00D7035F"/>
    <w:rsid w:val="00D779B4"/>
    <w:rsid w:val="00D92945"/>
    <w:rsid w:val="00DA634F"/>
    <w:rsid w:val="00DA65AC"/>
    <w:rsid w:val="00DB1913"/>
    <w:rsid w:val="00DC410D"/>
    <w:rsid w:val="00DC5A81"/>
    <w:rsid w:val="00DC68CA"/>
    <w:rsid w:val="00DC7CBA"/>
    <w:rsid w:val="00DD73B7"/>
    <w:rsid w:val="00DF28BC"/>
    <w:rsid w:val="00DF34B9"/>
    <w:rsid w:val="00E01053"/>
    <w:rsid w:val="00E06249"/>
    <w:rsid w:val="00E07ACF"/>
    <w:rsid w:val="00E31CAB"/>
    <w:rsid w:val="00E331A1"/>
    <w:rsid w:val="00E33202"/>
    <w:rsid w:val="00E336A9"/>
    <w:rsid w:val="00E472B1"/>
    <w:rsid w:val="00E50624"/>
    <w:rsid w:val="00E568DF"/>
    <w:rsid w:val="00E64269"/>
    <w:rsid w:val="00E66797"/>
    <w:rsid w:val="00E66A72"/>
    <w:rsid w:val="00E82267"/>
    <w:rsid w:val="00E853CE"/>
    <w:rsid w:val="00E867B6"/>
    <w:rsid w:val="00E87F08"/>
    <w:rsid w:val="00E90C97"/>
    <w:rsid w:val="00E9251E"/>
    <w:rsid w:val="00EA010F"/>
    <w:rsid w:val="00ED1B63"/>
    <w:rsid w:val="00ED3C1F"/>
    <w:rsid w:val="00ED3CB7"/>
    <w:rsid w:val="00ED4085"/>
    <w:rsid w:val="00ED420E"/>
    <w:rsid w:val="00ED6FBE"/>
    <w:rsid w:val="00EE2F57"/>
    <w:rsid w:val="00EE520C"/>
    <w:rsid w:val="00EE7164"/>
    <w:rsid w:val="00EF4C34"/>
    <w:rsid w:val="00EF77C6"/>
    <w:rsid w:val="00F05438"/>
    <w:rsid w:val="00F1361C"/>
    <w:rsid w:val="00F156F0"/>
    <w:rsid w:val="00F160C7"/>
    <w:rsid w:val="00F2408F"/>
    <w:rsid w:val="00F240E9"/>
    <w:rsid w:val="00F24BFA"/>
    <w:rsid w:val="00F26BA6"/>
    <w:rsid w:val="00F36D8F"/>
    <w:rsid w:val="00F3783A"/>
    <w:rsid w:val="00F417B1"/>
    <w:rsid w:val="00F45853"/>
    <w:rsid w:val="00F602DF"/>
    <w:rsid w:val="00F754A1"/>
    <w:rsid w:val="00F81FD9"/>
    <w:rsid w:val="00F841AA"/>
    <w:rsid w:val="00F84A94"/>
    <w:rsid w:val="00F87E96"/>
    <w:rsid w:val="00FA23E8"/>
    <w:rsid w:val="00FD3CC1"/>
    <w:rsid w:val="00FF1E02"/>
    <w:rsid w:val="00FF30B4"/>
    <w:rsid w:val="0A042B3A"/>
    <w:rsid w:val="0A4C1D81"/>
    <w:rsid w:val="0A560D30"/>
    <w:rsid w:val="0A961678"/>
    <w:rsid w:val="0BDC14D5"/>
    <w:rsid w:val="0C1749E7"/>
    <w:rsid w:val="0F50024C"/>
    <w:rsid w:val="0F873FCD"/>
    <w:rsid w:val="0FE914D1"/>
    <w:rsid w:val="1028043C"/>
    <w:rsid w:val="109C64B9"/>
    <w:rsid w:val="10C055FF"/>
    <w:rsid w:val="124428EE"/>
    <w:rsid w:val="131F0FCE"/>
    <w:rsid w:val="145A7297"/>
    <w:rsid w:val="163D691E"/>
    <w:rsid w:val="16BB723D"/>
    <w:rsid w:val="193B4C81"/>
    <w:rsid w:val="1ABF0EE6"/>
    <w:rsid w:val="1D25789A"/>
    <w:rsid w:val="1E47247F"/>
    <w:rsid w:val="1F025F23"/>
    <w:rsid w:val="21907007"/>
    <w:rsid w:val="223164E7"/>
    <w:rsid w:val="23685D34"/>
    <w:rsid w:val="240371BF"/>
    <w:rsid w:val="25184066"/>
    <w:rsid w:val="25B77BF8"/>
    <w:rsid w:val="26BD08B3"/>
    <w:rsid w:val="29FD04D3"/>
    <w:rsid w:val="2B1A189F"/>
    <w:rsid w:val="2B3A74E4"/>
    <w:rsid w:val="2BCB4CCF"/>
    <w:rsid w:val="2C534479"/>
    <w:rsid w:val="319F7F4E"/>
    <w:rsid w:val="377818EF"/>
    <w:rsid w:val="3B516F8E"/>
    <w:rsid w:val="43872192"/>
    <w:rsid w:val="48716834"/>
    <w:rsid w:val="4ECE2238"/>
    <w:rsid w:val="51286410"/>
    <w:rsid w:val="5A760B79"/>
    <w:rsid w:val="5E3D571D"/>
    <w:rsid w:val="5E790C07"/>
    <w:rsid w:val="5E946D9A"/>
    <w:rsid w:val="63C95992"/>
    <w:rsid w:val="672F012C"/>
    <w:rsid w:val="6974532E"/>
    <w:rsid w:val="6F5D6D19"/>
    <w:rsid w:val="6FAA6C77"/>
    <w:rsid w:val="70D03849"/>
    <w:rsid w:val="71BF1426"/>
    <w:rsid w:val="72734D90"/>
    <w:rsid w:val="72F32027"/>
    <w:rsid w:val="782626A2"/>
    <w:rsid w:val="78E6482C"/>
    <w:rsid w:val="78F76168"/>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w="http://schemas.openxmlformats.org/wordprocessingml/2006/main">
  <w:docDefaults>
    <w:rPrDefault>
      <w:rPr>
        <w:rFonts w:ascii="Times New Roman" w:hAnsi="Times New Roman" w:eastAsia="宋体" w:cs="Times New Roman" w:asciiTheme="minorHAnsi" w:hAnsiTheme="minorHAnsi" w:eastAsiaTheme="minorEastAsia" w:cstheme="minorBidi"/>
        <w:kern w:val="2"/>
        <w:sz w:val="21"/>
        <w:szCs w:val="22"/>
        <w:lang w:val="en-US" w:eastAsia="zh-CN" w:bidi="ar-SA"/>
      </w:rPr>
    </w:rPrDefault>
    <w:pPrDefault>
      <w:pPr>
        <w:tabs/>
        <w:autoSpaceDE/>
        <w:autoSpaceDN/>
        <w:snapToGrid/>
        <w:spacing/>
        <w:ind/>
      </w:pPr>
    </w:pPrDefault>
  </w:docDefaults>
  <w:latentStyles w:defLockedState="false" w:defUIPriority="99" w:defSemiHidden="true" w:defUnhideWhenUsed="true" w:defQFormat="false" w:count="260">
    <w:lsdException w:name="header" w:uiPriority="99" w:semiHidden="true" w:unhideWhenUsed="false" w:qFormat="true"/>
    <w:lsdException w:name="No List" w:semiHidden="true" w:unhideWhenUsed="true"/>
    <w:lsdException w:name="HTML Typewriter" w:uiPriority="99" w:semiHidden="true" w:unhideWhenUsed="true"/>
    <w:lsdException w:name="Medium Shading 1 Accent 1" w:uiPriority="63" w:semiHidden="false" w:unhideWhenUsed="false"/>
    <w:lsdException w:name="Grid Table 2 Accent 5" w:uiPriority="47"/>
    <w:lsdException w:name="Table Grid" w:uiPriority="59" w:semiHidden="false" w:unhideWhenUsed="false"/>
    <w:lsdException w:name="Table Colorful 3" w:uiPriority="99" w:semiHidden="true" w:unhideWhenUsed="true"/>
    <w:lsdException w:name="Medium Grid 2 Accent 6" w:uiPriority="68" w:semiHidden="false" w:unhideWhenUsed="false"/>
    <w:lsdException w:name="toc 1" w:uiPriority="39" w:semiHidden="false" w:unhideWhenUsed="true" w:qFormat="true"/>
    <w:lsdException w:name="toc 6" w:uiPriority="39" w:semiHidden="true" w:unhideWhenUsed="true"/>
    <w:lsdException w:name="Body Text 3" w:uiPriority="99" w:semiHidden="true" w:unhideWhenUsed="true"/>
    <w:lsdException w:name="Table Subtle 1" w:uiPriority="99" w:semiHidden="true" w:unhideWhenUsed="true"/>
    <w:lsdException w:name="Light List Accent 5" w:uiPriority="61" w:semiHidden="false" w:unhideWhenUsed="false"/>
    <w:lsdException w:name="Medium Grid 3" w:uiPriority="69" w:semiHidden="false" w:unhideWhenUsed="false"/>
    <w:lsdException w:name="Colorful Grid Accent 6" w:uiPriority="73" w:semiHidden="false" w:unhideWhenUsed="false"/>
    <w:lsdException w:name="Table List 7" w:uiPriority="99" w:semiHidden="true" w:unhideWhenUsed="true"/>
    <w:lsdException w:name="List Table 2" w:uiPriority="47"/>
    <w:lsdException w:name="line number" w:uiPriority="99" w:semiHidden="true" w:unhideWhenUsed="true"/>
    <w:lsdException w:name="Light List Accent 4" w:uiPriority="61" w:semiHidden="false" w:unhideWhenUsed="false"/>
    <w:lsdException w:name="Outline List 2" w:semiHidden="true" w:unhideWhenUsed="true"/>
    <w:lsdException w:name="Table Columns 3" w:uiPriority="99" w:semiHidden="true" w:unhideWhenUsed="true"/>
    <w:lsdException w:name="Grid Table 5 Dark" w:uiPriority="50"/>
    <w:lsdException w:name="Table Web 2" w:uiPriority="99" w:semiHidden="true" w:unhideWhenUsed="true"/>
    <w:lsdException w:name="Signature" w:uiPriority="99" w:semiHidden="true" w:unhideWhenUsed="true"/>
    <w:lsdException w:name="Hyperlink" w:uiPriority="99" w:semiHidden="false" w:unhideWhenUsed="true" w:qFormat="true"/>
    <w:lsdException w:name="Light Shading Accent 3" w:uiPriority="60" w:semiHidden="false" w:unhideWhenUsed="false"/>
    <w:lsdException w:name="List Table 4 Accent 2" w:uiPriority="49"/>
    <w:lsdException w:name="List Table 4 Accent 5" w:uiPriority="49"/>
    <w:lsdException w:name="List Table 6 Colorful" w:uiPriority="51"/>
    <w:lsdException w:name="Table Colorful 2" w:uiPriority="99" w:semiHidden="true" w:unhideWhenUsed="true"/>
    <w:lsdException w:name="HTML Top of Form" w:semiHidden="true" w:unhideWhenUsed="true"/>
    <w:lsdException w:name="index 9" w:uiPriority="99" w:semiHidden="true" w:unhideWhenUsed="true"/>
    <w:lsdException w:name="Light Grid" w:uiPriority="62" w:semiHidden="false" w:unhideWhenUsed="false"/>
    <w:lsdException w:name="Body Text Indent" w:uiPriority="99" w:semiHidden="true" w:unhideWhenUsed="true"/>
    <w:lsdException w:name="Note Heading" w:uiPriority="99" w:semiHidden="true" w:unhideWhenUsed="true"/>
    <w:lsdException w:name="HTML Keyboard" w:uiPriority="99" w:semiHidden="true" w:unhideWhenUsed="true"/>
    <w:lsdException w:name="HTML Code" w:uiPriority="99" w:semiHidden="true" w:unhideWhenUsed="true"/>
    <w:lsdException w:name="Dark List Accent 5" w:uiPriority="70" w:semiHidden="false" w:unhideWhenUsed="false"/>
    <w:lsdException w:name="index 6" w:uiPriority="99" w:semiHidden="true" w:unhideWhenUsed="true"/>
    <w:lsdException w:name="envelope address" w:uiPriority="99" w:semiHidden="true" w:unhideWhenUsed="true"/>
    <w:lsdException w:name="endnote reference" w:uiPriority="99" w:semiHidden="true" w:unhideWhenUsed="true"/>
    <w:lsdException w:name="Emphasis" w:uiPriority="20" w:semiHidden="false" w:unhideWhenUsed="false" w:qFormat="true"/>
    <w:lsdException w:name="Normal" w:uiPriority="0" w:semiHidden="false" w:unhideWhenUsed="false" w:qFormat="true"/>
    <w:lsdException w:name="Grid Table 2 Accent 4" w:uiPriority="47"/>
    <w:lsdException w:name="Grid Table 2 Accent 3" w:uiPriority="47"/>
    <w:lsdException w:name="Table Simple 1" w:uiPriority="99" w:semiHidden="true" w:unhideWhenUsed="true"/>
    <w:lsdException w:name="Colorful Shading Accent 2" w:uiPriority="71" w:semiHidden="false" w:unhideWhenUsed="false"/>
    <w:lsdException w:name="Colorful Shading Accent 5" w:uiPriority="71" w:semiHidden="false" w:unhideWhenUsed="false"/>
    <w:lsdException w:name="HTML Definition" w:uiPriority="99" w:semiHidden="true" w:unhideWhenUsed="true"/>
    <w:lsdException w:name="Medium List 2 Accent 5" w:uiPriority="66" w:semiHidden="false" w:unhideWhenUsed="false"/>
    <w:lsdException w:name="List Table 1 Light Accent 4" w:uiPriority="46"/>
    <w:lsdException w:name="heading 9" w:uiPriority="9" w:semiHidden="true" w:unhideWhenUsed="true" w:qFormat="true"/>
    <w:lsdException w:name="Dark List Accent 1" w:uiPriority="70" w:semiHidden="false" w:unhideWhenUsed="false"/>
    <w:lsdException w:name="Table List 3" w:uiPriority="99" w:semiHidden="true" w:unhideWhenUsed="true"/>
    <w:lsdException w:name="Table List 8" w:uiPriority="99" w:semiHidden="true" w:unhideWhenUsed="true"/>
    <w:lsdException w:name="List Table 4 Accent 3" w:uiPriority="49"/>
    <w:lsdException w:name="Table Grid 2" w:uiPriority="99" w:semiHidden="true" w:unhideWhenUsed="true"/>
    <w:lsdException w:name="Table Classic 2" w:uiPriority="99" w:semiHidden="true" w:unhideWhenUsed="true"/>
    <w:lsdException w:name="Table List 6" w:uiPriority="99" w:semiHidden="true" w:unhideWhenUsed="true"/>
    <w:lsdException w:name="List Table 3" w:uiPriority="48"/>
    <w:lsdException w:name="index 5" w:uiPriority="99" w:semiHidden="true" w:unhideWhenUsed="true"/>
    <w:lsdException w:name="List Table 6 Colorful Accent 2" w:uiPriority="51"/>
    <w:lsdException w:name="Smart Link" w:semiHidden="true" w:unhideWhenUsed="true"/>
    <w:lsdException w:name="Medium Shading 1 Accent 6" w:uiPriority="63" w:semiHidden="false" w:unhideWhenUsed="false"/>
    <w:lsdException w:name="Grid Table 4 Accent 3" w:uiPriority="49"/>
    <w:lsdException w:name="Table Grid 8" w:uiPriority="99" w:semiHidden="true" w:unhideWhenUsed="true"/>
    <w:lsdException w:name="Body Text Indent 2" w:uiPriority="99" w:semiHidden="true" w:unhideWhenUsed="true"/>
    <w:lsdException w:name="Medium Grid 2 Accent 1" w:uiPriority="68" w:semiHidden="false" w:unhideWhenUsed="false"/>
    <w:lsdException w:name="Grid Table 6 Colorful Accent 6" w:uiPriority="51"/>
    <w:lsdException w:name="toc 4" w:uiPriority="39" w:semiHidden="true" w:unhideWhenUsed="true"/>
    <w:lsdException w:name="Medium List 2 Accent 4" w:uiPriority="66" w:semiHidden="false" w:unhideWhenUsed="false"/>
    <w:lsdException w:name="heading 5" w:uiPriority="9" w:semiHidden="true" w:unhideWhenUsed="true" w:qFormat="true"/>
    <w:lsdException w:name="footer" w:uiPriority="99" w:semiHidden="false" w:unhideWhenUsed="false" w:qFormat="true"/>
    <w:lsdException w:name="Grid Table 4" w:uiPriority="49"/>
    <w:lsdException w:name="Grid Table 6 Colorful Accent 1" w:uiPriority="51"/>
    <w:lsdException w:name="Colorful List Accent 1" w:uiPriority="72" w:semiHidden="false" w:unhideWhenUsed="false"/>
    <w:lsdException w:name="List Table 1 Light Accent 5" w:uiPriority="46"/>
    <w:lsdException w:name="Colorful Grid Accent 3" w:uiPriority="73" w:semiHidden="false" w:unhideWhenUsed="false"/>
    <w:lsdException w:name="List 5" w:uiPriority="99" w:semiHidden="true" w:unhideWhenUsed="true"/>
    <w:lsdException w:name="List 2" w:uiPriority="99" w:semiHidden="true" w:unhideWhenUsed="true"/>
    <w:lsdException w:name="Dark List" w:uiPriority="70" w:semiHidden="false" w:unhideWhenUsed="false"/>
    <w:lsdException w:name="Grid Table 1 Light Accent 1" w:uiPriority="46"/>
    <w:lsdException w:name="Hashtag" w:semiHidden="true" w:unhideWhenUsed="true"/>
    <w:lsdException w:name="Grid Table 1 Light Accent 6" w:uiPriority="46"/>
    <w:lsdException w:name="Light Shading Accent 2" w:uiPriority="60" w:semiHidden="false" w:unhideWhenUsed="false"/>
    <w:lsdException w:name="Grid Table 3 Accent 5" w:uiPriority="48"/>
    <w:lsdException w:name="Grid Table 7 Colorful" w:uiPriority="52"/>
    <w:lsdException w:name="annotation reference" w:uiPriority="99" w:semiHidden="true" w:unhideWhenUsed="true"/>
    <w:lsdException w:name="List Table 3 Accent 1" w:uiPriority="48"/>
    <w:lsdException w:name="List Table 7 Colorful Accent 6" w:uiPriority="52"/>
    <w:lsdException w:name="List Table 7 Colorful Accent 1" w:uiPriority="52"/>
    <w:lsdException w:name="List Bullet 4" w:uiPriority="99" w:semiHidden="true" w:unhideWhenUsed="true"/>
    <w:lsdException w:name="List Table 3 Accent 4" w:uiPriority="48"/>
    <w:lsdException w:name="index 8" w:uiPriority="99" w:semiHidden="true" w:unhideWhenUsed="true"/>
    <w:lsdException w:name="Table Grid 3" w:uiPriority="99" w:semiHidden="true" w:unhideWhenUsed="true"/>
    <w:lsdException w:name="Table Columns 4" w:uiPriority="99" w:semiHidden="true" w:unhideWhenUsed="true"/>
    <w:lsdException w:name="Subtle Reference" w:uiPriority="31" w:qFormat="true"/>
    <w:lsdException w:name="toc 9" w:uiPriority="39" w:semiHidden="true" w:unhideWhenUsed="true"/>
    <w:lsdException w:name="Grid Table 4 Accent 6" w:uiPriority="49"/>
    <w:lsdException w:name="Grid Table 7 Colorful Accent 3" w:uiPriority="52"/>
    <w:lsdException w:name="List Number 4" w:uiPriority="99" w:semiHidden="true" w:unhideWhenUsed="true"/>
    <w:lsdException w:name="Light List Accent 2" w:uiPriority="61" w:semiHidden="false" w:unhideWhenUsed="false"/>
    <w:lsdException w:name="Medium Grid 2 Accent 2" w:uiPriority="68" w:semiHidden="false" w:unhideWhenUsed="false"/>
    <w:lsdException w:name="HTML Variable" w:uiPriority="99" w:semiHidden="true" w:unhideWhenUsed="true"/>
    <w:lsdException w:name="List Table 5 Dark Accent 2" w:uiPriority="50"/>
    <w:lsdException w:name="Dark List Accent 3" w:uiPriority="70" w:semiHidden="false" w:unhideWhenUsed="false"/>
    <w:lsdException w:name="Block Text" w:uiPriority="99" w:semiHidden="true" w:unhideWhenUsed="true"/>
    <w:lsdException w:name="toc 8" w:uiPriority="39" w:semiHidden="true" w:unhideWhenUsed="true"/>
    <w:lsdException w:name="Medium Grid 1 Accent 2" w:uiPriority="67" w:semiHidden="false" w:unhideWhenUsed="false"/>
    <w:lsdException w:name="List Table 7 Colorful Accent 5" w:uiPriority="52"/>
    <w:lsdException w:name="Grid Table 2" w:uiPriority="47"/>
    <w:lsdException w:name="HTML Acronym" w:uiPriority="99" w:semiHidden="true" w:unhideWhenUsed="true"/>
    <w:lsdException w:name="Table Theme" w:uiPriority="99" w:semiHidden="true" w:unhideWhenUsed="true"/>
    <w:lsdException w:name="Grid Table 6 Colorful Accent 5" w:uiPriority="51"/>
    <w:lsdException w:name="Title" w:uiPriority="10" w:semiHidden="false" w:unhideWhenUsed="false" w:qFormat="true"/>
    <w:lsdException w:name="Dark List Accent 2" w:uiPriority="70" w:semiHidden="false" w:unhideWhenUsed="false"/>
    <w:lsdException w:name="List Table 2 Accent 1" w:uiPriority="47"/>
    <w:lsdException w:name="heading 3" w:uiPriority="9" w:semiHidden="false" w:unhideWhenUsed="true" w:qFormat="true"/>
    <w:lsdException w:name="Grid Table 2 Accent 1" w:uiPriority="47"/>
    <w:lsdException w:name="List Bullet 3" w:uiPriority="99" w:semiHidden="true" w:unhideWhenUsed="true"/>
    <w:lsdException w:name="Table Grid 6" w:uiPriority="99" w:semiHidden="true" w:unhideWhenUsed="true"/>
    <w:lsdException w:name="Table Columns 1" w:uiPriority="99" w:semiHidden="true" w:unhideWhenUsed="true"/>
    <w:lsdException w:name="Date" w:uiPriority="99" w:semiHidden="true" w:unhideWhenUsed="true"/>
    <w:lsdException w:name="List Table 7 Colorful" w:uiPriority="52"/>
    <w:lsdException w:name="Colorful Grid" w:uiPriority="73" w:semiHidden="false" w:unhideWhenUsed="false"/>
    <w:lsdException w:name="Grid Table 5 Dark Accent 5" w:uiPriority="50"/>
    <w:lsdException w:name="List Table 1 Light" w:uiPriority="46"/>
    <w:lsdException w:name="Plain Table 5" w:uiPriority="45"/>
    <w:lsdException w:name="Intense Quote" w:uiPriority="30" w:qFormat="true"/>
    <w:lsdException w:name="Table List 5" w:uiPriority="99" w:semiHidden="true" w:unhideWhenUsed="true"/>
    <w:lsdException w:name="heading 7" w:uiPriority="9" w:semiHidden="true" w:unhideWhenUsed="true" w:qFormat="true"/>
    <w:lsdException w:name="Grid Table 3 Accent 6" w:uiPriority="48"/>
    <w:lsdException w:name="Colorful Grid Accent 2" w:uiPriority="73" w:semiHidden="false" w:unhideWhenUsed="false"/>
    <w:lsdException w:name="List Table 3 Accent 5" w:uiPriority="48"/>
    <w:lsdException w:name="Subtitle" w:uiPriority="11" w:semiHidden="false" w:unhideWhenUsed="false" w:qFormat="true"/>
    <w:lsdException w:name="Table List 4" w:uiPriority="99" w:semiHidden="true" w:unhideWhenUsed="true"/>
    <w:lsdException w:name="Colorful Shading" w:uiPriority="71" w:semiHidden="false" w:unhideWhenUsed="false"/>
    <w:lsdException w:name="Grid Table Light" w:uiPriority="40"/>
    <w:lsdException w:name="List Table 6 Colorful Accent 4" w:uiPriority="51"/>
    <w:lsdException w:name="List Table 6 Colorful Accent 3" w:uiPriority="51"/>
    <w:lsdException w:name="Smart Hyperlink" w:semiHidden="true" w:unhideWhenUsed="true"/>
    <w:lsdException w:name="index 7" w:uiPriority="99" w:semiHidden="true" w:unhideWhenUsed="true"/>
    <w:lsdException w:name="Grid Table 5 Dark Accent 2" w:uiPriority="50"/>
    <w:lsdException w:name="Table List 2" w:uiPriority="99" w:semiHidden="true" w:unhideWhenUsed="true"/>
    <w:lsdException w:name="List Bullet 5" w:uiPriority="99" w:semiHidden="true" w:unhideWhenUsed="true"/>
    <w:lsdException w:name="List Table 7 Colorful Accent 2" w:uiPriority="52"/>
    <w:lsdException w:name="TOC Heading" w:uiPriority="39" w:semiHidden="true" w:unhideWhenUsed="true" w:qFormat="true"/>
    <w:lsdException w:name="Grid Table 1 Light Accent 4" w:uiPriority="46"/>
    <w:lsdException w:name="index 4" w:uiPriority="99" w:semiHidden="true" w:unhideWhenUsed="true"/>
    <w:lsdException w:name="Outline List 1" w:semiHidden="true" w:unhideWhenUsed="true"/>
    <w:lsdException w:name="List Table 4 Accent 4" w:uiPriority="49"/>
    <w:lsdException w:name="List Continue 2" w:uiPriority="99" w:semiHidden="true" w:unhideWhenUsed="true"/>
    <w:lsdException w:name="Grid Table 1 Light Accent 3" w:uiPriority="46"/>
    <w:lsdException w:name="Medium Grid 1 Accent 6" w:uiPriority="67" w:semiHidden="false" w:unhideWhenUsed="false"/>
    <w:lsdException w:name="Medium Grid 1 Accent 4" w:uiPriority="67" w:semiHidden="false" w:unhideWhenUsed="false"/>
    <w:lsdException w:name="List Table 7 Colorful Accent 3" w:uiPriority="52"/>
    <w:lsdException w:name="List Paragraph" w:uiPriority="34" w:semiHidden="false" w:unhideWhenUsed="false" w:qFormat="true"/>
    <w:lsdException w:name="List Table 5 Dark Accent 6" w:uiPriority="50"/>
    <w:lsdException w:name="List Table 7 Colorful Accent 4" w:uiPriority="52"/>
    <w:lsdException w:name="Grid Table 4 Accent 4" w:uiPriority="49"/>
    <w:lsdException w:name="Medium Grid 3 Accent 6" w:uiPriority="69" w:semiHidden="false" w:unhideWhenUsed="false"/>
    <w:lsdException w:name="Revision" w:semiHidden="true"/>
    <w:lsdException w:name="List Number 2" w:uiPriority="99" w:semiHidden="true" w:unhideWhenUsed="true"/>
    <w:lsdException w:name="heading 2" w:uiPriority="9" w:semiHidden="false" w:unhideWhenUsed="true" w:qFormat="true"/>
    <w:lsdException w:name="Body Text Indent 3" w:uiPriority="99" w:semiHidden="true" w:unhideWhenUsed="true"/>
    <w:lsdException w:name="FollowedHyperlink" w:uiPriority="99" w:semiHidden="true" w:unhideWhenUsed="true"/>
    <w:lsdException w:name="Medium List 1 Accent 4" w:uiPriority="65" w:semiHidden="false" w:unhideWhenUsed="false"/>
    <w:lsdException w:name="List Table 4 Accent 1" w:uiPriority="49"/>
    <w:lsdException w:name="List Table 1 Light Accent 6" w:uiPriority="46"/>
    <w:lsdException w:name="List 4" w:uiPriority="99" w:semiHidden="true" w:unhideWhenUsed="true"/>
    <w:lsdException w:name="Table 3D effects 1" w:uiPriority="99" w:semiHidden="true" w:unhideWhenUsed="true"/>
    <w:lsdException w:name="Colorful Grid Accent 5" w:uiPriority="73" w:semiHidden="false" w:unhideWhenUsed="false"/>
    <w:lsdException w:name="Grid Table 6 Colorful" w:uiPriority="51"/>
    <w:lsdException w:name="Table Simple 3" w:uiPriority="99" w:semiHidden="true" w:unhideWhenUsed="true"/>
    <w:lsdException w:name="Table Classic 4" w:uiPriority="99" w:semiHidden="true" w:unhideWhenUsed="true"/>
    <w:lsdException w:name="Unresolved Mention" w:semiHidden="true" w:unhideWhenUsed="true"/>
    <w:lsdException w:name="Medium Grid 2 Accent 3" w:uiPriority="68" w:semiHidden="false" w:unhideWhenUsed="false"/>
    <w:lsdException w:name="Grid Table 7 Colorful Accent 1" w:uiPriority="52"/>
    <w:lsdException w:name="Balloon Text" w:uiPriority="99" w:semiHidden="true" w:unhideWhenUsed="true" w:qFormat="true"/>
    <w:lsdException w:name="Table Grid 4" w:uiPriority="99" w:semiHidden="true" w:unhideWhenUsed="true"/>
    <w:lsdException w:name="HTML Bottom of Form" w:semiHidden="true" w:unhideWhenUsed="true"/>
    <w:lsdException w:name="Table Colorful 1" w:uiPriority="99" w:semiHidden="true" w:unhideWhenUsed="true"/>
    <w:lsdException w:name="Medium List 1 Accent 6" w:uiPriority="65" w:semiHidden="false" w:unhideWhenUsed="false"/>
    <w:lsdException w:name="Plain Table 3" w:uiPriority="43"/>
    <w:lsdException w:name="Table Simple 2" w:uiPriority="99" w:semiHidden="true" w:unhideWhenUsed="true"/>
    <w:lsdException w:name="toc 2" w:uiPriority="39" w:semiHidden="false" w:unhideWhenUsed="true" w:qFormat="true"/>
    <w:lsdException w:name="Light Shading Accent 1" w:uiPriority="60" w:semiHidden="false" w:unhideWhenUsed="false"/>
    <w:lsdException w:name="List Table 6 Colorful Accent 1" w:uiPriority="51"/>
    <w:lsdException w:name="Grid Table 6 Colorful Accent 4" w:uiPriority="51"/>
    <w:lsdException w:name="Grid Table 6 Colorful Accent 3" w:uiPriority="51"/>
    <w:lsdException w:name="Table Classic 1" w:uiPriority="99" w:semiHidden="true" w:unhideWhenUsed="true"/>
    <w:lsdException w:name="Plain Table 2" w:uiPriority="42"/>
    <w:lsdException w:name="Bibliography" w:uiPriority="37" w:semiHidden="true" w:unhideWhenUsed="true"/>
    <w:lsdException w:name="Medium List 2 Accent 1" w:uiPriority="66" w:semiHidden="false" w:unhideWhenUsed="false"/>
    <w:lsdException w:name="Outline List 3" w:semiHidden="true" w:unhideWhenUsed="true"/>
    <w:lsdException w:name="Grid Table 7 Colorful Accent 6" w:uiPriority="52"/>
    <w:lsdException w:name="Medium Grid 1" w:uiPriority="67" w:semiHidden="false" w:unhideWhenUsed="false"/>
    <w:lsdException w:name="Medium Shading 1" w:uiPriority="63" w:semiHidden="false" w:unhideWhenUsed="false"/>
    <w:lsdException w:name="Grid Table 6 Colorful Accent 2" w:uiPriority="51"/>
    <w:lsdException w:name="table of figures" w:uiPriority="99" w:semiHidden="true" w:unhideWhenUsed="true"/>
    <w:lsdException w:name="HTML Preformatted" w:uiPriority="99" w:semiHidden="true" w:unhideWhenUsed="true"/>
    <w:lsdException w:name="Grid Table 1 Light Accent 5" w:uiPriority="46"/>
    <w:lsdException w:name="List Table 1 Light Accent 2" w:uiPriority="46"/>
    <w:lsdException w:name="Grid Table 3 Accent 3" w:uiPriority="48"/>
    <w:lsdException w:name="Grid Table 7 Colorful Accent 5" w:uiPriority="52"/>
    <w:lsdException w:name="Medium List 1 Accent 1" w:uiPriority="65" w:semiHidden="false" w:unhideWhenUsed="false"/>
    <w:lsdException w:name="Body Text First Indent 2" w:uiPriority="99" w:semiHidden="true" w:unhideWhenUsed="true"/>
    <w:lsdException w:name="Light List Accent 6" w:uiPriority="61" w:semiHidden="false" w:unhideWhenUsed="false"/>
    <w:lsdException w:name="Table Web 3" w:uiPriority="99" w:semiHidden="true" w:unhideWhenUsed="true"/>
    <w:lsdException w:name="Light Grid Accent 2" w:uiPriority="62" w:semiHidden="false" w:unhideWhenUsed="false"/>
    <w:lsdException w:name="Colorful Shading Accent 1" w:uiPriority="71" w:semiHidden="false" w:unhideWhenUsed="false"/>
    <w:lsdException w:name="Light List" w:uiPriority="61" w:semiHidden="false" w:unhideWhenUsed="false"/>
    <w:lsdException w:name="toc 5" w:uiPriority="39" w:semiHidden="true" w:unhideWhenUsed="true"/>
    <w:lsdException w:name="index heading" w:uiPriority="99" w:semiHidden="true" w:unhideWhenUsed="true"/>
    <w:lsdException w:name="Colorful Grid Accent 1" w:uiPriority="73" w:semiHidden="false" w:unhideWhenUsed="false"/>
    <w:lsdException w:name="toa heading" w:uiPriority="99" w:semiHidden="true" w:unhideWhenUsed="true"/>
    <w:lsdException w:name="List Continue" w:uiPriority="99" w:semiHidden="true" w:unhideWhenUsed="true"/>
    <w:lsdException w:name="Medium Shading 2 Accent 1" w:uiPriority="64" w:semiHidden="false" w:unhideWhenUsed="false"/>
    <w:lsdException w:name="List Table 2 Accent 3" w:uiPriority="47"/>
    <w:lsdException w:name="List Table 2 Accent 4" w:uiPriority="47"/>
    <w:lsdException w:name="Body Text" w:uiPriority="99" w:semiHidden="false" w:unhideWhenUsed="false" w:qFormat="true"/>
    <w:lsdException w:name="endnote text" w:uiPriority="99" w:semiHidden="true" w:unhideWhenUsed="true"/>
    <w:lsdException w:name="Medium Shading 2 Accent 4" w:uiPriority="64" w:semiHidden="false" w:unhideWhenUsed="false"/>
    <w:lsdException w:name="HTML Cite" w:uiPriority="99" w:semiHidden="true" w:unhideWhenUsed="true"/>
    <w:lsdException w:name="Salutation" w:uiPriority="99" w:semiHidden="true" w:unhideWhenUsed="true"/>
    <w:lsdException w:name="Light List Accent 3" w:uiPriority="61" w:semiHidden="false" w:unhideWhenUsed="false"/>
    <w:lsdException w:name="Grid Table 4 Accent 2" w:uiPriority="49"/>
    <w:lsdException w:name="Medium Shading 1 Accent 5" w:uiPriority="63" w:semiHidden="false" w:unhideWhenUsed="false"/>
    <w:lsdException w:name="Medium List 2 Accent 2" w:uiPriority="66" w:semiHidden="false" w:unhideWhenUsed="false"/>
    <w:lsdException w:name="Grid Table 4 Accent 5" w:uiPriority="49"/>
    <w:lsdException w:name="annotation text" w:uiPriority="99" w:semiHidden="true" w:unhideWhenUsed="true"/>
    <w:lsdException w:name="Light Grid Accent 5" w:uiPriority="62" w:semiHidden="false" w:unhideWhenUsed="false"/>
    <w:lsdException w:name="List Table 2 Accent 2" w:uiPriority="47"/>
    <w:lsdException w:name="Grid Table 1 Light" w:uiPriority="46"/>
    <w:lsdException w:name="List Table 1 Light Accent 3" w:uiPriority="46"/>
    <w:lsdException w:name="Table 3D effects 3" w:uiPriority="99" w:semiHidden="true" w:unhideWhenUsed="true"/>
    <w:lsdException w:name="Book Title" w:uiPriority="33" w:qFormat="true"/>
    <w:lsdException w:name="Table Subtle 2" w:uiPriority="99" w:semiHidden="true" w:unhideWhenUsed="true"/>
    <w:lsdException w:name="Light Grid Accent 6" w:uiPriority="62" w:semiHidden="false" w:unhideWhenUsed="false"/>
    <w:lsdException w:name="envelope return" w:uiPriority="99" w:semiHidden="true" w:unhideWhenUsed="true"/>
    <w:lsdException w:name="Medium Shading 2 Accent 6" w:uiPriority="64" w:semiHidden="false" w:unhideWhenUsed="false"/>
    <w:lsdException w:name="Medium Grid 3 Accent 4" w:uiPriority="69" w:semiHidden="false" w:unhideWhenUsed="false"/>
    <w:lsdException w:name="Normal Indent" w:uiPriority="99" w:semiHidden="true" w:unhideWhenUsed="true"/>
    <w:lsdException w:name="Grid Table 5 Dark Accent 3" w:uiPriority="50"/>
    <w:lsdException w:name="List Bullet" w:uiPriority="99" w:semiHidden="true" w:unhideWhenUsed="true"/>
    <w:lsdException w:name="Grid Table 1 Light Accent 2" w:uiPriority="46"/>
    <w:lsdException w:name="List Table 5 Dark" w:uiPriority="50"/>
    <w:lsdException w:name="index 2" w:uiPriority="99" w:semiHidden="true" w:unhideWhenUsed="true"/>
    <w:lsdException w:name="footnote reference" w:uiPriority="99" w:semiHidden="true" w:unhideWhenUsed="true"/>
    <w:lsdException w:name="Table Columns 2" w:uiPriority="99" w:semiHidden="true" w:unhideWhenUsed="true"/>
    <w:lsdException w:name="Table Columns 5" w:uiPriority="99" w:semiHidden="true" w:unhideWhenUsed="true"/>
    <w:lsdException w:name="List Table 3 Accent 6" w:uiPriority="48"/>
    <w:lsdException w:name="macro" w:uiPriority="99" w:semiHidden="true" w:unhideWhenUsed="true"/>
    <w:lsdException w:name="Medium Shading 2 Accent 5" w:uiPriority="64" w:semiHidden="false" w:unhideWhenUsed="false"/>
    <w:lsdException w:name="Medium List 2" w:uiPriority="66" w:semiHidden="false" w:unhideWhenUsed="false"/>
    <w:lsdException w:name="Table Contemporary" w:uiPriority="99" w:semiHidden="true" w:unhideWhenUsed="true"/>
    <w:lsdException w:name="Body Text 2" w:uiPriority="99" w:semiHidden="true" w:unhideWhenUsed="true"/>
    <w:lsdException w:name="Grid Table 2 Accent 2" w:uiPriority="47"/>
    <w:lsdException w:name="caption" w:uiPriority="35" w:semiHidden="true" w:unhideWhenUsed="true" w:qFormat="true"/>
    <w:lsdException w:name="index 3" w:uiPriority="99" w:semiHidden="true" w:unhideWhenUsed="true"/>
    <w:lsdException w:name="Grid Table 5 Dark Accent 6" w:uiPriority="50"/>
    <w:lsdException w:name="List Table 5 Dark Accent 4" w:uiPriority="50"/>
    <w:lsdException w:name="Grid Table 3 Accent 2" w:uiPriority="48"/>
    <w:lsdException w:name="Intense Reference" w:uiPriority="32" w:qFormat="true"/>
    <w:lsdException w:name="Medium Grid 3 Accent 3" w:uiPriority="69" w:semiHidden="false" w:unhideWhenUsed="false"/>
    <w:lsdException w:name="Medium Shading 1 Accent 3" w:uiPriority="63" w:semiHidden="false" w:unhideWhenUsed="false"/>
    <w:lsdException w:name="heading 4" w:uiPriority="9" w:semiHidden="true" w:unhideWhenUsed="true" w:qFormat="true"/>
    <w:lsdException w:name="List Continue 4" w:uiPriority="99" w:semiHidden="true" w:unhideWhenUsed="true"/>
    <w:lsdException w:name="List 3" w:uiPriority="99" w:semiHidden="true" w:unhideWhenUsed="true"/>
    <w:lsdException w:name="Body Text First Indent" w:uiPriority="99" w:semiHidden="true" w:unhideWhenUsed="true"/>
    <w:lsdException w:name="Table Web 1" w:uiPriority="99" w:semiHidden="true" w:unhideWhenUsed="true"/>
    <w:lsdException w:name="Medium Grid 3 Accent 5" w:uiPriority="69" w:semiHidden="false" w:unhideWhenUsed="false"/>
    <w:lsdException w:name="Intense Emphasis" w:uiPriority="21" w:qFormat="true"/>
    <w:lsdException w:name="Table Grid 5" w:uiPriority="99" w:semiHidden="true" w:unhideWhenUsed="true"/>
    <w:lsdException w:name="List Table 5 Dark Accent 1" w:uiPriority="50"/>
    <w:lsdException w:name="Medium Shading 1 Accent 4" w:uiPriority="63" w:semiHidden="false" w:unhideWhenUsed="false"/>
    <w:lsdException w:name="Plain Table 1" w:uiPriority="41"/>
    <w:lsdException w:name="Medium List 2 Accent 3" w:uiPriority="66" w:semiHidden="false" w:unhideWhenUsed="false"/>
    <w:lsdException w:name="Medium Grid 1 Accent 3" w:uiPriority="67" w:semiHidden="false" w:unhideWhenUsed="false"/>
    <w:lsdException w:name="Colorful Grid Accent 4" w:uiPriority="73" w:semiHidden="false" w:unhideWhenUsed="false"/>
    <w:lsdException w:name="E-mail Signature" w:uiPriority="99" w:semiHidden="true" w:unhideWhenUsed="true"/>
    <w:lsdException w:name="Colorful List Accent 6" w:uiPriority="72" w:semiHidden="false" w:unhideWhenUsed="false"/>
    <w:lsdException w:name="Subtle Emphasis" w:uiPriority="19" w:qFormat="true"/>
    <w:lsdException w:name="Medium Shading 1 Accent 2" w:uiPriority="63" w:semiHidden="false" w:unhideWhenUsed="false"/>
    <w:lsdException w:name="Table Classic 3" w:uiPriority="99" w:semiHidden="true" w:unhideWhenUsed="true"/>
    <w:lsdException w:name="List Table 2 Accent 6" w:uiPriority="47"/>
    <w:lsdException w:name="Grid Table 3" w:uiPriority="48"/>
    <w:lsdException w:name="List Table 4 Accent 6" w:uiPriority="49"/>
    <w:lsdException w:name="Colorful List Accent 5" w:uiPriority="72" w:semiHidden="false" w:unhideWhenUsed="false"/>
    <w:lsdException w:name="Strong" w:uiPriority="99" w:semiHidden="false" w:unhideWhenUsed="false" w:qFormat="true"/>
    <w:lsdException w:name="Light Shading" w:uiPriority="60" w:semiHidden="false" w:unhideWhenUsed="false"/>
    <w:lsdException w:name="Medium Shading 2" w:uiPriority="64" w:semiHidden="false" w:unhideWhenUsed="false"/>
    <w:lsdException w:name="Medium Shading 2 Accent 3" w:uiPriority="64" w:semiHidden="false" w:unhideWhenUsed="false"/>
    <w:lsdException w:name="heading 8" w:uiPriority="9" w:semiHidden="true" w:unhideWhenUsed="true" w:qFormat="true"/>
    <w:lsdException w:name="Colorful List Accent 4" w:uiPriority="72" w:semiHidden="false" w:unhideWhenUsed="false"/>
    <w:lsdException w:name="Grid Table 5 Dark Accent 4" w:uiPriority="50"/>
    <w:lsdException w:name="Medium Grid 2 Accent 5" w:uiPriority="68" w:semiHidden="false" w:unhideWhenUsed="false"/>
    <w:lsdException w:name="List Table 5 Dark Accent 5" w:uiPriority="50"/>
    <w:lsdException w:name="Default Paragraph Font" w:uiPriority="1" w:semiHidden="true" w:unhideWhenUsed="true" w:qFormat="true"/>
    <w:lsdException w:name="Grid Table 7 Colorful Accent 2" w:uiPriority="52"/>
    <w:lsdException w:name="Colorful Shading Accent 3" w:uiPriority="71" w:semiHidden="false" w:unhideWhenUsed="false"/>
    <w:lsdException w:name="toc 3" w:uiPriority="39" w:semiHidden="false" w:unhideWhenUsed="true" w:qFormat="true"/>
    <w:lsdException w:name="Medium Grid 2 Accent 4" w:uiPriority="68" w:semiHidden="false" w:unhideWhenUsed="false"/>
    <w:lsdException w:name="List Table 4" w:uiPriority="49"/>
    <w:lsdException w:name="Light List Accent 1" w:uiPriority="61" w:semiHidden="false" w:unhideWhenUsed="false"/>
    <w:lsdException w:name="Dark List Accent 4" w:uiPriority="70" w:semiHidden="false" w:unhideWhenUsed="false"/>
    <w:lsdException w:name="Message Header" w:uiPriority="99" w:semiHidden="true" w:unhideWhenUsed="true"/>
    <w:lsdException w:name="table of authorities" w:uiPriority="99" w:semiHidden="true" w:unhideWhenUsed="true"/>
    <w:lsdException w:name="Table Elegant" w:uiPriority="99" w:semiHidden="true" w:unhideWhenUsed="true"/>
    <w:lsdException w:name="Placeholder Text" w:semiHidden="true"/>
    <w:lsdException w:name="Colorful Shading Accent 6" w:uiPriority="71" w:semiHidden="false" w:unhideWhenUsed="false"/>
    <w:lsdException w:name="Closing" w:uiPriority="99" w:semiHidden="true" w:unhideWhenUsed="true"/>
    <w:lsdException w:name="HTML Address" w:uiPriority="99" w:semiHidden="true" w:unhideWhenUsed="true"/>
    <w:lsdException w:name="Grid Table 7 Colorful Accent 4" w:uiPriority="52"/>
    <w:lsdException w:name="List Continue 5" w:uiPriority="99" w:semiHidden="true" w:unhideWhenUsed="true"/>
    <w:lsdException w:name="List Number 5" w:uiPriority="99" w:semiHidden="true" w:unhideWhenUsed="true"/>
    <w:lsdException w:name="HTML Sample" w:uiPriority="99" w:semiHidden="true" w:unhideWhenUsed="true"/>
    <w:lsdException w:name="Dark List Accent 6" w:uiPriority="70" w:semiHidden="false" w:unhideWhenUsed="false"/>
    <w:lsdException w:name="Medium Grid 1 Accent 1" w:uiPriority="67" w:semiHidden="false" w:unhideWhenUsed="false"/>
    <w:lsdException w:name="List Table 5 Dark Accent 3" w:uiPriority="50"/>
    <w:lsdException w:name="Grid Table 5 Dark Accent 1" w:uiPriority="50"/>
    <w:lsdException w:name="Light Grid Accent 4" w:uiPriority="62" w:semiHidden="false" w:unhideWhenUsed="false"/>
    <w:lsdException w:name="Light Grid Accent 1" w:uiPriority="62" w:semiHidden="false" w:unhideWhenUsed="false"/>
    <w:lsdException w:name="Normal (Web)" w:uiPriority="99" w:semiHidden="true" w:unhideWhenUsed="true"/>
    <w:lsdException w:name="Medium List 2 Accent 6" w:uiPriority="66" w:semiHidden="false" w:unhideWhenUsed="false"/>
    <w:lsdException w:name="index 1" w:uiPriority="99" w:semiHidden="true" w:unhideWhenUsed="true"/>
    <w:lsdException w:name="Colorful List Accent 3" w:uiPriority="72" w:semiHidden="false" w:unhideWhenUsed="false"/>
    <w:lsdException w:name="heading 6" w:uiPriority="9" w:semiHidden="true" w:unhideWhenUsed="true" w:qFormat="true"/>
    <w:lsdException w:name="footnote text" w:uiPriority="99" w:semiHidden="true" w:unhideWhenUsed="true"/>
    <w:lsdException w:name="Table Professional" w:uiPriority="99" w:semiHidden="true" w:unhideWhenUsed="true"/>
    <w:lsdException w:name="List Table 6 Colorful Accent 6" w:uiPriority="51"/>
    <w:lsdException w:name="List Table 3 Accent 2" w:uiPriority="48"/>
    <w:lsdException w:name="Medium Grid 3 Accent 2" w:uiPriority="69" w:semiHidden="false" w:unhideWhenUsed="false"/>
    <w:lsdException w:name="annotation subject" w:uiPriority="99" w:semiHidden="true" w:unhideWhenUsed="true"/>
    <w:lsdException w:name="Quote" w:uiPriority="29" w:qFormat="true"/>
    <w:lsdException w:name="List Table 1 Light Accent 1" w:uiPriority="46"/>
    <w:lsdException w:name="Medium Shading 2 Accent 2" w:uiPriority="64" w:semiHidden="false" w:unhideWhenUsed="false"/>
    <w:lsdException w:name="Plain Text" w:uiPriority="99" w:semiHidden="true" w:unhideWhenUsed="true"/>
    <w:lsdException w:name="Medium List 1 Accent 3" w:uiPriority="65" w:semiHidden="false" w:unhideWhenUsed="false"/>
    <w:lsdException w:name="Grid Table 2 Accent 6" w:uiPriority="47"/>
    <w:lsdException w:name="toc 7" w:uiPriority="39" w:semiHidden="true" w:unhideWhenUsed="true"/>
    <w:lsdException w:name="Normal Table" w:uiPriority="99" w:semiHidden="true" w:unhideWhenUsed="true" w:qFormat="true"/>
    <w:lsdException w:name="Table Grid 7" w:uiPriority="99" w:semiHidden="true" w:unhideWhenUsed="true"/>
    <w:lsdException w:name="Document Map" w:uiPriority="99" w:semiHidden="true" w:unhideWhenUsed="true"/>
    <w:lsdException w:name="Medium Grid 2" w:uiPriority="68" w:semiHidden="false" w:unhideWhenUsed="false"/>
    <w:lsdException w:name="heading 1" w:uiPriority="9" w:semiHidden="false" w:unhideWhenUsed="false" w:qFormat="true"/>
    <w:lsdException w:name="List Number" w:uiPriority="99" w:semiHidden="true" w:unhideWhenUsed="true"/>
    <w:lsdException w:name="Table List 1" w:uiPriority="99" w:semiHidden="true" w:unhideWhenUsed="true"/>
    <w:lsdException w:name="Colorful List" w:uiPriority="72" w:semiHidden="false" w:unhideWhenUsed="false"/>
    <w:lsdException w:name="Medium List 1" w:uiPriority="65" w:semiHidden="false" w:unhideWhenUsed="false"/>
    <w:lsdException w:name="Mention" w:semiHidden="true" w:unhideWhenUsed="true"/>
    <w:lsdException w:name="List Continue 3" w:uiPriority="99" w:semiHidden="true" w:unhideWhenUsed="true"/>
    <w:lsdException w:name="Grid Table 3 Accent 1" w:uiPriority="48"/>
    <w:lsdException w:name="List Number 3" w:uiPriority="99" w:semiHidden="true" w:unhideWhenUsed="true"/>
    <w:lsdException w:name="Grid Table 3 Accent 4" w:uiPriority="48"/>
    <w:lsdException w:name="List Table 3 Accent 3" w:uiPriority="48"/>
    <w:lsdException w:name="Grid Table 4 Accent 1" w:uiPriority="49"/>
    <w:lsdException w:name="Light Shading Accent 6" w:uiPriority="60" w:semiHidden="false" w:unhideWhenUsed="false"/>
    <w:lsdException w:name="Medium Grid 1 Accent 5" w:uiPriority="67" w:semiHidden="false" w:unhideWhenUsed="false"/>
    <w:lsdException w:name="List" w:uiPriority="99" w:semiHidden="true" w:unhideWhenUsed="true"/>
    <w:lsdException w:name="Medium List 1 Accent 5" w:uiPriority="65" w:semiHidden="false" w:unhideWhenUsed="false"/>
    <w:lsdException w:name="No Spacing" w:uiPriority="1" w:qFormat="true"/>
    <w:lsdException w:name="Light Grid Accent 3" w:uiPriority="62" w:semiHidden="false" w:unhideWhenUsed="false"/>
    <w:lsdException w:name="Light Shading Accent 5" w:uiPriority="60" w:semiHidden="false" w:unhideWhenUsed="false"/>
    <w:lsdException w:name="List Table 6 Colorful Accent 5" w:uiPriority="51"/>
    <w:lsdException w:name="List Bullet 2" w:uiPriority="99" w:semiHidden="true" w:unhideWhenUsed="true"/>
    <w:lsdException w:name="page number" w:uiPriority="99" w:semiHidden="true" w:unhideWhenUsed="true"/>
    <w:lsdException w:name="Medium Grid 3 Accent 1" w:uiPriority="69" w:semiHidden="false" w:unhideWhenUsed="false"/>
    <w:lsdException w:name="Colorful Shading Accent 4" w:uiPriority="71" w:semiHidden="false" w:unhideWhenUsed="false"/>
    <w:lsdException w:name="Colorful List Accent 2" w:uiPriority="72" w:semiHidden="false" w:unhideWhenUsed="false"/>
    <w:lsdException w:name="Light Shading Accent 4" w:uiPriority="60" w:semiHidden="false" w:unhideWhenUsed="false"/>
    <w:lsdException w:name="List Table 2 Accent 5" w:uiPriority="47"/>
    <w:lsdException w:name="Plain Table 4" w:uiPriority="44"/>
    <w:lsdException w:name="Table Grid 1" w:uiPriority="99" w:semiHidden="true" w:unhideWhenUsed="true"/>
    <w:lsdException w:name="Table 3D effects 2" w:uiPriority="99" w:semiHidden="true" w:unhideWhenUsed="true"/>
    <w:lsdException w:name="Medium List 1 Accent 2" w:uiPriority="65" w:semiHidden="false" w:unhideWhenUsed="false"/>
  </w:latentStyles>
  <w:style w:type="character" w:styleId="000002" w:default="true">
    <w:name w:val="Default Paragraph Font"/>
    <w:uiPriority w:val="1"/>
    <w:semiHidden/>
    <w:unhideWhenUsed/>
  </w:style>
  <w:style w:type="character" w:styleId="000014" w:customStyle="true">
    <w:name w:val="批注框文本 Char"/>
    <w:basedOn w:val="000005"/>
    <w:link w:val="000013"/>
    <w:uiPriority w:val="99"/>
    <w:semiHidden/>
    <w:qFormat/>
    <w:rPr>
      <w:rFonts w:ascii="Times New Roman" w:hAnsi="Times New Roman"/>
      <w:kern w:val="2"/>
      <w:sz w:val="18"/>
      <w:szCs w:val="18"/>
    </w:rPr>
  </w:style>
  <w:style w:type="paragraph" w:styleId="00000a">
    <w:name w:val="heading 3"/>
    <w:basedOn w:val="000007"/>
    <w:next w:val="000007"/>
    <w:link w:val="00000b"/>
    <w:uiPriority w:val="9"/>
    <w:unhideWhenUsed/>
    <w:qFormat/>
    <w:pPr>
      <w:keepNext/>
      <w:keepLines/>
      <w:spacing w:before="260" w:after="260" w:line="416" w:lineRule="auto"/>
      <w:outlineLvl w:val="2"/>
    </w:pPr>
    <w:rPr>
      <w:b/>
      <w:bCs/>
      <w:sz w:val="32"/>
      <w:szCs w:val="32"/>
    </w:rPr>
  </w:style>
  <w:style w:type="paragraph" w:styleId="00001a" w:customStyle="true">
    <w:name w:val="TOC 标题2"/>
    <w:basedOn w:val="000018"/>
    <w:next w:val="000007"/>
    <w:uiPriority w:val="39"/>
    <w:unhideWhenUsed/>
    <w:qFormat/>
    <w:pPr>
      <w:widowControl/>
      <w:spacing w:before="480" w:after="0" w:line="276" w:lineRule="auto"/>
      <w:jc w:val="left"/>
      <w:outlineLvl w:val="9"/>
    </w:pPr>
    <w:rPr>
      <w:rFonts w:asciiTheme="majorHAnsi" w:hAnsiTheme="majorHAnsi" w:eastAsiaTheme="majorEastAsia" w:cstheme="majorBidi"/>
      <w:color w:val="366091" w:themeColor="accent1" w:themeShade="BF"/>
      <w:kern w:val="0"/>
      <w:sz w:val="28"/>
      <w:szCs w:val="28"/>
    </w:rPr>
  </w:style>
  <w:style w:type="paragraph" w:styleId="00001b">
    <w:name w:val="toc 2"/>
    <w:basedOn w:val="000007"/>
    <w:next w:val="000007"/>
    <w:uiPriority w:val="39"/>
    <w:unhideWhenUsed/>
    <w:qFormat/>
    <w:pPr>
      <w:tabs>
        <w:tab w:val="right" w:leader="dot" w:pos="8296"/>
      </w:tabs>
      <w:ind w:left="420" w:leftChars="200"/>
    </w:pPr>
  </w:style>
  <w:style w:type="character" w:styleId="00000b" w:customStyle="true">
    <w:name w:val="标题 3 Char"/>
    <w:basedOn w:val="000005"/>
    <w:link w:val="00000a"/>
    <w:uiPriority w:val="9"/>
    <w:qFormat/>
    <w:rPr>
      <w:rFonts w:ascii="Times New Roman" w:hAnsi="Times New Roman"/>
      <w:b/>
      <w:bCs/>
      <w:kern w:val="2"/>
      <w:sz w:val="32"/>
      <w:szCs w:val="32"/>
    </w:rPr>
  </w:style>
  <w:style w:type="paragraph" w:styleId="000015">
    <w:name w:val="footer"/>
    <w:basedOn w:val="000007"/>
    <w:link w:val="000016"/>
    <w:uiPriority w:val="99"/>
    <w:qFormat/>
    <w:pPr>
      <w:tabs>
        <w:tab w:val="center" w:pos="4153"/>
        <w:tab w:val="right" w:pos="8306"/>
      </w:tabs>
      <w:snapToGrid w:val="false"/>
      <w:jc w:val="left"/>
    </w:pPr>
    <w:rPr>
      <w:rFonts w:ascii="Calibri" w:hAnsi="Calibri"/>
      <w:kern w:val="0"/>
      <w:sz w:val="18"/>
      <w:szCs w:val="18"/>
    </w:rPr>
  </w:style>
  <w:style w:type="paragraph" w:styleId="00001f">
    <w:name w:val="toc 3"/>
    <w:basedOn w:val="000007"/>
    <w:next w:val="000007"/>
    <w:uiPriority w:val="39"/>
    <w:unhideWhenUsed/>
    <w:qFormat/>
    <w:pPr>
      <w:tabs>
        <w:tab w:val="right" w:leader="dot" w:pos="8296"/>
      </w:tabs>
      <w:ind w:left="840" w:leftChars="400"/>
    </w:pPr>
  </w:style>
  <w:style w:type="paragraph" w:styleId="000021">
    <w:name w:val="toc 1"/>
    <w:basedOn w:val="000007"/>
    <w:next w:val="000007"/>
    <w:uiPriority w:val="39"/>
    <w:unhideWhenUsed/>
    <w:qFormat/>
    <w:pPr>
      <w:tabs>
        <w:tab w:val="right" w:leader="dot" w:pos="8296"/>
      </w:tabs>
      <w:spacing w:before="93"/>
      <w:jc w:val="center"/>
    </w:pPr>
    <w:rPr>
      <w:rFonts w:ascii="仿宋" w:hAnsi="仿宋" w:eastAsia="仿宋"/>
      <w:sz w:val="28"/>
      <w:szCs w:val="28"/>
    </w:rPr>
  </w:style>
  <w:style w:type="paragraph" w:styleId="000020" w:customStyle="true">
    <w:name w:val="TOC 标题1"/>
    <w:basedOn w:val="000018"/>
    <w:next w:val="000007"/>
    <w:uiPriority w:val="39"/>
    <w:unhideWhenUsed/>
    <w:qFormat/>
    <w:pPr>
      <w:widowControl/>
      <w:spacing w:before="480" w:after="0" w:line="276" w:lineRule="auto"/>
      <w:jc w:val="left"/>
      <w:outlineLvl w:val="9"/>
    </w:pPr>
    <w:rPr>
      <w:rFonts w:asciiTheme="majorHAnsi" w:hAnsiTheme="majorHAnsi" w:eastAsiaTheme="majorEastAsia" w:cstheme="majorBidi"/>
      <w:color w:val="366091" w:themeColor="accent1" w:themeShade="BF"/>
      <w:kern w:val="0"/>
      <w:sz w:val="28"/>
      <w:szCs w:val="28"/>
    </w:rPr>
  </w:style>
  <w:style w:type="character" w:styleId="00001e">
    <w:name w:val="Strong"/>
    <w:basedOn w:val="000005"/>
    <w:uiPriority w:val="99"/>
    <w:qFormat/>
    <w:rPr>
      <w:b/>
    </w:rPr>
  </w:style>
  <w:style w:type="table" w:styleId="000001" w:default="true">
    <w:name w:val="Normal Table"/>
    <w:uiPriority w:val="99"/>
    <w:semiHidden/>
    <w:unhideWhenUsed/>
    <w:tblPr>
      <w:tblInd w:w="0" w:type="dxa"/>
      <w:tblCellMar>
        <w:top w:w="0" w:type="dxa"/>
        <w:left w:w="108" w:type="dxa"/>
        <w:bottom w:w="0" w:type="dxa"/>
        <w:right w:w="108" w:type="dxa"/>
      </w:tblCellMar>
    </w:tblPr>
  </w:style>
  <w:style w:type="character" w:styleId="00001d" w:customStyle="true">
    <w:name w:val="Header Char"/>
    <w:basedOn w:val="000005"/>
    <w:uiPriority w:val="99"/>
    <w:semiHidden/>
    <w:qFormat/>
    <w:rPr>
      <w:rFonts w:ascii="Times New Roman" w:hAnsi="Times New Roman"/>
      <w:sz w:val="18"/>
      <w:szCs w:val="18"/>
    </w:rPr>
  </w:style>
  <w:style w:type="character" w:styleId="000004">
    <w:name w:val="Hyperlink"/>
    <w:basedOn w:val="000005"/>
    <w:uiPriority w:val="99"/>
    <w:unhideWhenUsed/>
    <w:qFormat/>
    <w:rPr>
      <w:color w:val="0000FF" w:themeColor="hyperlink"/>
      <w:u w:val="single"/>
    </w:rPr>
  </w:style>
  <w:style w:type="character" w:styleId="000005" w:default="true">
    <w:name w:val="Default Paragraph Font"/>
    <w:uiPriority w:val="1"/>
    <w:semiHidden/>
    <w:unhideWhenUsed/>
    <w:qFormat/>
  </w:style>
  <w:style w:type="table" w:styleId="000012" w:default="true">
    <w:name w:val="Normal Table"/>
    <w:uiPriority w:val="99"/>
    <w:semiHidden/>
    <w:unhideWhenUsed/>
    <w:qFormat/>
    <w:tblPr>
      <w:tblCellMar>
        <w:top w:w="0" w:type="dxa"/>
        <w:left w:w="108" w:type="dxa"/>
        <w:bottom w:w="0" w:type="dxa"/>
        <w:right w:w="108" w:type="dxa"/>
      </w:tblCellMar>
    </w:tblPr>
  </w:style>
  <w:style w:type="paragraph" w:styleId="000013">
    <w:name w:val="Balloon Text"/>
    <w:basedOn w:val="000007"/>
    <w:link w:val="000014"/>
    <w:uiPriority w:val="99"/>
    <w:semiHidden/>
    <w:unhideWhenUsed/>
    <w:qFormat/>
    <w:rPr>
      <w:sz w:val="18"/>
      <w:szCs w:val="18"/>
    </w:rPr>
  </w:style>
  <w:style w:type="numbering" w:styleId="000003" w:default="true">
    <w:name w:val="No List"/>
    <w:uiPriority w:val="99"/>
    <w:semiHidden/>
    <w:unhideWhenUsed/>
  </w:style>
  <w:style w:type="paragraph" w:styleId="000006">
    <w:name w:val="heading 2"/>
    <w:basedOn w:val="000007"/>
    <w:next w:val="000007"/>
    <w:link w:val="000008"/>
    <w:uiPriority w:val="9"/>
    <w:unhideWhenUsed/>
    <w:qFormat/>
    <w:pPr>
      <w:keepNext/>
      <w:keepLines/>
      <w:spacing w:before="260" w:after="260" w:line="416" w:lineRule="auto"/>
      <w:outlineLvl w:val="1"/>
    </w:pPr>
    <w:rPr>
      <w:rFonts w:asciiTheme="majorHAnsi" w:hAnsiTheme="majorHAnsi" w:eastAsiaTheme="majorEastAsia" w:cstheme="majorBidi"/>
      <w:b/>
      <w:bCs/>
      <w:sz w:val="32"/>
      <w:szCs w:val="32"/>
    </w:rPr>
  </w:style>
  <w:style w:type="character" w:styleId="000011" w:customStyle="true">
    <w:name w:val="Body Text Char"/>
    <w:basedOn w:val="000005"/>
    <w:uiPriority w:val="99"/>
    <w:semiHidden/>
    <w:qFormat/>
    <w:rPr>
      <w:rFonts w:ascii="Times New Roman" w:hAnsi="Times New Roman"/>
      <w:szCs w:val="24"/>
    </w:rPr>
  </w:style>
  <w:style w:type="paragraph" w:styleId="000007" w:default="true">
    <w:name w:val="Normal"/>
    <w:uiPriority w:val="0"/>
    <w:qFormat/>
    <w:pPr>
      <w:widowControl w:val="false"/>
      <w:jc w:val="both"/>
    </w:pPr>
    <w:rPr>
      <w:rFonts w:ascii="Times New Roman" w:hAnsi="Times New Roman" w:eastAsia="宋体" w:cs="Times New Roman"/>
      <w:kern w:val="2"/>
      <w:sz w:val="21"/>
      <w:szCs w:val="24"/>
      <w:lang w:val="en-US" w:eastAsia="zh-CN" w:bidi="ar-SA"/>
    </w:rPr>
  </w:style>
  <w:style w:type="character" w:styleId="000010" w:customStyle="true">
    <w:name w:val="页眉 Char"/>
    <w:link w:val="00000f"/>
    <w:uiPriority w:val="99"/>
    <w:semiHidden/>
    <w:qFormat/>
    <w:locked/>
    <w:rPr>
      <w:sz w:val="18"/>
    </w:rPr>
  </w:style>
  <w:style w:type="paragraph" w:styleId="00000f">
    <w:name w:val="header"/>
    <w:basedOn w:val="000007"/>
    <w:link w:val="000010"/>
    <w:uiPriority w:val="99"/>
    <w:semiHidden/>
    <w:qFormat/>
    <w:pPr>
      <w:pBdr>
        <w:bottom w:val="single" w:color="auto" w:sz="6" w:space="1"/>
      </w:pBdr>
      <w:tabs>
        <w:tab w:val="center" w:pos="4153"/>
        <w:tab w:val="right" w:pos="8306"/>
      </w:tabs>
      <w:snapToGrid w:val="false"/>
      <w:jc w:val="center"/>
    </w:pPr>
    <w:rPr>
      <w:rFonts w:ascii="Calibri" w:hAnsi="Calibri"/>
      <w:kern w:val="0"/>
      <w:sz w:val="18"/>
      <w:szCs w:val="18"/>
    </w:rPr>
  </w:style>
  <w:style w:type="character" w:styleId="000009" w:customStyle="true">
    <w:name w:val="Footer Char"/>
    <w:basedOn w:val="000005"/>
    <w:uiPriority w:val="99"/>
    <w:semiHidden/>
    <w:qFormat/>
    <w:rPr>
      <w:rFonts w:ascii="Times New Roman" w:hAnsi="Times New Roman"/>
      <w:sz w:val="18"/>
      <w:szCs w:val="18"/>
    </w:rPr>
  </w:style>
  <w:style w:type="character" w:styleId="000008" w:customStyle="true">
    <w:name w:val="标题 2 Char"/>
    <w:basedOn w:val="000005"/>
    <w:link w:val="000006"/>
    <w:uiPriority w:val="9"/>
    <w:qFormat/>
    <w:rPr>
      <w:rFonts w:asciiTheme="majorHAnsi" w:hAnsiTheme="majorHAnsi" w:eastAsiaTheme="majorEastAsia" w:cstheme="majorBidi"/>
      <w:b/>
      <w:bCs/>
      <w:kern w:val="2"/>
      <w:sz w:val="32"/>
      <w:szCs w:val="32"/>
    </w:rPr>
  </w:style>
  <w:style w:type="character" w:styleId="000017" w:customStyle="true">
    <w:name w:val="标题 1 Char"/>
    <w:basedOn w:val="000005"/>
    <w:link w:val="000018"/>
    <w:uiPriority w:val="9"/>
    <w:qFormat/>
    <w:rPr>
      <w:rFonts w:ascii="Times New Roman" w:hAnsi="Times New Roman"/>
      <w:b/>
      <w:bCs/>
      <w:kern w:val="44"/>
      <w:sz w:val="44"/>
      <w:szCs w:val="44"/>
    </w:rPr>
  </w:style>
  <w:style w:type="character" w:styleId="000016" w:customStyle="true">
    <w:name w:val="页脚 Char"/>
    <w:link w:val="000015"/>
    <w:uiPriority w:val="99"/>
    <w:qFormat/>
    <w:locked/>
    <w:rPr>
      <w:sz w:val="18"/>
    </w:rPr>
  </w:style>
  <w:style w:type="character" w:styleId="00001c" w:customStyle="true">
    <w:name w:val="21"/>
    <w:basedOn w:val="000005"/>
    <w:uiPriority w:val="0"/>
    <w:qFormat/>
    <w:rPr>
      <w:rFonts w:hint="default" w:ascii="Times New Roman" w:eastAsia="楷体_GB2312" w:cs="楷体_GB2312"/>
      <w:sz w:val="28"/>
      <w:szCs w:val="28"/>
    </w:rPr>
  </w:style>
  <w:style w:type="paragraph" w:styleId="000018">
    <w:name w:val="heading 1"/>
    <w:basedOn w:val="000007"/>
    <w:next w:val="000007"/>
    <w:link w:val="000017"/>
    <w:uiPriority w:val="9"/>
    <w:qFormat/>
    <w:pPr>
      <w:keepNext/>
      <w:keepLines/>
      <w:spacing w:before="340" w:after="330" w:line="578" w:lineRule="auto"/>
      <w:outlineLvl w:val="0"/>
    </w:pPr>
    <w:rPr>
      <w:b/>
      <w:bCs/>
      <w:kern w:val="44"/>
      <w:sz w:val="44"/>
      <w:szCs w:val="44"/>
    </w:rPr>
  </w:style>
  <w:style w:type="paragraph" w:styleId="000019">
    <w:name w:val="List Paragraph"/>
    <w:basedOn w:val="000007"/>
    <w:uiPriority w:val="34"/>
    <w:qFormat/>
    <w:pPr>
      <w:ind w:firstLine="420" w:firstLineChars="200"/>
    </w:pPr>
  </w:style>
  <w:style w:type="paragraph" w:styleId="00000c" w:customStyle="true">
    <w:name w:val="Default"/>
    <w:uiPriority w:val="99"/>
    <w:qFormat/>
    <w:pPr>
      <w:widowControl w:val="false"/>
      <w:autoSpaceDE w:val="false"/>
      <w:autoSpaceDN w:val="false"/>
      <w:adjustRightInd w:val="false"/>
    </w:pPr>
    <w:rPr>
      <w:rFonts w:ascii="仿宋" w:hAnsi="Calibri" w:eastAsia="仿宋" w:cs="仿宋"/>
      <w:color w:val="000000"/>
      <w:sz w:val="24"/>
      <w:szCs w:val="24"/>
      <w:lang w:val="en-US" w:eastAsia="zh-CN" w:bidi="ar-SA"/>
    </w:rPr>
  </w:style>
  <w:style w:type="character" w:styleId="00000e" w:customStyle="true">
    <w:name w:val="正文文本 Char"/>
    <w:link w:val="00000d"/>
    <w:uiPriority w:val="99"/>
    <w:qFormat/>
    <w:locked/>
    <w:rPr>
      <w:rFonts w:ascii="仿宋_GB2312" w:hAnsi="Times New Roman" w:eastAsia="仿宋_GB2312"/>
      <w:sz w:val="24"/>
    </w:rPr>
  </w:style>
  <w:style w:type="paragraph" w:styleId="00000d">
    <w:name w:val="Body Text"/>
    <w:basedOn w:val="000007"/>
    <w:link w:val="00000e"/>
    <w:uiPriority w:val="99"/>
    <w:qFormat/>
    <w:pPr>
      <w:spacing w:beforeLines="30"/>
    </w:pPr>
    <w:rPr>
      <w:rFonts w:ascii="仿宋_GB2312" w:eastAsia="仿宋_GB2312"/>
      <w:kern w:val="0"/>
      <w:sz w:val="30"/>
    </w:rPr>
  </w:style>
</w:styles>
</file>

<file path=word/_rels/document.xml.rels><?xml version="1.0" encoding="UTF-8" standalone="yes"?><Relationships xmlns="http://schemas.openxmlformats.org/package/2006/relationships"><Relationship Id="rId5" Type="http://schemas.openxmlformats.org/officeDocument/2006/relationships/footer" Target="footer1.xml" /><Relationship Id="rId2" Type="http://schemas.openxmlformats.org/officeDocument/2006/relationships/fontTable" Target="fontTable.xml" /><Relationship Id="rId0" Type="http://schemas.openxmlformats.org/officeDocument/2006/relationships/styles" Target="styles.xml" /><Relationship Id="rId1" Type="http://schemas.openxmlformats.org/officeDocument/2006/relationships/settings" Target="settings.xml" /><Relationship Id="rId3" Type="http://schemas.openxmlformats.org/officeDocument/2006/relationships/theme" Target="theme/theme1.xml" /><Relationship Id="rId4" Type="http://schemas.openxmlformats.org/officeDocument/2006/relationships/header" Target="header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false">
              <a:srgbClr val="000000">
                <a:alpha val="38000"/>
              </a:srgbClr>
            </a:outerShdw>
          </a:effectLst>
        </a:effectStyle>
        <a:effectStyle>
          <a:effectLst>
            <a:outerShdw blurRad="40000" dist="23000" dir="5400000" rotWithShape="false">
              <a:srgbClr val="000000">
                <a:alpha val="35000"/>
              </a:srgbClr>
            </a:outerShdw>
          </a:effectLst>
        </a:effectStyle>
        <a:effectStyle>
          <a:effectLst>
            <a:outerShdw blurRad="40000" dist="23000" dir="5400000" rotWithShape="false">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extLst>
    <a:ext uri="{05A4C25C-085E-4340-85A3-A5531E510DB2}"/>
  </a:extLst>
</a:theme>
</file>

<file path=docProps/app.xml><?xml version="1.0" encoding="utf-8"?>
<Properties xmlns="http://schemas.openxmlformats.org/officeDocument/2006/extended-properties" xmlns:vt="http://schemas.openxmlformats.org/officeDocument/2006/docPropsVTypes">
  <Application>Tencent office</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2025-02-17T14:56:26Z</dcterms:created>
  <dcterms:modified xsi:type="dcterms:W3CDTF">2025-02-17T14:56:26Z</dcterms:modified>
</cp:coreProperties>
</file>