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44"/>
          <w:szCs w:val="72"/>
        </w:rPr>
      </w:pPr>
      <w:bookmarkStart w:id="1" w:name="_Toc15378441"/>
      <w:bookmarkStart w:id="2" w:name="_Toc15377425"/>
      <w:bookmarkStart w:id="3" w:name="_Toc15396597"/>
      <w:bookmarkStart w:id="4" w:name="_Toc15396475"/>
      <w:bookmarkStart w:id="5" w:name="_Toc15377193"/>
      <w:r>
        <w:rPr>
          <w:rFonts w:ascii="黑体" w:hAnsi="黑体" w:eastAsia="黑体"/>
          <w:color w:val="000000"/>
          <w:sz w:val="44"/>
          <w:szCs w:val="72"/>
        </w:rPr>
        <w:t>201</w:t>
      </w:r>
      <w:r>
        <w:rPr>
          <w:rFonts w:hint="eastAsia" w:ascii="黑体" w:hAnsi="黑体" w:eastAsia="黑体"/>
          <w:color w:val="000000"/>
          <w:sz w:val="44"/>
          <w:szCs w:val="72"/>
        </w:rPr>
        <w:t>9</w:t>
      </w:r>
      <w:r>
        <w:rPr>
          <w:rFonts w:hint="eastAsia" w:ascii="方正小标宋简体" w:hAnsi="宋体" w:eastAsia="方正小标宋简体"/>
          <w:color w:val="000000"/>
          <w:sz w:val="44"/>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44"/>
          <w:szCs w:val="72"/>
        </w:rPr>
      </w:pPr>
      <w:bookmarkStart w:id="6" w:name="_Toc15378442"/>
      <w:bookmarkStart w:id="7" w:name="_Toc15396598"/>
      <w:bookmarkStart w:id="8" w:name="_Toc15396476"/>
      <w:bookmarkStart w:id="9" w:name="_Toc15377194"/>
      <w:bookmarkStart w:id="10" w:name="_Toc15377426"/>
      <w:r>
        <w:rPr>
          <w:rFonts w:hint="eastAsia" w:ascii="方正小标宋简体" w:hAnsi="宋体" w:eastAsia="方正小标宋简体"/>
          <w:color w:val="000000"/>
          <w:sz w:val="44"/>
          <w:szCs w:val="72"/>
        </w:rPr>
        <w:t>四川省</w:t>
      </w:r>
      <w:bookmarkEnd w:id="0"/>
      <w:bookmarkStart w:id="11" w:name="_Toc15306268"/>
      <w:r>
        <w:rPr>
          <w:rFonts w:hint="eastAsia" w:ascii="方正小标宋简体" w:hAnsi="宋体" w:eastAsia="方正小标宋简体"/>
          <w:color w:val="000000"/>
          <w:sz w:val="44"/>
          <w:szCs w:val="72"/>
        </w:rPr>
        <w:t>德阳市广汉市特殊教育学校部门决算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ascii="仿宋" w:hAnsi="仿宋" w:eastAsia="仿宋"/>
          <w:sz w:val="24"/>
        </w:rPr>
      </w:pPr>
      <w:r>
        <w:rPr>
          <w:rFonts w:hint="eastAsia"/>
          <w:sz w:val="24"/>
        </w:rPr>
        <w:t>一、基本职能及主要工作</w:t>
      </w:r>
    </w:p>
    <w:p>
      <w:pPr>
        <w:pStyle w:val="11"/>
        <w:adjustRightInd w:val="0"/>
        <w:snapToGrid w:val="0"/>
        <w:spacing w:line="440" w:lineRule="exact"/>
        <w:jc w:val="left"/>
        <w:rPr>
          <w:rFonts w:ascii="仿宋" w:hAnsi="仿宋" w:eastAsia="仿宋" w:cstheme="minorBidi"/>
          <w:sz w:val="24"/>
        </w:rPr>
      </w:pPr>
      <w:r>
        <w:rPr>
          <w:rFonts w:hint="eastAsia"/>
          <w:sz w:val="24"/>
        </w:rPr>
        <w:t>二、机构设置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二、收入决算情况说明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七、</w:t>
      </w:r>
      <w:r>
        <w:rPr>
          <w:sz w:val="24"/>
        </w:rPr>
        <w:t>“</w:t>
      </w:r>
      <w:r>
        <w:rPr>
          <w:rFonts w:hint="eastAsia"/>
          <w:sz w:val="24"/>
        </w:rPr>
        <w:t>三公”经费财政拨款支出决算情况说明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p>
    <w:p>
      <w:pPr>
        <w:adjustRightInd w:val="0"/>
        <w:snapToGrid w:val="0"/>
        <w:spacing w:line="440" w:lineRule="exact"/>
        <w:ind w:firstLine="480" w:firstLineChars="200"/>
        <w:jc w:val="left"/>
        <w:rPr>
          <w:rFonts w:ascii="仿宋" w:hAnsi="仿宋" w:eastAsia="仿宋" w:cstheme="minorBidi"/>
          <w:sz w:val="24"/>
        </w:rPr>
      </w:pPr>
      <w:r>
        <w:rPr>
          <w:rStyle w:val="16"/>
          <w:rFonts w:hint="eastAsia" w:ascii="仿宋" w:hAnsi="仿宋" w:eastAsia="仿宋"/>
          <w:color w:val="000000" w:themeColor="text1"/>
          <w:sz w:val="24"/>
          <w:u w:val="none"/>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6"/>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p>
    <w:p>
      <w:pPr>
        <w:rPr>
          <w:rFonts w:ascii="黑体" w:hAnsi="宋体" w:eastAsia="黑体"/>
          <w:sz w:val="32"/>
          <w:szCs w:val="32"/>
        </w:rPr>
      </w:pPr>
      <w:bookmarkStart w:id="16" w:name="_Toc15378445"/>
      <w:bookmarkStart w:id="17" w:name="_Toc15377198"/>
      <w:r>
        <w:rPr>
          <w:rFonts w:hint="eastAsia" w:ascii="仿宋" w:hAnsi="仿宋" w:eastAsia="仿宋"/>
          <w:bCs/>
          <w:color w:val="000000"/>
          <w:sz w:val="32"/>
          <w:szCs w:val="32"/>
        </w:rPr>
        <w:t>（一）主要职能。</w:t>
      </w:r>
      <w:r>
        <w:rPr>
          <w:rFonts w:hint="eastAsia" w:ascii="黑体" w:hAnsi="宋体" w:eastAsia="黑体"/>
          <w:sz w:val="32"/>
          <w:szCs w:val="32"/>
        </w:rPr>
        <w:t>一切为了让残障孩子平等参与社会生活，成为适应社会发展的合格公民奠定基础。主要招收广汉市境内的盲、聋哑、弱智儿童，使他们接受规定年限的义务教育。学校主要招收广汉市境内的有教育可能性的残疾儿童入学，并根据残障学生身心特点和需要实施教育，坚持“以人为本、科学发展”的办学思想，努力为残障学生提供优质的教育服务，培养他们自尊、自信、自强、自立的精神。</w:t>
      </w:r>
    </w:p>
    <w:bookmarkEnd w:id="16"/>
    <w:bookmarkEnd w:id="17"/>
    <w:p>
      <w:pPr>
        <w:snapToGrid w:val="0"/>
        <w:spacing w:line="588" w:lineRule="exact"/>
        <w:ind w:firstLine="640" w:firstLineChars="200"/>
        <w:rPr>
          <w:rFonts w:ascii="黑体" w:hAnsi="仿宋" w:eastAsia="黑体"/>
          <w:sz w:val="32"/>
          <w:szCs w:val="32"/>
        </w:rPr>
      </w:pPr>
      <w:bookmarkStart w:id="18" w:name="_Toc15378446"/>
      <w:bookmarkStart w:id="19" w:name="_Toc15377199"/>
      <w:r>
        <w:rPr>
          <w:rFonts w:hint="eastAsia" w:ascii="仿宋" w:hAnsi="仿宋" w:eastAsia="仿宋"/>
          <w:bCs/>
          <w:color w:val="000000"/>
          <w:sz w:val="32"/>
          <w:szCs w:val="32"/>
        </w:rPr>
        <w:t>（二）</w:t>
      </w:r>
      <w:r>
        <w:rPr>
          <w:rFonts w:hint="eastAsia" w:ascii="黑体" w:hAnsi="仿宋" w:eastAsia="黑体"/>
          <w:sz w:val="32"/>
          <w:szCs w:val="32"/>
        </w:rPr>
        <w:t>本年我校顺利完成了对全市入校智障学生的教育教学，教给他们一定的知识，训练培养他们的各种生活技能。学校财务部门严格按照各项财政财务制度开展工作，获得了广汉市教育局颁发的财务工作先进单位。</w:t>
      </w:r>
    </w:p>
    <w:bookmarkEnd w:id="18"/>
    <w:bookmarkEnd w:id="19"/>
    <w:p>
      <w:pPr>
        <w:pStyle w:val="3"/>
        <w:rPr>
          <w:rStyle w:val="26"/>
          <w:rFonts w:ascii="黑体" w:eastAsia="黑体"/>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6"/>
          <w:rFonts w:hint="eastAsia" w:ascii="黑体" w:hAnsi="黑体" w:eastAsia="黑体"/>
          <w:b w:val="0"/>
          <w:bCs w:val="0"/>
        </w:rPr>
        <w:t>构设置</w:t>
      </w:r>
      <w:bookmarkEnd w:id="20"/>
      <w:bookmarkEnd w:id="21"/>
    </w:p>
    <w:p>
      <w:pPr>
        <w:widowControl/>
        <w:ind w:firstLine="640" w:firstLineChars="200"/>
        <w:jc w:val="left"/>
        <w:rPr>
          <w:rFonts w:ascii="仿宋" w:hAnsi="仿宋" w:eastAsia="仿宋"/>
          <w:color w:val="000000"/>
          <w:kern w:val="0"/>
          <w:sz w:val="32"/>
          <w:szCs w:val="32"/>
        </w:rPr>
      </w:pPr>
      <w:r>
        <w:rPr>
          <w:rFonts w:hint="eastAsia" w:ascii="宋体" w:hAnsi="宋体"/>
          <w:sz w:val="32"/>
          <w:szCs w:val="32"/>
        </w:rPr>
        <w:t>年末独立编制机构数为1。</w:t>
      </w:r>
      <w:r>
        <w:rPr>
          <w:rFonts w:ascii="仿宋" w:hAnsi="仿宋" w:eastAsia="仿宋"/>
          <w:color w:val="000000"/>
          <w:sz w:val="32"/>
          <w:szCs w:val="32"/>
        </w:rPr>
        <w:br w:type="page"/>
      </w:r>
    </w:p>
    <w:p>
      <w:pPr>
        <w:pStyle w:val="2"/>
        <w:ind w:right="440"/>
        <w:jc w:val="right"/>
        <w:rPr>
          <w:rStyle w:val="25"/>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2"/>
      <w:bookmarkEnd w:id="23"/>
    </w:p>
    <w:p/>
    <w:p>
      <w:pPr>
        <w:pStyle w:val="24"/>
        <w:numPr>
          <w:ilvl w:val="0"/>
          <w:numId w:val="1"/>
        </w:numPr>
        <w:spacing w:line="600" w:lineRule="exact"/>
        <w:ind w:firstLineChars="0"/>
        <w:outlineLvl w:val="1"/>
        <w:rPr>
          <w:rStyle w:val="26"/>
          <w:rFonts w:ascii="黑体" w:hAnsi="黑体" w:eastAsia="黑体"/>
          <w:b w:val="0"/>
        </w:rPr>
      </w:pPr>
      <w:bookmarkStart w:id="24" w:name="_Toc15396603"/>
      <w:bookmarkStart w:id="25" w:name="_Toc15377205"/>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4"/>
      <w:bookmarkEnd w:id="25"/>
    </w:p>
    <w:p>
      <w:pPr>
        <w:spacing w:line="600" w:lineRule="exact"/>
        <w:ind w:firstLine="640" w:firstLineChars="200"/>
        <w:rPr>
          <w:rFonts w:hint="eastAsia" w:ascii="黑体" w:hAnsi="仿宋" w:eastAsia="黑体"/>
          <w:sz w:val="32"/>
          <w:szCs w:val="32"/>
        </w:rPr>
      </w:pPr>
      <w:r>
        <w:rPr>
          <w:rFonts w:hint="eastAsia" w:ascii="仿宋" w:hAnsi="仿宋" w:eastAsia="仿宋"/>
          <w:color w:val="000000"/>
          <w:sz w:val="32"/>
          <w:szCs w:val="32"/>
        </w:rPr>
        <w:t>2019年度收、支总计363.88万元。与2018年相比，收、支总计各增加17.55、43.36万元，增长11.07%、30.03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黑体" w:hAnsi="仿宋" w:eastAsia="黑体"/>
          <w:sz w:val="32"/>
          <w:szCs w:val="32"/>
        </w:rPr>
        <w:t>学校增加了学生数、教师数以及财政部门调资以及增加养老险和年金的缴纳等。</w:t>
      </w:r>
    </w:p>
    <w:p>
      <w:pPr>
        <w:spacing w:line="600" w:lineRule="exact"/>
        <w:ind w:firstLine="3680" w:firstLineChars="1150"/>
        <w:rPr>
          <w:rFonts w:hint="eastAsia" w:ascii="黑体" w:hAnsi="仿宋" w:eastAsia="黑体"/>
          <w:sz w:val="18"/>
          <w:szCs w:val="18"/>
        </w:rPr>
      </w:pPr>
      <w:r>
        <w:rPr>
          <w:rFonts w:hint="eastAsia" w:ascii="仿宋" w:hAnsi="仿宋" w:eastAsia="仿宋"/>
          <w:color w:val="000000" w:themeColor="text1"/>
          <w:sz w:val="32"/>
          <w:szCs w:val="32"/>
        </w:rPr>
        <w:t>收、支决算总计变动情况</w:t>
      </w:r>
      <w:r>
        <w:rPr>
          <w:rFonts w:hint="eastAsia" w:ascii="黑体" w:hAnsi="仿宋" w:eastAsia="黑体"/>
          <w:sz w:val="18"/>
          <w:szCs w:val="18"/>
        </w:rPr>
        <w:t xml:space="preserve">  </w:t>
      </w:r>
    </w:p>
    <w:p>
      <w:pPr>
        <w:spacing w:line="600" w:lineRule="exact"/>
        <w:ind w:firstLine="1530" w:firstLineChars="850"/>
        <w:rPr>
          <w:rFonts w:ascii="黑体" w:hAnsi="仿宋" w:eastAsia="黑体"/>
          <w:sz w:val="18"/>
          <w:szCs w:val="18"/>
        </w:rPr>
      </w:pPr>
      <w:r>
        <w:rPr>
          <w:rFonts w:hint="eastAsia" w:ascii="黑体" w:hAnsi="仿宋" w:eastAsia="黑体"/>
          <w:sz w:val="18"/>
          <w:szCs w:val="18"/>
        </w:rPr>
        <w:t>四川省德阳市广汉市特殊教育学校                                      单位：万元</w:t>
      </w:r>
    </w:p>
    <w:tbl>
      <w:tblPr>
        <w:tblStyle w:val="13"/>
        <w:tblW w:w="0" w:type="auto"/>
        <w:tblInd w:w="1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789"/>
        <w:gridCol w:w="2572"/>
        <w:gridCol w:w="944"/>
        <w:gridCol w:w="2444"/>
      </w:tblGrid>
      <w:tr>
        <w:trPr>
          <w:trHeight w:val="265"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年度</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收入</w:t>
            </w:r>
          </w:p>
        </w:tc>
        <w:tc>
          <w:tcPr>
            <w:tcW w:w="2572" w:type="dxa"/>
          </w:tcPr>
          <w:p>
            <w:pPr>
              <w:spacing w:line="600" w:lineRule="exact"/>
              <w:rPr>
                <w:rFonts w:ascii="黑体" w:hAnsi="仿宋" w:eastAsia="黑体"/>
                <w:sz w:val="18"/>
                <w:szCs w:val="18"/>
              </w:rPr>
            </w:pPr>
            <w:r>
              <w:rPr>
                <w:rFonts w:hint="eastAsia" w:ascii="黑体" w:hAnsi="仿宋" w:eastAsia="黑体"/>
                <w:sz w:val="18"/>
                <w:szCs w:val="18"/>
              </w:rPr>
              <w:t>收入较上年增长/减少%</w:t>
            </w:r>
          </w:p>
        </w:tc>
        <w:tc>
          <w:tcPr>
            <w:tcW w:w="944"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444"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217"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2018</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158.58</w:t>
            </w:r>
          </w:p>
        </w:tc>
        <w:tc>
          <w:tcPr>
            <w:tcW w:w="2572" w:type="dxa"/>
          </w:tcPr>
          <w:p>
            <w:pPr>
              <w:spacing w:line="600" w:lineRule="exact"/>
              <w:rPr>
                <w:rFonts w:ascii="黑体" w:hAnsi="仿宋" w:eastAsia="黑体"/>
                <w:sz w:val="18"/>
                <w:szCs w:val="18"/>
              </w:rPr>
            </w:pPr>
          </w:p>
        </w:tc>
        <w:tc>
          <w:tcPr>
            <w:tcW w:w="944"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444" w:type="dxa"/>
          </w:tcPr>
          <w:p>
            <w:pPr>
              <w:spacing w:line="600" w:lineRule="exact"/>
              <w:rPr>
                <w:rFonts w:ascii="黑体" w:hAnsi="仿宋" w:eastAsia="黑体"/>
                <w:sz w:val="18"/>
                <w:szCs w:val="18"/>
              </w:rPr>
            </w:pPr>
          </w:p>
        </w:tc>
      </w:tr>
      <w:tr>
        <w:trPr>
          <w:trHeight w:val="60"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2019</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176.13</w:t>
            </w:r>
          </w:p>
        </w:tc>
        <w:tc>
          <w:tcPr>
            <w:tcW w:w="2572" w:type="dxa"/>
          </w:tcPr>
          <w:p>
            <w:pPr>
              <w:spacing w:line="600" w:lineRule="exact"/>
              <w:rPr>
                <w:rFonts w:ascii="黑体" w:hAnsi="仿宋" w:eastAsia="黑体"/>
                <w:sz w:val="18"/>
                <w:szCs w:val="18"/>
              </w:rPr>
            </w:pPr>
            <w:r>
              <w:rPr>
                <w:rFonts w:hint="eastAsia" w:ascii="黑体" w:hAnsi="仿宋" w:eastAsia="黑体"/>
                <w:sz w:val="18"/>
                <w:szCs w:val="18"/>
              </w:rPr>
              <w:t>11.07%</w:t>
            </w:r>
          </w:p>
        </w:tc>
        <w:tc>
          <w:tcPr>
            <w:tcW w:w="944"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444"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1440" w:firstLineChars="450"/>
        <w:rPr>
          <w:rFonts w:ascii="仿宋" w:hAnsi="仿宋" w:eastAsia="仿宋"/>
          <w:color w:val="000000" w:themeColor="text1"/>
          <w:sz w:val="32"/>
          <w:szCs w:val="32"/>
        </w:rPr>
      </w:pPr>
      <w:bookmarkStart w:id="26" w:name="_Toc15396604"/>
      <w:bookmarkStart w:id="27" w:name="_Toc15377206"/>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p>
      <w:pPr>
        <w:pStyle w:val="24"/>
        <w:numPr>
          <w:ilvl w:val="0"/>
          <w:numId w:val="1"/>
        </w:numPr>
        <w:spacing w:line="600" w:lineRule="exact"/>
        <w:ind w:firstLineChars="0"/>
        <w:outlineLvl w:val="1"/>
        <w:rPr>
          <w:rStyle w:val="26"/>
          <w:rFonts w:ascii="黑体" w:hAnsi="黑体" w:eastAsia="黑体"/>
          <w:b w:val="0"/>
        </w:rPr>
      </w:pPr>
      <w:r>
        <w:rPr>
          <w:rFonts w:hint="eastAsia" w:ascii="黑体" w:hAnsi="黑体" w:eastAsia="黑体"/>
          <w:color w:val="000000"/>
          <w:sz w:val="32"/>
          <w:szCs w:val="32"/>
        </w:rPr>
        <w:t>收</w:t>
      </w:r>
      <w:r>
        <w:rPr>
          <w:rStyle w:val="26"/>
          <w:rFonts w:hint="eastAsia" w:ascii="黑体" w:hAnsi="黑体" w:eastAsia="黑体"/>
          <w:b w:val="0"/>
        </w:rPr>
        <w:t>入决算情况说明</w:t>
      </w:r>
      <w:bookmarkEnd w:id="26"/>
      <w:bookmarkEnd w:id="27"/>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9年本年收入合计176.13万元，其中：一般公共预算财政拨款收入176.13万元，占100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3600" w:firstLineChars="1800"/>
        <w:rPr>
          <w:rFonts w:hint="eastAsia" w:ascii="仿宋" w:hAnsi="仿宋" w:eastAsia="仿宋"/>
          <w:color w:val="000000" w:themeColor="text1"/>
          <w:sz w:val="20"/>
          <w:szCs w:val="32"/>
        </w:rPr>
      </w:pPr>
      <w:r>
        <w:rPr>
          <w:rFonts w:hint="eastAsia" w:ascii="仿宋" w:hAnsi="仿宋" w:eastAsia="仿宋"/>
          <w:color w:val="000000" w:themeColor="text1"/>
          <w:sz w:val="20"/>
          <w:szCs w:val="32"/>
        </w:rPr>
        <w:t>收入决算结构表              单位：万元</w:t>
      </w:r>
    </w:p>
    <w:p>
      <w:pPr>
        <w:spacing w:line="600" w:lineRule="exact"/>
        <w:ind w:firstLine="630" w:firstLineChars="350"/>
        <w:rPr>
          <w:rFonts w:hint="eastAsia" w:ascii="仿宋" w:hAnsi="仿宋" w:eastAsia="仿宋"/>
          <w:color w:val="000000"/>
          <w:sz w:val="18"/>
          <w:szCs w:val="18"/>
        </w:rPr>
      </w:pPr>
      <w:r>
        <w:rPr>
          <w:rFonts w:hint="eastAsia" w:ascii="仿宋" w:hAnsi="仿宋" w:eastAsia="仿宋"/>
          <w:color w:val="000000"/>
          <w:sz w:val="18"/>
          <w:szCs w:val="18"/>
        </w:rPr>
        <w:t>四川省德阳市广汉市特殊教育学校</w:t>
      </w:r>
    </w:p>
    <w:tbl>
      <w:tblPr>
        <w:tblStyle w:val="12"/>
        <w:tblpPr w:leftFromText="180" w:rightFromText="180" w:vertAnchor="text" w:tblpY="1"/>
        <w:tblOverlap w:val="never"/>
        <w:tblW w:w="7776" w:type="dxa"/>
        <w:tblInd w:w="696" w:type="dxa"/>
        <w:tblLayout w:type="autofit"/>
        <w:tblCellMar>
          <w:top w:w="0" w:type="dxa"/>
          <w:left w:w="108" w:type="dxa"/>
          <w:bottom w:w="0" w:type="dxa"/>
          <w:right w:w="108" w:type="dxa"/>
        </w:tblCellMar>
      </w:tblPr>
      <w:tblGrid>
        <w:gridCol w:w="366"/>
        <w:gridCol w:w="366"/>
        <w:gridCol w:w="366"/>
        <w:gridCol w:w="3276"/>
        <w:gridCol w:w="1275"/>
        <w:gridCol w:w="2127"/>
      </w:tblGrid>
      <w:tr>
        <w:trPr>
          <w:trHeight w:val="312" w:hRule="atLeast"/>
        </w:trPr>
        <w:tc>
          <w:tcPr>
            <w:tcW w:w="109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rPr>
                <w:rFonts w:ascii="宋体" w:hAnsi="宋体" w:cs="Arial"/>
                <w:color w:val="000000"/>
                <w:kern w:val="0"/>
                <w:sz w:val="15"/>
                <w:szCs w:val="15"/>
              </w:rPr>
            </w:pPr>
            <w:r>
              <w:rPr>
                <w:rFonts w:hint="eastAsia" w:ascii="宋体" w:hAnsi="宋体" w:cs="Arial"/>
                <w:color w:val="000000"/>
                <w:kern w:val="0"/>
                <w:sz w:val="15"/>
                <w:szCs w:val="15"/>
              </w:rPr>
              <w:t>科目编码</w:t>
            </w:r>
          </w:p>
        </w:tc>
        <w:tc>
          <w:tcPr>
            <w:tcW w:w="3276"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本年收入合计</w:t>
            </w:r>
          </w:p>
        </w:tc>
        <w:tc>
          <w:tcPr>
            <w:tcW w:w="2127"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Arial"/>
                <w:color w:val="000000"/>
                <w:kern w:val="0"/>
                <w:sz w:val="15"/>
                <w:szCs w:val="15"/>
              </w:rPr>
            </w:pPr>
            <w:r>
              <w:rPr>
                <w:rFonts w:hint="eastAsia" w:ascii="宋体" w:hAnsi="宋体" w:cs="Arial"/>
                <w:color w:val="000000"/>
                <w:kern w:val="0"/>
                <w:sz w:val="15"/>
                <w:szCs w:val="15"/>
              </w:rPr>
              <w:t>一般公共预算财政拨款收入</w:t>
            </w: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08" w:hRule="atLeast"/>
        </w:trPr>
        <w:tc>
          <w:tcPr>
            <w:tcW w:w="36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类</w:t>
            </w:r>
          </w:p>
        </w:tc>
        <w:tc>
          <w:tcPr>
            <w:tcW w:w="36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款</w:t>
            </w:r>
          </w:p>
        </w:tc>
        <w:tc>
          <w:tcPr>
            <w:tcW w:w="36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项</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1</w:t>
            </w:r>
          </w:p>
        </w:tc>
        <w:tc>
          <w:tcPr>
            <w:tcW w:w="21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2</w:t>
            </w:r>
          </w:p>
        </w:tc>
      </w:tr>
      <w:tr>
        <w:trPr>
          <w:trHeight w:val="308" w:hRule="atLeast"/>
        </w:trPr>
        <w:tc>
          <w:tcPr>
            <w:tcW w:w="36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66"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66"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15"/>
                <w:szCs w:val="15"/>
              </w:rPr>
            </w:pPr>
            <w:r>
              <w:rPr>
                <w:rFonts w:hint="eastAsia" w:ascii="宋体" w:hAnsi="宋体" w:cs="Arial"/>
                <w:b/>
                <w:bCs/>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15"/>
                <w:szCs w:val="15"/>
              </w:rPr>
            </w:pPr>
            <w:r>
              <w:rPr>
                <w:rFonts w:hint="eastAsia" w:ascii="宋体" w:hAnsi="宋体" w:cs="Arial"/>
                <w:b/>
                <w:bCs/>
                <w:color w:val="000000"/>
                <w:kern w:val="0"/>
                <w:sz w:val="15"/>
                <w:szCs w:val="15"/>
              </w:rPr>
              <w:t>176.13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20507</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2050701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21.57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21.57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14.75</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2080506</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6.82</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7.09</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6.66</w:t>
            </w:r>
          </w:p>
        </w:tc>
      </w:tr>
      <w:tr>
        <w:trPr>
          <w:trHeight w:val="211"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2101102</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5.26</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2101103</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21099</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0.43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2109901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0.43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22102</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2210201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bl>
    <w:p>
      <w:pPr>
        <w:spacing w:line="600" w:lineRule="exact"/>
        <w:ind w:left="1596" w:leftChars="760" w:firstLine="800" w:firstLineChars="250"/>
        <w:rPr>
          <w:rFonts w:ascii="仿宋" w:hAnsi="仿宋" w:eastAsia="仿宋"/>
          <w:color w:val="000000" w:themeColor="text1"/>
          <w:sz w:val="32"/>
          <w:szCs w:val="32"/>
        </w:rPr>
      </w:pPr>
      <w:r>
        <w:rPr>
          <w:rFonts w:ascii="仿宋" w:hAnsi="仿宋" w:eastAsia="仿宋"/>
          <w:color w:val="000000" w:themeColor="text1"/>
          <w:sz w:val="32"/>
          <w:szCs w:val="32"/>
        </w:rPr>
        <w:br w:type="textWrapping" w:clear="all"/>
      </w:r>
      <w:r>
        <w:rPr>
          <w:rFonts w:hint="eastAsia" w:ascii="仿宋" w:hAnsi="仿宋" w:eastAsia="仿宋"/>
          <w:color w:val="000000" w:themeColor="text1"/>
          <w:sz w:val="32"/>
          <w:szCs w:val="32"/>
        </w:rPr>
        <w:t>（图2：收入决算结构图）（饼状图）</w:t>
      </w:r>
    </w:p>
    <w:p>
      <w:pPr>
        <w:pStyle w:val="24"/>
        <w:numPr>
          <w:ilvl w:val="0"/>
          <w:numId w:val="1"/>
        </w:numPr>
        <w:spacing w:line="600" w:lineRule="exact"/>
        <w:ind w:firstLineChars="0"/>
        <w:outlineLvl w:val="1"/>
        <w:rPr>
          <w:rStyle w:val="26"/>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26"/>
          <w:rFonts w:hint="eastAsia" w:ascii="黑体" w:hAnsi="黑体" w:eastAsia="黑体"/>
          <w:b w:val="0"/>
        </w:rPr>
        <w:t>出决算情况说明</w:t>
      </w:r>
      <w:bookmarkEnd w:id="28"/>
      <w:bookmarkEnd w:id="29"/>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9年本年支出合计187.75万元，其中：基本支出187.75万元，占100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3600" w:firstLineChars="1800"/>
        <w:rPr>
          <w:rFonts w:hint="eastAsia" w:ascii="仿宋" w:hAnsi="仿宋" w:eastAsia="仿宋"/>
          <w:color w:val="000000" w:themeColor="text1"/>
          <w:sz w:val="20"/>
          <w:szCs w:val="32"/>
        </w:rPr>
      </w:pPr>
      <w:r>
        <w:rPr>
          <w:rFonts w:hint="eastAsia" w:ascii="仿宋" w:hAnsi="仿宋" w:eastAsia="仿宋"/>
          <w:color w:val="000000" w:themeColor="text1"/>
          <w:sz w:val="20"/>
          <w:szCs w:val="32"/>
        </w:rPr>
        <w:t>支出决算结构表              单位：万元</w:t>
      </w:r>
    </w:p>
    <w:p>
      <w:pPr>
        <w:spacing w:line="600" w:lineRule="exact"/>
        <w:ind w:firstLine="1426" w:firstLineChars="950"/>
        <w:rPr>
          <w:rFonts w:hint="eastAsia" w:ascii="仿宋" w:hAnsi="仿宋" w:eastAsia="仿宋"/>
          <w:color w:val="000000" w:themeColor="text1"/>
          <w:sz w:val="20"/>
          <w:szCs w:val="32"/>
        </w:rPr>
      </w:pPr>
      <w:r>
        <w:rPr>
          <w:rFonts w:hint="eastAsia" w:ascii="宋体" w:hAnsi="宋体" w:cs="Arial"/>
          <w:b/>
          <w:color w:val="000000"/>
          <w:kern w:val="0"/>
          <w:sz w:val="15"/>
          <w:szCs w:val="13"/>
        </w:rPr>
        <w:t>四川省德阳市广汉市特殊教育学校</w:t>
      </w:r>
    </w:p>
    <w:tbl>
      <w:tblPr>
        <w:tblStyle w:val="12"/>
        <w:tblW w:w="7203" w:type="dxa"/>
        <w:tblInd w:w="1410" w:type="dxa"/>
        <w:tblLayout w:type="autofit"/>
        <w:tblCellMar>
          <w:top w:w="0" w:type="dxa"/>
          <w:left w:w="108" w:type="dxa"/>
          <w:bottom w:w="0" w:type="dxa"/>
          <w:right w:w="108" w:type="dxa"/>
        </w:tblCellMar>
      </w:tblPr>
      <w:tblGrid>
        <w:gridCol w:w="436"/>
        <w:gridCol w:w="433"/>
        <w:gridCol w:w="434"/>
        <w:gridCol w:w="2924"/>
        <w:gridCol w:w="1275"/>
        <w:gridCol w:w="1701"/>
      </w:tblGrid>
      <w:tr>
        <w:trPr>
          <w:trHeight w:val="312" w:hRule="atLeast"/>
        </w:trPr>
        <w:tc>
          <w:tcPr>
            <w:tcW w:w="13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科目编码</w:t>
            </w:r>
          </w:p>
        </w:tc>
        <w:tc>
          <w:tcPr>
            <w:tcW w:w="2924"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本年支出合计</w:t>
            </w:r>
          </w:p>
        </w:tc>
        <w:tc>
          <w:tcPr>
            <w:tcW w:w="1701"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基本支出</w:t>
            </w: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285" w:hRule="atLeast"/>
        </w:trPr>
        <w:tc>
          <w:tcPr>
            <w:tcW w:w="43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类</w:t>
            </w:r>
          </w:p>
        </w:tc>
        <w:tc>
          <w:tcPr>
            <w:tcW w:w="433"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款</w:t>
            </w:r>
          </w:p>
        </w:tc>
        <w:tc>
          <w:tcPr>
            <w:tcW w:w="434"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项</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1</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2</w:t>
            </w:r>
          </w:p>
        </w:tc>
      </w:tr>
      <w:tr>
        <w:trPr>
          <w:trHeight w:val="109" w:hRule="atLeast"/>
        </w:trPr>
        <w:tc>
          <w:tcPr>
            <w:tcW w:w="43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3"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4"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r>
      <w:tr>
        <w:trPr>
          <w:trHeight w:val="213"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2080506</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2101103</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bl>
    <w:p>
      <w:pPr>
        <w:spacing w:line="600" w:lineRule="exact"/>
        <w:ind w:firstLine="2080" w:firstLineChars="650"/>
        <w:outlineLvl w:val="1"/>
        <w:rPr>
          <w:rFonts w:hint="eastAsia" w:ascii="黑体" w:hAnsi="黑体" w:eastAsia="黑体"/>
          <w:color w:val="000000"/>
          <w:sz w:val="32"/>
          <w:szCs w:val="32"/>
        </w:rPr>
      </w:pPr>
      <w:bookmarkStart w:id="30" w:name="_Toc15377208"/>
      <w:bookmarkStart w:id="31" w:name="_Toc15396606"/>
      <w:r>
        <w:rPr>
          <w:rFonts w:hint="eastAsia" w:ascii="仿宋" w:hAnsi="仿宋" w:eastAsia="仿宋"/>
          <w:color w:val="000000" w:themeColor="text1"/>
          <w:sz w:val="32"/>
          <w:szCs w:val="32"/>
        </w:rPr>
        <w:t>（图2：支出决算结构图）（饼状图）</w:t>
      </w:r>
      <w:r>
        <w:rPr>
          <w:rFonts w:hint="eastAsia" w:ascii="仿宋" w:hAnsi="仿宋" w:eastAsia="仿宋"/>
          <w:color w:val="000000" w:themeColor="text1"/>
          <w:sz w:val="20"/>
          <w:szCs w:val="32"/>
        </w:rPr>
        <w:t xml:space="preserve"> </w:t>
      </w:r>
    </w:p>
    <w:p>
      <w:pPr>
        <w:spacing w:line="600" w:lineRule="exact"/>
        <w:ind w:firstLine="640" w:firstLineChars="200"/>
        <w:outlineLvl w:val="1"/>
        <w:rPr>
          <w:rStyle w:val="26"/>
          <w:rFonts w:ascii="黑体" w:hAnsi="黑体" w:eastAsia="黑体"/>
          <w:b w:val="0"/>
        </w:rPr>
      </w:pPr>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0"/>
      <w:bookmarkEnd w:id="31"/>
    </w:p>
    <w:p>
      <w:pPr>
        <w:spacing w:line="600" w:lineRule="exact"/>
        <w:ind w:firstLine="640" w:firstLineChars="200"/>
        <w:rPr>
          <w:rFonts w:hint="eastAsia" w:ascii="黑体" w:hAnsi="仿宋" w:eastAsia="黑体"/>
          <w:sz w:val="32"/>
          <w:szCs w:val="32"/>
        </w:rPr>
      </w:pPr>
      <w:r>
        <w:rPr>
          <w:rFonts w:hint="eastAsia" w:ascii="仿宋" w:hAnsi="仿宋" w:eastAsia="仿宋"/>
          <w:color w:val="000000"/>
          <w:sz w:val="32"/>
          <w:szCs w:val="32"/>
        </w:rPr>
        <w:t>2019年度收、支总计363.88万元。与2018年相比，收、支总计各增加17.55、43.36万元，增长11.07%、30.03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黑体" w:hAnsi="仿宋" w:eastAsia="黑体"/>
          <w:sz w:val="32"/>
          <w:szCs w:val="32"/>
        </w:rPr>
        <w:t>学校增加了学生数、教师数以及财政部门调资以及增加养老险和年金的缴纳等。</w:t>
      </w:r>
    </w:p>
    <w:p>
      <w:pPr>
        <w:spacing w:line="600" w:lineRule="exact"/>
        <w:ind w:firstLine="3574" w:firstLineChars="1700"/>
        <w:rPr>
          <w:rFonts w:hint="eastAsia" w:ascii="黑体" w:hAnsi="仿宋" w:eastAsia="黑体"/>
          <w:b/>
          <w:szCs w:val="18"/>
        </w:rPr>
      </w:pPr>
      <w:r>
        <w:rPr>
          <w:rFonts w:hint="eastAsia" w:ascii="黑体" w:hAnsi="仿宋" w:eastAsia="黑体"/>
          <w:b/>
          <w:szCs w:val="18"/>
        </w:rPr>
        <w:t xml:space="preserve">财政拨款收支决算总计变动情况表  </w:t>
      </w:r>
    </w:p>
    <w:p>
      <w:pPr>
        <w:spacing w:line="600" w:lineRule="exact"/>
        <w:ind w:firstLine="1710" w:firstLineChars="950"/>
        <w:rPr>
          <w:rFonts w:hint="eastAsia" w:ascii="黑体" w:hAnsi="仿宋" w:eastAsia="黑体"/>
          <w:sz w:val="18"/>
          <w:szCs w:val="18"/>
        </w:rPr>
      </w:pPr>
      <w:r>
        <w:rPr>
          <w:rFonts w:hint="eastAsia" w:ascii="黑体" w:hAnsi="仿宋" w:eastAsia="黑体"/>
          <w:sz w:val="18"/>
          <w:szCs w:val="18"/>
        </w:rPr>
        <w:t xml:space="preserve">四川省德阳市广汉市特殊教育学校                          （单位：万元） </w:t>
      </w:r>
    </w:p>
    <w:tbl>
      <w:tblPr>
        <w:tblStyle w:val="13"/>
        <w:tblW w:w="0" w:type="auto"/>
        <w:tblInd w:w="17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2127"/>
        <w:gridCol w:w="794"/>
        <w:gridCol w:w="2041"/>
      </w:tblGrid>
      <w:tr>
        <w:trPr>
          <w:trHeight w:val="265"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年度</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收入</w:t>
            </w:r>
          </w:p>
        </w:tc>
        <w:tc>
          <w:tcPr>
            <w:tcW w:w="2127" w:type="dxa"/>
          </w:tcPr>
          <w:p>
            <w:pPr>
              <w:spacing w:line="600" w:lineRule="exact"/>
              <w:rPr>
                <w:rFonts w:ascii="黑体" w:hAnsi="仿宋" w:eastAsia="黑体"/>
                <w:sz w:val="18"/>
                <w:szCs w:val="18"/>
              </w:rPr>
            </w:pPr>
            <w:r>
              <w:rPr>
                <w:rFonts w:hint="eastAsia" w:ascii="黑体" w:hAnsi="仿宋" w:eastAsia="黑体"/>
                <w:sz w:val="18"/>
                <w:szCs w:val="18"/>
              </w:rPr>
              <w:t>收入较上年增长/减少%</w:t>
            </w:r>
          </w:p>
        </w:tc>
        <w:tc>
          <w:tcPr>
            <w:tcW w:w="794"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041"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4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2018年度</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158.58</w:t>
            </w:r>
          </w:p>
        </w:tc>
        <w:tc>
          <w:tcPr>
            <w:tcW w:w="2127" w:type="dxa"/>
          </w:tcPr>
          <w:p>
            <w:pPr>
              <w:spacing w:line="600" w:lineRule="exact"/>
              <w:rPr>
                <w:rFonts w:ascii="黑体" w:hAnsi="仿宋" w:eastAsia="黑体"/>
                <w:sz w:val="18"/>
                <w:szCs w:val="18"/>
              </w:rPr>
            </w:pPr>
          </w:p>
        </w:tc>
        <w:tc>
          <w:tcPr>
            <w:tcW w:w="794"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041" w:type="dxa"/>
          </w:tcPr>
          <w:p>
            <w:pPr>
              <w:spacing w:line="600" w:lineRule="exact"/>
              <w:rPr>
                <w:rFonts w:ascii="黑体" w:hAnsi="仿宋" w:eastAsia="黑体"/>
                <w:sz w:val="18"/>
                <w:szCs w:val="18"/>
              </w:rPr>
            </w:pPr>
          </w:p>
        </w:tc>
      </w:tr>
      <w:tr>
        <w:trPr>
          <w:trHeight w:val="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 xml:space="preserve">2019年度 </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176.13</w:t>
            </w:r>
          </w:p>
        </w:tc>
        <w:tc>
          <w:tcPr>
            <w:tcW w:w="2127" w:type="dxa"/>
          </w:tcPr>
          <w:p>
            <w:pPr>
              <w:spacing w:line="600" w:lineRule="exact"/>
              <w:rPr>
                <w:rFonts w:ascii="黑体" w:hAnsi="仿宋" w:eastAsia="黑体"/>
                <w:sz w:val="18"/>
                <w:szCs w:val="18"/>
              </w:rPr>
            </w:pPr>
            <w:r>
              <w:rPr>
                <w:rFonts w:hint="eastAsia" w:ascii="黑体" w:hAnsi="仿宋" w:eastAsia="黑体"/>
                <w:sz w:val="18"/>
                <w:szCs w:val="18"/>
              </w:rPr>
              <w:t>11.07%</w:t>
            </w:r>
          </w:p>
        </w:tc>
        <w:tc>
          <w:tcPr>
            <w:tcW w:w="794"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041"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1440" w:firstLineChars="45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spacing w:line="600" w:lineRule="exact"/>
        <w:ind w:firstLine="640" w:firstLineChars="200"/>
        <w:outlineLvl w:val="1"/>
        <w:rPr>
          <w:rStyle w:val="26"/>
          <w:rFonts w:ascii="黑体" w:hAnsi="黑体" w:eastAsia="黑体"/>
          <w:b w:val="0"/>
        </w:rPr>
      </w:pPr>
      <w:bookmarkStart w:id="32" w:name="_Toc15396607"/>
      <w:bookmarkStart w:id="33"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hint="eastAsia" w:ascii="黑体" w:hAnsi="仿宋" w:eastAsia="黑体"/>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9年一般公共预算财政拨款支出187.75万元，占本年支出合计的100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8年相比，一般公共预算财政拨款增加43.36万元，增长30.03</w:t>
      </w:r>
      <w:r>
        <w:rPr>
          <w:rFonts w:ascii="仿宋" w:hAnsi="仿宋" w:eastAsia="仿宋"/>
          <w:color w:val="000000"/>
          <w:sz w:val="32"/>
          <w:szCs w:val="32"/>
        </w:rPr>
        <w:t>%</w:t>
      </w:r>
      <w:r>
        <w:rPr>
          <w:rFonts w:hint="eastAsia" w:ascii="仿宋" w:hAnsi="仿宋" w:eastAsia="仿宋"/>
          <w:color w:val="000000"/>
          <w:sz w:val="32"/>
          <w:szCs w:val="32"/>
        </w:rPr>
        <w:t>。主要变动原因是</w:t>
      </w:r>
      <w:bookmarkStart w:id="73" w:name="_GoBack"/>
      <w:bookmarkEnd w:id="73"/>
      <w:r>
        <w:rPr>
          <w:rFonts w:hint="eastAsia" w:ascii="黑体" w:hAnsi="仿宋" w:eastAsia="黑体"/>
          <w:sz w:val="32"/>
          <w:szCs w:val="32"/>
        </w:rPr>
        <w:t>学校增加了学生数、教师数以及财政部门调资以及增加养老险和年金的缴纳等。</w:t>
      </w:r>
    </w:p>
    <w:p>
      <w:pPr>
        <w:spacing w:line="600" w:lineRule="exact"/>
        <w:ind w:firstLine="2968" w:firstLineChars="1412"/>
        <w:rPr>
          <w:rFonts w:hint="eastAsia" w:ascii="黑体" w:hAnsi="仿宋" w:eastAsia="黑体"/>
          <w:b/>
          <w:szCs w:val="18"/>
        </w:rPr>
      </w:pPr>
    </w:p>
    <w:p>
      <w:pPr>
        <w:spacing w:line="600" w:lineRule="exact"/>
        <w:ind w:firstLine="2968" w:firstLineChars="1412"/>
        <w:rPr>
          <w:rFonts w:hint="eastAsia" w:ascii="黑体" w:hAnsi="仿宋" w:eastAsia="黑体"/>
          <w:b/>
          <w:szCs w:val="18"/>
        </w:rPr>
      </w:pPr>
    </w:p>
    <w:p>
      <w:pPr>
        <w:spacing w:line="600" w:lineRule="exact"/>
        <w:ind w:firstLine="2968" w:firstLineChars="1412"/>
        <w:rPr>
          <w:rFonts w:hint="eastAsia" w:ascii="黑体" w:hAnsi="仿宋" w:eastAsia="黑体"/>
          <w:b/>
          <w:szCs w:val="18"/>
        </w:rPr>
      </w:pPr>
      <w:r>
        <w:rPr>
          <w:rFonts w:hint="eastAsia" w:ascii="黑体" w:hAnsi="仿宋" w:eastAsia="黑体"/>
          <w:b/>
          <w:szCs w:val="18"/>
        </w:rPr>
        <w:t xml:space="preserve">一般公共预算财政拨款支出决算变动情况表  </w:t>
      </w:r>
    </w:p>
    <w:p>
      <w:pPr>
        <w:spacing w:line="600" w:lineRule="exact"/>
        <w:ind w:firstLine="2970" w:firstLineChars="1650"/>
        <w:rPr>
          <w:rFonts w:hint="eastAsia" w:ascii="黑体" w:hAnsi="仿宋" w:eastAsia="黑体"/>
          <w:sz w:val="18"/>
          <w:szCs w:val="18"/>
        </w:rPr>
      </w:pPr>
      <w:r>
        <w:rPr>
          <w:rFonts w:hint="eastAsia" w:ascii="黑体" w:hAnsi="仿宋" w:eastAsia="黑体"/>
          <w:sz w:val="18"/>
          <w:szCs w:val="18"/>
        </w:rPr>
        <w:t xml:space="preserve">四川省德阳市广汉市特殊教育学校  （单位：万元） </w:t>
      </w:r>
    </w:p>
    <w:tbl>
      <w:tblPr>
        <w:tblStyle w:val="13"/>
        <w:tblW w:w="0" w:type="auto"/>
        <w:tblInd w:w="3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70"/>
        <w:gridCol w:w="2410"/>
      </w:tblGrid>
      <w:tr>
        <w:trPr>
          <w:trHeight w:val="265"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年度</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410"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4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2018年度</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410" w:type="dxa"/>
          </w:tcPr>
          <w:p>
            <w:pPr>
              <w:spacing w:line="600" w:lineRule="exact"/>
              <w:rPr>
                <w:rFonts w:ascii="黑体" w:hAnsi="仿宋" w:eastAsia="黑体"/>
                <w:sz w:val="18"/>
                <w:szCs w:val="18"/>
              </w:rPr>
            </w:pPr>
          </w:p>
        </w:tc>
      </w:tr>
      <w:tr>
        <w:trPr>
          <w:trHeight w:val="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 xml:space="preserve">2019年度 </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410"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960" w:firstLineChars="3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firstLineChars="200"/>
        <w:rPr>
          <w:rFonts w:hint="eastAsia"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政拨款支出187.75万元，主要用于以下方面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147.02万元，占78.31</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文化旅游体育与传媒（类）支出0万元，占0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支出21.58万元，占11.49</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rPr>
        <w:t>7.08万元，占3.77</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；住房保障支出12.07万元，占6.43</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（罗列全部功能分类科目，至类级。）</w:t>
      </w:r>
    </w:p>
    <w:p>
      <w:pPr>
        <w:spacing w:line="600" w:lineRule="exact"/>
        <w:ind w:firstLine="2846" w:firstLineChars="1350"/>
        <w:rPr>
          <w:rFonts w:hint="eastAsia" w:ascii="仿宋" w:hAnsi="仿宋" w:eastAsia="仿宋"/>
          <w:color w:val="000000" w:themeColor="text1"/>
          <w:szCs w:val="21"/>
        </w:rPr>
      </w:pPr>
      <w:r>
        <w:rPr>
          <w:rFonts w:hint="eastAsia" w:ascii="仿宋" w:hAnsi="仿宋" w:eastAsia="仿宋"/>
          <w:b/>
          <w:color w:val="000000"/>
          <w:szCs w:val="21"/>
        </w:rPr>
        <w:t>一般公共预算财政拨款支出决算结构</w:t>
      </w:r>
      <w:r>
        <w:rPr>
          <w:rFonts w:hint="eastAsia" w:ascii="仿宋" w:hAnsi="仿宋" w:eastAsia="仿宋"/>
          <w:color w:val="000000" w:themeColor="text1"/>
          <w:szCs w:val="21"/>
        </w:rPr>
        <w:t xml:space="preserve"> 表          </w:t>
      </w:r>
    </w:p>
    <w:p>
      <w:pPr>
        <w:spacing w:line="600" w:lineRule="exact"/>
        <w:ind w:firstLine="1426" w:firstLineChars="950"/>
        <w:rPr>
          <w:rFonts w:hint="eastAsia" w:ascii="仿宋" w:hAnsi="仿宋" w:eastAsia="仿宋"/>
          <w:color w:val="000000" w:themeColor="text1"/>
          <w:sz w:val="20"/>
          <w:szCs w:val="32"/>
        </w:rPr>
      </w:pPr>
      <w:r>
        <w:rPr>
          <w:rFonts w:hint="eastAsia" w:ascii="宋体" w:hAnsi="宋体" w:cs="Arial"/>
          <w:b/>
          <w:color w:val="000000"/>
          <w:kern w:val="0"/>
          <w:sz w:val="15"/>
          <w:szCs w:val="13"/>
        </w:rPr>
        <w:t xml:space="preserve">四川省德阳市广汉市特殊教育学校                              </w:t>
      </w:r>
      <w:r>
        <w:rPr>
          <w:rFonts w:hint="eastAsia" w:ascii="仿宋" w:hAnsi="仿宋" w:eastAsia="仿宋"/>
          <w:color w:val="000000" w:themeColor="text1"/>
          <w:sz w:val="20"/>
          <w:szCs w:val="32"/>
        </w:rPr>
        <w:t>单位：万元</w:t>
      </w:r>
    </w:p>
    <w:tbl>
      <w:tblPr>
        <w:tblStyle w:val="12"/>
        <w:tblW w:w="7203" w:type="dxa"/>
        <w:tblInd w:w="1410" w:type="dxa"/>
        <w:tblLayout w:type="autofit"/>
        <w:tblCellMar>
          <w:top w:w="0" w:type="dxa"/>
          <w:left w:w="108" w:type="dxa"/>
          <w:bottom w:w="0" w:type="dxa"/>
          <w:right w:w="108" w:type="dxa"/>
        </w:tblCellMar>
      </w:tblPr>
      <w:tblGrid>
        <w:gridCol w:w="436"/>
        <w:gridCol w:w="433"/>
        <w:gridCol w:w="434"/>
        <w:gridCol w:w="2924"/>
        <w:gridCol w:w="1275"/>
        <w:gridCol w:w="1701"/>
      </w:tblGrid>
      <w:tr>
        <w:trPr>
          <w:trHeight w:val="312" w:hRule="atLeast"/>
        </w:trPr>
        <w:tc>
          <w:tcPr>
            <w:tcW w:w="13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科目编码</w:t>
            </w:r>
          </w:p>
        </w:tc>
        <w:tc>
          <w:tcPr>
            <w:tcW w:w="2924"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本年支出合计</w:t>
            </w:r>
          </w:p>
        </w:tc>
        <w:tc>
          <w:tcPr>
            <w:tcW w:w="1701"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基本支出</w:t>
            </w: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285" w:hRule="atLeast"/>
        </w:trPr>
        <w:tc>
          <w:tcPr>
            <w:tcW w:w="43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类</w:t>
            </w:r>
          </w:p>
        </w:tc>
        <w:tc>
          <w:tcPr>
            <w:tcW w:w="433"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款</w:t>
            </w:r>
          </w:p>
        </w:tc>
        <w:tc>
          <w:tcPr>
            <w:tcW w:w="434"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项</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1</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2</w:t>
            </w:r>
          </w:p>
        </w:tc>
      </w:tr>
      <w:tr>
        <w:trPr>
          <w:trHeight w:val="85" w:hRule="atLeast"/>
        </w:trPr>
        <w:tc>
          <w:tcPr>
            <w:tcW w:w="43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3"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4"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r>
      <w:tr>
        <w:trPr>
          <w:trHeight w:val="6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2080506</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2101103</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bl>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444"/>
      <w:bookmarkStart w:id="38" w:name="_Toc15377213"/>
      <w:bookmarkStart w:id="39" w:name="_Toc15378460"/>
      <w:r>
        <w:rPr>
          <w:rFonts w:hint="eastAsia" w:ascii="仿宋" w:hAnsi="仿宋" w:eastAsia="仿宋"/>
          <w:b/>
          <w:color w:val="000000" w:themeColor="text1"/>
          <w:sz w:val="32"/>
          <w:szCs w:val="32"/>
        </w:rPr>
        <w:t>2019年一般公共预算支出决算数为187.75万元</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预算100</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1.</w:t>
      </w:r>
      <w:r>
        <w:rPr>
          <w:rStyle w:val="15"/>
          <w:rFonts w:hint="eastAsia" w:ascii="仿宋" w:hAnsi="仿宋" w:eastAsia="仿宋"/>
          <w:bCs/>
          <w:color w:val="000000"/>
          <w:sz w:val="32"/>
          <w:szCs w:val="32"/>
        </w:rPr>
        <w:t>一般公共服务205（类）07（款）01（项）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2.</w:t>
      </w:r>
      <w:r>
        <w:rPr>
          <w:rStyle w:val="15"/>
          <w:rFonts w:hint="eastAsia" w:ascii="仿宋" w:hAnsi="仿宋" w:eastAsia="仿宋"/>
          <w:bCs/>
          <w:color w:val="000000"/>
          <w:sz w:val="32"/>
          <w:szCs w:val="32"/>
        </w:rPr>
        <w:t>教育205（类）07（款）01（项）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支出决算为147.02万元，完成预算88.85</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，决算数小于预算数的主要原因是上年年末结转资金18.45万元。</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3.</w:t>
      </w:r>
      <w:r>
        <w:rPr>
          <w:rStyle w:val="15"/>
          <w:rFonts w:hint="eastAsia" w:ascii="仿宋" w:hAnsi="仿宋" w:eastAsia="仿宋"/>
          <w:bCs/>
          <w:color w:val="000000"/>
          <w:sz w:val="32"/>
          <w:szCs w:val="32"/>
        </w:rPr>
        <w:t>科学技术（类）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4.</w:t>
      </w:r>
      <w:r>
        <w:rPr>
          <w:rStyle w:val="15"/>
          <w:rFonts w:hint="eastAsia" w:ascii="仿宋" w:hAnsi="仿宋" w:eastAsia="仿宋"/>
          <w:bCs/>
          <w:color w:val="000000"/>
          <w:sz w:val="32"/>
          <w:szCs w:val="32"/>
        </w:rPr>
        <w:t>文化旅游体育与传媒（类）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5.</w:t>
      </w:r>
      <w:r>
        <w:rPr>
          <w:rStyle w:val="15"/>
          <w:rFonts w:hint="eastAsia" w:ascii="仿宋" w:hAnsi="仿宋" w:eastAsia="仿宋"/>
          <w:bCs/>
          <w:color w:val="000000"/>
          <w:sz w:val="32"/>
          <w:szCs w:val="32"/>
        </w:rPr>
        <w:t>社会保障和就业208（类）05（款）05、06（项）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支出决算为21.58万元，完成预算100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，决算数等于预算数的。</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6.</w:t>
      </w:r>
      <w:r>
        <w:rPr>
          <w:rFonts w:hint="eastAsia" w:ascii="仿宋" w:hAnsi="仿宋" w:eastAsia="仿宋"/>
          <w:b/>
          <w:bCs/>
          <w:color w:val="000000" w:themeColor="text1"/>
          <w:sz w:val="32"/>
          <w:szCs w:val="32"/>
        </w:rPr>
        <w:t>卫生健康210</w:t>
      </w:r>
      <w:r>
        <w:rPr>
          <w:rStyle w:val="15"/>
          <w:rFonts w:hint="eastAsia" w:ascii="仿宋" w:hAnsi="仿宋" w:eastAsia="仿宋"/>
          <w:bCs/>
          <w:color w:val="000000"/>
          <w:sz w:val="32"/>
          <w:szCs w:val="32"/>
        </w:rPr>
        <w:t>（类）11（款）02、03（项）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支出决算为7.08万元，完成预算100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tabs>
          <w:tab w:val="right" w:pos="8306"/>
        </w:tabs>
        <w:spacing w:line="600" w:lineRule="exact"/>
        <w:ind w:firstLine="640"/>
        <w:outlineLvl w:val="1"/>
        <w:rPr>
          <w:rStyle w:val="26"/>
        </w:rPr>
      </w:pPr>
      <w:bookmarkStart w:id="40" w:name="_Toc15396608"/>
      <w:bookmarkStart w:id="41"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0"/>
      <w:bookmarkEnd w:id="41"/>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9年一般公共预算财政拨款基本支出187.75万元，其中：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136.59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51.16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6"/>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800" w:firstLineChars="250"/>
        <w:rPr>
          <w:rFonts w:hint="eastAsia" w:ascii="仿宋" w:hAnsi="仿宋" w:eastAsia="仿宋"/>
          <w:color w:val="000000"/>
          <w:sz w:val="32"/>
          <w:szCs w:val="32"/>
        </w:rPr>
      </w:pPr>
      <w:r>
        <w:rPr>
          <w:rFonts w:hint="eastAsia" w:ascii="仿宋" w:hAnsi="仿宋" w:eastAsia="仿宋"/>
          <w:color w:val="000000"/>
          <w:sz w:val="32"/>
          <w:szCs w:val="32"/>
        </w:rPr>
        <w:t>我单位2019年没有三公经费财政拨款支出。</w:t>
      </w:r>
    </w:p>
    <w:p>
      <w:pPr>
        <w:spacing w:line="600" w:lineRule="exact"/>
        <w:ind w:firstLine="800" w:firstLineChars="25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。主要原因无</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w:t>
      </w:r>
      <w:r>
        <w:rPr>
          <w:rFonts w:ascii="仿宋_GB2312" w:eastAsia="仿宋_GB2312"/>
          <w:color w:val="000000"/>
          <w:sz w:val="32"/>
          <w:szCs w:val="32"/>
        </w:rPr>
        <w:t>**</w:t>
      </w:r>
      <w:r>
        <w:rPr>
          <w:rFonts w:hint="eastAsia" w:ascii="仿宋_GB2312" w:eastAsia="仿宋_GB2312"/>
          <w:color w:val="000000"/>
          <w:sz w:val="32"/>
          <w:szCs w:val="32"/>
        </w:rPr>
        <w:t>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w:t>
      </w:r>
      <w:r>
        <w:rPr>
          <w:rFonts w:ascii="仿宋_GB2312" w:eastAsia="仿宋_GB2312"/>
          <w:color w:val="000000" w:themeColor="text1"/>
          <w:sz w:val="32"/>
          <w:szCs w:val="32"/>
        </w:rPr>
        <w:t>…</w:t>
      </w:r>
      <w:r>
        <w:rPr>
          <w:rFonts w:hint="eastAsia" w:ascii="仿宋_GB2312" w:eastAsia="仿宋_GB2312"/>
          <w:color w:val="000000" w:themeColor="text1"/>
          <w:sz w:val="32"/>
          <w:szCs w:val="32"/>
        </w:rPr>
        <w:t>（具体项目）</w:t>
      </w:r>
    </w:p>
    <w:p>
      <w:pPr>
        <w:spacing w:line="600" w:lineRule="exact"/>
        <w:ind w:firstLine="640"/>
        <w:outlineLvl w:val="1"/>
        <w:rPr>
          <w:rStyle w:val="26"/>
          <w:rFonts w:ascii="黑体" w:hAnsi="黑体" w:eastAsia="黑体"/>
        </w:rPr>
      </w:pPr>
      <w:bookmarkStart w:id="46" w:name="_Toc15396610"/>
      <w:bookmarkStart w:id="47" w:name="_Toc15377218"/>
      <w:r>
        <w:rPr>
          <w:rFonts w:hint="eastAsia" w:ascii="黑体" w:eastAsia="黑体"/>
          <w:color w:val="000000"/>
          <w:sz w:val="32"/>
          <w:szCs w:val="32"/>
        </w:rPr>
        <w:t>八、</w:t>
      </w:r>
      <w:r>
        <w:rPr>
          <w:rStyle w:val="26"/>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numPr>
          <w:ilvl w:val="0"/>
          <w:numId w:val="2"/>
        </w:numPr>
        <w:spacing w:line="600" w:lineRule="exact"/>
        <w:ind w:firstLine="640"/>
        <w:outlineLvl w:val="1"/>
        <w:rPr>
          <w:rStyle w:val="26"/>
          <w:rFonts w:ascii="黑体" w:hAnsi="黑体" w:eastAsia="黑体"/>
          <w:b w:val="0"/>
        </w:rPr>
      </w:pPr>
      <w:bookmarkStart w:id="48" w:name="_Toc15396611"/>
      <w:bookmarkStart w:id="49" w:name="_Toc15377219"/>
      <w:r>
        <w:rPr>
          <w:rStyle w:val="26"/>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600" w:lineRule="exact"/>
        <w:ind w:firstLine="800" w:firstLineChars="250"/>
        <w:outlineLvl w:val="1"/>
        <w:rPr>
          <w:rStyle w:val="26"/>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6"/>
          <w:rFonts w:hint="eastAsia" w:ascii="黑体" w:hAnsi="黑体" w:eastAsia="黑体"/>
        </w:rPr>
        <w:t>、</w:t>
      </w:r>
      <w:r>
        <w:rPr>
          <w:rStyle w:val="26"/>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特殊教育学校政府采购支出总额11万元，其中：政府采购货物支出11万元、政府采购工程支出0万元、政府采购服务支出0万元。主要用于教学工作用电脑和办公用空调设备（具体工作）。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，其中：授予小微企业合同金额11万元，占政府采购支出总额的100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日，特殊教育学校共有车辆0辆，其中：主要领导干部用车0辆、机要通信用车0辆、应急保障用车0辆、其他用车0辆……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本部门按要求对2019年部门整体支出开展绩效自评，从评价情况来看：</w:t>
      </w:r>
      <w:r>
        <w:rPr>
          <w:rFonts w:hint="eastAsia" w:ascii="Tahoma" w:hAnsi="Tahoma" w:cs="Tahoma"/>
          <w:color w:val="000000"/>
          <w:kern w:val="0"/>
          <w:sz w:val="28"/>
          <w:szCs w:val="28"/>
        </w:rPr>
        <w:t>本年度我单位在上机部门的领导和帮助下，顺利开展特殊教育教学工作，残疾学生入学巩固率100%，专任教师比例100%，培养在校学生81人，送教上门学生数十位，社会群众和家长满意度达到了95%及以上。</w:t>
      </w:r>
      <w:r>
        <w:rPr>
          <w:rFonts w:hint="eastAsia" w:ascii="仿宋_GB2312" w:hAnsi="仿宋_GB2312" w:eastAsia="仿宋_GB2312" w:cs="仿宋_GB2312"/>
          <w:sz w:val="32"/>
          <w:szCs w:val="32"/>
        </w:rPr>
        <w:t>本部门无专项预算项目，因此未组织开展项目支出绩效评价。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1.项目绩效目标完成情况。（无）</w:t>
      </w: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本部门按要求对2019年部门整体支出绩效评价情况开展自评，《广汉市特殊教育学校部门2019年部门整体支出绩效评价报告》见附件（附件1）。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本部门无项目绩效评价</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25"/>
          <w:rFonts w:ascii="黑体" w:hAnsi="黑体" w:eastAsia="黑体"/>
          <w:b w:val="0"/>
        </w:rPr>
      </w:pPr>
      <w:bookmarkStart w:id="55" w:name="_Toc15377225"/>
      <w:bookmarkStart w:id="56" w:name="_Toc15396613"/>
      <w:r>
        <w:rPr>
          <w:rFonts w:hint="eastAsia" w:ascii="黑体" w:hAnsi="黑体" w:eastAsia="黑体"/>
          <w:color w:val="000000"/>
          <w:sz w:val="44"/>
          <w:szCs w:val="44"/>
        </w:rPr>
        <w:t>名</w:t>
      </w:r>
      <w:r>
        <w:rPr>
          <w:rStyle w:val="25"/>
          <w:rFonts w:hint="eastAsia" w:ascii="黑体" w:hAnsi="黑体" w:eastAsia="黑体"/>
          <w:b w:val="0"/>
        </w:rPr>
        <w:t>词解释</w:t>
      </w:r>
      <w:bookmarkEnd w:id="55"/>
      <w:bookmarkEnd w:id="56"/>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教育205（类）07（款）01（项）：指特殊学校教育。</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社会保障和就业208（类）05（款）05、06（项）：指机关事业单位基本养老保险缴费支出、机关事业单位职业年金缴费支出。</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医疗卫生与计划生育210（类）11（款）02、03（项）：指事业单位医疗、公务员医疗补助。210（类）99（款）01（项）是指其他卫生健康支出。</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住房保障221（类）02（款）01（项）：指住房公积金。</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5"/>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adjustRightInd w:val="0"/>
        <w:snapToGrid w:val="0"/>
        <w:spacing w:line="580" w:lineRule="exact"/>
        <w:jc w:val="center"/>
        <w:rPr>
          <w:rFonts w:ascii="方正小标宋简体" w:eastAsia="方正小标宋简体"/>
          <w:kern w:val="0"/>
          <w:sz w:val="44"/>
          <w:szCs w:val="44"/>
        </w:rPr>
      </w:pPr>
      <w:r>
        <w:rPr>
          <w:rFonts w:hint="eastAsia" w:ascii="方正小标宋简体" w:eastAsia="方正小标宋简体"/>
          <w:kern w:val="0"/>
          <w:sz w:val="44"/>
          <w:szCs w:val="44"/>
        </w:rPr>
        <w:t>2019年广汉市特殊教育学校部门整体支出</w:t>
      </w:r>
    </w:p>
    <w:p>
      <w:pPr>
        <w:adjustRightInd w:val="0"/>
        <w:snapToGrid w:val="0"/>
        <w:spacing w:line="580" w:lineRule="exact"/>
        <w:jc w:val="center"/>
        <w:rPr>
          <w:rFonts w:ascii="方正小标宋简体" w:eastAsia="方正小标宋简体"/>
          <w:kern w:val="0"/>
          <w:sz w:val="44"/>
          <w:szCs w:val="44"/>
        </w:rPr>
      </w:pPr>
      <w:r>
        <w:rPr>
          <w:rFonts w:hint="eastAsia" w:ascii="方正小标宋简体" w:eastAsia="方正小标宋简体"/>
          <w:kern w:val="0"/>
          <w:sz w:val="44"/>
          <w:szCs w:val="44"/>
        </w:rPr>
        <w:t>绩效评价报告</w:t>
      </w:r>
    </w:p>
    <w:p>
      <w:pPr>
        <w:autoSpaceDE w:val="0"/>
        <w:autoSpaceDN w:val="0"/>
        <w:adjustRightInd w:val="0"/>
        <w:spacing w:line="580" w:lineRule="exact"/>
        <w:jc w:val="left"/>
        <w:rPr>
          <w:rFonts w:ascii="黑体" w:eastAsia="黑体"/>
          <w:kern w:val="0"/>
          <w:sz w:val="32"/>
          <w:szCs w:val="32"/>
        </w:rPr>
      </w:pPr>
      <w:r>
        <w:rPr>
          <w:rFonts w:hint="eastAsia" w:ascii="黑体" w:eastAsia="黑体"/>
          <w:kern w:val="0"/>
          <w:sz w:val="32"/>
          <w:szCs w:val="32"/>
        </w:rPr>
        <w:t>一、部门（单位）概况</w:t>
      </w:r>
    </w:p>
    <w:p>
      <w:pPr>
        <w:snapToGrid w:val="0"/>
        <w:spacing w:line="588" w:lineRule="exact"/>
        <w:ind w:firstLine="280" w:firstLineChars="100"/>
        <w:rPr>
          <w:rFonts w:ascii="宋体" w:hAnsi="宋体"/>
          <w:sz w:val="28"/>
          <w:szCs w:val="28"/>
        </w:rPr>
      </w:pPr>
      <w:r>
        <w:rPr>
          <w:rFonts w:hint="eastAsia" w:ascii="仿宋_GB2312" w:hAnsi="仿宋" w:eastAsia="仿宋_GB2312"/>
          <w:sz w:val="28"/>
          <w:szCs w:val="28"/>
        </w:rPr>
        <w:t>主要职能是：</w:t>
      </w:r>
      <w:r>
        <w:rPr>
          <w:rFonts w:hint="eastAsia" w:ascii="仿宋_GB2312" w:hAnsi="宋体" w:eastAsia="仿宋_GB2312"/>
          <w:sz w:val="28"/>
          <w:szCs w:val="28"/>
        </w:rPr>
        <w:t>一切为了让残障孩子平等参与社会生活，成为适应社会发展的合格公民奠定基础。主要招收广汉市境内的盲、聋哑、弱智儿童，使他们接受规定年限的义务教育。学校主要招收广汉市境内的有教育可能性的残疾儿童入学，并根据残障学生身心特点和需要实施教育，坚持“以人为本、科学发展”的办学思想，努力为残障学生提供优质的教育服务，培养他们自尊、自信、自强、自立的精神。</w:t>
      </w:r>
      <w:r>
        <w:rPr>
          <w:rFonts w:hint="eastAsia" w:ascii="宋体" w:hAnsi="宋体"/>
          <w:sz w:val="28"/>
          <w:szCs w:val="28"/>
        </w:rPr>
        <w:t>年末独立编制机构数为1。</w:t>
      </w:r>
      <w:r>
        <w:rPr>
          <w:rFonts w:hint="eastAsia" w:ascii="仿宋_GB2312" w:hAnsi="仿宋" w:eastAsia="仿宋_GB2312"/>
          <w:sz w:val="28"/>
          <w:szCs w:val="28"/>
        </w:rPr>
        <w:t>机构人员年初为12人，年末为13人。</w:t>
      </w:r>
    </w:p>
    <w:p>
      <w:pPr>
        <w:autoSpaceDE w:val="0"/>
        <w:autoSpaceDN w:val="0"/>
        <w:adjustRightInd w:val="0"/>
        <w:spacing w:line="580" w:lineRule="exact"/>
        <w:ind w:firstLine="280" w:firstLineChars="100"/>
        <w:jc w:val="left"/>
        <w:rPr>
          <w:rFonts w:ascii="楷体_GB2312" w:eastAsia="楷体_GB2312"/>
          <w:kern w:val="0"/>
          <w:sz w:val="28"/>
          <w:szCs w:val="28"/>
        </w:rPr>
      </w:pPr>
      <w:r>
        <w:rPr>
          <w:rFonts w:hint="eastAsia" w:ascii="仿宋_GB2312" w:hAnsi="仿宋" w:eastAsia="仿宋_GB2312"/>
          <w:sz w:val="28"/>
          <w:szCs w:val="28"/>
        </w:rPr>
        <w:t>本年我校主要工作是对全市入校智障学生的教育教学，教给他们一定的知识，训练培养他们的各种生活技能。</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二、预算管理情况</w:t>
      </w:r>
    </w:p>
    <w:p>
      <w:pPr>
        <w:snapToGrid w:val="0"/>
        <w:spacing w:line="588" w:lineRule="exact"/>
        <w:ind w:firstLine="560" w:firstLineChars="200"/>
        <w:rPr>
          <w:rFonts w:ascii="黑体" w:hAnsi="仿宋" w:eastAsia="黑体"/>
          <w:sz w:val="28"/>
          <w:szCs w:val="28"/>
        </w:rPr>
      </w:pPr>
      <w:r>
        <w:rPr>
          <w:rFonts w:hint="eastAsia" w:ascii="黑体" w:eastAsia="黑体"/>
          <w:kern w:val="0"/>
          <w:sz w:val="28"/>
          <w:szCs w:val="28"/>
        </w:rPr>
        <w:t>（一）预算编制情况。</w:t>
      </w:r>
      <w:r>
        <w:rPr>
          <w:rFonts w:hint="eastAsia" w:ascii="黑体" w:hAnsi="仿宋" w:eastAsia="黑体"/>
          <w:sz w:val="28"/>
          <w:szCs w:val="28"/>
        </w:rPr>
        <w:t>本年收入预算数为126.37万元，其中：工资福利支出80.11，商品和服务支出1.92，对个人和家庭的补助0.03，社会保障和就业支出24.57，卫生健康支出7.97，住房保障支出11.77.本年支出基本支出为187.75万元基本支出中：工资福利支出135.16万元，占总支出71.99%；商品和服务支出40.15万元，占总支出的21.39%，对个人和家庭的补助支出1.43万元，占总支出的0.76%；资本性支出11.01万元，占总支出的5.86%。</w:t>
      </w:r>
    </w:p>
    <w:p>
      <w:pPr>
        <w:autoSpaceDE w:val="0"/>
        <w:autoSpaceDN w:val="0"/>
        <w:adjustRightInd w:val="0"/>
        <w:spacing w:line="580" w:lineRule="exact"/>
        <w:ind w:firstLine="560" w:firstLineChars="200"/>
        <w:jc w:val="left"/>
        <w:rPr>
          <w:rFonts w:ascii="黑体" w:eastAsia="黑体"/>
          <w:kern w:val="0"/>
          <w:sz w:val="28"/>
          <w:szCs w:val="28"/>
        </w:rPr>
      </w:pPr>
      <w:r>
        <w:rPr>
          <w:rFonts w:hint="eastAsia" w:ascii="黑体" w:eastAsia="黑体"/>
          <w:kern w:val="0"/>
          <w:sz w:val="28"/>
          <w:szCs w:val="28"/>
        </w:rPr>
        <w:t>（二）预算执行情况。</w:t>
      </w:r>
      <w:r>
        <w:rPr>
          <w:rFonts w:hint="eastAsia" w:ascii="黑体" w:hAnsi="仿宋" w:eastAsia="黑体"/>
          <w:sz w:val="28"/>
          <w:szCs w:val="28"/>
        </w:rPr>
        <w:t>本年预算执行情况：基本支出为187.75万元基本支出中：工资福利支出135.16万元，占总支出71.99%；商品和服务支出40.16万元，占总支出的21.39%，对个人和家庭的补助支出1.43万元，占总支出的0.76%；资本性支出11.01万元，占总支出的5.86%。无项目支出</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三、部门管理情况</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本年度我校在财务管理方面严格按照财务制度和上级部门的要求进行，按时按要求进行预决算，日常财务业务处理，决算组织、编报、审核，积极完成各项任务。</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我单位三公”经费支出情况：无三公经费</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我单位资产管理使用专用资产管理系统，按时录入新增资产，按期进行资产盘点，积极完成资产月报和年报。</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我单位在2019年购买了四川省博众慧瑞信息技术有限公司的政府财务报告编报服务</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四、部门履职效能</w:t>
      </w:r>
    </w:p>
    <w:p>
      <w:pPr>
        <w:spacing w:line="580" w:lineRule="exact"/>
        <w:ind w:firstLine="560" w:firstLineChars="200"/>
        <w:rPr>
          <w:rFonts w:ascii="黑体" w:eastAsia="黑体"/>
          <w:kern w:val="0"/>
          <w:sz w:val="28"/>
          <w:szCs w:val="28"/>
        </w:rPr>
      </w:pPr>
      <w:r>
        <w:rPr>
          <w:rFonts w:hint="eastAsia" w:ascii="黑体" w:eastAsia="黑体"/>
          <w:kern w:val="0"/>
          <w:sz w:val="28"/>
          <w:szCs w:val="28"/>
        </w:rPr>
        <w:t>（一）部门履职的年度总体目标。本年度我单位各部门认真履行各部门的职责，实现了2019年单位的年度总体目标，完成了对全市智障学生的教育和培养，使他们具备了一定的适应社会生活的技能，为以后融入社会打下一定的基础。</w:t>
      </w:r>
    </w:p>
    <w:p>
      <w:pPr>
        <w:spacing w:line="580" w:lineRule="exact"/>
        <w:ind w:firstLine="560" w:firstLineChars="200"/>
        <w:rPr>
          <w:rFonts w:ascii="黑体" w:eastAsia="黑体"/>
          <w:kern w:val="0"/>
          <w:sz w:val="28"/>
          <w:szCs w:val="28"/>
        </w:rPr>
      </w:pPr>
      <w:r>
        <w:rPr>
          <w:rFonts w:hint="eastAsia" w:ascii="黑体" w:eastAsia="黑体"/>
          <w:kern w:val="0"/>
          <w:sz w:val="28"/>
          <w:szCs w:val="28"/>
        </w:rPr>
        <w:t>（二）重点工作任务绩效目标完成情况。</w:t>
      </w:r>
    </w:p>
    <w:p>
      <w:pPr>
        <w:ind w:firstLine="280" w:firstLineChars="100"/>
        <w:rPr>
          <w:rFonts w:ascii="黑体" w:hAnsi="Tahoma" w:eastAsia="黑体" w:cs="Tahoma"/>
          <w:color w:val="000000"/>
          <w:kern w:val="0"/>
          <w:sz w:val="28"/>
          <w:szCs w:val="28"/>
        </w:rPr>
      </w:pPr>
      <w:r>
        <w:rPr>
          <w:rFonts w:hint="eastAsia" w:ascii="黑体" w:hAnsi="Tahoma" w:eastAsia="黑体" w:cs="Tahoma"/>
          <w:color w:val="000000"/>
          <w:kern w:val="0"/>
          <w:sz w:val="28"/>
          <w:szCs w:val="28"/>
        </w:rPr>
        <w:t xml:space="preserve">本年度我单位在上机部门的领导和帮助下，顺利开展特殊教育教学工作，残疾学生入学巩固率100%，专任教师比例100%，培养在校学生81人，送教上门学生数十位，社会群众和家长满意度达到了95%及以上。 </w:t>
      </w:r>
    </w:p>
    <w:p>
      <w:pPr>
        <w:ind w:firstLine="280" w:firstLineChars="100"/>
        <w:rPr>
          <w:rFonts w:ascii="黑体" w:hAnsi="Tahoma" w:eastAsia="黑体" w:cs="Tahoma"/>
          <w:color w:val="000000"/>
          <w:kern w:val="0"/>
          <w:sz w:val="28"/>
          <w:szCs w:val="28"/>
        </w:rPr>
      </w:pPr>
      <w:r>
        <w:rPr>
          <w:rFonts w:hint="eastAsia" w:ascii="黑体" w:eastAsia="黑体"/>
          <w:kern w:val="0"/>
          <w:sz w:val="28"/>
          <w:szCs w:val="28"/>
        </w:rPr>
        <w:t>本年度我单位一共</w:t>
      </w:r>
      <w:r>
        <w:rPr>
          <w:rFonts w:hint="eastAsia" w:ascii="黑体" w:hAnsi="Tahoma" w:eastAsia="黑体" w:cs="Tahoma"/>
          <w:color w:val="000000"/>
          <w:kern w:val="0"/>
          <w:sz w:val="28"/>
          <w:szCs w:val="28"/>
        </w:rPr>
        <w:t xml:space="preserve">支付2019年人员经费、日常公用经费等187.75万元。其中：2019年特殊学校教育147.02；2019年教师公积金12.07； 2019年教师养老险14.75；2019年教师年金6.82；2019年教师医疗险5.26； 2019年教师医疗补助1.4；生育险0.43。 </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五、评价结论及措施</w:t>
      </w:r>
    </w:p>
    <w:p>
      <w:pPr>
        <w:spacing w:line="580" w:lineRule="exact"/>
        <w:ind w:firstLine="640" w:firstLineChars="200"/>
        <w:rPr>
          <w:rFonts w:ascii="黑体" w:eastAsia="黑体"/>
          <w:kern w:val="0"/>
          <w:sz w:val="32"/>
          <w:szCs w:val="32"/>
        </w:rPr>
      </w:pPr>
      <w:r>
        <w:rPr>
          <w:rFonts w:hint="eastAsia" w:ascii="黑体" w:eastAsia="黑体"/>
          <w:kern w:val="0"/>
          <w:sz w:val="32"/>
          <w:szCs w:val="32"/>
        </w:rPr>
        <w:t>本年度我单位评价结论良好，但还是存在一些问题：对于年度总体目标和绩效目标的概念理解不全面，在填制总体目标和绩效目标时缺乏一定的方法，希望上级部门对学校的该项工作做进一步和具体的实在的操作培训。</w:t>
      </w: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绩效评价报告（无）</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9"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6"/>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6"/>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63"/>
    </w:p>
    <w:p>
      <w:pPr>
        <w:pStyle w:val="3"/>
        <w:rPr>
          <w:rStyle w:val="26"/>
          <w:rFonts w:ascii="仿宋" w:hAnsi="仿宋" w:eastAsia="仿宋"/>
          <w:b w:val="0"/>
          <w:bCs w:val="0"/>
        </w:rPr>
      </w:pPr>
      <w:bookmarkStart w:id="64"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567" w:bottom="1440" w:left="56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0000000000000000000"/>
    <w:charset w:val="86"/>
    <w:family w:val="modern"/>
    <w:pitch w:val="default"/>
    <w:sig w:usb0="00000000" w:usb1="00000000" w:usb2="00000016" w:usb3="00000000" w:csb0="00040001" w:csb1="00000000"/>
  </w:font>
  <w:font w:name="方正小标宋简体">
    <w:altName w:val="汉仪书宋二KW"/>
    <w:panose1 w:val="00000000000000000000"/>
    <w:charset w:val="86"/>
    <w:family w:val="script"/>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Tahoma">
    <w:panose1 w:val="020B0604030504040204"/>
    <w:charset w:val="00"/>
    <w:family w:val="swiss"/>
    <w:pitch w:val="default"/>
    <w:sig w:usb0="E1002AFF" w:usb1="C000605B" w:usb2="00000029" w:usb3="00000000" w:csb0="200101FF" w:csb1="20280000"/>
  </w:font>
  <w:font w:name="楷体_GB2312">
    <w:altName w:val="汉仪楷体简"/>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5</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222C6"/>
    <w:rsid w:val="0002549F"/>
    <w:rsid w:val="00041280"/>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273D1"/>
    <w:rsid w:val="00142216"/>
    <w:rsid w:val="00144D6A"/>
    <w:rsid w:val="0014729F"/>
    <w:rsid w:val="0015469F"/>
    <w:rsid w:val="00157BAB"/>
    <w:rsid w:val="00160945"/>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24A22"/>
    <w:rsid w:val="00235629"/>
    <w:rsid w:val="0024151B"/>
    <w:rsid w:val="00260C38"/>
    <w:rsid w:val="002616C0"/>
    <w:rsid w:val="00265372"/>
    <w:rsid w:val="002662AA"/>
    <w:rsid w:val="00280496"/>
    <w:rsid w:val="00294DC9"/>
    <w:rsid w:val="00295495"/>
    <w:rsid w:val="002A31DE"/>
    <w:rsid w:val="002B2613"/>
    <w:rsid w:val="002C20D5"/>
    <w:rsid w:val="002D19B0"/>
    <w:rsid w:val="002D6D05"/>
    <w:rsid w:val="002F1818"/>
    <w:rsid w:val="002F567B"/>
    <w:rsid w:val="003216A9"/>
    <w:rsid w:val="00335A74"/>
    <w:rsid w:val="0036344B"/>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039"/>
    <w:rsid w:val="00443880"/>
    <w:rsid w:val="004464F4"/>
    <w:rsid w:val="004557A8"/>
    <w:rsid w:val="00467FD3"/>
    <w:rsid w:val="00471401"/>
    <w:rsid w:val="00473456"/>
    <w:rsid w:val="00473F31"/>
    <w:rsid w:val="0048263A"/>
    <w:rsid w:val="00487E5D"/>
    <w:rsid w:val="004A711F"/>
    <w:rsid w:val="004B199D"/>
    <w:rsid w:val="004B4690"/>
    <w:rsid w:val="004E0A2D"/>
    <w:rsid w:val="004E206B"/>
    <w:rsid w:val="004E6DF7"/>
    <w:rsid w:val="004F0FBD"/>
    <w:rsid w:val="004F403E"/>
    <w:rsid w:val="004F60AC"/>
    <w:rsid w:val="00505A47"/>
    <w:rsid w:val="00512FDA"/>
    <w:rsid w:val="00520DA0"/>
    <w:rsid w:val="00553250"/>
    <w:rsid w:val="005664BB"/>
    <w:rsid w:val="00566FFA"/>
    <w:rsid w:val="0057481D"/>
    <w:rsid w:val="00575F0B"/>
    <w:rsid w:val="0058486E"/>
    <w:rsid w:val="00585B33"/>
    <w:rsid w:val="0059014D"/>
    <w:rsid w:val="005B5C64"/>
    <w:rsid w:val="005C6BD0"/>
    <w:rsid w:val="005C6C4C"/>
    <w:rsid w:val="005D1C8B"/>
    <w:rsid w:val="005D468D"/>
    <w:rsid w:val="005D5CED"/>
    <w:rsid w:val="005E6834"/>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3B66"/>
    <w:rsid w:val="00657DD8"/>
    <w:rsid w:val="00662CDB"/>
    <w:rsid w:val="0066343B"/>
    <w:rsid w:val="00664777"/>
    <w:rsid w:val="006748A4"/>
    <w:rsid w:val="00681A31"/>
    <w:rsid w:val="00683E73"/>
    <w:rsid w:val="00690B57"/>
    <w:rsid w:val="006A3141"/>
    <w:rsid w:val="006A5E34"/>
    <w:rsid w:val="006B2422"/>
    <w:rsid w:val="006B2B9A"/>
    <w:rsid w:val="006C1937"/>
    <w:rsid w:val="006E395E"/>
    <w:rsid w:val="006F020C"/>
    <w:rsid w:val="006F128E"/>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2DB"/>
    <w:rsid w:val="007F2C2F"/>
    <w:rsid w:val="007F55FC"/>
    <w:rsid w:val="007F5665"/>
    <w:rsid w:val="00800112"/>
    <w:rsid w:val="008130E5"/>
    <w:rsid w:val="00813348"/>
    <w:rsid w:val="008253BB"/>
    <w:rsid w:val="00833962"/>
    <w:rsid w:val="0083706E"/>
    <w:rsid w:val="008408F6"/>
    <w:rsid w:val="008423A5"/>
    <w:rsid w:val="0084526E"/>
    <w:rsid w:val="00845F3C"/>
    <w:rsid w:val="00850625"/>
    <w:rsid w:val="00853718"/>
    <w:rsid w:val="00855221"/>
    <w:rsid w:val="008602A2"/>
    <w:rsid w:val="00860645"/>
    <w:rsid w:val="008614B2"/>
    <w:rsid w:val="00871F71"/>
    <w:rsid w:val="00872FD8"/>
    <w:rsid w:val="00885AF4"/>
    <w:rsid w:val="008939CD"/>
    <w:rsid w:val="008B60AD"/>
    <w:rsid w:val="008B768C"/>
    <w:rsid w:val="008C4DB1"/>
    <w:rsid w:val="008C4EAF"/>
    <w:rsid w:val="008C5176"/>
    <w:rsid w:val="008C7FD0"/>
    <w:rsid w:val="008E1DE7"/>
    <w:rsid w:val="008E707C"/>
    <w:rsid w:val="00900B08"/>
    <w:rsid w:val="00902155"/>
    <w:rsid w:val="00902FA3"/>
    <w:rsid w:val="00910906"/>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97F27"/>
    <w:rsid w:val="009B2C43"/>
    <w:rsid w:val="009B4EAE"/>
    <w:rsid w:val="009B7573"/>
    <w:rsid w:val="009C22F4"/>
    <w:rsid w:val="009C2E98"/>
    <w:rsid w:val="009C37FB"/>
    <w:rsid w:val="009D3447"/>
    <w:rsid w:val="009D4711"/>
    <w:rsid w:val="009E3CD5"/>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117D"/>
    <w:rsid w:val="00A733B2"/>
    <w:rsid w:val="00A741C2"/>
    <w:rsid w:val="00A84427"/>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401"/>
    <w:rsid w:val="00B14E76"/>
    <w:rsid w:val="00B161B8"/>
    <w:rsid w:val="00B2048C"/>
    <w:rsid w:val="00B206CC"/>
    <w:rsid w:val="00B303B6"/>
    <w:rsid w:val="00B310B9"/>
    <w:rsid w:val="00B35F3F"/>
    <w:rsid w:val="00B36CBB"/>
    <w:rsid w:val="00B3718B"/>
    <w:rsid w:val="00B425E0"/>
    <w:rsid w:val="00B440AA"/>
    <w:rsid w:val="00B44489"/>
    <w:rsid w:val="00B44B70"/>
    <w:rsid w:val="00B53C56"/>
    <w:rsid w:val="00B57DAF"/>
    <w:rsid w:val="00B77EA6"/>
    <w:rsid w:val="00B81598"/>
    <w:rsid w:val="00B82D0B"/>
    <w:rsid w:val="00B841F1"/>
    <w:rsid w:val="00B944D6"/>
    <w:rsid w:val="00B96A70"/>
    <w:rsid w:val="00BB4DF0"/>
    <w:rsid w:val="00BC289F"/>
    <w:rsid w:val="00BC2D50"/>
    <w:rsid w:val="00BC5361"/>
    <w:rsid w:val="00BC5460"/>
    <w:rsid w:val="00BC5DD2"/>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D5E30"/>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805F1"/>
    <w:rsid w:val="00D81118"/>
    <w:rsid w:val="00D95E94"/>
    <w:rsid w:val="00DA634F"/>
    <w:rsid w:val="00DA65AC"/>
    <w:rsid w:val="00DB1913"/>
    <w:rsid w:val="00DC410D"/>
    <w:rsid w:val="00DC5A81"/>
    <w:rsid w:val="00DC68CA"/>
    <w:rsid w:val="00DC7CBA"/>
    <w:rsid w:val="00DD73B7"/>
    <w:rsid w:val="00DE2855"/>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02DA"/>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B53E5"/>
    <w:rsid w:val="00FD3CC1"/>
    <w:rsid w:val="00FF1E02"/>
    <w:rsid w:val="00FF30B4"/>
    <w:rsid w:val="10C055FF"/>
    <w:rsid w:val="16BB723D"/>
    <w:rsid w:val="17FFD271"/>
    <w:rsid w:val="240371BF"/>
    <w:rsid w:val="29FD04D3"/>
    <w:rsid w:val="319F7F4E"/>
    <w:rsid w:val="4ECE2238"/>
    <w:rsid w:val="72734D90"/>
    <w:rsid w:val="DBFEC01C"/>
    <w:rsid w:val="FF1B313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link w:val="22"/>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23</Pages>
  <Words>1707</Words>
  <Characters>9732</Characters>
  <Lines>81</Lines>
  <Paragraphs>22</Paragraphs>
  <TotalTime>841</TotalTime>
  <ScaleCrop>false</ScaleCrop>
  <LinksUpToDate>false</LinksUpToDate>
  <CharactersWithSpaces>11417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2020-07-23T10:58:00Z</cp:lastPrinted>
  <dcterms:modified xsi:type="dcterms:W3CDTF">2025-03-03T14:43:08Z</dcterms:modified>
  <dc:title>四川省***</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E909405B825AC0F7624FC567352FF2D7_42</vt:lpwstr>
  </property>
</Properties>
</file>