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475"/>
      <w:bookmarkStart w:id="2" w:name="_Toc15396597"/>
      <w:bookmarkStart w:id="3" w:name="_Toc15377193"/>
      <w:bookmarkStart w:id="4" w:name="_Toc15378441"/>
      <w:bookmarkStart w:id="5" w:name="_Toc15377425"/>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hint="eastAsia" w:ascii="方正小标宋简体" w:hAnsi="宋体" w:eastAsia="方正小标宋简体"/>
          <w:color w:val="000000"/>
          <w:sz w:val="72"/>
          <w:szCs w:val="72"/>
        </w:rPr>
      </w:pPr>
      <w:bookmarkStart w:id="6" w:name="_Toc15377194"/>
      <w:bookmarkStart w:id="7" w:name="_Toc15396476"/>
      <w:bookmarkStart w:id="8" w:name="_Toc15396598"/>
      <w:bookmarkStart w:id="9" w:name="_Toc15377426"/>
      <w:bookmarkStart w:id="10" w:name="_Toc15378442"/>
      <w:r>
        <w:rPr>
          <w:rFonts w:hint="eastAsia" w:ascii="方正小标宋简体" w:hAnsi="宋体" w:eastAsia="方正小标宋简体"/>
          <w:color w:val="000000"/>
          <w:sz w:val="72"/>
          <w:szCs w:val="72"/>
        </w:rPr>
        <w:t>四川省</w:t>
      </w:r>
      <w:bookmarkEnd w:id="0"/>
      <w:bookmarkStart w:id="11" w:name="_Toc15306268"/>
      <w:r>
        <w:rPr>
          <w:rFonts w:hint="eastAsia" w:ascii="方正小标宋简体" w:hAnsi="宋体" w:eastAsia="方正小标宋简体"/>
          <w:color w:val="000000"/>
          <w:sz w:val="72"/>
          <w:szCs w:val="72"/>
          <w:lang w:eastAsia="zh-CN"/>
        </w:rPr>
        <w:t>广汉市实验小学</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r>
        <w:rPr>
          <w:rFonts w:hint="eastAsia" w:ascii="方正小标宋简体" w:hAnsi="宋体" w:eastAsia="方正小标宋简体"/>
          <w:color w:val="000000"/>
          <w:sz w:val="72"/>
          <w:szCs w:val="72"/>
          <w:lang w:eastAsia="zh-CN"/>
        </w:rPr>
        <w:t>编制说明</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cstheme="minorBidi"/>
          <w:sz w:val="28"/>
          <w:szCs w:val="28"/>
        </w:rPr>
      </w:pPr>
    </w:p>
    <w:p>
      <w:pPr>
        <w:pStyle w:val="10"/>
      </w:pPr>
      <w:r>
        <w:rPr>
          <w:rFonts w:hint="eastAsia"/>
        </w:rPr>
        <w:t>公开时间：2020年9月3日</w:t>
      </w:r>
    </w:p>
    <w:p/>
    <w:p>
      <w:pPr>
        <w:pStyle w:val="10"/>
        <w:adjustRightInd w:val="0"/>
        <w:snapToGrid w:val="0"/>
        <w:spacing w:before="0" w:line="440" w:lineRule="exact"/>
        <w:jc w:val="left"/>
        <w:rPr>
          <w:rFonts w:hint="default" w:eastAsia="仿宋" w:cstheme="minorBidi"/>
          <w:sz w:val="24"/>
          <w:szCs w:val="24"/>
          <w:lang w:val="en-US" w:eastAsia="zh-CN"/>
        </w:rPr>
      </w:pPr>
      <w:r>
        <w:rPr>
          <w:rFonts w:hint="eastAsia" w:ascii="Times New Roman" w:hAnsi="Times New Roman" w:eastAsia="宋体" w:cs="Times New Roman"/>
          <w:kern w:val="2"/>
          <w:sz w:val="24"/>
          <w:szCs w:val="24"/>
          <w:lang w:val="en-US" w:eastAsia="zh-CN" w:bidi="ar-SA"/>
        </w:rPr>
        <w:t>第一部分 部门概况.................................................................................................4页</w:t>
      </w:r>
    </w:p>
    <w:p>
      <w:pPr>
        <w:pStyle w:val="11"/>
        <w:adjustRightInd w:val="0"/>
        <w:snapToGrid w:val="0"/>
        <w:spacing w:line="440" w:lineRule="exact"/>
        <w:jc w:val="left"/>
        <w:rPr>
          <w:rFonts w:hint="default" w:ascii="仿宋" w:hAnsi="仿宋" w:eastAsia="宋体"/>
          <w:sz w:val="24"/>
          <w:lang w:val="en-US" w:eastAsia="zh-CN"/>
        </w:rPr>
      </w:pPr>
      <w:r>
        <w:rPr>
          <w:rFonts w:hint="eastAsia"/>
          <w:sz w:val="24"/>
        </w:rPr>
        <w:t>一、基本职能及主要工作</w:t>
      </w:r>
      <w:r>
        <w:rPr>
          <w:rFonts w:hint="eastAsia"/>
          <w:sz w:val="24"/>
          <w:lang w:val="en-US" w:eastAsia="zh-CN"/>
        </w:rPr>
        <w:t>................................................................................4页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二、机构设置</w:t>
      </w:r>
      <w:r>
        <w:rPr>
          <w:rFonts w:hint="eastAsia"/>
          <w:sz w:val="24"/>
          <w:lang w:val="en-US" w:eastAsia="zh-CN"/>
        </w:rPr>
        <w:t>....................................................................................................5页</w:t>
      </w:r>
    </w:p>
    <w:p>
      <w:pPr>
        <w:pStyle w:val="10"/>
        <w:adjustRightInd w:val="0"/>
        <w:snapToGrid w:val="0"/>
        <w:spacing w:before="0" w:line="440" w:lineRule="exact"/>
        <w:jc w:val="left"/>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第二部分度部门决算情况说明...............................................................................7</w:t>
      </w:r>
      <w:r>
        <w:rPr>
          <w:rFonts w:hint="eastAsia"/>
          <w:sz w:val="24"/>
          <w:lang w:val="en-US" w:eastAsia="zh-CN"/>
        </w:rPr>
        <w:t>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一、收入支出决算总体情况说明</w:t>
      </w:r>
      <w:r>
        <w:rPr>
          <w:rFonts w:hint="eastAsia"/>
          <w:sz w:val="24"/>
          <w:lang w:val="en-US" w:eastAsia="zh-CN"/>
        </w:rPr>
        <w:t>....................................................................7页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二、收入决算情况说明</w:t>
      </w:r>
      <w:r>
        <w:rPr>
          <w:rFonts w:hint="eastAsia"/>
          <w:sz w:val="24"/>
          <w:lang w:val="en-US" w:eastAsia="zh-CN"/>
        </w:rPr>
        <w:t>.....................................................................................8页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三、支出决算情况说明</w:t>
      </w:r>
      <w:r>
        <w:rPr>
          <w:rFonts w:hint="eastAsia"/>
          <w:sz w:val="24"/>
          <w:lang w:val="en-US" w:eastAsia="zh-CN"/>
        </w:rPr>
        <w:t>.....................................................................................8页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四、财政拨款收入支出决算总体情况说明</w:t>
      </w:r>
      <w:r>
        <w:rPr>
          <w:rFonts w:hint="eastAsia"/>
          <w:sz w:val="24"/>
          <w:lang w:val="en-US" w:eastAsia="zh-CN"/>
        </w:rPr>
        <w:t>....................................................9页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五、一般公共预算财政拨款支出决算情况说明</w:t>
      </w:r>
      <w:r>
        <w:rPr>
          <w:rFonts w:hint="eastAsia"/>
          <w:sz w:val="24"/>
          <w:lang w:val="en-US" w:eastAsia="zh-CN"/>
        </w:rPr>
        <w:t>...........................................10页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六、一般公共预算财政拨款基本支出决算情况说明</w:t>
      </w:r>
      <w:r>
        <w:rPr>
          <w:rFonts w:hint="eastAsia"/>
          <w:sz w:val="24"/>
          <w:lang w:val="en-US" w:eastAsia="zh-CN"/>
        </w:rPr>
        <w:t>...................................14页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七、</w:t>
      </w:r>
      <w:r>
        <w:rPr>
          <w:sz w:val="24"/>
        </w:rPr>
        <w:t>“</w:t>
      </w:r>
      <w:r>
        <w:rPr>
          <w:rFonts w:hint="eastAsia"/>
          <w:sz w:val="24"/>
        </w:rPr>
        <w:t>三公”经费财政拨款支出决算情况说明</w:t>
      </w:r>
      <w:r>
        <w:rPr>
          <w:rFonts w:hint="eastAsia"/>
          <w:sz w:val="24"/>
          <w:lang w:val="en-US" w:eastAsia="zh-CN"/>
        </w:rPr>
        <w:t>.............................................16页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八、政府性基金预算支出决算情况说明</w:t>
      </w:r>
      <w:r>
        <w:rPr>
          <w:rFonts w:hint="eastAsia"/>
          <w:sz w:val="24"/>
          <w:lang w:val="en-US" w:eastAsia="zh-CN"/>
        </w:rPr>
        <w:t>.......................................................18页</w:t>
      </w:r>
    </w:p>
    <w:p>
      <w:pPr>
        <w:pStyle w:val="11"/>
        <w:adjustRightInd w:val="0"/>
        <w:snapToGrid w:val="0"/>
        <w:spacing w:line="440" w:lineRule="exact"/>
        <w:ind w:leftChars="0"/>
        <w:jc w:val="left"/>
        <w:rPr>
          <w:rFonts w:hint="default" w:ascii="仿宋" w:hAnsi="仿宋" w:eastAsia="宋体"/>
          <w:sz w:val="24"/>
          <w:lang w:val="en-US" w:eastAsia="zh-CN"/>
        </w:rPr>
      </w:pPr>
      <w:r>
        <w:rPr>
          <w:rFonts w:hint="eastAsia" w:ascii="仿宋" w:hAnsi="仿宋" w:eastAsia="仿宋"/>
          <w:sz w:val="24"/>
        </w:rPr>
        <w:t>九、</w:t>
      </w:r>
      <w:r>
        <w:rPr>
          <w:sz w:val="24"/>
        </w:rPr>
        <w:t xml:space="preserve"> 国</w:t>
      </w:r>
      <w:r>
        <w:rPr>
          <w:rFonts w:hint="eastAsia"/>
          <w:sz w:val="24"/>
        </w:rPr>
        <w:t>有资本经营预算支出决算情况说明</w:t>
      </w:r>
      <w:r>
        <w:rPr>
          <w:rFonts w:hint="eastAsia"/>
          <w:sz w:val="24"/>
          <w:lang w:val="en-US" w:eastAsia="zh-CN"/>
        </w:rPr>
        <w:t>.................................................18页</w:t>
      </w:r>
    </w:p>
    <w:p>
      <w:pPr>
        <w:adjustRightInd w:val="0"/>
        <w:snapToGrid w:val="0"/>
        <w:spacing w:line="440" w:lineRule="exact"/>
        <w:ind w:firstLine="480" w:firstLineChars="200"/>
        <w:jc w:val="left"/>
        <w:rPr>
          <w:rFonts w:hint="default" w:ascii="仿宋" w:hAnsi="仿宋" w:eastAsia="仿宋" w:cstheme="minorBidi"/>
          <w:sz w:val="24"/>
          <w:lang w:val="en-US" w:eastAsia="zh-CN"/>
        </w:rPr>
      </w:pPr>
      <w:r>
        <w:rPr>
          <w:rStyle w:val="15"/>
          <w:rFonts w:hint="eastAsia" w:ascii="仿宋" w:hAnsi="仿宋" w:eastAsia="仿宋"/>
          <w:color w:val="000000" w:themeColor="text1"/>
          <w:sz w:val="24"/>
          <w:u w:val="none"/>
        </w:rPr>
        <w:t>十、</w:t>
      </w:r>
      <w:r>
        <w:rPr>
          <w:rFonts w:hint="eastAsia"/>
          <w:sz w:val="24"/>
        </w:rPr>
        <w:t>其他重要事项的情况说明</w:t>
      </w:r>
      <w:r>
        <w:rPr>
          <w:rFonts w:hint="eastAsia" w:ascii="Times New Roman" w:hAnsi="Times New Roman" w:eastAsia="宋体" w:cs="Times New Roman"/>
          <w:kern w:val="2"/>
          <w:sz w:val="24"/>
          <w:szCs w:val="24"/>
          <w:lang w:val="en-US" w:eastAsia="zh-CN" w:bidi="ar-SA"/>
        </w:rPr>
        <w:tab/>
      </w:r>
      <w:r>
        <w:rPr>
          <w:rFonts w:hint="eastAsia" w:ascii="Times New Roman" w:hAnsi="Times New Roman" w:eastAsia="宋体" w:cs="Times New Roman"/>
          <w:kern w:val="2"/>
          <w:sz w:val="24"/>
          <w:szCs w:val="24"/>
          <w:lang w:val="en-US" w:eastAsia="zh-CN" w:bidi="ar-SA"/>
        </w:rPr>
        <w:t>................................</w:t>
      </w:r>
      <w:r>
        <w:rPr>
          <w:rFonts w:hint="eastAsia" w:ascii="Times New Roman" w:hAnsi="Times New Roman"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w:t>
      </w:r>
      <w:r>
        <w:rPr>
          <w:rFonts w:hint="eastAsia" w:cs="Times New Roman"/>
          <w:kern w:val="2"/>
          <w:sz w:val="24"/>
          <w:szCs w:val="24"/>
          <w:lang w:val="en-US" w:eastAsia="zh-CN" w:bidi="ar-SA"/>
        </w:rPr>
        <w:t>18</w:t>
      </w:r>
      <w:r>
        <w:rPr>
          <w:rFonts w:hint="eastAsia" w:ascii="宋体" w:hAnsi="宋体" w:eastAsia="宋体" w:cs="宋体"/>
          <w:sz w:val="24"/>
          <w:lang w:val="en-US" w:eastAsia="zh-CN"/>
        </w:rPr>
        <w:t>页</w:t>
      </w:r>
    </w:p>
    <w:p>
      <w:pPr>
        <w:pStyle w:val="10"/>
        <w:adjustRightInd w:val="0"/>
        <w:snapToGrid w:val="0"/>
        <w:spacing w:before="0" w:line="440" w:lineRule="exact"/>
        <w:jc w:val="left"/>
        <w:rPr>
          <w:rFonts w:hint="eastAsia" w:ascii="宋体" w:hAnsi="宋体" w:eastAsia="宋体" w:cs="宋体"/>
          <w:sz w:val="24"/>
          <w:szCs w:val="24"/>
          <w:lang w:val="en-US" w:eastAsia="zh-CN"/>
        </w:rPr>
      </w:pPr>
      <w:r>
        <w:rPr>
          <w:rFonts w:hint="eastAsia" w:ascii="宋体" w:hAnsi="宋体" w:eastAsia="宋体" w:cs="宋体"/>
          <w:sz w:val="24"/>
        </w:rPr>
        <w:t>第三部分 名词解释</w:t>
      </w:r>
      <w:r>
        <w:rPr>
          <w:rFonts w:hint="eastAsia" w:ascii="Times New Roman" w:hAnsi="Times New Roman" w:eastAsia="宋体" w:cs="Times New Roman"/>
          <w:kern w:val="2"/>
          <w:sz w:val="24"/>
          <w:szCs w:val="24"/>
          <w:lang w:val="en-US" w:eastAsia="zh-CN" w:bidi="ar-SA"/>
        </w:rPr>
        <w:t>...............................................................................................</w:t>
      </w:r>
      <w:r>
        <w:rPr>
          <w:rFonts w:hint="eastAsia" w:ascii="宋体" w:hAnsi="宋体" w:eastAsia="宋体" w:cs="宋体"/>
          <w:sz w:val="24"/>
          <w:lang w:val="en-US" w:eastAsia="zh-CN"/>
        </w:rPr>
        <w:t>20页</w:t>
      </w:r>
    </w:p>
    <w:p>
      <w:pPr>
        <w:pStyle w:val="10"/>
        <w:adjustRightInd w:val="0"/>
        <w:snapToGrid w:val="0"/>
        <w:spacing w:before="0" w:line="440" w:lineRule="exact"/>
        <w:jc w:val="left"/>
        <w:rPr>
          <w:rFonts w:hint="eastAsia" w:ascii="宋体" w:hAnsi="宋体" w:eastAsia="宋体" w:cs="宋体"/>
          <w:sz w:val="24"/>
          <w:szCs w:val="24"/>
          <w:lang w:val="en-US" w:eastAsia="zh-CN"/>
        </w:rPr>
      </w:pPr>
      <w:r>
        <w:rPr>
          <w:rFonts w:hint="eastAsia" w:ascii="宋体" w:hAnsi="宋体" w:eastAsia="宋体" w:cs="宋体"/>
          <w:sz w:val="24"/>
        </w:rPr>
        <w:t>第四部分 附件</w:t>
      </w:r>
      <w:r>
        <w:rPr>
          <w:rFonts w:hint="eastAsia" w:ascii="Times New Roman" w:hAnsi="Times New Roman" w:eastAsia="宋体" w:cs="Times New Roman"/>
          <w:kern w:val="2"/>
          <w:sz w:val="24"/>
          <w:szCs w:val="24"/>
          <w:lang w:val="en-US" w:eastAsia="zh-CN" w:bidi="ar-SA"/>
        </w:rPr>
        <w:t>.......................................................................................................</w:t>
      </w:r>
      <w:r>
        <w:rPr>
          <w:rFonts w:hint="eastAsia" w:ascii="宋体" w:hAnsi="宋体" w:eastAsia="宋体" w:cs="宋体"/>
          <w:sz w:val="24"/>
          <w:lang w:val="en-US" w:eastAsia="zh-CN"/>
        </w:rPr>
        <w:t>22页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sz w:val="24"/>
        </w:rPr>
        <w:t>附件</w:t>
      </w:r>
      <w:r>
        <w:rPr>
          <w:sz w:val="24"/>
        </w:rPr>
        <w:t>1</w:t>
      </w:r>
    </w:p>
    <w:p>
      <w:pPr>
        <w:pStyle w:val="11"/>
        <w:adjustRightInd w:val="0"/>
        <w:snapToGrid w:val="0"/>
        <w:spacing w:line="440" w:lineRule="exact"/>
        <w:jc w:val="left"/>
        <w:rPr>
          <w:rFonts w:ascii="仿宋" w:hAnsi="仿宋" w:eastAsia="仿宋" w:cstheme="minorBidi"/>
          <w:sz w:val="24"/>
        </w:rPr>
      </w:pPr>
      <w:r>
        <w:rPr>
          <w:rFonts w:hint="eastAsia"/>
          <w:sz w:val="24"/>
        </w:rPr>
        <w:t>附件</w:t>
      </w:r>
      <w:r>
        <w:rPr>
          <w:sz w:val="24"/>
        </w:rPr>
        <w:t>2</w:t>
      </w:r>
    </w:p>
    <w:p>
      <w:pPr>
        <w:pStyle w:val="10"/>
        <w:adjustRightInd w:val="0"/>
        <w:snapToGrid w:val="0"/>
        <w:spacing w:before="0" w:line="440" w:lineRule="exact"/>
        <w:jc w:val="left"/>
        <w:rPr>
          <w:rFonts w:hint="default" w:eastAsia="仿宋" w:cstheme="minorBidi"/>
          <w:sz w:val="24"/>
          <w:szCs w:val="24"/>
          <w:lang w:val="en-US" w:eastAsia="zh-CN"/>
        </w:rPr>
      </w:pPr>
      <w:r>
        <w:rPr>
          <w:rFonts w:hint="eastAsia" w:ascii="宋体" w:hAnsi="宋体" w:eastAsia="宋体" w:cs="宋体"/>
          <w:sz w:val="24"/>
        </w:rPr>
        <w:t>第五部分 附表</w:t>
      </w:r>
      <w:r>
        <w:rPr>
          <w:rFonts w:hint="eastAsia" w:ascii="Times New Roman" w:hAnsi="Times New Roman" w:eastAsia="宋体" w:cs="Times New Roman"/>
          <w:kern w:val="2"/>
          <w:sz w:val="24"/>
          <w:szCs w:val="24"/>
          <w:lang w:val="en-US" w:eastAsia="zh-CN" w:bidi="ar-SA"/>
        </w:rPr>
        <w:t>.......................................................................................................</w:t>
      </w:r>
      <w:r>
        <w:rPr>
          <w:rFonts w:hint="eastAsia" w:ascii="宋体" w:hAnsi="宋体" w:eastAsia="宋体" w:cs="宋体"/>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一、</w:t>
      </w:r>
      <w:r>
        <w:rPr>
          <w:rFonts w:hint="eastAsia"/>
          <w:sz w:val="24"/>
        </w:rPr>
        <w:t>收入支出决算总表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二、</w:t>
      </w:r>
      <w:r>
        <w:rPr>
          <w:rFonts w:hint="eastAsia"/>
          <w:sz w:val="24"/>
        </w:rPr>
        <w:t>收入</w:t>
      </w:r>
      <w:r>
        <w:rPr>
          <w:rFonts w:hint="eastAsia" w:ascii="仿宋" w:hAnsi="仿宋" w:eastAsia="仿宋"/>
          <w:sz w:val="24"/>
        </w:rPr>
        <w:t>决算</w:t>
      </w:r>
      <w:r>
        <w:rPr>
          <w:rFonts w:hint="eastAsia"/>
          <w:sz w:val="24"/>
        </w:rPr>
        <w:t>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三、</w:t>
      </w:r>
      <w:r>
        <w:rPr>
          <w:rFonts w:hint="eastAsia"/>
          <w:sz w:val="24"/>
        </w:rPr>
        <w:t>支出</w:t>
      </w:r>
      <w:r>
        <w:rPr>
          <w:rFonts w:hint="eastAsia" w:ascii="仿宋" w:hAnsi="仿宋" w:eastAsia="仿宋"/>
          <w:sz w:val="24"/>
        </w:rPr>
        <w:t>决算</w:t>
      </w:r>
      <w:r>
        <w:rPr>
          <w:rFonts w:hint="eastAsia"/>
          <w:sz w:val="24"/>
        </w:rPr>
        <w:t>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四、</w:t>
      </w:r>
      <w:r>
        <w:rPr>
          <w:rFonts w:hint="eastAsia"/>
          <w:sz w:val="24"/>
        </w:rPr>
        <w:t>财政拨款收入支出决算总表</w:t>
      </w:r>
      <w:r>
        <w:rPr>
          <w:rFonts w:hint="eastAsia"/>
          <w:sz w:val="24"/>
          <w:lang w:val="en-US" w:eastAsia="zh-CN"/>
        </w:rPr>
        <w:t>..................................................................41页</w:t>
      </w:r>
    </w:p>
    <w:p>
      <w:pPr>
        <w:pStyle w:val="11"/>
        <w:adjustRightInd w:val="0"/>
        <w:snapToGrid w:val="0"/>
        <w:spacing w:line="440" w:lineRule="exact"/>
        <w:jc w:val="left"/>
        <w:rPr>
          <w:rFonts w:hint="eastAsia" w:ascii="宋体" w:hAnsi="宋体" w:eastAsia="宋体" w:cs="宋体"/>
          <w:sz w:val="24"/>
          <w:lang w:val="en-US" w:eastAsia="zh-CN"/>
        </w:rPr>
      </w:pPr>
      <w:r>
        <w:rPr>
          <w:rFonts w:hint="eastAsia" w:ascii="宋体" w:hAnsi="宋体" w:eastAsia="宋体" w:cs="宋体"/>
          <w:sz w:val="24"/>
        </w:rPr>
        <w:t>五、财政拨款支出决算明细表</w:t>
      </w:r>
      <w:r>
        <w:rPr>
          <w:rFonts w:hint="eastAsia" w:ascii="Times New Roman" w:hAnsi="Times New Roman" w:cs="Times New Roman"/>
          <w:sz w:val="24"/>
          <w:lang w:val="en-US" w:eastAsia="zh-CN"/>
        </w:rPr>
        <w:t>......................................................................</w:t>
      </w:r>
      <w:r>
        <w:rPr>
          <w:rFonts w:hint="eastAsia" w:cs="Times New Roman"/>
          <w:sz w:val="24"/>
          <w:lang w:val="en-US" w:eastAsia="zh-CN"/>
        </w:rPr>
        <w:t>41</w:t>
      </w:r>
      <w:r>
        <w:rPr>
          <w:rFonts w:hint="eastAsia" w:ascii="宋体" w:hAnsi="宋体" w:eastAsia="宋体" w:cs="宋体"/>
          <w:sz w:val="24"/>
          <w:lang w:val="en-US" w:eastAsia="zh-CN"/>
        </w:rPr>
        <w:t>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六、</w:t>
      </w:r>
      <w:r>
        <w:rPr>
          <w:rFonts w:hint="eastAsia"/>
          <w:sz w:val="24"/>
        </w:rPr>
        <w:t>一般公共预算财政拨款支出决算表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七、</w:t>
      </w:r>
      <w:r>
        <w:rPr>
          <w:rFonts w:hint="eastAsia"/>
          <w:sz w:val="24"/>
        </w:rPr>
        <w:t>一般公共预算财政拨款支出决算明细表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八、</w:t>
      </w:r>
      <w:r>
        <w:rPr>
          <w:rFonts w:hint="eastAsia"/>
          <w:sz w:val="24"/>
        </w:rPr>
        <w:t>一般公共预算财政拨款基本支出决算表</w:t>
      </w:r>
      <w:r>
        <w:rPr>
          <w:rFonts w:hint="eastAsia"/>
          <w:sz w:val="24"/>
          <w:lang w:val="en-US" w:eastAsia="zh-CN"/>
        </w:rPr>
        <w:t>..............................................41页</w:t>
      </w:r>
    </w:p>
    <w:p>
      <w:pPr>
        <w:pStyle w:val="11"/>
        <w:adjustRightInd w:val="0"/>
        <w:snapToGrid w:val="0"/>
        <w:spacing w:line="440" w:lineRule="exact"/>
        <w:jc w:val="left"/>
        <w:rPr>
          <w:rFonts w:hint="default" w:eastAsia="宋体"/>
          <w:sz w:val="24"/>
          <w:lang w:val="en-US" w:eastAsia="zh-CN"/>
        </w:rPr>
      </w:pPr>
      <w:r>
        <w:rPr>
          <w:rFonts w:hint="eastAsia" w:ascii="仿宋" w:hAnsi="仿宋" w:eastAsia="仿宋"/>
          <w:sz w:val="24"/>
        </w:rPr>
        <w:t>九、</w:t>
      </w:r>
      <w:r>
        <w:rPr>
          <w:rFonts w:hint="eastAsia"/>
          <w:sz w:val="24"/>
        </w:rPr>
        <w:t>一般公共预算财政拨款项目支出决算表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十、</w:t>
      </w:r>
      <w:r>
        <w:rPr>
          <w:rFonts w:hint="eastAsia"/>
          <w:sz w:val="24"/>
        </w:rPr>
        <w:t>一般公共预算财政拨款“三公”经费支出决算表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十一、</w:t>
      </w:r>
      <w:r>
        <w:rPr>
          <w:rFonts w:hint="eastAsia"/>
          <w:sz w:val="24"/>
        </w:rPr>
        <w:t>政府性基金预算财政拨款收入支出决算表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十二、</w:t>
      </w:r>
      <w:r>
        <w:rPr>
          <w:rFonts w:hint="eastAsia"/>
          <w:sz w:val="24"/>
        </w:rPr>
        <w:t>政府性基金预算财政拨款“三公”经费支出决算表</w:t>
      </w:r>
      <w:r>
        <w:rPr>
          <w:rFonts w:hint="eastAsia"/>
          <w:sz w:val="24"/>
          <w:lang w:val="en-US" w:eastAsia="zh-CN"/>
        </w:rPr>
        <w:t>......................41页</w:t>
      </w:r>
    </w:p>
    <w:p>
      <w:pPr>
        <w:pStyle w:val="11"/>
        <w:adjustRightInd w:val="0"/>
        <w:snapToGrid w:val="0"/>
        <w:spacing w:line="440" w:lineRule="exact"/>
        <w:jc w:val="left"/>
        <w:rPr>
          <w:rFonts w:hint="default" w:ascii="仿宋" w:hAnsi="仿宋" w:eastAsia="宋体" w:cstheme="minorBidi"/>
          <w:sz w:val="24"/>
          <w:lang w:val="en-US" w:eastAsia="zh-CN"/>
        </w:rPr>
      </w:pPr>
      <w:r>
        <w:rPr>
          <w:rFonts w:hint="eastAsia" w:ascii="仿宋" w:hAnsi="仿宋" w:eastAsia="仿宋"/>
          <w:sz w:val="24"/>
        </w:rPr>
        <w:t>十三、</w:t>
      </w:r>
      <w:r>
        <w:rPr>
          <w:rFonts w:hint="eastAsia"/>
          <w:sz w:val="24"/>
        </w:rPr>
        <w:t>国有资本经营预算支出决算表</w:t>
      </w:r>
      <w:r>
        <w:rPr>
          <w:rFonts w:hint="eastAsia"/>
          <w:sz w:val="24"/>
          <w:lang w:val="en-US" w:eastAsia="zh-CN"/>
        </w:rPr>
        <w:t>...........................................................41页</w:t>
      </w:r>
    </w:p>
    <w:p>
      <w:pPr>
        <w:widowControl/>
        <w:spacing w:line="440" w:lineRule="exact"/>
        <w:jc w:val="left"/>
        <w:rPr>
          <w:rFonts w:ascii="仿宋" w:hAnsi="仿宋" w:eastAsia="仿宋"/>
          <w:bCs/>
          <w:kern w:val="44"/>
          <w:sz w:val="24"/>
        </w:rPr>
      </w:pPr>
      <w:bookmarkStart w:id="12" w:name="_Toc15377196"/>
      <w:bookmarkStart w:id="13" w:name="_Toc15396599"/>
      <w:r>
        <w:rPr>
          <w:rFonts w:ascii="仿宋" w:hAnsi="仿宋" w:eastAsia="仿宋"/>
          <w:b/>
          <w:sz w:val="24"/>
        </w:rPr>
        <w:br w:type="page"/>
      </w:r>
    </w:p>
    <w:p>
      <w:pPr>
        <w:pStyle w:val="2"/>
        <w:jc w:val="center"/>
        <w:rPr>
          <w:rStyle w:val="24"/>
          <w:rFonts w:ascii="黑体" w:hAnsi="黑体" w:eastAsia="黑体"/>
          <w:b/>
          <w:bCs w:val="0"/>
        </w:rPr>
      </w:pPr>
      <w:r>
        <w:rPr>
          <w:rFonts w:hint="eastAsia" w:ascii="黑体" w:hAnsi="黑体" w:eastAsia="黑体"/>
          <w:b w:val="0"/>
        </w:rPr>
        <w:t xml:space="preserve">第一部分 </w:t>
      </w:r>
      <w:r>
        <w:rPr>
          <w:rStyle w:val="24"/>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25"/>
          <w:rFonts w:ascii="仿宋" w:hAnsi="仿宋" w:eastAsia="仿宋"/>
          <w:b w:val="0"/>
          <w:bCs w:val="0"/>
        </w:rPr>
      </w:pPr>
      <w:bookmarkStart w:id="14" w:name="_Toc15396600"/>
      <w:bookmarkStart w:id="15" w:name="_Toc15377197"/>
      <w:r>
        <w:rPr>
          <w:rFonts w:hint="eastAsia" w:ascii="黑体" w:hAnsi="黑体" w:eastAsia="黑体"/>
          <w:b w:val="0"/>
          <w:color w:val="000000"/>
        </w:rPr>
        <w:t>一、基</w:t>
      </w:r>
      <w:r>
        <w:rPr>
          <w:rStyle w:val="25"/>
          <w:rFonts w:hint="eastAsia" w:ascii="黑体" w:hAnsi="黑体" w:eastAsia="黑体"/>
          <w:b w:val="0"/>
          <w:bCs w:val="0"/>
        </w:rPr>
        <w:t>本职能及主要工作</w:t>
      </w:r>
      <w:bookmarkEnd w:id="14"/>
      <w:bookmarkEnd w:id="15"/>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6" w:name="_Toc15377198"/>
      <w:bookmarkStart w:id="17" w:name="_Toc15378445"/>
      <w:r>
        <w:rPr>
          <w:rFonts w:hint="eastAsia" w:ascii="仿宋" w:hAnsi="仿宋" w:eastAsia="仿宋"/>
          <w:bCs/>
          <w:color w:val="000000"/>
          <w:sz w:val="32"/>
          <w:szCs w:val="32"/>
        </w:rPr>
        <w:t>（一）主要职能。</w:t>
      </w:r>
      <w:bookmarkEnd w:id="16"/>
      <w:bookmarkEnd w:id="17"/>
      <w:bookmarkStart w:id="18" w:name="_Toc15378446"/>
      <w:bookmarkStart w:id="19" w:name="_Toc15377199"/>
    </w:p>
    <w:p>
      <w:pPr>
        <w:snapToGrid w:val="0"/>
        <w:spacing w:line="588" w:lineRule="exact"/>
        <w:ind w:firstLine="688" w:firstLineChars="246"/>
        <w:rPr>
          <w:rFonts w:hint="eastAsia" w:ascii="仿宋" w:hAnsi="仿宋" w:eastAsia="仿宋" w:cs="仿宋"/>
          <w:b w:val="0"/>
          <w:bCs/>
          <w:sz w:val="28"/>
          <w:szCs w:val="28"/>
        </w:rPr>
      </w:pPr>
      <w:r>
        <w:rPr>
          <w:rFonts w:hint="eastAsia" w:ascii="仿宋" w:hAnsi="仿宋" w:eastAsia="仿宋" w:cs="仿宋"/>
          <w:b w:val="0"/>
          <w:bCs/>
          <w:color w:val="000000"/>
          <w:sz w:val="28"/>
          <w:szCs w:val="28"/>
          <w:shd w:val="clear" w:color="auto" w:fill="FFFFFF"/>
        </w:rPr>
        <w:t>学校是全日制小学（含学前教育）为一体的学校教育。</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完善的教学设施，先进的教学设备，让学生</w:t>
      </w:r>
      <w:bookmarkStart w:id="77" w:name="_GoBack"/>
      <w:bookmarkEnd w:id="77"/>
      <w:r>
        <w:rPr>
          <w:rFonts w:hint="eastAsia" w:ascii="仿宋" w:hAnsi="仿宋" w:eastAsia="仿宋" w:cs="仿宋"/>
          <w:sz w:val="28"/>
          <w:szCs w:val="28"/>
        </w:rPr>
        <w:t>能享受到优质的教育资源，为实现学生的全面发展奠定了坚实的物质基础。</w:t>
      </w: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学校理念先进，全面育人。全校教职工以“爱学校，做主人；爱事业，做能人；爱学生，做善人”作为价值追求，围绕“培育三园文化品格、深化四大工程、丰富四个课堂、实现四个愿景”的目标要求，树立让每一个学生都能成人成才成功的办学思想，努力培养“德才兼备、身心两健”的创新人才。</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rPr>
        <w:t>9年重点工作完成情况。</w:t>
      </w:r>
      <w:bookmarkEnd w:id="18"/>
      <w:bookmarkEnd w:id="19"/>
    </w:p>
    <w:p>
      <w:pPr>
        <w:spacing w:line="360" w:lineRule="auto"/>
        <w:ind w:firstLine="548" w:firstLineChars="196"/>
        <w:rPr>
          <w:rFonts w:hint="eastAsia" w:ascii="仿宋" w:hAnsi="仿宋" w:eastAsia="仿宋" w:cs="仿宋"/>
          <w:b w:val="0"/>
          <w:bCs w:val="0"/>
          <w:sz w:val="28"/>
          <w:szCs w:val="28"/>
        </w:rPr>
      </w:pPr>
      <w:bookmarkStart w:id="20" w:name="_Toc15377200"/>
      <w:bookmarkStart w:id="21" w:name="_Toc15396601"/>
      <w:r>
        <w:rPr>
          <w:rFonts w:hint="eastAsia" w:ascii="仿宋" w:hAnsi="仿宋" w:eastAsia="仿宋" w:cs="仿宋"/>
          <w:b w:val="0"/>
          <w:bCs w:val="0"/>
          <w:sz w:val="28"/>
          <w:szCs w:val="28"/>
        </w:rPr>
        <w:t>学校教师爱岗敬业，教育教学质量突出。1、本年度继续强化了城乡环境综合整治进校园工作，完成学校绿化、美化工作。本年度继续加强了城乡环境综合整治工作，让学生养成良好卫生习惯，以小手拉大手活动共建美好家园。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2、本年度继续推进课程改革：紧抓课堂教学主阵地，加强了对青年教师的指导力度，把教学质量的提高作为重中之重 。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3、学科建设：注意围绕特长抓竞赛、围绕课堂抓考核、围绕质量抓教研、围绕科研抓提高，使学科建设初步形成；课堂有特色，常规有特点，科研有成果。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4、坚持课外活动特色：依据学生特点，结合本校实际及学生实际，开展特色艺体活动，发展学校传统的强势项目。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5、保持各率达标：常住适龄儿童入学率、巩固率、毕业率100%，各年级学科合格率100%，近视率控制在12%以下，无学生违法犯罪。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6、常规工作：规范、有序、高效。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7、后勤工作：一切服务于学生，一切服务于教学。　　</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8、队伍建设：培养了干部教师的五种意识：服务意识、为人师表意识、廉洁从教意识、教学质量意识、团队凝聚意识。</w:t>
      </w:r>
    </w:p>
    <w:p>
      <w:pPr>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9、加强和改进学校体育、美育和卫生工作，促进学生全面发展。认真组织实施了《学生体质健康标准》和《学校体育工作条例》，加强学生心理健康教育，认真贯彻执行了《学校卫生工作条例》、《食品卫生法》、《学生食堂与学生集体用餐卫生管理规定》等法律、法规，加强了学校的卫生管理和各种传染病的防治工作。　　　　</w:t>
      </w:r>
    </w:p>
    <w:p>
      <w:pPr>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10、学校</w:t>
      </w:r>
      <w:r>
        <w:rPr>
          <w:rFonts w:hint="eastAsia" w:ascii="仿宋" w:hAnsi="仿宋" w:eastAsia="仿宋" w:cs="仿宋"/>
          <w:b w:val="0"/>
          <w:bCs w:val="0"/>
          <w:sz w:val="28"/>
          <w:szCs w:val="28"/>
          <w:lang w:val="en-US" w:eastAsia="zh-CN"/>
        </w:rPr>
        <w:t>保持以前</w:t>
      </w:r>
      <w:r>
        <w:rPr>
          <w:rFonts w:hint="eastAsia" w:ascii="仿宋" w:hAnsi="仿宋" w:eastAsia="仿宋" w:cs="仿宋"/>
          <w:b w:val="0"/>
          <w:bCs w:val="0"/>
          <w:sz w:val="28"/>
          <w:szCs w:val="28"/>
        </w:rPr>
        <w:t>年度成功创建四川省绿色学校，德阳市依法治校示范学校，荣获德阳市中小学教师全员岗位素质培训先进单位称号；</w:t>
      </w:r>
      <w:r>
        <w:rPr>
          <w:rFonts w:hint="eastAsia" w:ascii="仿宋" w:hAnsi="仿宋" w:eastAsia="仿宋" w:cs="仿宋"/>
          <w:b w:val="0"/>
          <w:bCs w:val="0"/>
          <w:sz w:val="28"/>
          <w:szCs w:val="28"/>
          <w:lang w:val="en-US" w:eastAsia="zh-CN"/>
        </w:rPr>
        <w:t>保持以前</w:t>
      </w:r>
      <w:r>
        <w:rPr>
          <w:rFonts w:hint="eastAsia" w:ascii="仿宋" w:hAnsi="仿宋" w:eastAsia="仿宋" w:cs="仿宋"/>
          <w:b w:val="0"/>
          <w:bCs w:val="0"/>
          <w:sz w:val="28"/>
          <w:szCs w:val="28"/>
        </w:rPr>
        <w:t>度学校荣获广汉市综治、安全管理工作先进学校，防灾救灾大演练先进集体，后勤管理工作先进单位、会计年报工作一等奖、教育宣传工作先进单位等。</w:t>
      </w:r>
    </w:p>
    <w:p>
      <w:pPr>
        <w:spacing w:line="40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学校设立了奖励基金，学校设立了爱心助学基金，用于奖励教学业绩突出的教师和成绩优秀的学生，促进了学校的快速发展。</w:t>
      </w:r>
    </w:p>
    <w:p>
      <w:pPr>
        <w:autoSpaceDE w:val="0"/>
        <w:autoSpaceDN w:val="0"/>
        <w:adjustRightInd w:val="0"/>
        <w:spacing w:line="580" w:lineRule="exact"/>
        <w:ind w:firstLine="560" w:firstLineChars="200"/>
        <w:jc w:val="left"/>
        <w:rPr>
          <w:rFonts w:hint="eastAsia" w:ascii="仿宋" w:hAnsi="仿宋" w:eastAsia="仿宋" w:cs="仿宋"/>
          <w:kern w:val="0"/>
          <w:sz w:val="28"/>
          <w:szCs w:val="28"/>
        </w:rPr>
      </w:pPr>
    </w:p>
    <w:p>
      <w:pPr>
        <w:pStyle w:val="3"/>
        <w:rPr>
          <w:rStyle w:val="25"/>
          <w:b w:val="0"/>
          <w:bCs w:val="0"/>
        </w:rPr>
      </w:pPr>
      <w:r>
        <w:rPr>
          <w:rFonts w:hint="eastAsia" w:ascii="黑体" w:eastAsia="黑体"/>
          <w:b w:val="0"/>
          <w:color w:val="000000"/>
        </w:rPr>
        <w:t>二、</w:t>
      </w:r>
      <w:r>
        <w:rPr>
          <w:rFonts w:hint="eastAsia" w:ascii="黑体" w:hAnsi="黑体" w:eastAsia="黑体"/>
          <w:b w:val="0"/>
          <w:color w:val="000000"/>
        </w:rPr>
        <w:t>机</w:t>
      </w:r>
      <w:r>
        <w:rPr>
          <w:rStyle w:val="25"/>
          <w:rFonts w:hint="eastAsia" w:ascii="黑体" w:hAnsi="黑体" w:eastAsia="黑体"/>
          <w:b w:val="0"/>
          <w:bCs w:val="0"/>
        </w:rPr>
        <w:t>构设置</w:t>
      </w:r>
      <w:bookmarkEnd w:id="20"/>
      <w:bookmarkEnd w:id="21"/>
    </w:p>
    <w:p>
      <w:pPr>
        <w:ind w:firstLine="800" w:firstLineChars="250"/>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lang w:eastAsia="zh-CN"/>
        </w:rPr>
        <w:t>广汉市实验小学</w:t>
      </w:r>
      <w:r>
        <w:rPr>
          <w:rFonts w:hint="eastAsia" w:ascii="仿宋" w:hAnsi="仿宋" w:eastAsia="仿宋"/>
          <w:sz w:val="32"/>
          <w:szCs w:val="32"/>
        </w:rPr>
        <w:t>下属二级单位</w:t>
      </w:r>
      <w:r>
        <w:rPr>
          <w:rFonts w:hint="eastAsia" w:ascii="仿宋" w:hAnsi="仿宋" w:eastAsia="仿宋"/>
          <w:sz w:val="32"/>
          <w:szCs w:val="32"/>
          <w:lang w:val="en-US" w:eastAsia="zh-CN"/>
        </w:rPr>
        <w:t>0</w:t>
      </w:r>
      <w:r>
        <w:rPr>
          <w:rFonts w:hint="eastAsia" w:ascii="仿宋" w:hAnsi="仿宋" w:eastAsia="仿宋"/>
          <w:sz w:val="32"/>
          <w:szCs w:val="32"/>
        </w:rPr>
        <w:t>个，其中行政单位</w:t>
      </w:r>
      <w:r>
        <w:rPr>
          <w:rFonts w:hint="eastAsia" w:ascii="仿宋" w:hAnsi="仿宋" w:eastAsia="仿宋"/>
          <w:sz w:val="32"/>
          <w:szCs w:val="32"/>
          <w:lang w:val="en-US" w:eastAsia="zh-CN"/>
        </w:rPr>
        <w:t>0</w:t>
      </w:r>
      <w:r>
        <w:rPr>
          <w:rFonts w:hint="eastAsia" w:ascii="仿宋" w:hAnsi="仿宋" w:eastAsia="仿宋"/>
          <w:sz w:val="32"/>
          <w:szCs w:val="32"/>
        </w:rPr>
        <w:t>个，参照公务员法管理的事业单位</w:t>
      </w:r>
      <w:r>
        <w:rPr>
          <w:rFonts w:hint="eastAsia" w:ascii="仿宋" w:hAnsi="仿宋" w:eastAsia="仿宋"/>
          <w:bCs/>
          <w:sz w:val="32"/>
          <w:szCs w:val="32"/>
          <w:lang w:val="en-US" w:eastAsia="zh-CN"/>
        </w:rPr>
        <w:t>0</w:t>
      </w:r>
      <w:r>
        <w:rPr>
          <w:rFonts w:hint="eastAsia" w:ascii="仿宋" w:hAnsi="仿宋" w:eastAsia="仿宋"/>
          <w:sz w:val="32"/>
          <w:szCs w:val="32"/>
        </w:rPr>
        <w:t>个，其他事业单位</w:t>
      </w:r>
      <w:r>
        <w:rPr>
          <w:rFonts w:hint="eastAsia" w:ascii="仿宋" w:hAnsi="仿宋" w:eastAsia="仿宋"/>
          <w:sz w:val="32"/>
          <w:szCs w:val="32"/>
          <w:lang w:val="en-US" w:eastAsia="zh-CN"/>
        </w:rPr>
        <w:t>0</w:t>
      </w:r>
      <w:r>
        <w:rPr>
          <w:rFonts w:hint="eastAsia" w:ascii="仿宋" w:hAnsi="仿宋" w:eastAsia="仿宋"/>
          <w:sz w:val="32"/>
          <w:szCs w:val="32"/>
        </w:rPr>
        <w:t>个。</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rPr>
        <w:t>纳入</w:t>
      </w:r>
      <w:r>
        <w:rPr>
          <w:rFonts w:hint="eastAsia" w:ascii="仿宋" w:hAnsi="仿宋" w:eastAsia="仿宋"/>
          <w:sz w:val="32"/>
          <w:szCs w:val="32"/>
          <w:lang w:eastAsia="zh-CN"/>
        </w:rPr>
        <w:t>广汉市实验小学</w:t>
      </w:r>
      <w:r>
        <w:rPr>
          <w:rFonts w:hint="eastAsia" w:ascii="仿宋" w:hAnsi="仿宋" w:eastAsia="仿宋"/>
          <w:color w:val="000000"/>
          <w:sz w:val="32"/>
          <w:szCs w:val="32"/>
        </w:rPr>
        <w:t>2019年度部门决算编制范围的二级预算单位包括：</w:t>
      </w:r>
      <w:bookmarkStart w:id="22" w:name="_Toc15377433"/>
      <w:bookmarkStart w:id="23" w:name="_Toc15378449"/>
      <w:bookmarkStart w:id="24" w:name="_Toc15377202"/>
      <w:bookmarkStart w:id="25" w:name="_Toc15306276"/>
      <w:r>
        <w:rPr>
          <w:rFonts w:hint="eastAsia" w:ascii="仿宋" w:hAnsi="仿宋" w:eastAsia="仿宋"/>
          <w:color w:val="000000"/>
          <w:sz w:val="32"/>
          <w:szCs w:val="32"/>
          <w:lang w:eastAsia="zh-CN"/>
        </w:rPr>
        <w:t>无</w:t>
      </w:r>
      <w:bookmarkEnd w:id="22"/>
      <w:bookmarkEnd w:id="23"/>
      <w:bookmarkEnd w:id="24"/>
      <w:bookmarkEnd w:id="25"/>
    </w:p>
    <w:p>
      <w:pPr>
        <w:snapToGrid w:val="0"/>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内部</w:t>
      </w:r>
      <w:r>
        <w:rPr>
          <w:rFonts w:hint="eastAsia" w:ascii="仿宋" w:hAnsi="仿宋" w:eastAsia="仿宋" w:cs="仿宋"/>
          <w:sz w:val="28"/>
          <w:szCs w:val="28"/>
        </w:rPr>
        <w:t>机构情况</w:t>
      </w:r>
      <w:r>
        <w:rPr>
          <w:rFonts w:hint="eastAsia" w:ascii="仿宋" w:hAnsi="仿宋" w:eastAsia="仿宋" w:cs="仿宋"/>
          <w:sz w:val="28"/>
          <w:szCs w:val="28"/>
          <w:lang w:eastAsia="zh-CN"/>
        </w:rPr>
        <w:t>：</w:t>
      </w:r>
      <w:r>
        <w:rPr>
          <w:rFonts w:hint="eastAsia" w:ascii="仿宋" w:hAnsi="仿宋" w:eastAsia="仿宋" w:cs="仿宋"/>
          <w:sz w:val="28"/>
          <w:szCs w:val="28"/>
        </w:rPr>
        <w:t>学校管理规范，和谐发展。学校下设办公室、政教处、教导处、总务处四个处室，各处室中层干部全部通过广汉市教育局组织的非常定向统筹选拔干部的方式竞争产生。各处室在学校党支部的领导下、在学校工会的监督下创造性的开展工作，成效显著，并在201</w:t>
      </w:r>
      <w:r>
        <w:rPr>
          <w:rFonts w:hint="eastAsia" w:ascii="仿宋" w:hAnsi="仿宋" w:eastAsia="仿宋" w:cs="仿宋"/>
          <w:sz w:val="28"/>
          <w:szCs w:val="28"/>
          <w:lang w:val="en-US" w:eastAsia="zh-CN"/>
        </w:rPr>
        <w:t>9</w:t>
      </w:r>
      <w:r>
        <w:rPr>
          <w:rFonts w:hint="eastAsia" w:ascii="仿宋" w:hAnsi="仿宋" w:eastAsia="仿宋" w:cs="仿宋"/>
          <w:sz w:val="28"/>
          <w:szCs w:val="28"/>
        </w:rPr>
        <w:t>年通过了德阳市义务教育素质督导评估的验收。</w:t>
      </w:r>
    </w:p>
    <w:p>
      <w:pPr>
        <w:snapToGrid w:val="0"/>
        <w:spacing w:line="588" w:lineRule="exact"/>
        <w:ind w:firstLine="700" w:firstLineChars="250"/>
        <w:rPr>
          <w:rFonts w:hint="eastAsia" w:ascii="仿宋" w:hAnsi="仿宋" w:eastAsia="仿宋" w:cs="仿宋"/>
          <w:b w:val="0"/>
          <w:bCs w:val="0"/>
          <w:sz w:val="28"/>
          <w:szCs w:val="28"/>
        </w:rPr>
      </w:pPr>
      <w:r>
        <w:rPr>
          <w:rFonts w:hint="eastAsia" w:ascii="仿宋" w:hAnsi="仿宋" w:eastAsia="仿宋" w:cs="仿宋"/>
          <w:b w:val="0"/>
          <w:bCs w:val="0"/>
          <w:sz w:val="28"/>
          <w:szCs w:val="28"/>
        </w:rPr>
        <w:t>3．人员情况</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校园内文化气息浓郁、学习环境怡人，是学生成长的摇篮。学校为独立事业编制机构，201</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年末实有公共预算财政拨款（补助）开支在职人员9</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人，退休人员</w:t>
      </w:r>
      <w:r>
        <w:rPr>
          <w:rFonts w:hint="eastAsia" w:ascii="仿宋" w:hAnsi="仿宋" w:eastAsia="仿宋" w:cs="仿宋"/>
          <w:b w:val="0"/>
          <w:bCs w:val="0"/>
          <w:sz w:val="28"/>
          <w:szCs w:val="28"/>
          <w:lang w:val="en-US" w:eastAsia="zh-CN"/>
        </w:rPr>
        <w:t>62</w:t>
      </w:r>
      <w:r>
        <w:rPr>
          <w:rFonts w:hint="eastAsia" w:ascii="仿宋" w:hAnsi="仿宋" w:eastAsia="仿宋" w:cs="仿宋"/>
          <w:b w:val="0"/>
          <w:bCs w:val="0"/>
          <w:sz w:val="28"/>
          <w:szCs w:val="28"/>
        </w:rPr>
        <w:t>人，小学生</w:t>
      </w:r>
      <w:r>
        <w:rPr>
          <w:rFonts w:hint="eastAsia" w:ascii="仿宋" w:hAnsi="仿宋" w:eastAsia="仿宋" w:cs="仿宋"/>
          <w:b w:val="0"/>
          <w:bCs w:val="0"/>
          <w:sz w:val="28"/>
          <w:szCs w:val="28"/>
          <w:lang w:val="en-US" w:eastAsia="zh-CN"/>
        </w:rPr>
        <w:t>1585</w:t>
      </w:r>
      <w:r>
        <w:rPr>
          <w:rFonts w:hint="eastAsia" w:ascii="仿宋" w:hAnsi="仿宋" w:eastAsia="仿宋" w:cs="仿宋"/>
          <w:b w:val="0"/>
          <w:bCs w:val="0"/>
          <w:sz w:val="28"/>
          <w:szCs w:val="28"/>
        </w:rPr>
        <w:t>人。</w:t>
      </w:r>
    </w:p>
    <w:p>
      <w:pPr>
        <w:snapToGrid w:val="0"/>
        <w:spacing w:line="588"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3．机构人员当年变动情况及原因。</w:t>
      </w:r>
    </w:p>
    <w:p>
      <w:pPr>
        <w:snapToGrid w:val="0"/>
        <w:spacing w:line="588"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①学校201</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年末实有公共预算财政拨款（补助）开支在职人员9</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人，退休人员</w:t>
      </w:r>
      <w:r>
        <w:rPr>
          <w:rFonts w:hint="eastAsia" w:ascii="仿宋" w:hAnsi="仿宋" w:eastAsia="仿宋" w:cs="仿宋"/>
          <w:b w:val="0"/>
          <w:bCs w:val="0"/>
          <w:sz w:val="28"/>
          <w:szCs w:val="28"/>
          <w:lang w:val="en-US" w:eastAsia="zh-CN"/>
        </w:rPr>
        <w:t>62</w:t>
      </w:r>
      <w:r>
        <w:rPr>
          <w:rFonts w:hint="eastAsia" w:ascii="仿宋" w:hAnsi="仿宋" w:eastAsia="仿宋" w:cs="仿宋"/>
          <w:b w:val="0"/>
          <w:bCs w:val="0"/>
          <w:sz w:val="28"/>
          <w:szCs w:val="28"/>
        </w:rPr>
        <w:t>人；</w:t>
      </w:r>
    </w:p>
    <w:p>
      <w:pPr>
        <w:pStyle w:val="5"/>
        <w:adjustRightInd w:val="0"/>
        <w:snapToGrid w:val="0"/>
        <w:spacing w:before="93" w:line="600" w:lineRule="exact"/>
        <w:ind w:firstLine="588" w:firstLineChars="210"/>
        <w:outlineLvl w:val="2"/>
        <w:rPr>
          <w:rFonts w:hint="eastAsia" w:ascii="仿宋" w:hAnsi="仿宋" w:eastAsia="仿宋"/>
          <w:bCs/>
          <w:color w:val="000000"/>
          <w:sz w:val="32"/>
          <w:szCs w:val="32"/>
        </w:rPr>
      </w:pPr>
      <w:r>
        <w:rPr>
          <w:rFonts w:hint="eastAsia" w:ascii="仿宋" w:hAnsi="仿宋" w:eastAsia="仿宋" w:cs="仿宋"/>
          <w:b w:val="0"/>
          <w:bCs/>
          <w:sz w:val="28"/>
          <w:szCs w:val="28"/>
        </w:rPr>
        <w:t>②201</w:t>
      </w:r>
      <w:r>
        <w:rPr>
          <w:rFonts w:hint="eastAsia" w:ascii="仿宋" w:hAnsi="仿宋" w:eastAsia="仿宋" w:cs="仿宋"/>
          <w:b w:val="0"/>
          <w:bCs/>
          <w:sz w:val="28"/>
          <w:szCs w:val="28"/>
          <w:lang w:val="en-US" w:eastAsia="zh-CN"/>
        </w:rPr>
        <w:t>9</w:t>
      </w:r>
      <w:r>
        <w:rPr>
          <w:rFonts w:hint="eastAsia" w:ascii="仿宋" w:hAnsi="仿宋" w:eastAsia="仿宋" w:cs="仿宋"/>
          <w:b w:val="0"/>
          <w:bCs/>
          <w:sz w:val="28"/>
          <w:szCs w:val="28"/>
        </w:rPr>
        <w:t>年度在职人员因工作调动调入</w:t>
      </w:r>
      <w:r>
        <w:rPr>
          <w:rFonts w:hint="eastAsia" w:ascii="仿宋" w:hAnsi="仿宋" w:eastAsia="仿宋" w:cs="仿宋"/>
          <w:b w:val="0"/>
          <w:bCs/>
          <w:sz w:val="28"/>
          <w:szCs w:val="28"/>
          <w:lang w:val="en-US" w:eastAsia="zh-CN"/>
        </w:rPr>
        <w:t>9</w:t>
      </w:r>
      <w:r>
        <w:rPr>
          <w:rFonts w:hint="eastAsia" w:ascii="仿宋" w:hAnsi="仿宋" w:eastAsia="仿宋" w:cs="仿宋"/>
          <w:b w:val="0"/>
          <w:bCs/>
          <w:sz w:val="28"/>
          <w:szCs w:val="28"/>
        </w:rPr>
        <w:t>人，退休</w:t>
      </w:r>
      <w:r>
        <w:rPr>
          <w:rFonts w:hint="eastAsia" w:ascii="仿宋" w:hAnsi="仿宋" w:eastAsia="仿宋" w:cs="仿宋"/>
          <w:b w:val="0"/>
          <w:bCs/>
          <w:sz w:val="28"/>
          <w:szCs w:val="28"/>
          <w:lang w:val="en-US" w:eastAsia="zh-CN"/>
        </w:rPr>
        <w:t>4</w:t>
      </w:r>
      <w:r>
        <w:rPr>
          <w:rFonts w:hint="eastAsia" w:ascii="仿宋" w:hAnsi="仿宋" w:eastAsia="仿宋" w:cs="仿宋"/>
          <w:b w:val="0"/>
          <w:bCs/>
          <w:sz w:val="28"/>
          <w:szCs w:val="28"/>
        </w:rPr>
        <w:t>人</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lang w:val="en-US" w:eastAsia="zh-CN"/>
        </w:rPr>
        <w:t>调出1人，辞职1人</w:t>
      </w:r>
      <w:r>
        <w:rPr>
          <w:rFonts w:hint="eastAsia" w:ascii="仿宋" w:hAnsi="仿宋" w:eastAsia="仿宋" w:cs="仿宋"/>
          <w:b w:val="0"/>
          <w:bCs/>
          <w:sz w:val="28"/>
          <w:szCs w:val="28"/>
        </w:rPr>
        <w:t>。</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24"/>
          <w:rFonts w:ascii="黑体" w:hAnsi="黑体" w:eastAsia="黑体"/>
          <w:b w:val="0"/>
          <w:bCs w:val="0"/>
        </w:rPr>
      </w:pPr>
      <w:bookmarkStart w:id="26" w:name="_Toc15396602"/>
      <w:bookmarkStart w:id="27" w:name="_Toc15377204"/>
      <w:r>
        <w:rPr>
          <w:rFonts w:hint="eastAsia" w:ascii="黑体" w:hAnsi="黑体" w:eastAsia="黑体"/>
          <w:b w:val="0"/>
          <w:color w:val="000000"/>
        </w:rPr>
        <w:t>第二部分</w:t>
      </w:r>
      <w:r>
        <w:rPr>
          <w:rFonts w:hint="eastAsia" w:ascii="黑体" w:hAnsi="黑体" w:eastAsia="黑体"/>
          <w:color w:val="000000"/>
        </w:rPr>
        <w:t xml:space="preserve"> </w:t>
      </w:r>
      <w:r>
        <w:rPr>
          <w:rStyle w:val="24"/>
          <w:rFonts w:hint="eastAsia" w:ascii="黑体" w:hAnsi="黑体" w:eastAsia="黑体"/>
          <w:b w:val="0"/>
          <w:bCs w:val="0"/>
        </w:rPr>
        <w:t>2019年度部门决算情况说明</w:t>
      </w:r>
      <w:bookmarkEnd w:id="26"/>
      <w:bookmarkEnd w:id="27"/>
    </w:p>
    <w:p/>
    <w:p>
      <w:pPr>
        <w:pStyle w:val="23"/>
        <w:numPr>
          <w:ilvl w:val="0"/>
          <w:numId w:val="1"/>
        </w:numPr>
        <w:spacing w:line="600" w:lineRule="exact"/>
        <w:ind w:firstLineChars="0"/>
        <w:outlineLvl w:val="1"/>
        <w:rPr>
          <w:rStyle w:val="25"/>
          <w:rFonts w:ascii="黑体" w:hAnsi="黑体" w:eastAsia="黑体"/>
          <w:b w:val="0"/>
        </w:rPr>
      </w:pPr>
      <w:bookmarkStart w:id="28" w:name="_Toc15396603"/>
      <w:bookmarkStart w:id="29" w:name="_Toc15377205"/>
      <w:r>
        <w:rPr>
          <w:rFonts w:hint="eastAsia" w:ascii="黑体" w:hAnsi="黑体" w:eastAsia="黑体"/>
          <w:color w:val="000000"/>
          <w:sz w:val="32"/>
          <w:szCs w:val="32"/>
        </w:rPr>
        <w:t>收</w:t>
      </w:r>
      <w:r>
        <w:rPr>
          <w:rStyle w:val="25"/>
          <w:rFonts w:hint="eastAsia" w:ascii="黑体" w:hAnsi="黑体" w:eastAsia="黑体"/>
          <w:b w:val="0"/>
        </w:rPr>
        <w:t>入支出决算总体情况说明</w:t>
      </w:r>
      <w:bookmarkEnd w:id="28"/>
      <w:bookmarkEnd w:id="29"/>
    </w:p>
    <w:p>
      <w:pPr>
        <w:spacing w:line="600" w:lineRule="exact"/>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rPr>
        <w:t>2019年度收</w:t>
      </w:r>
      <w:r>
        <w:rPr>
          <w:rFonts w:hint="eastAsia" w:ascii="仿宋" w:hAnsi="仿宋" w:eastAsia="仿宋"/>
          <w:color w:val="000000"/>
          <w:sz w:val="32"/>
          <w:szCs w:val="32"/>
          <w:lang w:eastAsia="zh-CN"/>
        </w:rPr>
        <w:t>入</w:t>
      </w:r>
      <w:r>
        <w:rPr>
          <w:rFonts w:hint="eastAsia" w:ascii="仿宋" w:hAnsi="仿宋" w:eastAsia="仿宋"/>
          <w:color w:val="000000"/>
          <w:sz w:val="32"/>
          <w:szCs w:val="32"/>
        </w:rPr>
        <w:t>总计</w:t>
      </w:r>
      <w:r>
        <w:rPr>
          <w:rFonts w:hint="eastAsia" w:ascii="仿宋" w:hAnsi="仿宋" w:eastAsia="仿宋"/>
          <w:color w:val="000000"/>
          <w:sz w:val="32"/>
          <w:szCs w:val="32"/>
          <w:lang w:eastAsia="zh-CN"/>
        </w:rPr>
        <w:t>1771</w:t>
      </w:r>
      <w:r>
        <w:rPr>
          <w:rFonts w:hint="eastAsia" w:ascii="仿宋" w:hAnsi="仿宋" w:eastAsia="仿宋"/>
          <w:color w:val="000000"/>
          <w:sz w:val="32"/>
          <w:szCs w:val="32"/>
          <w:lang w:val="en-US" w:eastAsia="zh-CN"/>
        </w:rPr>
        <w:t>.</w:t>
      </w:r>
      <w:r>
        <w:rPr>
          <w:rFonts w:hint="eastAsia" w:ascii="仿宋" w:hAnsi="仿宋" w:eastAsia="仿宋"/>
          <w:color w:val="000000"/>
          <w:sz w:val="32"/>
          <w:szCs w:val="32"/>
          <w:lang w:eastAsia="zh-CN"/>
        </w:rPr>
        <w:t>0</w:t>
      </w:r>
      <w:r>
        <w:rPr>
          <w:rFonts w:hint="eastAsia" w:ascii="仿宋" w:hAnsi="仿宋" w:eastAsia="仿宋"/>
          <w:color w:val="000000"/>
          <w:sz w:val="32"/>
          <w:szCs w:val="32"/>
          <w:lang w:val="en-US" w:eastAsia="zh-CN"/>
        </w:rPr>
        <w:t>1</w:t>
      </w:r>
      <w:r>
        <w:rPr>
          <w:rFonts w:hint="eastAsia" w:ascii="仿宋" w:hAnsi="仿宋" w:eastAsia="仿宋"/>
          <w:color w:val="000000"/>
          <w:sz w:val="32"/>
          <w:szCs w:val="32"/>
          <w:lang w:eastAsia="zh-CN"/>
        </w:rPr>
        <w:t>万元</w:t>
      </w:r>
      <w:r>
        <w:rPr>
          <w:rFonts w:hint="eastAsia" w:ascii="仿宋" w:hAnsi="仿宋" w:eastAsia="仿宋"/>
          <w:color w:val="000000"/>
          <w:sz w:val="32"/>
          <w:szCs w:val="32"/>
        </w:rPr>
        <w:t>、支</w:t>
      </w:r>
      <w:r>
        <w:rPr>
          <w:rFonts w:hint="eastAsia" w:ascii="仿宋" w:hAnsi="仿宋" w:eastAsia="仿宋"/>
          <w:color w:val="000000"/>
          <w:sz w:val="32"/>
          <w:szCs w:val="32"/>
          <w:lang w:eastAsia="zh-CN"/>
        </w:rPr>
        <w:t>出</w:t>
      </w:r>
      <w:r>
        <w:rPr>
          <w:rFonts w:hint="eastAsia" w:ascii="仿宋" w:hAnsi="仿宋" w:eastAsia="仿宋"/>
          <w:color w:val="000000"/>
          <w:sz w:val="32"/>
          <w:szCs w:val="32"/>
        </w:rPr>
        <w:t>总计1712</w:t>
      </w:r>
      <w:r>
        <w:rPr>
          <w:rFonts w:hint="eastAsia" w:ascii="仿宋" w:hAnsi="仿宋" w:eastAsia="仿宋"/>
          <w:color w:val="000000"/>
          <w:sz w:val="32"/>
          <w:szCs w:val="32"/>
          <w:lang w:val="en-US" w:eastAsia="zh-CN"/>
        </w:rPr>
        <w:t>.70</w:t>
      </w:r>
      <w:r>
        <w:rPr>
          <w:rFonts w:hint="eastAsia" w:ascii="仿宋" w:hAnsi="仿宋" w:eastAsia="仿宋"/>
          <w:color w:val="000000"/>
          <w:sz w:val="32"/>
          <w:szCs w:val="32"/>
        </w:rPr>
        <w:t>万元。与2018年相比，收</w:t>
      </w:r>
      <w:r>
        <w:rPr>
          <w:rFonts w:hint="eastAsia" w:ascii="仿宋" w:hAnsi="仿宋" w:eastAsia="仿宋"/>
          <w:color w:val="000000"/>
          <w:sz w:val="32"/>
          <w:szCs w:val="32"/>
          <w:lang w:eastAsia="zh-CN"/>
        </w:rPr>
        <w:t>入</w:t>
      </w:r>
      <w:r>
        <w:rPr>
          <w:rFonts w:hint="eastAsia" w:ascii="仿宋" w:hAnsi="仿宋" w:eastAsia="仿宋"/>
          <w:color w:val="000000"/>
          <w:sz w:val="32"/>
          <w:szCs w:val="32"/>
        </w:rPr>
        <w:t>总计增加</w:t>
      </w:r>
      <w:r>
        <w:rPr>
          <w:rFonts w:hint="eastAsia" w:ascii="仿宋" w:hAnsi="仿宋" w:eastAsia="仿宋"/>
          <w:color w:val="000000"/>
          <w:sz w:val="32"/>
          <w:szCs w:val="32"/>
          <w:lang w:val="en-US" w:eastAsia="zh-CN"/>
        </w:rPr>
        <w:t>160.919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9.99</w:t>
      </w:r>
      <w:r>
        <w:rPr>
          <w:rFonts w:hint="eastAsia"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rPr>
        <w:t>支</w:t>
      </w:r>
      <w:r>
        <w:rPr>
          <w:rFonts w:hint="eastAsia" w:ascii="仿宋" w:hAnsi="仿宋" w:eastAsia="仿宋"/>
          <w:color w:val="000000"/>
          <w:sz w:val="32"/>
          <w:szCs w:val="32"/>
          <w:lang w:eastAsia="zh-CN"/>
        </w:rPr>
        <w:t>出</w:t>
      </w:r>
      <w:r>
        <w:rPr>
          <w:rFonts w:hint="eastAsia" w:ascii="仿宋" w:hAnsi="仿宋" w:eastAsia="仿宋"/>
          <w:color w:val="000000"/>
          <w:sz w:val="32"/>
          <w:szCs w:val="32"/>
        </w:rPr>
        <w:t>总计各增加242</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1</w:t>
      </w:r>
      <w:r>
        <w:rPr>
          <w:rFonts w:hint="eastAsia" w:ascii="仿宋" w:hAnsi="仿宋" w:eastAsia="仿宋"/>
          <w:color w:val="000000"/>
          <w:sz w:val="32"/>
          <w:szCs w:val="32"/>
          <w:lang w:val="en-US" w:eastAsia="zh-CN"/>
        </w:rPr>
        <w:t>7</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增长16.47</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学校办学规模增大，公用费用增大。财政从2019年执行调标工资增长，学校捐赠收入纳入预算财政拨款大幅增加。</w:t>
      </w: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w:t>
      </w:r>
      <w:r>
        <w:rPr>
          <w:rFonts w:ascii="仿宋" w:hAnsi="仿宋" w:eastAsia="仿宋"/>
          <w:color w:val="000000" w:themeColor="text1"/>
          <w:sz w:val="32"/>
          <w:szCs w:val="32"/>
        </w:rPr>
        <w:t>1</w:t>
      </w:r>
      <w:r>
        <w:rPr>
          <w:rFonts w:hint="eastAsia" w:ascii="仿宋" w:hAnsi="仿宋" w:eastAsia="仿宋"/>
          <w:color w:val="000000" w:themeColor="text1"/>
          <w:sz w:val="32"/>
          <w:szCs w:val="32"/>
        </w:rPr>
        <w:t>：</w:t>
      </w:r>
      <w:r>
        <w:rPr>
          <w:rFonts w:hint="eastAsia" w:ascii="仿宋" w:hAnsi="仿宋" w:eastAsia="仿宋"/>
          <w:color w:val="000000" w:themeColor="text1"/>
          <w:sz w:val="32"/>
          <w:szCs w:val="32"/>
          <w:lang w:val="en-US" w:eastAsia="zh-CN"/>
        </w:rPr>
        <w:t>2019年</w:t>
      </w:r>
      <w:r>
        <w:rPr>
          <w:rFonts w:hint="eastAsia" w:ascii="仿宋" w:hAnsi="仿宋" w:eastAsia="仿宋"/>
          <w:color w:val="000000" w:themeColor="text1"/>
          <w:sz w:val="32"/>
          <w:szCs w:val="32"/>
        </w:rPr>
        <w:t>收、支决算总计变动情况图</w:t>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533900" cy="27051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4533900" cy="270510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spacing w:line="600" w:lineRule="exact"/>
        <w:ind w:firstLine="640" w:firstLineChars="200"/>
        <w:jc w:val="left"/>
        <w:rPr>
          <w:rFonts w:ascii="仿宋_GB2312" w:eastAsia="仿宋_GB2312"/>
          <w:color w:val="000000"/>
          <w:sz w:val="32"/>
          <w:szCs w:val="32"/>
        </w:rPr>
      </w:pPr>
    </w:p>
    <w:p>
      <w:pPr>
        <w:pStyle w:val="23"/>
        <w:numPr>
          <w:ilvl w:val="0"/>
          <w:numId w:val="1"/>
        </w:numPr>
        <w:spacing w:line="600" w:lineRule="exact"/>
        <w:ind w:firstLineChars="0"/>
        <w:outlineLvl w:val="1"/>
        <w:rPr>
          <w:rStyle w:val="25"/>
          <w:rFonts w:ascii="黑体" w:hAnsi="黑体" w:eastAsia="黑体"/>
          <w:b w:val="0"/>
        </w:rPr>
      </w:pPr>
      <w:bookmarkStart w:id="30" w:name="_Toc15377206"/>
      <w:bookmarkStart w:id="31" w:name="_Toc15396604"/>
      <w:r>
        <w:rPr>
          <w:rFonts w:hint="eastAsia" w:ascii="黑体" w:hAnsi="黑体" w:eastAsia="黑体"/>
          <w:color w:val="000000"/>
          <w:sz w:val="32"/>
          <w:szCs w:val="32"/>
        </w:rPr>
        <w:t>收</w:t>
      </w:r>
      <w:r>
        <w:rPr>
          <w:rStyle w:val="25"/>
          <w:rFonts w:hint="eastAsia" w:ascii="黑体" w:hAnsi="黑体" w:eastAsia="黑体"/>
          <w:b w:val="0"/>
        </w:rPr>
        <w:t>入决算情况说明</w:t>
      </w:r>
      <w:bookmarkEnd w:id="30"/>
      <w:bookmarkEnd w:id="31"/>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9年本年收入合计</w:t>
      </w:r>
      <w:r>
        <w:rPr>
          <w:rFonts w:hint="eastAsia" w:ascii="仿宋" w:hAnsi="仿宋" w:eastAsia="仿宋"/>
          <w:color w:val="000000"/>
          <w:sz w:val="32"/>
          <w:szCs w:val="32"/>
          <w:lang w:eastAsia="zh-CN"/>
        </w:rPr>
        <w:t>1771</w:t>
      </w:r>
      <w:r>
        <w:rPr>
          <w:rFonts w:hint="eastAsia" w:ascii="仿宋" w:hAnsi="仿宋" w:eastAsia="仿宋"/>
          <w:color w:val="000000"/>
          <w:sz w:val="32"/>
          <w:szCs w:val="32"/>
          <w:lang w:val="en-US" w:eastAsia="zh-CN"/>
        </w:rPr>
        <w:t>.</w:t>
      </w:r>
      <w:r>
        <w:rPr>
          <w:rFonts w:hint="eastAsia" w:ascii="仿宋" w:hAnsi="仿宋" w:eastAsia="仿宋"/>
          <w:color w:val="000000"/>
          <w:sz w:val="32"/>
          <w:szCs w:val="32"/>
          <w:lang w:eastAsia="zh-CN"/>
        </w:rPr>
        <w:t>0</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万元，其中：一般公共预算财政拨款收入1761.91万元，占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rPr>
        <w:t>上级补助收入</w:t>
      </w:r>
      <w:r>
        <w:rPr>
          <w:rFonts w:hint="eastAsia" w:ascii="仿宋" w:hAnsi="仿宋" w:eastAsia="仿宋"/>
          <w:color w:val="000000" w:themeColor="text1"/>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9.1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jc w:val="center"/>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（图2：收入决算结构图）（饼状图）</w:t>
      </w:r>
    </w:p>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476750" cy="2686050"/>
            <wp:effectExtent l="0" t="0" r="0" b="0"/>
            <wp:docPr id="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6"/>
                    <pic:cNvPicPr>
                      <a:picLocks noChangeAspect="1"/>
                    </pic:cNvPicPr>
                  </pic:nvPicPr>
                  <pic:blipFill>
                    <a:blip r:embed="rId7"/>
                    <a:stretch>
                      <a:fillRect/>
                    </a:stretch>
                  </pic:blipFill>
                  <pic:spPr>
                    <a:xfrm>
                      <a:off x="0" y="0"/>
                      <a:ext cx="4476750" cy="2686050"/>
                    </a:xfrm>
                    <a:prstGeom prst="rect">
                      <a:avLst/>
                    </a:prstGeom>
                    <a:noFill/>
                    <a:ln w="9525">
                      <a:noFill/>
                    </a:ln>
                  </pic:spPr>
                </pic:pic>
              </a:graphicData>
            </a:graphic>
          </wp:inline>
        </w:drawing>
      </w:r>
    </w:p>
    <w:p>
      <w:pPr>
        <w:spacing w:line="600" w:lineRule="exact"/>
        <w:rPr>
          <w:rFonts w:ascii="仿宋_GB2312" w:eastAsia="仿宋_GB2312"/>
          <w:color w:val="FF0000"/>
          <w:sz w:val="32"/>
          <w:szCs w:val="32"/>
        </w:rPr>
      </w:pPr>
    </w:p>
    <w:p>
      <w:pPr>
        <w:pStyle w:val="23"/>
        <w:numPr>
          <w:ilvl w:val="0"/>
          <w:numId w:val="1"/>
        </w:numPr>
        <w:spacing w:line="600" w:lineRule="exact"/>
        <w:ind w:firstLineChars="0"/>
        <w:outlineLvl w:val="1"/>
        <w:rPr>
          <w:rStyle w:val="25"/>
          <w:rFonts w:ascii="黑体" w:hAnsi="黑体" w:eastAsia="黑体"/>
          <w:b w:val="0"/>
        </w:rPr>
      </w:pPr>
      <w:bookmarkStart w:id="32" w:name="_Toc15396605"/>
      <w:bookmarkStart w:id="33" w:name="_Toc15377207"/>
      <w:r>
        <w:rPr>
          <w:rFonts w:hint="eastAsia" w:ascii="黑体" w:hAnsi="黑体" w:eastAsia="黑体"/>
          <w:color w:val="000000"/>
          <w:sz w:val="32"/>
          <w:szCs w:val="32"/>
        </w:rPr>
        <w:t>支</w:t>
      </w:r>
      <w:r>
        <w:rPr>
          <w:rStyle w:val="25"/>
          <w:rFonts w:hint="eastAsia" w:ascii="黑体" w:hAnsi="黑体" w:eastAsia="黑体"/>
          <w:b w:val="0"/>
        </w:rPr>
        <w:t>出决算情况说明</w:t>
      </w:r>
      <w:bookmarkEnd w:id="32"/>
      <w:bookmarkEnd w:id="33"/>
    </w:p>
    <w:p>
      <w:pPr>
        <w:spacing w:line="600" w:lineRule="exact"/>
        <w:ind w:firstLine="640" w:firstLineChars="200"/>
        <w:outlineLvl w:val="1"/>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9年本年支出合计1712.7万元，其中：基本支出1712.7万元，占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（图3：支出决算结构图）（饼状图）</w:t>
      </w:r>
    </w:p>
    <w:p>
      <w:pPr>
        <w:keepNext w:val="0"/>
        <w:keepLines w:val="0"/>
        <w:widowControl/>
        <w:suppressLineNumbers w:val="0"/>
        <w:jc w:val="left"/>
      </w:pPr>
    </w:p>
    <w:p>
      <w:pPr>
        <w:spacing w:line="600" w:lineRule="exact"/>
        <w:ind w:firstLine="640" w:firstLineChars="200"/>
        <w:rPr>
          <w:rFonts w:hint="eastAsia" w:ascii="仿宋" w:hAnsi="仿宋" w:eastAsia="仿宋"/>
          <w:color w:val="000000" w:themeColor="text1"/>
          <w:sz w:val="32"/>
          <w:szCs w:val="32"/>
        </w:rPr>
      </w:pPr>
    </w:p>
    <w:p>
      <w:pPr>
        <w:spacing w:line="600" w:lineRule="exact"/>
        <w:ind w:firstLine="640" w:firstLineChars="200"/>
        <w:rPr>
          <w:rFonts w:hint="eastAsia" w:ascii="仿宋" w:hAnsi="仿宋" w:eastAsia="仿宋"/>
          <w:color w:val="000000" w:themeColor="text1"/>
          <w:sz w:val="32"/>
          <w:szCs w:val="32"/>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572000" cy="2733675"/>
            <wp:effectExtent l="0" t="0" r="0" b="9525"/>
            <wp:docPr id="2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 descr="IMG_256"/>
                    <pic:cNvPicPr>
                      <a:picLocks noChangeAspect="1"/>
                    </pic:cNvPicPr>
                  </pic:nvPicPr>
                  <pic:blipFill>
                    <a:blip r:embed="rId8"/>
                    <a:stretch>
                      <a:fillRect/>
                    </a:stretch>
                  </pic:blipFill>
                  <pic:spPr>
                    <a:xfrm>
                      <a:off x="0" y="0"/>
                      <a:ext cx="4572000" cy="2733675"/>
                    </a:xfrm>
                    <a:prstGeom prst="rect">
                      <a:avLst/>
                    </a:prstGeom>
                    <a:noFill/>
                    <a:ln w="9525">
                      <a:noFill/>
                    </a:ln>
                  </pic:spPr>
                </pic:pic>
              </a:graphicData>
            </a:graphic>
          </wp:inline>
        </w:drawing>
      </w:r>
    </w:p>
    <w:p>
      <w:pPr>
        <w:spacing w:line="600" w:lineRule="exact"/>
        <w:outlineLvl w:val="1"/>
        <w:rPr>
          <w:rFonts w:hint="eastAsia" w:ascii="黑体" w:hAnsi="黑体" w:eastAsia="黑体"/>
          <w:color w:val="000000"/>
          <w:sz w:val="32"/>
          <w:szCs w:val="32"/>
        </w:rPr>
      </w:pPr>
      <w:bookmarkStart w:id="34" w:name="_Toc15396606"/>
      <w:bookmarkStart w:id="35" w:name="_Toc15377208"/>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四、财</w:t>
      </w:r>
      <w:r>
        <w:rPr>
          <w:rStyle w:val="25"/>
          <w:rFonts w:hint="eastAsia" w:ascii="黑体" w:hAnsi="黑体" w:eastAsia="黑体"/>
          <w:b w:val="0"/>
        </w:rPr>
        <w:t>政拨款收入支出决算总体情况说明</w:t>
      </w:r>
      <w:bookmarkEnd w:id="34"/>
      <w:bookmarkEnd w:id="3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9年财政拨款收</w:t>
      </w:r>
      <w:r>
        <w:rPr>
          <w:rFonts w:hint="eastAsia" w:ascii="仿宋" w:hAnsi="仿宋" w:eastAsia="仿宋"/>
          <w:color w:val="000000"/>
          <w:sz w:val="32"/>
          <w:szCs w:val="32"/>
          <w:lang w:eastAsia="zh-CN"/>
        </w:rPr>
        <w:t>入</w:t>
      </w:r>
      <w:r>
        <w:rPr>
          <w:rFonts w:hint="eastAsia" w:ascii="仿宋" w:hAnsi="仿宋" w:eastAsia="仿宋"/>
          <w:color w:val="000000"/>
          <w:sz w:val="32"/>
          <w:szCs w:val="32"/>
        </w:rPr>
        <w:t>总计1761.91万元</w:t>
      </w:r>
      <w:r>
        <w:rPr>
          <w:rFonts w:hint="eastAsia" w:ascii="仿宋" w:hAnsi="仿宋" w:eastAsia="仿宋"/>
          <w:color w:val="000000"/>
          <w:sz w:val="32"/>
          <w:szCs w:val="32"/>
          <w:lang w:eastAsia="zh-CN"/>
        </w:rPr>
        <w:t>；支出</w:t>
      </w:r>
      <w:r>
        <w:rPr>
          <w:rFonts w:hint="eastAsia" w:ascii="仿宋" w:hAnsi="仿宋" w:eastAsia="仿宋"/>
          <w:color w:val="000000"/>
          <w:sz w:val="32"/>
          <w:szCs w:val="32"/>
        </w:rPr>
        <w:t>总计1703.6万元。与</w:t>
      </w:r>
      <w:r>
        <w:rPr>
          <w:rFonts w:ascii="仿宋" w:hAnsi="仿宋" w:eastAsia="仿宋"/>
          <w:color w:val="000000"/>
          <w:sz w:val="32"/>
          <w:szCs w:val="32"/>
        </w:rPr>
        <w:t>201</w:t>
      </w:r>
      <w:r>
        <w:rPr>
          <w:rFonts w:hint="eastAsia" w:ascii="仿宋" w:hAnsi="仿宋" w:eastAsia="仿宋"/>
          <w:color w:val="000000"/>
          <w:sz w:val="32"/>
          <w:szCs w:val="32"/>
        </w:rPr>
        <w:t>8年相比，财政拨款收</w:t>
      </w:r>
      <w:r>
        <w:rPr>
          <w:rFonts w:hint="eastAsia" w:ascii="仿宋" w:hAnsi="仿宋" w:eastAsia="仿宋"/>
          <w:color w:val="000000"/>
          <w:sz w:val="32"/>
          <w:szCs w:val="32"/>
          <w:lang w:eastAsia="zh-CN"/>
        </w:rPr>
        <w:t>入</w:t>
      </w:r>
      <w:r>
        <w:rPr>
          <w:rFonts w:hint="eastAsia" w:ascii="仿宋" w:hAnsi="仿宋" w:eastAsia="仿宋"/>
          <w:color w:val="000000"/>
          <w:sz w:val="32"/>
          <w:szCs w:val="32"/>
        </w:rPr>
        <w:t>总计增加36</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4</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万元，增长4.52</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rPr>
        <w:t>支总计增加233</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0</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增长15.85</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w:t>
      </w:r>
      <w:r>
        <w:rPr>
          <w:rFonts w:hint="eastAsia" w:ascii="仿宋" w:hAnsi="仿宋" w:eastAsia="仿宋"/>
          <w:color w:val="000000"/>
          <w:sz w:val="32"/>
          <w:szCs w:val="32"/>
          <w:lang w:eastAsia="zh-CN"/>
        </w:rPr>
        <w:t>；</w:t>
      </w:r>
      <w:r>
        <w:rPr>
          <w:rFonts w:hint="eastAsia" w:ascii="仿宋" w:hAnsi="仿宋" w:eastAsia="仿宋"/>
          <w:color w:val="000000"/>
          <w:sz w:val="32"/>
          <w:szCs w:val="32"/>
        </w:rPr>
        <w:t>财政从2019年执行调标工资增长，学校捐赠收入纳入预算财政拨款大幅增加。</w:t>
      </w:r>
    </w:p>
    <w:p>
      <w:pPr>
        <w:spacing w:line="600" w:lineRule="exact"/>
        <w:rPr>
          <w:rFonts w:ascii="仿宋" w:hAnsi="仿宋" w:eastAsia="仿宋"/>
          <w:color w:val="000000"/>
          <w:sz w:val="32"/>
          <w:szCs w:val="32"/>
        </w:rPr>
      </w:pPr>
    </w:p>
    <w:p>
      <w:pPr>
        <w:spacing w:line="60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（图4：财政拨款收、支决算总计变动情况）（柱状图）</w:t>
      </w:r>
    </w:p>
    <w:p>
      <w:pPr>
        <w:keepNext w:val="0"/>
        <w:keepLines w:val="0"/>
        <w:widowControl/>
        <w:suppressLineNumbers w:val="0"/>
        <w:jc w:val="left"/>
      </w:pPr>
    </w:p>
    <w:p>
      <w:pPr>
        <w:keepNext w:val="0"/>
        <w:keepLines w:val="0"/>
        <w:widowControl/>
        <w:suppressLineNumbers w:val="0"/>
        <w:jc w:val="left"/>
      </w:pPr>
      <w:bookmarkStart w:id="36" w:name="_Toc15377209"/>
      <w:bookmarkStart w:id="37" w:name="_Toc15396607"/>
      <w:r>
        <w:rPr>
          <w:rFonts w:ascii="宋体" w:hAnsi="宋体" w:eastAsia="宋体" w:cs="宋体"/>
          <w:kern w:val="0"/>
          <w:sz w:val="24"/>
          <w:szCs w:val="24"/>
          <w:lang w:val="en-US" w:eastAsia="zh-CN" w:bidi="ar"/>
        </w:rPr>
        <w:drawing>
          <wp:inline distT="0" distB="0" distL="114300" distR="114300">
            <wp:extent cx="4514850" cy="2724150"/>
            <wp:effectExtent l="0" t="0" r="0" b="0"/>
            <wp:docPr id="2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descr="IMG_256"/>
                    <pic:cNvPicPr>
                      <a:picLocks noChangeAspect="1"/>
                    </pic:cNvPicPr>
                  </pic:nvPicPr>
                  <pic:blipFill>
                    <a:blip r:embed="rId9"/>
                    <a:stretch>
                      <a:fillRect/>
                    </a:stretch>
                  </pic:blipFill>
                  <pic:spPr>
                    <a:xfrm>
                      <a:off x="0" y="0"/>
                      <a:ext cx="4514850" cy="2724150"/>
                    </a:xfrm>
                    <a:prstGeom prst="rect">
                      <a:avLst/>
                    </a:prstGeom>
                    <a:noFill/>
                    <a:ln w="9525">
                      <a:noFill/>
                    </a:ln>
                  </pic:spPr>
                </pic:pic>
              </a:graphicData>
            </a:graphic>
          </wp:inline>
        </w:drawing>
      </w:r>
    </w:p>
    <w:p>
      <w:pPr>
        <w:spacing w:line="600" w:lineRule="exact"/>
        <w:outlineLvl w:val="1"/>
        <w:rPr>
          <w:rFonts w:hint="eastAsia" w:ascii="黑体" w:hAnsi="黑体" w:eastAsia="黑体"/>
          <w:color w:val="000000"/>
          <w:sz w:val="32"/>
          <w:szCs w:val="32"/>
        </w:rPr>
      </w:pPr>
    </w:p>
    <w:p>
      <w:pPr>
        <w:spacing w:line="600" w:lineRule="exact"/>
        <w:ind w:firstLine="640" w:firstLineChars="200"/>
        <w:outlineLvl w:val="1"/>
        <w:rPr>
          <w:rStyle w:val="25"/>
          <w:rFonts w:ascii="黑体" w:hAnsi="黑体" w:eastAsia="黑体"/>
          <w:b w:val="0"/>
        </w:rPr>
      </w:pPr>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25"/>
          <w:rFonts w:hint="eastAsia" w:ascii="黑体" w:hAnsi="黑体" w:eastAsia="黑体"/>
          <w:b w:val="0"/>
        </w:rPr>
        <w:t>般公共预算财政拨款支出决算情况说明</w:t>
      </w:r>
      <w:bookmarkEnd w:id="36"/>
      <w:bookmarkEnd w:id="37"/>
    </w:p>
    <w:p>
      <w:pPr>
        <w:spacing w:line="600" w:lineRule="exact"/>
        <w:ind w:firstLine="643" w:firstLineChars="200"/>
        <w:outlineLvl w:val="2"/>
        <w:rPr>
          <w:rFonts w:ascii="仿宋" w:hAnsi="仿宋" w:eastAsia="仿宋"/>
          <w:b/>
          <w:color w:val="000000"/>
          <w:sz w:val="32"/>
          <w:szCs w:val="32"/>
        </w:rPr>
      </w:pPr>
      <w:bookmarkStart w:id="38" w:name="_Toc15377210"/>
      <w:r>
        <w:rPr>
          <w:rFonts w:hint="eastAsia" w:ascii="仿宋" w:hAnsi="仿宋" w:eastAsia="仿宋"/>
          <w:b/>
          <w:color w:val="000000"/>
          <w:sz w:val="32"/>
          <w:szCs w:val="32"/>
        </w:rPr>
        <w:t>（一）一般公共预算财政拨款支出决算总体情况</w:t>
      </w:r>
      <w:bookmarkEnd w:id="38"/>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9年一般公共预算财政拨款支出1703</w:t>
      </w:r>
      <w:r>
        <w:rPr>
          <w:rFonts w:hint="eastAsia" w:ascii="仿宋" w:hAnsi="仿宋" w:eastAsia="仿宋"/>
          <w:color w:val="000000"/>
          <w:sz w:val="32"/>
          <w:szCs w:val="32"/>
          <w:lang w:val="en-US" w:eastAsia="zh-CN"/>
        </w:rPr>
        <w:t>.60</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99.47</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w:t>
      </w:r>
      <w:r>
        <w:rPr>
          <w:rFonts w:hint="eastAsia" w:ascii="仿宋" w:hAnsi="仿宋" w:eastAsia="仿宋"/>
          <w:color w:val="000000"/>
          <w:sz w:val="32"/>
          <w:szCs w:val="32"/>
        </w:rPr>
        <w:t>8年相比，一般公共预算财政拨款</w:t>
      </w:r>
      <w:r>
        <w:rPr>
          <w:rFonts w:hint="eastAsia" w:ascii="仿宋" w:hAnsi="仿宋" w:eastAsia="仿宋"/>
          <w:color w:val="000000"/>
          <w:sz w:val="32"/>
          <w:szCs w:val="32"/>
          <w:lang w:eastAsia="zh-CN"/>
        </w:rPr>
        <w:t>支出</w:t>
      </w:r>
      <w:r>
        <w:rPr>
          <w:rFonts w:hint="eastAsia" w:ascii="仿宋" w:hAnsi="仿宋" w:eastAsia="仿宋"/>
          <w:color w:val="000000"/>
          <w:sz w:val="32"/>
          <w:szCs w:val="32"/>
        </w:rPr>
        <w:t>增加233</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0</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万元，增长15.85</w:t>
      </w:r>
      <w:r>
        <w:rPr>
          <w:rFonts w:ascii="仿宋" w:hAnsi="仿宋" w:eastAsia="仿宋"/>
          <w:color w:val="000000"/>
          <w:sz w:val="32"/>
          <w:szCs w:val="32"/>
        </w:rPr>
        <w:t>%</w:t>
      </w:r>
      <w:r>
        <w:rPr>
          <w:rFonts w:hint="eastAsia" w:ascii="仿宋" w:hAnsi="仿宋" w:eastAsia="仿宋"/>
          <w:color w:val="000000"/>
          <w:sz w:val="32"/>
          <w:szCs w:val="32"/>
        </w:rPr>
        <w:t>。主要变动原因是学校办学规模增大，公用费用增大</w:t>
      </w:r>
      <w:r>
        <w:rPr>
          <w:rFonts w:hint="eastAsia" w:ascii="仿宋" w:hAnsi="仿宋" w:eastAsia="仿宋"/>
          <w:color w:val="000000"/>
          <w:sz w:val="32"/>
          <w:szCs w:val="32"/>
          <w:lang w:eastAsia="zh-CN"/>
        </w:rPr>
        <w:t>；</w:t>
      </w:r>
      <w:r>
        <w:rPr>
          <w:rFonts w:hint="eastAsia" w:ascii="仿宋" w:hAnsi="仿宋" w:eastAsia="仿宋"/>
          <w:color w:val="000000"/>
          <w:sz w:val="32"/>
          <w:szCs w:val="32"/>
        </w:rPr>
        <w:t>财政从2019年执行调标工资增长，学校捐赠收入纳入预算财政拨款大幅增加。</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（图5：一般公共预算财政拨款支出决算变动情况）（柱状图）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533900" cy="2714625"/>
            <wp:effectExtent l="0" t="0" r="0" b="9525"/>
            <wp:docPr id="29"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descr="IMG_256"/>
                    <pic:cNvPicPr>
                      <a:picLocks noChangeAspect="1"/>
                    </pic:cNvPicPr>
                  </pic:nvPicPr>
                  <pic:blipFill>
                    <a:blip r:embed="rId10"/>
                    <a:stretch>
                      <a:fillRect/>
                    </a:stretch>
                  </pic:blipFill>
                  <pic:spPr>
                    <a:xfrm>
                      <a:off x="0" y="0"/>
                      <a:ext cx="4533900" cy="2714625"/>
                    </a:xfrm>
                    <a:prstGeom prst="rect">
                      <a:avLst/>
                    </a:prstGeom>
                    <a:noFill/>
                    <a:ln w="9525">
                      <a:noFill/>
                    </a:ln>
                  </pic:spPr>
                </pic:pic>
              </a:graphicData>
            </a:graphic>
          </wp:inline>
        </w:drawing>
      </w:r>
    </w:p>
    <w:p>
      <w:pPr>
        <w:keepNext w:val="0"/>
        <w:keepLines w:val="0"/>
        <w:widowControl/>
        <w:suppressLineNumbers w:val="0"/>
        <w:jc w:val="left"/>
      </w:pPr>
    </w:p>
    <w:p>
      <w:pPr>
        <w:spacing w:line="600" w:lineRule="exact"/>
        <w:ind w:firstLine="640" w:firstLineChars="200"/>
        <w:rPr>
          <w:rFonts w:ascii="仿宋" w:hAnsi="仿宋" w:eastAsia="仿宋"/>
          <w:color w:val="000000" w:themeColor="text1"/>
          <w:sz w:val="32"/>
          <w:szCs w:val="32"/>
        </w:rPr>
      </w:pPr>
    </w:p>
    <w:p>
      <w:pPr>
        <w:spacing w:line="600" w:lineRule="exact"/>
        <w:ind w:firstLine="640" w:firstLineChars="200"/>
        <w:rPr>
          <w:rFonts w:ascii="仿宋" w:hAnsi="仿宋" w:eastAsia="仿宋"/>
          <w:color w:val="000000" w:themeColor="text1"/>
          <w:sz w:val="32"/>
          <w:szCs w:val="32"/>
        </w:rPr>
      </w:pPr>
    </w:p>
    <w:p>
      <w:pPr>
        <w:spacing w:line="600" w:lineRule="exact"/>
        <w:ind w:firstLine="643" w:firstLineChars="200"/>
        <w:outlineLvl w:val="2"/>
        <w:rPr>
          <w:rFonts w:ascii="仿宋" w:hAnsi="仿宋" w:eastAsia="仿宋"/>
          <w:b/>
          <w:color w:val="000000"/>
          <w:sz w:val="32"/>
          <w:szCs w:val="32"/>
        </w:rPr>
      </w:pPr>
      <w:bookmarkStart w:id="39" w:name="_Toc15377211"/>
      <w:r>
        <w:rPr>
          <w:rFonts w:hint="eastAsia" w:ascii="仿宋" w:hAnsi="仿宋" w:eastAsia="仿宋"/>
          <w:b/>
          <w:color w:val="000000"/>
          <w:sz w:val="32"/>
          <w:szCs w:val="32"/>
        </w:rPr>
        <w:t>（二）一般公共预算财政拨款支出决算结构情况</w:t>
      </w:r>
      <w:bookmarkEnd w:id="39"/>
    </w:p>
    <w:p>
      <w:pPr>
        <w:spacing w:line="600" w:lineRule="exact"/>
        <w:ind w:firstLine="640"/>
        <w:rPr>
          <w:rFonts w:ascii="仿宋" w:hAnsi="仿宋" w:eastAsia="仿宋"/>
          <w:b/>
          <w:color w:val="000000" w:themeColor="text1"/>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w:t>
      </w:r>
      <w:r>
        <w:rPr>
          <w:rFonts w:hint="eastAsia" w:ascii="仿宋" w:hAnsi="仿宋" w:eastAsia="仿宋"/>
          <w:color w:val="000000" w:themeColor="text1"/>
          <w:sz w:val="32"/>
          <w:szCs w:val="32"/>
        </w:rPr>
        <w:t>政拨款支出</w:t>
      </w:r>
      <w:r>
        <w:rPr>
          <w:rFonts w:hint="eastAsia" w:ascii="仿宋" w:hAnsi="仿宋" w:eastAsia="仿宋"/>
          <w:color w:val="000000"/>
          <w:sz w:val="32"/>
          <w:szCs w:val="32"/>
        </w:rPr>
        <w:t>1703.6</w:t>
      </w:r>
      <w:r>
        <w:rPr>
          <w:rFonts w:hint="eastAsia" w:ascii="仿宋" w:hAnsi="仿宋" w:eastAsia="仿宋"/>
          <w:color w:val="000000" w:themeColor="text1"/>
          <w:sz w:val="32"/>
          <w:szCs w:val="32"/>
        </w:rPr>
        <w:t>万元，主要用于以下方面</w:t>
      </w:r>
      <w:r>
        <w:rPr>
          <w:rFonts w:ascii="仿宋" w:hAnsi="仿宋" w:eastAsia="仿宋"/>
          <w:color w:val="000000" w:themeColor="text1"/>
          <w:sz w:val="32"/>
          <w:szCs w:val="32"/>
        </w:rPr>
        <w:t>:</w:t>
      </w:r>
      <w:r>
        <w:rPr>
          <w:rFonts w:hint="eastAsia" w:ascii="仿宋" w:hAnsi="仿宋" w:eastAsia="仿宋"/>
          <w:b/>
          <w:color w:val="000000" w:themeColor="text1"/>
          <w:sz w:val="32"/>
          <w:szCs w:val="32"/>
        </w:rPr>
        <w:t>教育支出（类）</w:t>
      </w:r>
      <w:r>
        <w:rPr>
          <w:rFonts w:hint="eastAsia" w:ascii="仿宋" w:hAnsi="仿宋" w:eastAsia="仿宋"/>
          <w:color w:val="000000" w:themeColor="text1"/>
          <w:sz w:val="32"/>
          <w:szCs w:val="32"/>
        </w:rPr>
        <w:t>1339.97万元，占</w:t>
      </w:r>
      <w:r>
        <w:rPr>
          <w:rFonts w:hint="eastAsia" w:ascii="仿宋" w:hAnsi="仿宋" w:eastAsia="仿宋"/>
          <w:color w:val="000000" w:themeColor="text1"/>
          <w:sz w:val="32"/>
          <w:szCs w:val="32"/>
          <w:lang w:val="en-US" w:eastAsia="zh-CN"/>
        </w:rPr>
        <w:t xml:space="preserve"> 78.66 </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社会保障和就业（类）</w:t>
      </w:r>
      <w:r>
        <w:rPr>
          <w:rFonts w:hint="eastAsia" w:ascii="仿宋" w:hAnsi="仿宋" w:eastAsia="仿宋"/>
          <w:color w:val="000000" w:themeColor="text1"/>
          <w:sz w:val="32"/>
          <w:szCs w:val="32"/>
        </w:rPr>
        <w:t>支出208.72万元，占12.25</w:t>
      </w:r>
      <w:r>
        <w:rPr>
          <w:rFonts w:hint="eastAsia" w:ascii="仿宋" w:hAnsi="仿宋" w:eastAsia="仿宋"/>
          <w:color w:val="000000" w:themeColor="text1"/>
          <w:sz w:val="32"/>
          <w:szCs w:val="32"/>
          <w:lang w:val="en-US" w:eastAsia="zh-CN"/>
        </w:rPr>
        <w:t xml:space="preserve">  </w:t>
      </w:r>
      <w:r>
        <w:rPr>
          <w:rFonts w:ascii="仿宋" w:hAnsi="仿宋" w:eastAsia="仿宋"/>
          <w:color w:val="000000" w:themeColor="text1"/>
          <w:sz w:val="32"/>
          <w:szCs w:val="32"/>
        </w:rPr>
        <w:t>%</w:t>
      </w:r>
      <w:r>
        <w:rPr>
          <w:rFonts w:hint="eastAsia" w:ascii="仿宋" w:hAnsi="仿宋" w:eastAsia="仿宋"/>
          <w:color w:val="000000" w:themeColor="text1"/>
          <w:sz w:val="32"/>
          <w:szCs w:val="32"/>
        </w:rPr>
        <w:t>；</w:t>
      </w:r>
      <w:r>
        <w:rPr>
          <w:rFonts w:hint="eastAsia" w:ascii="仿宋" w:hAnsi="仿宋" w:eastAsia="仿宋"/>
          <w:b/>
          <w:bCs/>
          <w:color w:val="000000" w:themeColor="text1"/>
          <w:sz w:val="32"/>
          <w:szCs w:val="32"/>
        </w:rPr>
        <w:t>卫生健康支出</w:t>
      </w:r>
      <w:r>
        <w:rPr>
          <w:rFonts w:hint="eastAsia" w:ascii="仿宋" w:hAnsi="仿宋" w:eastAsia="仿宋"/>
          <w:color w:val="000000" w:themeColor="text1"/>
          <w:sz w:val="32"/>
          <w:szCs w:val="32"/>
        </w:rPr>
        <w:t>65.33万元，占</w:t>
      </w:r>
      <w:r>
        <w:rPr>
          <w:rFonts w:hint="eastAsia" w:ascii="仿宋" w:hAnsi="仿宋" w:eastAsia="仿宋"/>
          <w:color w:val="000000" w:themeColor="text1"/>
          <w:sz w:val="32"/>
          <w:szCs w:val="32"/>
          <w:lang w:val="en-US" w:eastAsia="zh-CN"/>
        </w:rPr>
        <w:t xml:space="preserve"> 3.83 </w:t>
      </w:r>
      <w:r>
        <w:rPr>
          <w:rFonts w:hint="eastAsia" w:ascii="仿宋" w:hAnsi="仿宋" w:eastAsia="仿宋"/>
          <w:color w:val="000000" w:themeColor="text1"/>
          <w:sz w:val="32"/>
          <w:szCs w:val="32"/>
        </w:rPr>
        <w:t>%；住房保障支出</w:t>
      </w:r>
      <w:r>
        <w:rPr>
          <w:rFonts w:hint="eastAsia" w:ascii="仿宋" w:hAnsi="仿宋" w:eastAsia="仿宋"/>
          <w:color w:val="000000" w:themeColor="text1"/>
          <w:sz w:val="32"/>
          <w:szCs w:val="32"/>
          <w:lang w:val="en-US" w:eastAsia="zh-CN"/>
        </w:rPr>
        <w:t xml:space="preserve"> 89.58</w:t>
      </w:r>
      <w:r>
        <w:rPr>
          <w:rFonts w:hint="eastAsia" w:ascii="仿宋" w:hAnsi="仿宋" w:eastAsia="仿宋"/>
          <w:color w:val="000000" w:themeColor="text1"/>
          <w:sz w:val="32"/>
          <w:szCs w:val="32"/>
        </w:rPr>
        <w:t>万元，占</w:t>
      </w:r>
      <w:r>
        <w:rPr>
          <w:rFonts w:hint="eastAsia" w:ascii="仿宋" w:hAnsi="仿宋" w:eastAsia="仿宋"/>
          <w:color w:val="000000" w:themeColor="text1"/>
          <w:sz w:val="32"/>
          <w:szCs w:val="32"/>
          <w:lang w:val="en-US" w:eastAsia="zh-CN"/>
        </w:rPr>
        <w:t xml:space="preserve"> 5.26 </w:t>
      </w:r>
      <w:r>
        <w:rPr>
          <w:rFonts w:hint="eastAsia" w:ascii="仿宋" w:hAnsi="仿宋" w:eastAsia="仿宋"/>
          <w:color w:val="000000" w:themeColor="text1"/>
          <w:sz w:val="32"/>
          <w:szCs w:val="32"/>
        </w:rPr>
        <w:t>%。</w:t>
      </w:r>
    </w:p>
    <w:p>
      <w:pPr>
        <w:spacing w:line="600" w:lineRule="exact"/>
        <w:ind w:firstLine="640"/>
        <w:rPr>
          <w:rFonts w:ascii="仿宋" w:hAnsi="仿宋" w:eastAsia="仿宋"/>
          <w:color w:val="000000" w:themeColor="text1"/>
          <w:sz w:val="32"/>
          <w:szCs w:val="32"/>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（图6：一般公共预算财政拨款支出决算结构）（饼状图）</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327015" cy="3704590"/>
            <wp:effectExtent l="0" t="0" r="6985" b="10160"/>
            <wp:docPr id="3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descr="IMG_256"/>
                    <pic:cNvPicPr>
                      <a:picLocks noChangeAspect="1"/>
                    </pic:cNvPicPr>
                  </pic:nvPicPr>
                  <pic:blipFill>
                    <a:blip r:embed="rId11"/>
                    <a:stretch>
                      <a:fillRect/>
                    </a:stretch>
                  </pic:blipFill>
                  <pic:spPr>
                    <a:xfrm>
                      <a:off x="0" y="0"/>
                      <a:ext cx="5327015" cy="3704590"/>
                    </a:xfrm>
                    <a:prstGeom prst="rect">
                      <a:avLst/>
                    </a:prstGeom>
                    <a:noFill/>
                    <a:ln w="9525">
                      <a:noFill/>
                    </a:ln>
                  </pic:spPr>
                </pic:pic>
              </a:graphicData>
            </a:graphic>
          </wp:inline>
        </w:drawing>
      </w:r>
    </w:p>
    <w:p>
      <w:pPr>
        <w:spacing w:line="600" w:lineRule="exact"/>
        <w:ind w:firstLine="640" w:firstLineChars="200"/>
        <w:rPr>
          <w:rFonts w:hint="eastAsia" w:ascii="仿宋" w:hAnsi="仿宋" w:eastAsia="仿宋"/>
          <w:color w:val="000000"/>
          <w:sz w:val="32"/>
          <w:szCs w:val="32"/>
        </w:rPr>
      </w:pPr>
    </w:p>
    <w:p>
      <w:pPr>
        <w:keepNext w:val="0"/>
        <w:keepLines w:val="0"/>
        <w:widowControl/>
        <w:suppressLineNumbers w:val="0"/>
        <w:jc w:val="left"/>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40" w:name="_Toc15377212"/>
      <w:r>
        <w:rPr>
          <w:rFonts w:hint="eastAsia" w:ascii="仿宋" w:hAnsi="仿宋" w:eastAsia="仿宋"/>
          <w:b/>
          <w:color w:val="000000"/>
          <w:sz w:val="32"/>
          <w:szCs w:val="32"/>
        </w:rPr>
        <w:t>（三）一般公共预算财政拨款支出决算具体情况</w:t>
      </w:r>
      <w:bookmarkEnd w:id="40"/>
    </w:p>
    <w:p>
      <w:pPr>
        <w:spacing w:line="600" w:lineRule="exact"/>
        <w:ind w:firstLine="643" w:firstLineChars="200"/>
        <w:outlineLvl w:val="2"/>
        <w:rPr>
          <w:rFonts w:ascii="仿宋" w:hAnsi="仿宋" w:eastAsia="仿宋"/>
          <w:color w:val="FF0000"/>
          <w:sz w:val="32"/>
          <w:szCs w:val="32"/>
        </w:rPr>
      </w:pPr>
      <w:bookmarkStart w:id="41" w:name="_Toc15378460"/>
      <w:bookmarkStart w:id="42" w:name="_Toc15377444"/>
      <w:bookmarkStart w:id="43" w:name="_Toc15377213"/>
      <w:r>
        <w:rPr>
          <w:rFonts w:hint="eastAsia" w:ascii="仿宋" w:hAnsi="仿宋" w:eastAsia="仿宋"/>
          <w:b/>
          <w:color w:val="000000" w:themeColor="text1"/>
          <w:sz w:val="32"/>
          <w:szCs w:val="32"/>
        </w:rPr>
        <w:t>2019年</w:t>
      </w:r>
      <w:r>
        <w:rPr>
          <w:rFonts w:hint="eastAsia" w:ascii="仿宋" w:hAnsi="仿宋" w:eastAsia="仿宋"/>
          <w:b/>
          <w:color w:val="000000" w:themeColor="text1"/>
          <w:sz w:val="32"/>
          <w:szCs w:val="32"/>
          <w:lang w:eastAsia="zh-CN"/>
        </w:rPr>
        <w:t>一</w:t>
      </w:r>
      <w:r>
        <w:rPr>
          <w:rFonts w:hint="eastAsia" w:ascii="仿宋" w:hAnsi="仿宋" w:eastAsia="仿宋"/>
          <w:b/>
          <w:color w:val="000000" w:themeColor="text1"/>
          <w:sz w:val="32"/>
          <w:szCs w:val="32"/>
        </w:rPr>
        <w:t>般公共预算支出决算数为1703.6</w:t>
      </w:r>
      <w:r>
        <w:rPr>
          <w:rFonts w:hint="eastAsia" w:ascii="仿宋" w:hAnsi="仿宋" w:eastAsia="仿宋"/>
          <w:b/>
          <w:color w:val="000000" w:themeColor="text1"/>
          <w:sz w:val="32"/>
          <w:szCs w:val="32"/>
          <w:lang w:eastAsia="zh-CN"/>
        </w:rPr>
        <w:t>万元</w:t>
      </w:r>
      <w:r>
        <w:rPr>
          <w:rFonts w:hint="eastAsia" w:ascii="仿宋" w:hAnsi="仿宋" w:eastAsia="仿宋"/>
          <w:color w:val="000000" w:themeColor="text1"/>
          <w:sz w:val="32"/>
          <w:szCs w:val="32"/>
        </w:rPr>
        <w:t>，</w:t>
      </w:r>
      <w:r>
        <w:rPr>
          <w:rStyle w:val="14"/>
          <w:rFonts w:hint="eastAsia" w:ascii="仿宋" w:hAnsi="仿宋" w:eastAsia="仿宋"/>
          <w:bCs/>
          <w:color w:val="000000" w:themeColor="text1"/>
          <w:sz w:val="32"/>
          <w:szCs w:val="32"/>
        </w:rPr>
        <w:t>完成</w:t>
      </w:r>
      <w:r>
        <w:rPr>
          <w:rStyle w:val="14"/>
          <w:rFonts w:hint="eastAsia" w:ascii="仿宋" w:hAnsi="仿宋" w:eastAsia="仿宋"/>
          <w:bCs/>
          <w:color w:val="000000"/>
          <w:sz w:val="32"/>
          <w:szCs w:val="32"/>
        </w:rPr>
        <w:t>预算</w:t>
      </w:r>
      <w:r>
        <w:rPr>
          <w:rStyle w:val="14"/>
          <w:rFonts w:hint="eastAsia" w:ascii="仿宋" w:hAnsi="仿宋" w:eastAsia="仿宋"/>
          <w:bCs/>
          <w:color w:val="000000"/>
          <w:sz w:val="32"/>
          <w:szCs w:val="32"/>
          <w:lang w:val="en-US" w:eastAsia="zh-CN"/>
        </w:rPr>
        <w:t xml:space="preserve"> 90.21 </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41"/>
      <w:bookmarkEnd w:id="42"/>
      <w:bookmarkEnd w:id="43"/>
    </w:p>
    <w:p>
      <w:pPr>
        <w:numPr>
          <w:ilvl w:val="0"/>
          <w:numId w:val="2"/>
        </w:num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rPr>
        <w:t>教育（类）普通教育（款） 学前教育（项）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支出决算为0.2万元，完成预算</w:t>
      </w:r>
      <w:r>
        <w:rPr>
          <w:rStyle w:val="14"/>
          <w:rFonts w:hint="eastAsia" w:ascii="仿宋" w:hAnsi="仿宋" w:eastAsia="仿宋"/>
          <w:b w:val="0"/>
          <w:bCs/>
          <w:color w:val="000000"/>
          <w:sz w:val="32"/>
          <w:szCs w:val="32"/>
          <w:lang w:val="en-US" w:eastAsia="zh-CN"/>
        </w:rPr>
        <w:t xml:space="preserve"> 100 </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2.</w:t>
      </w:r>
      <w:r>
        <w:rPr>
          <w:rStyle w:val="14"/>
          <w:rFonts w:hint="eastAsia" w:ascii="仿宋" w:hAnsi="仿宋" w:eastAsia="仿宋"/>
          <w:bCs/>
          <w:color w:val="000000"/>
          <w:sz w:val="32"/>
          <w:szCs w:val="32"/>
        </w:rPr>
        <w:t>教育（类）普通教育（款） 小学教育（项）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支出决算为1339.77万元，完成预算</w:t>
      </w:r>
      <w:r>
        <w:rPr>
          <w:rStyle w:val="14"/>
          <w:rFonts w:hint="eastAsia" w:ascii="仿宋" w:hAnsi="仿宋" w:eastAsia="仿宋"/>
          <w:b w:val="0"/>
          <w:bCs/>
          <w:color w:val="000000"/>
          <w:sz w:val="32"/>
          <w:szCs w:val="32"/>
          <w:lang w:val="en-US" w:eastAsia="zh-CN"/>
        </w:rPr>
        <w:t xml:space="preserve"> 87.95 </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，决算数小于预算数的主要原因</w:t>
      </w:r>
      <w:r>
        <w:rPr>
          <w:rStyle w:val="14"/>
          <w:rFonts w:hint="eastAsia" w:ascii="仿宋" w:hAnsi="仿宋" w:eastAsia="仿宋"/>
          <w:b w:val="0"/>
          <w:bCs/>
          <w:color w:val="000000"/>
          <w:sz w:val="32"/>
          <w:szCs w:val="32"/>
          <w:lang w:eastAsia="zh-CN"/>
        </w:rPr>
        <w:t>办公设备购置费按合同未付及维修维护费劳务费用暂未领取</w:t>
      </w:r>
      <w:r>
        <w:rPr>
          <w:rStyle w:val="14"/>
          <w:rFonts w:hint="eastAsia" w:ascii="仿宋" w:hAnsi="仿宋" w:eastAsia="仿宋"/>
          <w:b w:val="0"/>
          <w:bCs/>
          <w:color w:val="000000"/>
          <w:sz w:val="32"/>
          <w:szCs w:val="32"/>
        </w:rPr>
        <w:t>。</w:t>
      </w:r>
    </w:p>
    <w:p>
      <w:pPr>
        <w:numPr>
          <w:ilvl w:val="0"/>
          <w:numId w:val="0"/>
        </w:numPr>
        <w:spacing w:line="600" w:lineRule="exact"/>
        <w:ind w:firstLine="643" w:firstLineChars="200"/>
        <w:rPr>
          <w:rFonts w:ascii="仿宋" w:hAnsi="仿宋" w:eastAsia="仿宋"/>
          <w:b/>
          <w:color w:val="000000"/>
          <w:sz w:val="32"/>
          <w:szCs w:val="32"/>
        </w:rPr>
      </w:pPr>
    </w:p>
    <w:p>
      <w:pPr>
        <w:spacing w:line="600" w:lineRule="exact"/>
        <w:ind w:firstLine="643" w:firstLineChars="200"/>
        <w:rPr>
          <w:rStyle w:val="14"/>
          <w:rFonts w:hint="eastAsia" w:ascii="仿宋" w:hAnsi="仿宋" w:eastAsia="仿宋"/>
          <w:b w:val="0"/>
          <w:bCs/>
          <w:color w:val="000000"/>
          <w:sz w:val="32"/>
          <w:szCs w:val="32"/>
        </w:rPr>
      </w:pPr>
      <w:r>
        <w:rPr>
          <w:rStyle w:val="14"/>
          <w:rFonts w:hint="eastAsia" w:ascii="仿宋" w:hAnsi="仿宋" w:eastAsia="仿宋"/>
          <w:bCs/>
          <w:color w:val="000000"/>
          <w:sz w:val="32"/>
          <w:szCs w:val="32"/>
          <w:lang w:val="en-US" w:eastAsia="zh-CN"/>
        </w:rPr>
        <w:t>3</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社会保障和就业（类）行政事业单位离退休（款）  事业单位离退休（项）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支出决算为40.56万元，完成预算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4"/>
          <w:rFonts w:hint="eastAsia" w:ascii="仿宋" w:hAnsi="仿宋" w:eastAsia="仿宋"/>
          <w:bCs/>
          <w:color w:val="000000"/>
          <w:sz w:val="32"/>
          <w:szCs w:val="32"/>
          <w:lang w:val="en-US" w:eastAsia="zh-CN"/>
        </w:rPr>
        <w:t>4.</w:t>
      </w:r>
      <w:r>
        <w:rPr>
          <w:rStyle w:val="14"/>
          <w:rFonts w:hint="eastAsia" w:ascii="仿宋" w:hAnsi="仿宋" w:eastAsia="仿宋"/>
          <w:bCs/>
          <w:color w:val="000000"/>
          <w:sz w:val="32"/>
          <w:szCs w:val="32"/>
        </w:rPr>
        <w:t>社会保障和就业（类）行政事业单位离退休（款）  机关事业单位基本养老保险缴费支出（项）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支出决算为115.07万元，完成预算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hint="eastAsia" w:ascii="仿宋" w:hAnsi="仿宋" w:eastAsia="仿宋"/>
          <w:b/>
          <w:color w:val="000000"/>
          <w:sz w:val="32"/>
          <w:szCs w:val="32"/>
          <w:lang w:eastAsia="zh-CN"/>
        </w:rPr>
      </w:pPr>
      <w:r>
        <w:rPr>
          <w:rStyle w:val="14"/>
          <w:rFonts w:hint="eastAsia" w:ascii="仿宋" w:hAnsi="仿宋" w:eastAsia="仿宋"/>
          <w:bCs/>
          <w:color w:val="000000"/>
          <w:sz w:val="32"/>
          <w:szCs w:val="32"/>
          <w:lang w:val="en-US" w:eastAsia="zh-CN"/>
        </w:rPr>
        <w:t>5.</w:t>
      </w:r>
      <w:r>
        <w:rPr>
          <w:rStyle w:val="14"/>
          <w:rFonts w:hint="eastAsia" w:ascii="仿宋" w:hAnsi="仿宋" w:eastAsia="仿宋"/>
          <w:bCs/>
          <w:color w:val="000000"/>
          <w:sz w:val="32"/>
          <w:szCs w:val="32"/>
        </w:rPr>
        <w:t>社会保障和就业（类）行政事业单位离退休（款）    机关事业单位职业年金缴费支出（项）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color w:val="000000"/>
          <w:sz w:val="32"/>
          <w:szCs w:val="32"/>
        </w:rPr>
        <w:t>支出决算为53.09万元，完成预算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r>
        <w:rPr>
          <w:rStyle w:val="14"/>
          <w:rFonts w:hint="eastAsia" w:ascii="仿宋" w:hAnsi="仿宋" w:eastAsia="仿宋"/>
          <w:b w:val="0"/>
          <w:bCs/>
          <w:color w:val="000000"/>
          <w:sz w:val="32"/>
          <w:szCs w:val="32"/>
          <w:lang w:eastAsia="zh-CN"/>
        </w:rPr>
        <w:t>。</w:t>
      </w:r>
    </w:p>
    <w:p>
      <w:pPr>
        <w:spacing w:line="600" w:lineRule="exact"/>
        <w:ind w:firstLine="643" w:firstLineChars="200"/>
        <w:rPr>
          <w:rFonts w:ascii="仿宋" w:hAnsi="仿宋" w:eastAsia="仿宋"/>
          <w:b/>
          <w:color w:val="000000"/>
          <w:sz w:val="32"/>
          <w:szCs w:val="32"/>
        </w:rPr>
      </w:pPr>
      <w:r>
        <w:rPr>
          <w:rStyle w:val="14"/>
          <w:rFonts w:ascii="仿宋" w:hAnsi="仿宋" w:eastAsia="仿宋"/>
          <w:bCs/>
          <w:color w:val="000000"/>
          <w:sz w:val="32"/>
          <w:szCs w:val="32"/>
        </w:rPr>
        <w:t>6.</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（类）行政事业单位医疗（款）  事业单位医疗（项）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支出决算为40.96万元，完成预算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lang w:val="en-US" w:eastAsia="zh-CN"/>
        </w:rPr>
        <w:t>7.</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（类）行政事业单位医疗（款）  公务员医疗补助（项）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支出决算为21.06万元，完成预算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lang w:val="en-US" w:eastAsia="zh-CN"/>
        </w:rPr>
        <w:t>8.</w:t>
      </w:r>
      <w:r>
        <w:rPr>
          <w:rFonts w:hint="eastAsia" w:ascii="仿宋" w:hAnsi="仿宋" w:eastAsia="仿宋"/>
          <w:b/>
          <w:bCs/>
          <w:color w:val="000000" w:themeColor="text1"/>
          <w:sz w:val="32"/>
          <w:szCs w:val="32"/>
        </w:rPr>
        <w:t>卫生健康</w:t>
      </w:r>
      <w:r>
        <w:rPr>
          <w:rStyle w:val="14"/>
          <w:rFonts w:hint="eastAsia" w:ascii="仿宋" w:hAnsi="仿宋" w:eastAsia="仿宋"/>
          <w:bCs/>
          <w:color w:val="000000"/>
          <w:sz w:val="32"/>
          <w:szCs w:val="32"/>
        </w:rPr>
        <w:t>（类）其他卫生健康支出（款）  其他卫生健康支出（项）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支出决算为3.32万元，完成预算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themeColor="text1"/>
          <w:sz w:val="32"/>
          <w:szCs w:val="32"/>
          <w:lang w:val="en-US" w:eastAsia="zh-CN"/>
        </w:rPr>
        <w:t>9.</w:t>
      </w:r>
      <w:r>
        <w:rPr>
          <w:rFonts w:hint="eastAsia" w:ascii="仿宋" w:hAnsi="仿宋" w:eastAsia="仿宋"/>
          <w:b/>
          <w:bCs/>
          <w:color w:val="000000" w:themeColor="text1"/>
          <w:sz w:val="32"/>
          <w:szCs w:val="32"/>
        </w:rPr>
        <w:t>住房保障支出</w:t>
      </w:r>
      <w:r>
        <w:rPr>
          <w:rStyle w:val="14"/>
          <w:rFonts w:hint="eastAsia" w:ascii="仿宋" w:hAnsi="仿宋" w:eastAsia="仿宋"/>
          <w:bCs/>
          <w:color w:val="000000"/>
          <w:sz w:val="32"/>
          <w:szCs w:val="32"/>
        </w:rPr>
        <w:t>（类）住房改革支出（款）   住房公积金（项）</w:t>
      </w:r>
      <w:r>
        <w:rPr>
          <w:rStyle w:val="14"/>
          <w:rFonts w:ascii="仿宋" w:hAnsi="仿宋" w:eastAsia="仿宋"/>
          <w:bCs/>
          <w:color w:val="000000"/>
          <w:sz w:val="32"/>
          <w:szCs w:val="32"/>
        </w:rPr>
        <w:t>:</w:t>
      </w:r>
      <w:r>
        <w:rPr>
          <w:rStyle w:val="14"/>
          <w:rFonts w:hint="eastAsia" w:ascii="仿宋" w:hAnsi="仿宋" w:eastAsia="仿宋"/>
          <w:b w:val="0"/>
          <w:bCs/>
          <w:color w:val="000000"/>
          <w:sz w:val="32"/>
          <w:szCs w:val="32"/>
        </w:rPr>
        <w:t>支出决算为89.58万元，完成预算</w:t>
      </w:r>
      <w:r>
        <w:rPr>
          <w:rStyle w:val="14"/>
          <w:rFonts w:hint="eastAsia" w:ascii="仿宋" w:hAnsi="仿宋" w:eastAsia="仿宋"/>
          <w:b w:val="0"/>
          <w:bCs/>
          <w:color w:val="000000"/>
          <w:sz w:val="32"/>
          <w:szCs w:val="32"/>
          <w:lang w:val="en-US" w:eastAsia="zh-CN"/>
        </w:rPr>
        <w:t>100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，决算数等于预算数。</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381625" cy="29146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2"/>
                    <a:stretch>
                      <a:fillRect/>
                    </a:stretch>
                  </pic:blipFill>
                  <pic:spPr>
                    <a:xfrm>
                      <a:off x="0" y="0"/>
                      <a:ext cx="5381625" cy="2914650"/>
                    </a:xfrm>
                    <a:prstGeom prst="rect">
                      <a:avLst/>
                    </a:prstGeom>
                    <a:noFill/>
                    <a:ln w="9525">
                      <a:noFill/>
                    </a:ln>
                  </pic:spPr>
                </pic:pic>
              </a:graphicData>
            </a:graphic>
          </wp:inline>
        </w:drawing>
      </w:r>
    </w:p>
    <w:p>
      <w:pPr>
        <w:spacing w:line="600" w:lineRule="exact"/>
        <w:rPr>
          <w:rFonts w:ascii="仿宋" w:hAnsi="仿宋" w:eastAsia="仿宋"/>
          <w:b/>
          <w:color w:val="000000"/>
          <w:sz w:val="32"/>
          <w:szCs w:val="32"/>
        </w:rPr>
      </w:pPr>
    </w:p>
    <w:p>
      <w:pPr>
        <w:tabs>
          <w:tab w:val="right" w:pos="8306"/>
        </w:tabs>
        <w:spacing w:line="600" w:lineRule="exact"/>
        <w:ind w:firstLine="640"/>
        <w:outlineLvl w:val="1"/>
        <w:rPr>
          <w:rStyle w:val="25"/>
        </w:rPr>
      </w:pPr>
      <w:bookmarkStart w:id="44" w:name="_Toc15377214"/>
      <w:bookmarkStart w:id="45"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25"/>
          <w:rFonts w:hint="eastAsia" w:ascii="黑体" w:hAnsi="黑体" w:eastAsia="黑体"/>
          <w:b w:val="0"/>
        </w:rPr>
        <w:t>般公共预算财政拨款基本支出决算情况说明</w:t>
      </w:r>
      <w:bookmarkEnd w:id="44"/>
      <w:bookmarkEnd w:id="45"/>
      <w:r>
        <w:rPr>
          <w:rStyle w:val="2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9年一般公共预算财政拨款基本支出1647.06万元，其中：</w:t>
      </w:r>
    </w:p>
    <w:p>
      <w:pPr>
        <w:spacing w:line="600" w:lineRule="exact"/>
        <w:ind w:firstLine="645"/>
        <w:rPr>
          <w:rFonts w:hint="eastAsia" w:ascii="仿宋" w:hAnsi="仿宋" w:eastAsia="仿宋"/>
          <w:color w:val="000000"/>
          <w:sz w:val="32"/>
          <w:szCs w:val="32"/>
        </w:rPr>
      </w:pPr>
      <w:r>
        <w:rPr>
          <w:rFonts w:hint="eastAsia" w:ascii="仿宋" w:hAnsi="仿宋" w:eastAsia="仿宋"/>
          <w:color w:val="000000"/>
          <w:sz w:val="32"/>
          <w:szCs w:val="32"/>
        </w:rPr>
        <w:t>人员经费1035.78万元，主要包括：基本工资458.32万元、津贴补贴20.9万元、奖金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万元、伙食补助费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万元、绩效工资233.27万元、机关事业单位基本养老保险缴费115.07万元、职业年金缴费53.09万元、职工基本医疗保险缴费40.96万元</w:t>
      </w:r>
      <w:r>
        <w:rPr>
          <w:rFonts w:hint="eastAsia" w:ascii="仿宋" w:hAnsi="仿宋" w:eastAsia="仿宋"/>
          <w:color w:val="000000"/>
          <w:sz w:val="32"/>
          <w:szCs w:val="32"/>
          <w:lang w:eastAsia="zh-CN"/>
        </w:rPr>
        <w:t>、公务员医疗补助缴费11.62</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其他社会保障缴费9.43万元、住房公积金89.58万元、医疗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其他工资福利支出</w:t>
      </w:r>
      <w:r>
        <w:rPr>
          <w:rFonts w:hint="eastAsia" w:ascii="仿宋" w:hAnsi="仿宋" w:eastAsia="仿宋"/>
          <w:color w:val="000000"/>
          <w:sz w:val="32"/>
          <w:szCs w:val="32"/>
          <w:lang w:val="en-US" w:eastAsia="zh-CN"/>
        </w:rPr>
        <w:t>3.56</w:t>
      </w:r>
      <w:r>
        <w:rPr>
          <w:rFonts w:hint="eastAsia" w:ascii="仿宋" w:hAnsi="仿宋" w:eastAsia="仿宋"/>
          <w:color w:val="000000"/>
          <w:sz w:val="32"/>
          <w:szCs w:val="32"/>
        </w:rPr>
        <w:t>万元、离休费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万元、退休费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万元、退职（役）费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抚恤</w:t>
      </w:r>
      <w:r>
        <w:rPr>
          <w:rFonts w:hint="eastAsia" w:ascii="仿宋" w:hAnsi="仿宋" w:eastAsia="仿宋"/>
          <w:color w:val="000000"/>
          <w:sz w:val="32"/>
          <w:szCs w:val="32"/>
          <w:lang w:val="en-US" w:eastAsia="zh-CN"/>
        </w:rPr>
        <w:t>4.46</w:t>
      </w:r>
      <w:r>
        <w:rPr>
          <w:rFonts w:hint="eastAsia" w:ascii="仿宋" w:hAnsi="仿宋" w:eastAsia="仿宋"/>
          <w:color w:val="000000"/>
          <w:sz w:val="32"/>
          <w:szCs w:val="32"/>
        </w:rPr>
        <w:t>万元、生活补助34.6万元、救济费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医疗费补助9.44万元、助学</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奖励金0.19万元、其他对个人和家庭的补助支出5.96万元。</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6"/>
          <w:szCs w:val="36"/>
        </w:rPr>
        <w:t>611.28</w:t>
      </w:r>
      <w:r>
        <w:rPr>
          <w:rFonts w:hint="eastAsia" w:ascii="仿宋" w:hAnsi="仿宋" w:eastAsia="仿宋"/>
          <w:color w:val="000000"/>
          <w:sz w:val="32"/>
          <w:szCs w:val="32"/>
        </w:rPr>
        <w:t>万元，主要包括：办公费97.97万元、印刷费0.99万元、咨询费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万元、手续费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万元、水费8.24万元、电费11.52万元、邮电费1.5万元、取暖费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万元、物业管理费</w:t>
      </w:r>
      <w:r>
        <w:rPr>
          <w:rFonts w:hint="eastAsia" w:ascii="仿宋" w:hAnsi="仿宋" w:eastAsia="仿宋"/>
          <w:color w:val="000000"/>
          <w:sz w:val="32"/>
          <w:szCs w:val="32"/>
          <w:lang w:val="en-US" w:eastAsia="zh-CN"/>
        </w:rPr>
        <w:t>7.44</w:t>
      </w:r>
      <w:r>
        <w:rPr>
          <w:rFonts w:hint="eastAsia" w:ascii="仿宋" w:hAnsi="仿宋" w:eastAsia="仿宋"/>
          <w:color w:val="000000"/>
          <w:sz w:val="32"/>
          <w:szCs w:val="32"/>
        </w:rPr>
        <w:t>万元、差旅费23.57万元、因公出国（境）费用</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万元、维修（护）费55.52万元、租赁费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万元、会议费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万元、培训费37.22万元、公务接待费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万元、专用材料费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劳务费211.43万元、委托业务费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万元、工会经费63.1万元、福利费19.68万元、公务用车运行维护费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万元、其他交通费2.06万元、税金及附加费用</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万元、其他商品和服务支出</w:t>
      </w:r>
      <w:r>
        <w:rPr>
          <w:rFonts w:hint="eastAsia" w:ascii="仿宋" w:hAnsi="仿宋" w:eastAsia="仿宋"/>
          <w:color w:val="000000"/>
          <w:sz w:val="32"/>
          <w:szCs w:val="32"/>
          <w:lang w:val="en-US" w:eastAsia="zh-CN"/>
        </w:rPr>
        <w:t>72.01</w:t>
      </w:r>
      <w:r>
        <w:rPr>
          <w:rFonts w:hint="eastAsia" w:ascii="仿宋" w:hAnsi="仿宋" w:eastAsia="仿宋"/>
          <w:color w:val="000000"/>
          <w:sz w:val="32"/>
          <w:szCs w:val="32"/>
        </w:rPr>
        <w:t>万元、办公设备购置1.88万元、专用设备购置</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万元、信息网络及软件购置更新</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万元、其他资本性支出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万元等。</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533900" cy="2752725"/>
            <wp:effectExtent l="0" t="0" r="0" b="952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13"/>
                    <a:stretch>
                      <a:fillRect/>
                    </a:stretch>
                  </pic:blipFill>
                  <pic:spPr>
                    <a:xfrm>
                      <a:off x="0" y="0"/>
                      <a:ext cx="4533900" cy="275272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581525" cy="2619375"/>
            <wp:effectExtent l="0" t="0" r="9525" b="9525"/>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14"/>
                    <a:stretch>
                      <a:fillRect/>
                    </a:stretch>
                  </pic:blipFill>
                  <pic:spPr>
                    <a:xfrm>
                      <a:off x="0" y="0"/>
                      <a:ext cx="4581525" cy="261937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800725" cy="3028950"/>
            <wp:effectExtent l="0" t="0" r="9525" b="0"/>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15"/>
                    <a:stretch>
                      <a:fillRect/>
                    </a:stretch>
                  </pic:blipFill>
                  <pic:spPr>
                    <a:xfrm>
                      <a:off x="0" y="0"/>
                      <a:ext cx="5800725" cy="3028950"/>
                    </a:xfrm>
                    <a:prstGeom prst="rect">
                      <a:avLst/>
                    </a:prstGeom>
                    <a:noFill/>
                    <a:ln w="9525">
                      <a:noFill/>
                    </a:ln>
                  </pic:spPr>
                </pic:pic>
              </a:graphicData>
            </a:graphic>
          </wp:inline>
        </w:drawing>
      </w:r>
    </w:p>
    <w:p>
      <w:pPr>
        <w:spacing w:line="600" w:lineRule="exact"/>
        <w:ind w:firstLine="645"/>
        <w:rPr>
          <w:rFonts w:hint="eastAsia" w:ascii="仿宋" w:hAnsi="仿宋" w:eastAsia="仿宋"/>
          <w:color w:val="000000"/>
          <w:sz w:val="32"/>
          <w:szCs w:val="32"/>
        </w:rPr>
      </w:pPr>
    </w:p>
    <w:p>
      <w:pPr>
        <w:spacing w:line="600" w:lineRule="exact"/>
        <w:ind w:firstLine="640"/>
        <w:outlineLvl w:val="1"/>
        <w:rPr>
          <w:rStyle w:val="25"/>
          <w:rFonts w:ascii="黑体" w:hAnsi="黑体" w:eastAsia="黑体"/>
          <w:b w:val="0"/>
        </w:rPr>
      </w:pPr>
      <w:bookmarkStart w:id="46" w:name="_Toc15377215"/>
      <w:bookmarkStart w:id="47" w:name="_Toc15396609"/>
      <w:r>
        <w:rPr>
          <w:rFonts w:hint="eastAsia" w:ascii="黑体" w:eastAsia="黑体"/>
          <w:color w:val="000000"/>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46"/>
      <w:bookmarkEnd w:id="47"/>
    </w:p>
    <w:p>
      <w:pPr>
        <w:spacing w:line="600" w:lineRule="exact"/>
        <w:ind w:firstLine="640"/>
        <w:outlineLvl w:val="2"/>
        <w:rPr>
          <w:rFonts w:ascii="仿宋" w:hAnsi="仿宋" w:eastAsia="仿宋"/>
          <w:b/>
          <w:color w:val="000000"/>
          <w:sz w:val="32"/>
          <w:szCs w:val="32"/>
        </w:rPr>
      </w:pPr>
      <w:bookmarkStart w:id="48" w:name="_Toc15377216"/>
      <w:r>
        <w:rPr>
          <w:rFonts w:hint="eastAsia" w:ascii="仿宋" w:hAnsi="仿宋" w:eastAsia="仿宋"/>
          <w:b/>
          <w:color w:val="000000"/>
          <w:sz w:val="32"/>
          <w:szCs w:val="32"/>
        </w:rPr>
        <w:t>（一）“三公”经费财政拨款支出决算总体情况说明</w:t>
      </w:r>
      <w:bookmarkEnd w:id="48"/>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w:t>
      </w:r>
      <w:r>
        <w:rPr>
          <w:rFonts w:hint="eastAsia" w:ascii="仿宋" w:hAnsi="仿宋" w:eastAsia="仿宋"/>
          <w:color w:val="000000"/>
          <w:sz w:val="32"/>
          <w:szCs w:val="32"/>
          <w:lang w:eastAsia="zh-CN"/>
        </w:rPr>
        <w:t>无</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9" w:name="_Toc15377217"/>
      <w:r>
        <w:rPr>
          <w:rFonts w:hint="eastAsia" w:ascii="仿宋" w:hAnsi="仿宋" w:eastAsia="仿宋"/>
          <w:b/>
          <w:color w:val="000000"/>
          <w:sz w:val="32"/>
          <w:szCs w:val="32"/>
        </w:rPr>
        <w:t>（二）“三公”经费财政拨款支出决算具体情况说明</w:t>
      </w:r>
      <w:bookmarkEnd w:id="49"/>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rPr>
        <w:t>9年“三公”经费财政拨款支出决算中，因公出国（境）费支出决算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 w:hAnsi="仿宋" w:eastAsia="仿宋"/>
          <w:color w:val="000000"/>
          <w:sz w:val="32"/>
          <w:szCs w:val="32"/>
        </w:rPr>
        <w:t>（图7：“三公”经费财政拨款支出结构）（饼状图）</w:t>
      </w:r>
    </w:p>
    <w:p>
      <w:pPr>
        <w:keepNext w:val="0"/>
        <w:keepLines w:val="0"/>
        <w:widowControl/>
        <w:suppressLineNumbers w:val="0"/>
        <w:jc w:val="cente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543425" cy="2705100"/>
            <wp:effectExtent l="0" t="0" r="9525" b="0"/>
            <wp:docPr id="3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descr="IMG_256"/>
                    <pic:cNvPicPr>
                      <a:picLocks noChangeAspect="1"/>
                    </pic:cNvPicPr>
                  </pic:nvPicPr>
                  <pic:blipFill>
                    <a:blip r:embed="rId16"/>
                    <a:stretch>
                      <a:fillRect/>
                    </a:stretch>
                  </pic:blipFill>
                  <pic:spPr>
                    <a:xfrm>
                      <a:off x="0" y="0"/>
                      <a:ext cx="4543425" cy="2705100"/>
                    </a:xfrm>
                    <a:prstGeom prst="rect">
                      <a:avLst/>
                    </a:prstGeom>
                    <a:noFill/>
                    <a:ln w="9525">
                      <a:noFill/>
                    </a:ln>
                  </pic:spPr>
                </pic:pic>
              </a:graphicData>
            </a:graphic>
          </wp:inline>
        </w:drawing>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_GB2312" w:eastAsia="仿宋_GB2312"/>
          <w:b/>
          <w:color w:val="000000"/>
          <w:sz w:val="32"/>
          <w:szCs w:val="32"/>
          <w:lang w:eastAsia="zh-CN"/>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无</w:t>
      </w:r>
    </w:p>
    <w:p>
      <w:pPr>
        <w:spacing w:line="600"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rPr>
        <w:t>开支内容包括：</w:t>
      </w:r>
      <w:r>
        <w:rPr>
          <w:rFonts w:hint="eastAsia" w:ascii="仿宋_GB2312" w:eastAsia="仿宋_GB2312"/>
          <w:color w:val="000000"/>
          <w:sz w:val="32"/>
          <w:szCs w:val="32"/>
          <w:lang w:eastAsia="zh-CN"/>
        </w:rPr>
        <w:t>无</w:t>
      </w:r>
    </w:p>
    <w:p>
      <w:pPr>
        <w:spacing w:line="600" w:lineRule="exact"/>
        <w:ind w:firstLine="640"/>
        <w:rPr>
          <w:rFonts w:hint="eastAsia" w:ascii="仿宋_GB2312" w:eastAsia="仿宋_GB2312"/>
          <w:b/>
          <w:color w:val="000000"/>
          <w:sz w:val="32"/>
          <w:szCs w:val="32"/>
          <w:lang w:eastAsia="zh-CN"/>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无</w:t>
      </w:r>
    </w:p>
    <w:p>
      <w:pPr>
        <w:spacing w:line="60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eastAsia="仿宋_GB2312"/>
          <w:color w:val="000000"/>
          <w:sz w:val="32"/>
          <w:szCs w:val="32"/>
          <w:lang w:val="en-US" w:eastAsia="zh-CN"/>
        </w:rPr>
        <w:t>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 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0</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无，</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万元，主要用于</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(执行公务、开展业务活动开支的交通费、住宿费、用餐费等)。国内公务接待</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人次（不包括陪同人员），共计支出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万元，具体内容包括：</w:t>
      </w:r>
      <w:r>
        <w:rPr>
          <w:rFonts w:hint="eastAsia" w:ascii="仿宋_GB2312" w:eastAsia="仿宋_GB2312"/>
          <w:color w:val="000000"/>
          <w:sz w:val="32"/>
          <w:szCs w:val="32"/>
          <w:lang w:eastAsia="zh-CN"/>
        </w:rPr>
        <w:t>无</w:t>
      </w:r>
      <w:r>
        <w:rPr>
          <w:rFonts w:hint="eastAsia" w:ascii="仿宋_GB2312" w:eastAsia="仿宋_GB2312"/>
          <w:color w:val="000000"/>
          <w:sz w:val="32"/>
          <w:szCs w:val="32"/>
        </w:rPr>
        <w:t>（接待具体项目、金额）。</w:t>
      </w:r>
    </w:p>
    <w:p>
      <w:pPr>
        <w:spacing w:line="600" w:lineRule="exact"/>
        <w:ind w:firstLine="643" w:firstLineChars="200"/>
        <w:rPr>
          <w:rFonts w:ascii="仿宋_GB2312" w:eastAsia="仿宋_GB2312"/>
          <w:color w:val="000000" w:themeColor="text1"/>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rPr>
        <w:t>，外事接待</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批次，</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人，共计支出</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万元，主要用于接待</w:t>
      </w:r>
      <w:r>
        <w:rPr>
          <w:rFonts w:hint="eastAsia" w:ascii="仿宋_GB2312" w:eastAsia="仿宋_GB2312"/>
          <w:color w:val="000000" w:themeColor="text1"/>
          <w:sz w:val="32"/>
          <w:szCs w:val="32"/>
          <w:lang w:eastAsia="zh-CN"/>
        </w:rPr>
        <w:t>：无</w:t>
      </w:r>
      <w:r>
        <w:rPr>
          <w:rFonts w:hint="eastAsia" w:ascii="仿宋_GB2312" w:eastAsia="仿宋_GB2312"/>
          <w:color w:val="000000" w:themeColor="text1"/>
          <w:sz w:val="32"/>
          <w:szCs w:val="32"/>
        </w:rPr>
        <w:t>（具体项目）</w:t>
      </w:r>
    </w:p>
    <w:p>
      <w:pPr>
        <w:spacing w:line="600" w:lineRule="exact"/>
        <w:ind w:firstLine="640"/>
        <w:outlineLvl w:val="1"/>
        <w:rPr>
          <w:rFonts w:ascii="黑体" w:eastAsia="黑体"/>
          <w:color w:val="000000"/>
          <w:sz w:val="32"/>
          <w:szCs w:val="32"/>
        </w:rPr>
      </w:pPr>
      <w:bookmarkStart w:id="50" w:name="_Toc15396610"/>
      <w:bookmarkStart w:id="51" w:name="_Toc15377218"/>
    </w:p>
    <w:p>
      <w:pPr>
        <w:spacing w:line="600" w:lineRule="exact"/>
        <w:ind w:firstLine="640"/>
        <w:outlineLvl w:val="1"/>
        <w:rPr>
          <w:rStyle w:val="25"/>
          <w:rFonts w:ascii="黑体" w:hAnsi="黑体" w:eastAsia="黑体"/>
        </w:rPr>
      </w:pPr>
      <w:r>
        <w:rPr>
          <w:rFonts w:hint="eastAsia" w:ascii="黑体" w:eastAsia="黑体"/>
          <w:color w:val="000000"/>
          <w:sz w:val="32"/>
          <w:szCs w:val="32"/>
        </w:rPr>
        <w:t>八、</w:t>
      </w:r>
      <w:r>
        <w:rPr>
          <w:rStyle w:val="25"/>
          <w:rFonts w:hint="eastAsia" w:ascii="黑体" w:hAnsi="黑体" w:eastAsia="黑体"/>
          <w:b w:val="0"/>
        </w:rPr>
        <w:t>政府性基金预算支出决算情况说明</w:t>
      </w:r>
      <w:bookmarkEnd w:id="50"/>
      <w:bookmarkEnd w:id="51"/>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9年政府性基金预算拨款支出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3"/>
        </w:numPr>
        <w:spacing w:line="600" w:lineRule="exact"/>
        <w:ind w:firstLine="640"/>
        <w:outlineLvl w:val="1"/>
        <w:rPr>
          <w:rStyle w:val="25"/>
          <w:rFonts w:ascii="黑体" w:hAnsi="黑体" w:eastAsia="黑体"/>
          <w:b w:val="0"/>
        </w:rPr>
      </w:pPr>
      <w:bookmarkStart w:id="52" w:name="_Toc15377219"/>
      <w:bookmarkStart w:id="53" w:name="_Toc15396611"/>
      <w:r>
        <w:rPr>
          <w:rStyle w:val="25"/>
          <w:rFonts w:hint="eastAsia" w:ascii="黑体" w:hAnsi="黑体" w:eastAsia="黑体"/>
          <w:b w:val="0"/>
        </w:rPr>
        <w:t>国有资本经营预算支出决算情况说明</w:t>
      </w:r>
      <w:bookmarkEnd w:id="52"/>
      <w:bookmarkEnd w:id="53"/>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9年国有资本经营预算拨款支出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25"/>
          <w:rFonts w:ascii="黑体" w:hAnsi="黑体" w:eastAsia="黑体"/>
        </w:rPr>
      </w:pPr>
      <w:bookmarkStart w:id="54" w:name="_Toc15377221"/>
      <w:bookmarkStart w:id="55" w:name="_Toc15396612"/>
      <w:r>
        <w:rPr>
          <w:rFonts w:hint="eastAsia" w:ascii="黑体" w:hAnsi="黑体" w:eastAsia="黑体"/>
          <w:color w:val="000000"/>
          <w:sz w:val="32"/>
          <w:szCs w:val="32"/>
        </w:rPr>
        <w:t>十</w:t>
      </w:r>
      <w:r>
        <w:rPr>
          <w:rStyle w:val="25"/>
          <w:rFonts w:hint="eastAsia" w:ascii="黑体" w:hAnsi="黑体" w:eastAsia="黑体"/>
        </w:rPr>
        <w:t>、</w:t>
      </w:r>
      <w:r>
        <w:rPr>
          <w:rStyle w:val="25"/>
          <w:rFonts w:hint="eastAsia" w:ascii="黑体" w:hAnsi="黑体" w:eastAsia="黑体"/>
          <w:b w:val="0"/>
        </w:rPr>
        <w:t>其他重要事项的情况说明</w:t>
      </w:r>
      <w:bookmarkEnd w:id="54"/>
      <w:bookmarkEnd w:id="55"/>
    </w:p>
    <w:p>
      <w:pPr>
        <w:spacing w:line="600" w:lineRule="exact"/>
        <w:ind w:firstLine="643" w:firstLineChars="200"/>
        <w:outlineLvl w:val="2"/>
        <w:rPr>
          <w:rFonts w:ascii="仿宋" w:hAnsi="仿宋" w:eastAsia="仿宋"/>
          <w:color w:val="000000"/>
          <w:sz w:val="32"/>
          <w:szCs w:val="32"/>
        </w:rPr>
      </w:pPr>
      <w:bookmarkStart w:id="56" w:name="_Toc15377222"/>
      <w:r>
        <w:rPr>
          <w:rFonts w:hint="eastAsia" w:ascii="仿宋" w:hAnsi="仿宋" w:eastAsia="仿宋"/>
          <w:b/>
          <w:color w:val="000000"/>
          <w:sz w:val="32"/>
          <w:szCs w:val="32"/>
        </w:rPr>
        <w:t>（一）机关运行经费支出情况</w:t>
      </w:r>
      <w:bookmarkEnd w:id="56"/>
    </w:p>
    <w:p>
      <w:pPr>
        <w:spacing w:line="600" w:lineRule="exact"/>
        <w:ind w:firstLine="640" w:firstLineChars="200"/>
        <w:rPr>
          <w:rFonts w:hint="eastAsia" w:ascii="仿宋_GB2312" w:eastAsia="仿宋_GB2312"/>
          <w:color w:val="000000" w:themeColor="text1"/>
          <w:sz w:val="32"/>
          <w:szCs w:val="32"/>
          <w:lang w:eastAsia="zh-CN"/>
        </w:rPr>
      </w:pPr>
      <w:r>
        <w:rPr>
          <w:rFonts w:ascii="仿宋_GB2312" w:eastAsia="仿宋_GB2312"/>
          <w:color w:val="000000"/>
          <w:sz w:val="32"/>
          <w:szCs w:val="32"/>
        </w:rPr>
        <w:t>201</w:t>
      </w:r>
      <w:r>
        <w:rPr>
          <w:rFonts w:hint="eastAsia" w:ascii="仿宋_GB2312" w:eastAsia="仿宋_GB2312"/>
          <w:color w:val="000000"/>
          <w:sz w:val="32"/>
          <w:szCs w:val="32"/>
        </w:rPr>
        <w:t>9年，机关运行经费支出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万元，比</w:t>
      </w:r>
      <w:r>
        <w:rPr>
          <w:rFonts w:ascii="仿宋_GB2312" w:eastAsia="仿宋_GB2312"/>
          <w:color w:val="000000"/>
          <w:sz w:val="32"/>
          <w:szCs w:val="32"/>
        </w:rPr>
        <w:t>201</w:t>
      </w:r>
      <w:r>
        <w:rPr>
          <w:rFonts w:hint="eastAsia" w:ascii="仿宋_GB2312" w:eastAsia="仿宋_GB2312"/>
          <w:color w:val="000000"/>
          <w:sz w:val="32"/>
          <w:szCs w:val="32"/>
        </w:rPr>
        <w:t>8年增加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（或与</w:t>
      </w:r>
      <w:r>
        <w:rPr>
          <w:rFonts w:ascii="仿宋_GB2312" w:eastAsia="仿宋_GB2312"/>
          <w:color w:val="000000"/>
          <w:sz w:val="32"/>
          <w:szCs w:val="32"/>
        </w:rPr>
        <w:t>201</w:t>
      </w:r>
      <w:r>
        <w:rPr>
          <w:rFonts w:hint="eastAsia" w:ascii="仿宋_GB2312" w:eastAsia="仿宋_GB2312"/>
          <w:color w:val="000000"/>
          <w:sz w:val="32"/>
          <w:szCs w:val="32"/>
        </w:rPr>
        <w:t>8年决算数持平）。</w:t>
      </w:r>
      <w:r>
        <w:rPr>
          <w:rFonts w:hint="eastAsia" w:ascii="仿宋_GB2312" w:eastAsia="仿宋_GB2312"/>
          <w:color w:val="000000" w:themeColor="text1"/>
          <w:sz w:val="32"/>
          <w:szCs w:val="32"/>
        </w:rPr>
        <w:t>主要原因是</w:t>
      </w:r>
      <w:r>
        <w:rPr>
          <w:rFonts w:hint="eastAsia" w:ascii="仿宋_GB2312" w:eastAsia="仿宋_GB2312"/>
          <w:color w:val="000000" w:themeColor="text1"/>
          <w:sz w:val="32"/>
          <w:szCs w:val="32"/>
          <w:lang w:eastAsia="zh-CN"/>
        </w:rPr>
        <w:t>：无。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7" w:name="_Toc15377223"/>
      <w:r>
        <w:rPr>
          <w:rFonts w:hint="eastAsia" w:ascii="仿宋" w:hAnsi="仿宋" w:eastAsia="仿宋"/>
          <w:b/>
          <w:color w:val="000000"/>
          <w:sz w:val="32"/>
          <w:szCs w:val="32"/>
        </w:rPr>
        <w:t>（二）政府采购支出情况</w:t>
      </w:r>
      <w:bookmarkEnd w:id="57"/>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201</w:t>
      </w:r>
      <w:r>
        <w:rPr>
          <w:rFonts w:hint="eastAsia" w:ascii="仿宋_GB2312" w:eastAsia="仿宋_GB2312"/>
          <w:color w:val="000000"/>
          <w:sz w:val="32"/>
          <w:szCs w:val="32"/>
        </w:rPr>
        <w:t>9年，</w:t>
      </w:r>
      <w:r>
        <w:rPr>
          <w:rFonts w:hint="eastAsia" w:ascii="仿宋_GB2312" w:eastAsia="仿宋_GB2312"/>
          <w:color w:val="000000"/>
          <w:sz w:val="32"/>
          <w:szCs w:val="32"/>
          <w:lang w:eastAsia="zh-CN"/>
        </w:rPr>
        <w:t>本单位</w:t>
      </w:r>
      <w:r>
        <w:rPr>
          <w:rFonts w:hint="eastAsia" w:ascii="仿宋_GB2312" w:eastAsia="仿宋_GB2312"/>
          <w:color w:val="000000"/>
          <w:sz w:val="32"/>
          <w:szCs w:val="32"/>
        </w:rPr>
        <w:t>政府采购支出总额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万元，其中：政府采购货物支出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万元。主要用于办公设备购置。授予中小企业合同金额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8" w:name="_Toc15377224"/>
      <w:r>
        <w:rPr>
          <w:rFonts w:hint="eastAsia" w:ascii="仿宋" w:hAnsi="仿宋" w:eastAsia="仿宋"/>
          <w:b/>
          <w:color w:val="000000"/>
          <w:sz w:val="32"/>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201</w:t>
      </w:r>
      <w:r>
        <w:rPr>
          <w:rFonts w:hint="eastAsia" w:ascii="仿宋_GB2312" w:eastAsia="仿宋_GB2312"/>
          <w:color w:val="000000"/>
          <w:sz w:val="32"/>
          <w:szCs w:val="32"/>
        </w:rPr>
        <w:t>9年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eastAsia="zh-CN"/>
        </w:rPr>
        <w:t>本单位</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val="en-US" w:eastAsia="zh-CN"/>
        </w:rPr>
        <w:t>.</w:t>
      </w:r>
      <w:r>
        <w:rPr>
          <w:rFonts w:hint="eastAsia" w:ascii="仿宋_GB2312" w:eastAsia="仿宋_GB2312"/>
          <w:color w:val="000000" w:themeColor="text1"/>
          <w:sz w:val="32"/>
          <w:szCs w:val="32"/>
        </w:rPr>
        <w:t>其他用车主要是用于</w:t>
      </w:r>
      <w:r>
        <w:rPr>
          <w:rFonts w:hint="eastAsia" w:ascii="仿宋_GB2312" w:eastAsia="仿宋_GB2312"/>
          <w:color w:val="000000" w:themeColor="text1"/>
          <w:sz w:val="32"/>
          <w:szCs w:val="32"/>
          <w:lang w:eastAsia="zh-CN"/>
        </w:rPr>
        <w:t>：无。</w:t>
      </w:r>
      <w:r>
        <w:rPr>
          <w:rFonts w:hint="eastAsia" w:ascii="仿宋_GB2312" w:eastAsia="仿宋_GB2312"/>
          <w:color w:val="000000" w:themeColor="text1"/>
          <w:sz w:val="32"/>
          <w:szCs w:val="32"/>
        </w:rPr>
        <w:t>单价</w:t>
      </w:r>
      <w:r>
        <w:rPr>
          <w:rFonts w:ascii="仿宋_GB2312" w:eastAsia="仿宋_GB2312"/>
          <w:color w:val="000000" w:themeColor="text1"/>
          <w:sz w:val="32"/>
          <w:szCs w:val="32"/>
        </w:rPr>
        <w:t>50</w:t>
      </w:r>
      <w:r>
        <w:rPr>
          <w:rFonts w:hint="eastAsia" w:ascii="仿宋_GB2312" w:eastAsia="仿宋_GB2312"/>
          <w:color w:val="000000" w:themeColor="text1"/>
          <w:sz w:val="32"/>
          <w:szCs w:val="32"/>
        </w:rPr>
        <w:t>万元以上通用设备</w:t>
      </w:r>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台（套），单价</w:t>
      </w:r>
      <w:r>
        <w:rPr>
          <w:rFonts w:ascii="仿宋_GB2312" w:eastAsia="仿宋_GB2312"/>
          <w:color w:val="000000" w:themeColor="text1"/>
          <w:sz w:val="32"/>
          <w:szCs w:val="32"/>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根据预算绩效管理要求，本部门（单位）在年初预算编制阶段，本部门无专项预算项目，因此未组织开展项目支出绩效评价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本部门未组织开展项目支出绩效评价。</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本部门按要求对2019年部门整体支出开展绩效自评，从评价情况来看</w:t>
      </w:r>
      <w:r>
        <w:rPr>
          <w:rFonts w:hint="eastAsia" w:ascii="仿宋_GB2312" w:hAnsi="仿宋_GB2312" w:eastAsia="仿宋_GB2312" w:cs="仿宋_GB2312"/>
          <w:sz w:val="32"/>
          <w:szCs w:val="32"/>
          <w:lang w:eastAsia="zh-CN"/>
        </w:rPr>
        <w:t>，总得分</w:t>
      </w:r>
      <w:r>
        <w:rPr>
          <w:rFonts w:hint="eastAsia" w:ascii="仿宋_GB2312" w:hAnsi="仿宋_GB2312" w:eastAsia="仿宋_GB2312" w:cs="仿宋_GB2312"/>
          <w:sz w:val="32"/>
          <w:szCs w:val="32"/>
          <w:lang w:val="en-US" w:eastAsia="zh-CN"/>
        </w:rPr>
        <w:t>97分。</w:t>
      </w:r>
    </w:p>
    <w:p>
      <w:pPr>
        <w:spacing w:line="580" w:lineRule="exact"/>
        <w:rPr>
          <w:rFonts w:ascii="仿宋_GB2312" w:hAnsi="仿宋_GB2312" w:eastAsia="仿宋_GB2312" w:cs="仿宋_GB2312"/>
          <w:sz w:val="32"/>
          <w:szCs w:val="32"/>
        </w:rPr>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本部门按要求对2019年部门整体支出绩效评价情况开展自评，《</w:t>
      </w:r>
      <w:r>
        <w:rPr>
          <w:rFonts w:hint="eastAsia" w:ascii="仿宋_GB2312" w:hAnsi="仿宋_GB2312" w:eastAsia="仿宋_GB2312" w:cs="仿宋_GB2312"/>
          <w:sz w:val="32"/>
          <w:szCs w:val="32"/>
          <w:lang w:eastAsia="zh-CN"/>
        </w:rPr>
        <w:t>广汉市实验小学</w:t>
      </w:r>
      <w:r>
        <w:rPr>
          <w:rFonts w:hint="eastAsia" w:ascii="仿宋_GB2312" w:hAnsi="仿宋_GB2312" w:eastAsia="仿宋_GB2312" w:cs="仿宋_GB2312"/>
          <w:sz w:val="32"/>
          <w:szCs w:val="32"/>
        </w:rPr>
        <w:t>部门2019年部门整体支出绩效评价报告》见附件（附件1）。</w:t>
      </w:r>
    </w:p>
    <w:p>
      <w:pPr>
        <w:spacing w:line="580" w:lineRule="exact"/>
        <w:ind w:firstLine="643" w:firstLineChars="200"/>
        <w:rPr>
          <w:rFonts w:ascii="仿宋_GB2312" w:eastAsia="仿宋_GB2312"/>
          <w:b/>
          <w:color w:val="000000"/>
          <w:sz w:val="32"/>
          <w:szCs w:val="32"/>
        </w:rPr>
      </w:pPr>
    </w:p>
    <w:p>
      <w:pPr>
        <w:numPr>
          <w:ilvl w:val="0"/>
          <w:numId w:val="4"/>
        </w:numPr>
        <w:spacing w:line="600" w:lineRule="exact"/>
        <w:ind w:firstLine="660" w:firstLineChars="150"/>
        <w:jc w:val="center"/>
        <w:outlineLvl w:val="0"/>
        <w:rPr>
          <w:rStyle w:val="24"/>
          <w:rFonts w:ascii="黑体" w:hAnsi="黑体" w:eastAsia="黑体"/>
          <w:b w:val="0"/>
        </w:rPr>
      </w:pPr>
      <w:bookmarkStart w:id="59" w:name="_Toc15396613"/>
      <w:bookmarkStart w:id="60" w:name="_Toc15377225"/>
      <w:r>
        <w:rPr>
          <w:rFonts w:hint="eastAsia" w:ascii="黑体" w:hAnsi="黑体" w:eastAsia="黑体"/>
          <w:color w:val="000000"/>
          <w:sz w:val="44"/>
          <w:szCs w:val="44"/>
        </w:rPr>
        <w:t>名</w:t>
      </w:r>
      <w:r>
        <w:rPr>
          <w:rStyle w:val="24"/>
          <w:rFonts w:hint="eastAsia" w:ascii="黑体" w:hAnsi="黑体" w:eastAsia="黑体"/>
          <w:b w:val="0"/>
        </w:rPr>
        <w:t>词解释</w:t>
      </w:r>
      <w:bookmarkEnd w:id="59"/>
      <w:bookmarkEnd w:id="60"/>
    </w:p>
    <w:p>
      <w:pPr>
        <w:spacing w:line="600" w:lineRule="exact"/>
        <w:jc w:val="left"/>
        <w:rPr>
          <w:rFonts w:ascii="宋体"/>
          <w:b/>
          <w:color w:val="000000"/>
          <w:sz w:val="44"/>
          <w:szCs w:val="44"/>
        </w:rPr>
      </w:pPr>
    </w:p>
    <w:p>
      <w:pPr>
        <w:pStyle w:val="22"/>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22"/>
        <w:spacing w:line="56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2"/>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9</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10</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11</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22"/>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12</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2"/>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13</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2"/>
        <w:spacing w:line="560" w:lineRule="exact"/>
        <w:ind w:firstLine="640" w:firstLineChars="200"/>
        <w:rPr>
          <w:rFonts w:ascii="仿宋_GB2312" w:eastAsia="仿宋_GB2312" w:cs="黑体"/>
          <w:sz w:val="32"/>
          <w:szCs w:val="32"/>
        </w:rPr>
      </w:pPr>
    </w:p>
    <w:p>
      <w:pPr>
        <w:spacing w:line="600" w:lineRule="exact"/>
        <w:jc w:val="center"/>
        <w:outlineLvl w:val="0"/>
        <w:rPr>
          <w:rStyle w:val="24"/>
          <w:rFonts w:ascii="黑体" w:hAnsi="黑体" w:eastAsia="黑体"/>
          <w:b w:val="0"/>
        </w:rPr>
      </w:pPr>
      <w:bookmarkStart w:id="61" w:name="_Toc15377226"/>
      <w:r>
        <w:rPr>
          <w:rFonts w:ascii="宋体"/>
          <w:b/>
          <w:color w:val="000000"/>
          <w:sz w:val="44"/>
          <w:szCs w:val="44"/>
        </w:rPr>
        <w:br w:type="page"/>
      </w:r>
      <w:bookmarkStart w:id="62" w:name="_Toc15396614"/>
      <w:r>
        <w:rPr>
          <w:rFonts w:hint="eastAsia" w:ascii="黑体" w:hAnsi="黑体" w:eastAsia="黑体"/>
          <w:color w:val="000000"/>
          <w:sz w:val="44"/>
          <w:szCs w:val="44"/>
        </w:rPr>
        <w:t>第</w:t>
      </w:r>
      <w:r>
        <w:rPr>
          <w:rStyle w:val="24"/>
          <w:rFonts w:hint="eastAsia" w:ascii="黑体" w:hAnsi="黑体" w:eastAsia="黑体"/>
          <w:b w:val="0"/>
        </w:rPr>
        <w:t>四部分 附件</w:t>
      </w:r>
      <w:bookmarkEnd w:id="62"/>
    </w:p>
    <w:p>
      <w:pPr>
        <w:spacing w:line="600" w:lineRule="exact"/>
        <w:jc w:val="left"/>
        <w:outlineLvl w:val="0"/>
        <w:rPr>
          <w:rFonts w:ascii="方正小标宋简体" w:hAnsi="方正小标宋简体" w:eastAsia="方正小标宋简体" w:cs="方正小标宋简体"/>
          <w:sz w:val="32"/>
          <w:szCs w:val="32"/>
        </w:rPr>
      </w:pPr>
      <w:r>
        <w:rPr>
          <w:rFonts w:hint="eastAsia" w:ascii="黑体" w:hAnsi="黑体" w:eastAsia="黑体" w:cs="黑体"/>
          <w:sz w:val="32"/>
          <w:szCs w:val="32"/>
        </w:rPr>
        <w:t>附件1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广汉市实验小学</w:t>
      </w:r>
      <w:r>
        <w:rPr>
          <w:rFonts w:ascii="方正小标宋简体" w:hAnsi="宋体" w:eastAsia="方正小标宋简体"/>
          <w:color w:val="000000"/>
          <w:kern w:val="0"/>
          <w:sz w:val="40"/>
          <w:szCs w:val="44"/>
        </w:rPr>
        <w:t>2019年部门</w:t>
      </w:r>
      <w:r>
        <w:rPr>
          <w:rFonts w:hint="eastAsia" w:ascii="方正小标宋简体" w:hAnsi="宋体" w:eastAsia="方正小标宋简体"/>
          <w:color w:val="000000"/>
          <w:kern w:val="0"/>
          <w:sz w:val="40"/>
          <w:szCs w:val="44"/>
          <w:lang w:val="zh-CN"/>
        </w:rPr>
        <w:t>整体支出绩效评价报告</w:t>
      </w:r>
    </w:p>
    <w:p>
      <w:pPr>
        <w:ind w:firstLine="1120" w:firstLineChars="400"/>
        <w:rPr>
          <w:sz w:val="28"/>
          <w:szCs w:val="28"/>
        </w:rPr>
      </w:pPr>
      <w:r>
        <w:rPr>
          <w:rFonts w:hint="eastAsia"/>
          <w:sz w:val="28"/>
          <w:szCs w:val="28"/>
        </w:rPr>
        <w:t>为确实做好2019年度部门整体支出绩效自评工作，提高财政资金使用效益，根据广汉市财政局关于部门整体支出绩效评价报告工作的文件精神，结合实际，我单位组织成立了绩效评价工作小组，评价小组采取座谈等方式听取情况，检查基本支出、项目支出有关账目，收集整理支出相关资料，进行分析、总结。现将我单位整体支出绩效自评结果报告如下：</w:t>
      </w:r>
    </w:p>
    <w:p>
      <w:pPr>
        <w:ind w:firstLine="560" w:firstLineChars="200"/>
        <w:rPr>
          <w:sz w:val="28"/>
          <w:szCs w:val="28"/>
        </w:rPr>
      </w:pPr>
      <w:r>
        <w:rPr>
          <w:sz w:val="28"/>
          <w:szCs w:val="28"/>
        </w:rPr>
        <w:t> </w:t>
      </w:r>
      <w:r>
        <w:rPr>
          <w:rFonts w:hint="eastAsia"/>
          <w:sz w:val="28"/>
          <w:szCs w:val="28"/>
        </w:rPr>
        <w:t>一、部门基本情况</w:t>
      </w:r>
      <w:r>
        <w:rPr>
          <w:sz w:val="28"/>
          <w:szCs w:val="28"/>
        </w:rPr>
        <w:t> </w:t>
      </w:r>
    </w:p>
    <w:p>
      <w:pPr>
        <w:rPr>
          <w:rFonts w:hint="eastAsia"/>
          <w:sz w:val="28"/>
          <w:szCs w:val="28"/>
        </w:rPr>
      </w:pPr>
      <w:r>
        <w:rPr>
          <w:rFonts w:hint="eastAsia"/>
          <w:sz w:val="28"/>
          <w:szCs w:val="28"/>
          <w:lang w:val="en-US" w:eastAsia="zh-CN"/>
        </w:rPr>
        <w:t>1</w:t>
      </w:r>
      <w:r>
        <w:rPr>
          <w:rFonts w:hint="eastAsia"/>
          <w:sz w:val="28"/>
          <w:szCs w:val="28"/>
        </w:rPr>
        <w:t>．机构情况：学校管理规范，和谐发展。学校下设办公室、政教处、教导处、总务处四个处室，各处室中层干部全部通过广汉市教育局组织的非常定向统筹选拔干部的方式竞争产生。各处室在学校党支部的领导下、在学校工会的监督下创造性的开展工作，成效显著，并在2019年通过了德阳市义务教育素质督导评估的验收。</w:t>
      </w:r>
    </w:p>
    <w:p>
      <w:pPr>
        <w:rPr>
          <w:rFonts w:hint="eastAsia"/>
          <w:sz w:val="28"/>
          <w:szCs w:val="28"/>
        </w:rPr>
      </w:pPr>
      <w:r>
        <w:rPr>
          <w:rFonts w:hint="eastAsia"/>
          <w:sz w:val="28"/>
          <w:szCs w:val="28"/>
          <w:lang w:val="en-US" w:eastAsia="zh-CN"/>
        </w:rPr>
        <w:t>2</w:t>
      </w:r>
      <w:r>
        <w:rPr>
          <w:rFonts w:hint="eastAsia"/>
          <w:sz w:val="28"/>
          <w:szCs w:val="28"/>
        </w:rPr>
        <w:t>．人员情况：校园内文化气息浓郁、学习环境怡人，是学生成长的摇篮。学校为独立事业编制机构，2019年末实有公共预算财政拨款（补助）开支在职人员94人，退休人员62人，小学生1585人。</w:t>
      </w:r>
    </w:p>
    <w:p>
      <w:pPr>
        <w:rPr>
          <w:rFonts w:hint="eastAsia" w:asciiTheme="minorEastAsia" w:hAnsiTheme="minorEastAsia" w:eastAsiaTheme="minorEastAsia" w:cstheme="minorEastAsia"/>
          <w:sz w:val="28"/>
          <w:szCs w:val="28"/>
        </w:rPr>
      </w:pPr>
      <w:r>
        <w:rPr>
          <w:rFonts w:hint="eastAsia"/>
          <w:sz w:val="28"/>
          <w:szCs w:val="28"/>
          <w:lang w:val="en-US" w:eastAsia="zh-CN"/>
        </w:rPr>
        <w:t>3.</w:t>
      </w:r>
      <w:r>
        <w:rPr>
          <w:rFonts w:hint="eastAsia"/>
          <w:sz w:val="28"/>
          <w:szCs w:val="28"/>
        </w:rPr>
        <w:t>单位主要职责</w:t>
      </w:r>
      <w:r>
        <w:rPr>
          <w:rFonts w:hint="eastAsia"/>
          <w:sz w:val="28"/>
          <w:szCs w:val="28"/>
          <w:lang w:eastAsia="zh-CN"/>
        </w:rPr>
        <w:t>：</w:t>
      </w:r>
      <w:r>
        <w:rPr>
          <w:rFonts w:hint="eastAsia" w:asciiTheme="minorEastAsia" w:hAnsiTheme="minorEastAsia" w:eastAsiaTheme="minorEastAsia" w:cstheme="minorEastAsia"/>
          <w:b w:val="0"/>
          <w:bCs/>
          <w:color w:val="000000"/>
          <w:sz w:val="28"/>
          <w:szCs w:val="28"/>
          <w:shd w:val="clear" w:color="auto" w:fill="FFFFFF"/>
        </w:rPr>
        <w:t>学校是全日制小学（含学前教育）为一体的学校教育。</w:t>
      </w:r>
      <w:r>
        <w:rPr>
          <w:rFonts w:hint="eastAsia" w:asciiTheme="minorEastAsia" w:hAnsiTheme="minorEastAsia" w:eastAsiaTheme="minorEastAsia" w:cstheme="minorEastAsia"/>
          <w:sz w:val="28"/>
          <w:szCs w:val="28"/>
        </w:rPr>
        <w:t>完善的教学设施，先进的教学设备，让农村学生同样能享受到优质的教育资源，为实现学生的全面发展奠定了坚实的物质基础。</w:t>
      </w:r>
    </w:p>
    <w:p>
      <w:pPr>
        <w:spacing w:line="400" w:lineRule="exact"/>
        <w:ind w:firstLine="560" w:firstLineChars="200"/>
        <w:rPr>
          <w:sz w:val="28"/>
          <w:szCs w:val="28"/>
        </w:rPr>
      </w:pPr>
      <w:r>
        <w:rPr>
          <w:rFonts w:hint="eastAsia" w:asciiTheme="minorEastAsia" w:hAnsiTheme="minorEastAsia" w:eastAsiaTheme="minorEastAsia" w:cstheme="minorEastAsia"/>
          <w:sz w:val="28"/>
          <w:szCs w:val="28"/>
        </w:rPr>
        <w:t>学校理念先进，全面育人。全校教职工以“爱学校，做主人；爱事业，做能人；爱学生，做善人”作为价值追求，围绕“培育三园文化品格、深化四大工程、丰富四个课堂、实现四个愿景”的目标要求，树立让每一个学生都能成人成才成功的办学思想，努力培养“德才兼备、身心两健”的创新人才。</w:t>
      </w:r>
      <w:r>
        <w:rPr>
          <w:rFonts w:hint="eastAsia"/>
          <w:sz w:val="28"/>
          <w:szCs w:val="28"/>
        </w:rPr>
        <w:t>贯彻、执行教育法律法规和政策规定，坚持依法治教、依法治学；</w:t>
      </w:r>
      <w:r>
        <w:rPr>
          <w:sz w:val="28"/>
          <w:szCs w:val="28"/>
        </w:rPr>
        <w:t> </w:t>
      </w:r>
      <w:r>
        <w:rPr>
          <w:rFonts w:hint="eastAsia"/>
          <w:sz w:val="28"/>
          <w:szCs w:val="28"/>
        </w:rPr>
        <w:t>负责本单位教育教学管理及教研教改工作，全力推进素质教育；</w:t>
      </w:r>
      <w:r>
        <w:rPr>
          <w:sz w:val="28"/>
          <w:szCs w:val="28"/>
        </w:rPr>
        <w:t> </w:t>
      </w:r>
      <w:r>
        <w:rPr>
          <w:rFonts w:hint="eastAsia"/>
          <w:sz w:val="28"/>
          <w:szCs w:val="28"/>
        </w:rPr>
        <w:t>负责本单位教职工人事管理、继续教育、考核考评等工作。</w:t>
      </w:r>
      <w:r>
        <w:rPr>
          <w:sz w:val="28"/>
          <w:szCs w:val="28"/>
        </w:rPr>
        <w:t> </w:t>
      </w:r>
    </w:p>
    <w:p>
      <w:pPr>
        <w:autoSpaceDE w:val="0"/>
        <w:autoSpaceDN w:val="0"/>
        <w:adjustRightInd w:val="0"/>
        <w:spacing w:line="580" w:lineRule="exact"/>
        <w:ind w:firstLine="640" w:firstLineChars="200"/>
        <w:jc w:val="left"/>
        <w:rPr>
          <w:rFonts w:hint="eastAsia" w:ascii="黑体" w:eastAsia="黑体"/>
          <w:kern w:val="0"/>
          <w:sz w:val="32"/>
          <w:szCs w:val="32"/>
        </w:rPr>
      </w:pPr>
      <w:r>
        <w:rPr>
          <w:rFonts w:hint="eastAsia" w:ascii="黑体" w:eastAsia="黑体"/>
          <w:kern w:val="0"/>
          <w:sz w:val="32"/>
          <w:szCs w:val="32"/>
        </w:rPr>
        <w:t>二、预算管理情况</w:t>
      </w:r>
    </w:p>
    <w:p>
      <w:pPr>
        <w:autoSpaceDE w:val="0"/>
        <w:autoSpaceDN w:val="0"/>
        <w:adjustRightInd w:val="0"/>
        <w:spacing w:line="580" w:lineRule="exact"/>
        <w:ind w:firstLine="640" w:firstLineChars="200"/>
        <w:jc w:val="left"/>
        <w:rPr>
          <w:rFonts w:hint="eastAsia" w:ascii="楷体_GB2312" w:eastAsia="楷体_GB2312"/>
          <w:kern w:val="0"/>
          <w:sz w:val="32"/>
          <w:szCs w:val="32"/>
          <w:lang w:eastAsia="zh-CN"/>
        </w:rPr>
      </w:pPr>
      <w:r>
        <w:rPr>
          <w:rFonts w:hint="eastAsia" w:ascii="楷体_GB2312" w:eastAsia="楷体_GB2312"/>
          <w:kern w:val="0"/>
          <w:sz w:val="32"/>
          <w:szCs w:val="32"/>
        </w:rPr>
        <w:t>（一）预算编制情况</w:t>
      </w:r>
      <w:r>
        <w:rPr>
          <w:rFonts w:hint="eastAsia" w:ascii="楷体_GB2312" w:eastAsia="楷体_GB2312"/>
          <w:kern w:val="0"/>
          <w:sz w:val="32"/>
          <w:szCs w:val="32"/>
          <w:lang w:eastAsia="zh-CN"/>
        </w:rPr>
        <w:t>：</w:t>
      </w:r>
    </w:p>
    <w:p>
      <w:pPr>
        <w:autoSpaceDE w:val="0"/>
        <w:autoSpaceDN w:val="0"/>
        <w:adjustRightInd w:val="0"/>
        <w:spacing w:line="580" w:lineRule="exact"/>
        <w:ind w:firstLine="560" w:firstLineChars="200"/>
        <w:jc w:val="both"/>
        <w:rPr>
          <w:rFonts w:hint="eastAsia" w:asciiTheme="minorEastAsia" w:hAnsiTheme="minorEastAsia" w:eastAsiaTheme="minorEastAsia" w:cstheme="minorEastAsia"/>
          <w:kern w:val="0"/>
          <w:sz w:val="28"/>
          <w:szCs w:val="28"/>
          <w:lang w:eastAsia="zh-CN"/>
        </w:rPr>
      </w:pPr>
      <w:r>
        <w:rPr>
          <w:rFonts w:hint="eastAsia" w:asciiTheme="minorEastAsia" w:hAnsiTheme="minorEastAsia" w:eastAsiaTheme="minorEastAsia" w:cstheme="minorEastAsia"/>
          <w:kern w:val="0"/>
          <w:sz w:val="28"/>
          <w:szCs w:val="28"/>
          <w:lang w:eastAsia="zh-CN"/>
        </w:rPr>
        <w:t>学校严格按程序召开由各部门参加的预算工作会，全面细致的要求各个部门提供年度所需公用经费和项目支出明细。由校长会讨论，计划财务部门编制，最后通过召开学校教职工代表大会讨论确定。</w:t>
      </w:r>
    </w:p>
    <w:p>
      <w:pPr>
        <w:autoSpaceDE w:val="0"/>
        <w:autoSpaceDN w:val="0"/>
        <w:adjustRightInd w:val="0"/>
        <w:spacing w:line="580" w:lineRule="exact"/>
        <w:ind w:firstLine="640" w:firstLineChars="200"/>
        <w:jc w:val="left"/>
        <w:rPr>
          <w:rFonts w:hint="eastAsia" w:ascii="仿宋_GB2312" w:eastAsia="仿宋_GB2312"/>
          <w:kern w:val="0"/>
          <w:sz w:val="32"/>
          <w:szCs w:val="32"/>
          <w:lang w:eastAsia="zh-CN"/>
        </w:rPr>
      </w:pPr>
      <w:r>
        <w:rPr>
          <w:rFonts w:hint="eastAsia" w:ascii="仿宋_GB2312" w:eastAsia="仿宋_GB2312"/>
          <w:kern w:val="0"/>
          <w:sz w:val="32"/>
          <w:szCs w:val="32"/>
        </w:rPr>
        <w:t>收入预算包括资金总收入及各收入构成情况</w:t>
      </w:r>
      <w:r>
        <w:rPr>
          <w:rFonts w:hint="eastAsia" w:ascii="仿宋_GB2312" w:eastAsia="仿宋_GB2312"/>
          <w:kern w:val="0"/>
          <w:sz w:val="32"/>
          <w:szCs w:val="32"/>
          <w:lang w:eastAsia="zh-CN"/>
        </w:rPr>
        <w:t>：</w:t>
      </w:r>
    </w:p>
    <w:p>
      <w:pPr>
        <w:autoSpaceDE w:val="0"/>
        <w:autoSpaceDN w:val="0"/>
        <w:adjustRightInd w:val="0"/>
        <w:spacing w:line="580" w:lineRule="exact"/>
        <w:ind w:firstLine="640" w:firstLineChars="200"/>
        <w:jc w:val="left"/>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2019年非税征收3920000元计划表</w:t>
      </w:r>
    </w:p>
    <w:tbl>
      <w:tblPr>
        <w:tblStyle w:val="12"/>
        <w:tblW w:w="94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27"/>
        <w:gridCol w:w="789"/>
        <w:gridCol w:w="2142"/>
        <w:gridCol w:w="2400"/>
        <w:gridCol w:w="21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收费科目</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征收计划数</w:t>
            </w:r>
          </w:p>
        </w:tc>
        <w:tc>
          <w:tcPr>
            <w:tcW w:w="66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教育填列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非税收入</w:t>
            </w:r>
          </w:p>
        </w:tc>
        <w:tc>
          <w:tcPr>
            <w:tcW w:w="2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教育收费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103042751－公办幼儿园保育费</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142" w:type="dxa"/>
            <w:tcBorders>
              <w:top w:val="single" w:color="000000" w:sz="4" w:space="0"/>
              <w:left w:val="single" w:color="000000" w:sz="4" w:space="0"/>
              <w:bottom w:val="single" w:color="000000" w:sz="4" w:space="0"/>
              <w:right w:val="single" w:color="000000" w:sz="4" w:space="0"/>
            </w:tcBorders>
            <w:shd w:val="clear" w:color="F5F5F5"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1030802－国内捐赠收入</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142" w:type="dxa"/>
            <w:tcBorders>
              <w:top w:val="single" w:color="000000" w:sz="4" w:space="0"/>
              <w:left w:val="single" w:color="000000" w:sz="4" w:space="0"/>
              <w:bottom w:val="single" w:color="000000" w:sz="4" w:space="0"/>
              <w:right w:val="single" w:color="000000" w:sz="4" w:space="0"/>
            </w:tcBorders>
            <w:shd w:val="clear" w:color="F5F5F5"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3,800,000.00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3,800,000.00</w:t>
            </w:r>
          </w:p>
        </w:tc>
        <w:tc>
          <w:tcPr>
            <w:tcW w:w="21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42" w:type="dxa"/>
            <w:tcBorders>
              <w:top w:val="single" w:color="000000" w:sz="4" w:space="0"/>
              <w:left w:val="single" w:color="000000" w:sz="4" w:space="0"/>
              <w:bottom w:val="single" w:color="000000" w:sz="4" w:space="0"/>
              <w:right w:val="single" w:color="000000" w:sz="4" w:space="0"/>
            </w:tcBorders>
            <w:shd w:val="clear" w:color="F5F5F5"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3,920,000.00</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3,800,000.00</w:t>
            </w:r>
          </w:p>
        </w:tc>
        <w:tc>
          <w:tcPr>
            <w:tcW w:w="2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120,000.00</w:t>
            </w:r>
          </w:p>
        </w:tc>
      </w:tr>
    </w:tbl>
    <w:p>
      <w:pPr>
        <w:autoSpaceDE w:val="0"/>
        <w:autoSpaceDN w:val="0"/>
        <w:adjustRightInd w:val="0"/>
        <w:spacing w:line="580" w:lineRule="exact"/>
        <w:ind w:firstLine="640" w:firstLineChars="200"/>
        <w:jc w:val="left"/>
        <w:rPr>
          <w:rFonts w:hint="eastAsia" w:ascii="仿宋_GB2312" w:eastAsia="仿宋_GB2312"/>
          <w:kern w:val="0"/>
          <w:sz w:val="32"/>
          <w:szCs w:val="32"/>
          <w:lang w:eastAsia="zh-CN"/>
        </w:rPr>
      </w:pPr>
      <w:r>
        <w:rPr>
          <w:rFonts w:hint="eastAsia" w:ascii="仿宋_GB2312" w:eastAsia="仿宋_GB2312"/>
          <w:kern w:val="0"/>
          <w:sz w:val="32"/>
          <w:szCs w:val="32"/>
          <w:lang w:val="en-US" w:eastAsia="zh-CN"/>
        </w:rPr>
        <w:t>2019年收入预算总收入14619577元。</w:t>
      </w:r>
      <w:r>
        <w:rPr>
          <w:rFonts w:hint="eastAsia" w:ascii="仿宋_GB2312" w:eastAsia="仿宋_GB2312"/>
          <w:kern w:val="0"/>
          <w:sz w:val="32"/>
          <w:szCs w:val="32"/>
          <w:lang w:eastAsia="zh-CN"/>
        </w:rPr>
        <w:t>其</w:t>
      </w:r>
      <w:r>
        <w:rPr>
          <w:rFonts w:hint="eastAsia" w:ascii="仿宋_GB2312" w:eastAsia="仿宋_GB2312"/>
          <w:kern w:val="0"/>
          <w:sz w:val="32"/>
          <w:szCs w:val="32"/>
        </w:rPr>
        <w:t>各收入构成情况</w:t>
      </w:r>
      <w:r>
        <w:rPr>
          <w:rFonts w:hint="eastAsia" w:ascii="仿宋_GB2312" w:eastAsia="仿宋_GB2312"/>
          <w:kern w:val="0"/>
          <w:sz w:val="32"/>
          <w:szCs w:val="32"/>
          <w:lang w:eastAsia="zh-CN"/>
        </w:rPr>
        <w:t>：</w:t>
      </w:r>
    </w:p>
    <w:tbl>
      <w:tblPr>
        <w:tblStyle w:val="12"/>
        <w:tblW w:w="9465" w:type="dxa"/>
        <w:tblInd w:w="0" w:type="dxa"/>
        <w:tblLayout w:type="fixed"/>
        <w:tblCellMar>
          <w:top w:w="0" w:type="dxa"/>
          <w:left w:w="0" w:type="dxa"/>
          <w:bottom w:w="0" w:type="dxa"/>
          <w:right w:w="0" w:type="dxa"/>
        </w:tblCellMar>
      </w:tblPr>
      <w:tblGrid>
        <w:gridCol w:w="1140"/>
        <w:gridCol w:w="1275"/>
        <w:gridCol w:w="1215"/>
        <w:gridCol w:w="1260"/>
        <w:gridCol w:w="1335"/>
        <w:gridCol w:w="1290"/>
        <w:gridCol w:w="1110"/>
        <w:gridCol w:w="435"/>
        <w:gridCol w:w="405"/>
      </w:tblGrid>
      <w:tr>
        <w:tblPrEx>
          <w:tblCellMar>
            <w:top w:w="0" w:type="dxa"/>
            <w:left w:w="0" w:type="dxa"/>
            <w:bottom w:w="0" w:type="dxa"/>
            <w:right w:w="0" w:type="dxa"/>
          </w:tblCellMar>
        </w:tblPrEx>
        <w:trPr>
          <w:trHeight w:val="500" w:hRule="atLeast"/>
        </w:trPr>
        <w:tc>
          <w:tcPr>
            <w:tcW w:w="114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项目简介</w:t>
            </w:r>
          </w:p>
        </w:tc>
        <w:tc>
          <w:tcPr>
            <w:tcW w:w="12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总计</w:t>
            </w:r>
          </w:p>
        </w:tc>
        <w:tc>
          <w:tcPr>
            <w:tcW w:w="583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当年财政拨款安排</w:t>
            </w:r>
          </w:p>
        </w:tc>
      </w:tr>
      <w:tr>
        <w:tblPrEx>
          <w:tblCellMar>
            <w:top w:w="0" w:type="dxa"/>
            <w:left w:w="0" w:type="dxa"/>
            <w:bottom w:w="0" w:type="dxa"/>
            <w:right w:w="0" w:type="dxa"/>
          </w:tblCellMar>
        </w:tblPrEx>
        <w:trPr>
          <w:trHeight w:val="500" w:hRule="atLeast"/>
        </w:trPr>
        <w:tc>
          <w:tcPr>
            <w:tcW w:w="114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财政拨款小计</w:t>
            </w:r>
          </w:p>
        </w:tc>
        <w:tc>
          <w:tcPr>
            <w:tcW w:w="373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一般公共预算拨款</w:t>
            </w:r>
          </w:p>
        </w:tc>
        <w:tc>
          <w:tcPr>
            <w:tcW w:w="43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政府性基金预算拨款</w:t>
            </w:r>
          </w:p>
        </w:tc>
        <w:tc>
          <w:tcPr>
            <w:tcW w:w="40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国有资本经营预算</w:t>
            </w:r>
          </w:p>
        </w:tc>
      </w:tr>
      <w:tr>
        <w:tblPrEx>
          <w:tblCellMar>
            <w:top w:w="0" w:type="dxa"/>
            <w:left w:w="0" w:type="dxa"/>
            <w:bottom w:w="0" w:type="dxa"/>
            <w:right w:w="0" w:type="dxa"/>
          </w:tblCellMar>
        </w:tblPrEx>
        <w:trPr>
          <w:trHeight w:val="880" w:hRule="atLeast"/>
        </w:trPr>
        <w:tc>
          <w:tcPr>
            <w:tcW w:w="114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一般公共预算小计</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经费拨款</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非税收入</w:t>
            </w:r>
          </w:p>
        </w:tc>
        <w:tc>
          <w:tcPr>
            <w:tcW w:w="4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工资性支出(事业)</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6,144,444.00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6,144,444.00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6,144,444.00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6,144,444.00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社会保障缴费(事业)</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2,567,431.00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2,567,431.00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2,567,431.00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2,567,431.00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住房公积金(事业)</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908,586.00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908,586.00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908,586.00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908,586.00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奖励性工资（事业）</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699,107.00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699,107.00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699,107.00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699,107.00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日常公用经费（事业）</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128,560.00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128,560.00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128,560.00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128,560.00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工会经费（事业）</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91,000.00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离退休人员经费</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158,589.00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158,589.00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158,589.00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158,589.00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独子费</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办公设备购置</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办公设备30万元。</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智慧校园建设</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单位进行智慧校园建设，</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学生综合实践</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学校组织学生综合实践活动</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校舍维修及设施设备维护</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校舍维修及设施设备维护</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临时工工资福利费</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学校临时工劳务支出费用</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校园文化建设</w:t>
            </w: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校园文化建设</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11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14,619,577.00</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14,499,577.00</w:t>
            </w:r>
          </w:p>
        </w:tc>
        <w:tc>
          <w:tcPr>
            <w:tcW w:w="1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14,499,577.00</w:t>
            </w:r>
          </w:p>
        </w:tc>
        <w:tc>
          <w:tcPr>
            <w:tcW w:w="1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10,699,577.00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3,800,000.00</w:t>
            </w:r>
          </w:p>
        </w:tc>
        <w:tc>
          <w:tcPr>
            <w:tcW w:w="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Pr>
        <w:ind w:firstLine="560" w:firstLineChars="200"/>
        <w:rPr>
          <w:rFonts w:hint="eastAsia"/>
          <w:sz w:val="28"/>
          <w:szCs w:val="28"/>
        </w:rPr>
      </w:pPr>
    </w:p>
    <w:p>
      <w:pPr>
        <w:ind w:firstLine="560" w:firstLineChars="200"/>
        <w:rPr>
          <w:sz w:val="28"/>
          <w:szCs w:val="28"/>
        </w:rPr>
      </w:pPr>
      <w:r>
        <w:rPr>
          <w:rFonts w:hint="eastAsia"/>
          <w:sz w:val="28"/>
          <w:szCs w:val="28"/>
        </w:rPr>
        <w:t>（</w:t>
      </w:r>
      <w:r>
        <w:rPr>
          <w:rFonts w:hint="eastAsia"/>
          <w:sz w:val="28"/>
          <w:szCs w:val="28"/>
          <w:lang w:val="en-US" w:eastAsia="zh-CN"/>
        </w:rPr>
        <w:t>二</w:t>
      </w:r>
      <w:r>
        <w:rPr>
          <w:rFonts w:hint="eastAsia"/>
          <w:sz w:val="28"/>
          <w:szCs w:val="28"/>
        </w:rPr>
        <w:t>）</w:t>
      </w:r>
      <w:r>
        <w:rPr>
          <w:rFonts w:hint="eastAsia"/>
          <w:sz w:val="28"/>
          <w:szCs w:val="28"/>
          <w:lang w:val="en-US" w:eastAsia="zh-CN"/>
        </w:rPr>
        <w:t>决算收入</w:t>
      </w:r>
      <w:r>
        <w:rPr>
          <w:rFonts w:hint="eastAsia"/>
          <w:sz w:val="28"/>
          <w:szCs w:val="28"/>
        </w:rPr>
        <w:t>支出情况</w:t>
      </w:r>
      <w:r>
        <w:rPr>
          <w:sz w:val="28"/>
          <w:szCs w:val="28"/>
        </w:rPr>
        <w:t> </w:t>
      </w:r>
    </w:p>
    <w:p>
      <w:pPr>
        <w:ind w:firstLine="560" w:firstLineChars="200"/>
        <w:rPr>
          <w:sz w:val="28"/>
          <w:szCs w:val="28"/>
        </w:rPr>
      </w:pPr>
      <w:r>
        <w:rPr>
          <w:rFonts w:hint="eastAsia"/>
          <w:sz w:val="28"/>
          <w:szCs w:val="28"/>
        </w:rPr>
        <w:t xml:space="preserve">我单位2019年总支出为 </w:t>
      </w:r>
      <w:r>
        <w:rPr>
          <w:rFonts w:hint="eastAsia"/>
          <w:sz w:val="28"/>
          <w:szCs w:val="28"/>
          <w:lang w:val="en-US" w:eastAsia="zh-CN"/>
        </w:rPr>
        <w:t>1713</w:t>
      </w:r>
      <w:r>
        <w:rPr>
          <w:rFonts w:hint="eastAsia"/>
          <w:sz w:val="28"/>
          <w:szCs w:val="28"/>
        </w:rPr>
        <w:t xml:space="preserve"> 万元，其中基本支出</w:t>
      </w:r>
      <w:r>
        <w:rPr>
          <w:rFonts w:hint="eastAsia"/>
          <w:sz w:val="28"/>
          <w:szCs w:val="28"/>
          <w:lang w:val="en-US" w:eastAsia="zh-CN"/>
        </w:rPr>
        <w:t>1713</w:t>
      </w:r>
      <w:r>
        <w:rPr>
          <w:rFonts w:hint="eastAsia"/>
          <w:sz w:val="28"/>
          <w:szCs w:val="28"/>
        </w:rPr>
        <w:t xml:space="preserve"> 万元、项目支出 </w:t>
      </w:r>
      <w:r>
        <w:rPr>
          <w:rFonts w:hint="eastAsia"/>
          <w:sz w:val="28"/>
          <w:szCs w:val="28"/>
          <w:lang w:val="en-US" w:eastAsia="zh-CN"/>
        </w:rPr>
        <w:t>0</w:t>
      </w:r>
      <w:r>
        <w:rPr>
          <w:rFonts w:hint="eastAsia"/>
          <w:sz w:val="28"/>
          <w:szCs w:val="28"/>
        </w:rPr>
        <w:t xml:space="preserve"> 万元。</w:t>
      </w:r>
      <w:r>
        <w:rPr>
          <w:sz w:val="28"/>
          <w:szCs w:val="28"/>
        </w:rPr>
        <w:t> </w:t>
      </w:r>
      <w:r>
        <w:rPr>
          <w:rFonts w:hint="eastAsia"/>
          <w:sz w:val="28"/>
          <w:szCs w:val="28"/>
        </w:rPr>
        <w:t>基本支出</w:t>
      </w:r>
      <w:r>
        <w:rPr>
          <w:rFonts w:hint="eastAsia"/>
          <w:sz w:val="28"/>
          <w:szCs w:val="28"/>
          <w:lang w:val="en-US" w:eastAsia="zh-CN"/>
        </w:rPr>
        <w:t>1713</w:t>
      </w:r>
      <w:r>
        <w:rPr>
          <w:rFonts w:hint="eastAsia"/>
          <w:sz w:val="28"/>
          <w:szCs w:val="28"/>
        </w:rPr>
        <w:t xml:space="preserve">万元，其中：工资福利支出  </w:t>
      </w:r>
      <w:r>
        <w:rPr>
          <w:rFonts w:hint="eastAsia"/>
          <w:sz w:val="28"/>
          <w:szCs w:val="28"/>
          <w:lang w:val="en-US" w:eastAsia="zh-CN"/>
        </w:rPr>
        <w:t>1036</w:t>
      </w:r>
      <w:r>
        <w:rPr>
          <w:rFonts w:hint="eastAsia"/>
          <w:sz w:val="28"/>
          <w:szCs w:val="28"/>
        </w:rPr>
        <w:t xml:space="preserve">万元、商品和服务支出 </w:t>
      </w:r>
      <w:r>
        <w:rPr>
          <w:rFonts w:hint="eastAsia"/>
          <w:sz w:val="28"/>
          <w:szCs w:val="28"/>
          <w:lang w:val="en-US" w:eastAsia="zh-CN"/>
        </w:rPr>
        <w:t>620</w:t>
      </w:r>
      <w:r>
        <w:rPr>
          <w:rFonts w:hint="eastAsia"/>
          <w:sz w:val="28"/>
          <w:szCs w:val="28"/>
        </w:rPr>
        <w:t xml:space="preserve">万元、对个人和家庭的补助  </w:t>
      </w:r>
      <w:r>
        <w:rPr>
          <w:rFonts w:hint="eastAsia"/>
          <w:sz w:val="28"/>
          <w:szCs w:val="28"/>
          <w:lang w:val="en-US" w:eastAsia="zh-CN"/>
        </w:rPr>
        <w:t>55</w:t>
      </w:r>
      <w:r>
        <w:rPr>
          <w:rFonts w:hint="eastAsia"/>
          <w:sz w:val="28"/>
          <w:szCs w:val="28"/>
        </w:rPr>
        <w:t xml:space="preserve"> 元，其他资本性支出 </w:t>
      </w:r>
      <w:r>
        <w:rPr>
          <w:rFonts w:hint="eastAsia"/>
          <w:sz w:val="28"/>
          <w:szCs w:val="28"/>
          <w:lang w:val="en-US" w:eastAsia="zh-CN"/>
        </w:rPr>
        <w:t>2</w:t>
      </w:r>
      <w:r>
        <w:rPr>
          <w:rFonts w:hint="eastAsia"/>
          <w:sz w:val="28"/>
          <w:szCs w:val="28"/>
        </w:rPr>
        <w:t xml:space="preserve"> 万元。</w:t>
      </w:r>
      <w:r>
        <w:rPr>
          <w:sz w:val="28"/>
          <w:szCs w:val="28"/>
        </w:rPr>
        <w:t>  </w:t>
      </w:r>
      <w:r>
        <w:rPr>
          <w:rFonts w:hint="eastAsia"/>
          <w:sz w:val="28"/>
          <w:szCs w:val="28"/>
        </w:rPr>
        <w:t>商品和服务支出</w:t>
      </w:r>
      <w:r>
        <w:rPr>
          <w:rFonts w:hint="eastAsia"/>
          <w:sz w:val="28"/>
          <w:szCs w:val="28"/>
          <w:lang w:val="en-US" w:eastAsia="zh-CN"/>
        </w:rPr>
        <w:t>及</w:t>
      </w:r>
      <w:r>
        <w:rPr>
          <w:rFonts w:hint="eastAsia"/>
          <w:sz w:val="28"/>
          <w:szCs w:val="28"/>
        </w:rPr>
        <w:t>其他资本性支出主要用于房屋构建物、办公设备和专用设备采购、信息网络构建、基础设施建设、维修改造等项目支出。</w:t>
      </w:r>
      <w:r>
        <w:rPr>
          <w:sz w:val="28"/>
          <w:szCs w:val="28"/>
        </w:rPr>
        <w:t> </w:t>
      </w:r>
    </w:p>
    <w:p>
      <w:pPr>
        <w:ind w:firstLine="560" w:firstLineChars="200"/>
        <w:rPr>
          <w:rFonts w:hint="eastAsia"/>
          <w:sz w:val="28"/>
          <w:szCs w:val="28"/>
        </w:rPr>
      </w:pPr>
      <w:r>
        <w:rPr>
          <w:rFonts w:hint="eastAsia"/>
          <w:sz w:val="28"/>
          <w:szCs w:val="28"/>
        </w:rPr>
        <w:t>（一）</w:t>
      </w:r>
      <w:r>
        <w:rPr>
          <w:sz w:val="28"/>
          <w:szCs w:val="28"/>
        </w:rPr>
        <w:t>2019</w:t>
      </w:r>
      <w:r>
        <w:rPr>
          <w:rFonts w:hint="eastAsia"/>
          <w:sz w:val="28"/>
          <w:szCs w:val="28"/>
        </w:rPr>
        <w:t>年度预算</w:t>
      </w:r>
      <w:r>
        <w:rPr>
          <w:rFonts w:hint="eastAsia"/>
          <w:sz w:val="28"/>
          <w:szCs w:val="28"/>
          <w:lang w:eastAsia="zh-CN"/>
        </w:rPr>
        <w:t>收入</w:t>
      </w:r>
      <w:r>
        <w:rPr>
          <w:rFonts w:hint="eastAsia"/>
          <w:sz w:val="28"/>
          <w:szCs w:val="28"/>
        </w:rPr>
        <w:t>情况</w:t>
      </w:r>
      <w:r>
        <w:rPr>
          <w:sz w:val="28"/>
          <w:szCs w:val="28"/>
        </w:rPr>
        <w:t> </w:t>
      </w:r>
      <w:r>
        <w:rPr>
          <w:rFonts w:hint="eastAsia"/>
          <w:sz w:val="28"/>
          <w:szCs w:val="28"/>
          <w:lang w:eastAsia="zh-CN"/>
        </w:rPr>
        <w:t>：</w:t>
      </w:r>
      <w:r>
        <w:rPr>
          <w:sz w:val="28"/>
          <w:szCs w:val="28"/>
        </w:rPr>
        <w:t>2019</w:t>
      </w:r>
      <w:r>
        <w:rPr>
          <w:rFonts w:hint="eastAsia"/>
          <w:sz w:val="28"/>
          <w:szCs w:val="28"/>
        </w:rPr>
        <w:t>年收入预算为</w:t>
      </w:r>
      <w:r>
        <w:rPr>
          <w:rFonts w:hint="eastAsia"/>
          <w:sz w:val="28"/>
          <w:szCs w:val="28"/>
          <w:lang w:val="en-US" w:eastAsia="zh-CN"/>
        </w:rPr>
        <w:t>1461.96</w:t>
      </w:r>
      <w:r>
        <w:rPr>
          <w:rFonts w:hint="eastAsia"/>
          <w:sz w:val="28"/>
          <w:szCs w:val="28"/>
        </w:rPr>
        <w:t xml:space="preserve">万元， 其中：财政拨款收入 </w:t>
      </w:r>
      <w:r>
        <w:rPr>
          <w:rFonts w:hint="eastAsia"/>
          <w:sz w:val="28"/>
          <w:szCs w:val="28"/>
          <w:lang w:val="en-US" w:eastAsia="zh-CN"/>
        </w:rPr>
        <w:t>1461.96</w:t>
      </w:r>
      <w:r>
        <w:rPr>
          <w:rFonts w:hint="eastAsia"/>
          <w:sz w:val="28"/>
          <w:szCs w:val="28"/>
        </w:rPr>
        <w:t xml:space="preserve"> 万元，占</w:t>
      </w:r>
      <w:r>
        <w:rPr>
          <w:sz w:val="28"/>
          <w:szCs w:val="28"/>
        </w:rPr>
        <w:t>100%</w:t>
      </w:r>
      <w:r>
        <w:rPr>
          <w:rFonts w:hint="eastAsia"/>
          <w:sz w:val="28"/>
          <w:szCs w:val="28"/>
        </w:rPr>
        <w:t>；纳入预算管理非税收入</w:t>
      </w:r>
      <w:r>
        <w:rPr>
          <w:rFonts w:hint="eastAsia"/>
          <w:sz w:val="28"/>
          <w:szCs w:val="28"/>
          <w:lang w:val="en-US" w:eastAsia="zh-CN"/>
        </w:rPr>
        <w:t>392</w:t>
      </w:r>
      <w:r>
        <w:rPr>
          <w:rFonts w:hint="eastAsia"/>
          <w:sz w:val="28"/>
          <w:szCs w:val="28"/>
        </w:rPr>
        <w:t>万元，占</w:t>
      </w:r>
      <w:r>
        <w:rPr>
          <w:rFonts w:hint="eastAsia"/>
          <w:sz w:val="28"/>
          <w:szCs w:val="28"/>
          <w:lang w:val="en-US" w:eastAsia="zh-CN"/>
        </w:rPr>
        <w:t>26.7</w:t>
      </w:r>
      <w:r>
        <w:rPr>
          <w:sz w:val="28"/>
          <w:szCs w:val="28"/>
        </w:rPr>
        <w:t>%</w:t>
      </w:r>
      <w:r>
        <w:rPr>
          <w:rFonts w:hint="eastAsia"/>
          <w:sz w:val="28"/>
          <w:szCs w:val="28"/>
        </w:rPr>
        <w:t>；财政专户管理的非税收入</w:t>
      </w:r>
      <w:r>
        <w:rPr>
          <w:sz w:val="28"/>
          <w:szCs w:val="28"/>
        </w:rPr>
        <w:t>0</w:t>
      </w:r>
      <w:r>
        <w:rPr>
          <w:rFonts w:hint="eastAsia"/>
          <w:sz w:val="28"/>
          <w:szCs w:val="28"/>
        </w:rPr>
        <w:t>万元，占</w:t>
      </w:r>
      <w:r>
        <w:rPr>
          <w:sz w:val="28"/>
          <w:szCs w:val="28"/>
        </w:rPr>
        <w:t>0%</w:t>
      </w:r>
      <w:r>
        <w:rPr>
          <w:rFonts w:hint="eastAsia"/>
          <w:sz w:val="28"/>
          <w:szCs w:val="28"/>
        </w:rPr>
        <w:t>；上级补助收入</w:t>
      </w:r>
      <w:r>
        <w:rPr>
          <w:sz w:val="28"/>
          <w:szCs w:val="28"/>
        </w:rPr>
        <w:t>0</w:t>
      </w:r>
      <w:r>
        <w:rPr>
          <w:rFonts w:hint="eastAsia"/>
          <w:sz w:val="28"/>
          <w:szCs w:val="28"/>
        </w:rPr>
        <w:t>万元，占</w:t>
      </w:r>
      <w:r>
        <w:rPr>
          <w:sz w:val="28"/>
          <w:szCs w:val="28"/>
        </w:rPr>
        <w:t>0%</w:t>
      </w:r>
      <w:r>
        <w:rPr>
          <w:rFonts w:hint="eastAsia"/>
          <w:sz w:val="28"/>
          <w:szCs w:val="28"/>
        </w:rPr>
        <w:t xml:space="preserve">。支出预算中，基本支出 </w:t>
      </w:r>
      <w:r>
        <w:rPr>
          <w:rFonts w:hint="eastAsia"/>
          <w:sz w:val="28"/>
          <w:szCs w:val="28"/>
          <w:lang w:val="en-US" w:eastAsia="zh-CN"/>
        </w:rPr>
        <w:t>1461.96</w:t>
      </w:r>
      <w:r>
        <w:rPr>
          <w:rFonts w:hint="eastAsia"/>
          <w:sz w:val="28"/>
          <w:szCs w:val="28"/>
        </w:rPr>
        <w:t xml:space="preserve"> 万元，占 </w:t>
      </w:r>
      <w:r>
        <w:rPr>
          <w:rFonts w:hint="eastAsia"/>
          <w:sz w:val="28"/>
          <w:szCs w:val="28"/>
          <w:lang w:val="en-US" w:eastAsia="zh-CN"/>
        </w:rPr>
        <w:t>100</w:t>
      </w:r>
      <w:r>
        <w:rPr>
          <w:rFonts w:hint="eastAsia"/>
          <w:sz w:val="28"/>
          <w:szCs w:val="28"/>
        </w:rPr>
        <w:t xml:space="preserve"> </w:t>
      </w:r>
      <w:r>
        <w:rPr>
          <w:sz w:val="28"/>
          <w:szCs w:val="28"/>
        </w:rPr>
        <w:t>%</w:t>
      </w:r>
      <w:r>
        <w:rPr>
          <w:rFonts w:hint="eastAsia"/>
          <w:sz w:val="28"/>
          <w:szCs w:val="28"/>
        </w:rPr>
        <w:t xml:space="preserve">，项目支出  </w:t>
      </w:r>
      <w:r>
        <w:rPr>
          <w:rFonts w:hint="eastAsia"/>
          <w:sz w:val="28"/>
          <w:szCs w:val="28"/>
          <w:lang w:val="en-US" w:eastAsia="zh-CN"/>
        </w:rPr>
        <w:t>0</w:t>
      </w:r>
      <w:r>
        <w:rPr>
          <w:rFonts w:hint="eastAsia"/>
          <w:sz w:val="28"/>
          <w:szCs w:val="28"/>
        </w:rPr>
        <w:t xml:space="preserve">万元，占 </w:t>
      </w:r>
      <w:r>
        <w:rPr>
          <w:rFonts w:hint="eastAsia"/>
          <w:sz w:val="28"/>
          <w:szCs w:val="28"/>
          <w:lang w:val="en-US" w:eastAsia="zh-CN"/>
        </w:rPr>
        <w:t>0</w:t>
      </w:r>
      <w:r>
        <w:rPr>
          <w:rFonts w:hint="eastAsia"/>
          <w:sz w:val="28"/>
          <w:szCs w:val="28"/>
        </w:rPr>
        <w:t xml:space="preserve"> </w:t>
      </w:r>
      <w:r>
        <w:rPr>
          <w:sz w:val="28"/>
          <w:szCs w:val="28"/>
        </w:rPr>
        <w:t>%</w:t>
      </w:r>
      <w:r>
        <w:rPr>
          <w:rFonts w:hint="eastAsia"/>
          <w:sz w:val="28"/>
          <w:szCs w:val="28"/>
        </w:rPr>
        <w:t xml:space="preserve">，其他支出 </w:t>
      </w:r>
      <w:r>
        <w:rPr>
          <w:rFonts w:hint="eastAsia"/>
          <w:sz w:val="28"/>
          <w:szCs w:val="28"/>
          <w:lang w:val="en-US" w:eastAsia="zh-CN"/>
        </w:rPr>
        <w:t>0</w:t>
      </w:r>
      <w:r>
        <w:rPr>
          <w:rFonts w:hint="eastAsia"/>
          <w:sz w:val="28"/>
          <w:szCs w:val="28"/>
        </w:rPr>
        <w:t xml:space="preserve"> 万元，占 </w:t>
      </w:r>
      <w:r>
        <w:rPr>
          <w:rFonts w:hint="eastAsia"/>
          <w:sz w:val="28"/>
          <w:szCs w:val="28"/>
          <w:lang w:val="en-US" w:eastAsia="zh-CN"/>
        </w:rPr>
        <w:t>0</w:t>
      </w:r>
      <w:r>
        <w:rPr>
          <w:rFonts w:hint="eastAsia"/>
          <w:sz w:val="28"/>
          <w:szCs w:val="28"/>
        </w:rPr>
        <w:t xml:space="preserve"> </w:t>
      </w:r>
      <w:r>
        <w:rPr>
          <w:sz w:val="28"/>
          <w:szCs w:val="28"/>
        </w:rPr>
        <w:t>%</w:t>
      </w:r>
      <w:r>
        <w:rPr>
          <w:rFonts w:hint="eastAsia"/>
          <w:sz w:val="28"/>
          <w:szCs w:val="28"/>
        </w:rPr>
        <w:t>。</w:t>
      </w:r>
    </w:p>
    <w:p>
      <w:pPr>
        <w:ind w:firstLine="560" w:firstLineChars="200"/>
        <w:rPr>
          <w:rFonts w:hint="eastAsia"/>
          <w:sz w:val="28"/>
          <w:szCs w:val="28"/>
        </w:rPr>
      </w:pPr>
      <w:r>
        <w:rPr>
          <w:sz w:val="28"/>
          <w:szCs w:val="28"/>
        </w:rPr>
        <w:t> </w:t>
      </w:r>
    </w:p>
    <w:p>
      <w:pPr>
        <w:ind w:firstLine="560" w:firstLineChars="200"/>
        <w:rPr>
          <w:rFonts w:hint="eastAsia"/>
          <w:sz w:val="28"/>
          <w:szCs w:val="28"/>
          <w:lang w:eastAsia="zh-CN"/>
        </w:rPr>
      </w:pPr>
      <w:r>
        <w:rPr>
          <w:rFonts w:hint="eastAsia"/>
          <w:sz w:val="28"/>
          <w:szCs w:val="28"/>
        </w:rPr>
        <w:t>（二）</w:t>
      </w:r>
      <w:r>
        <w:rPr>
          <w:sz w:val="28"/>
          <w:szCs w:val="28"/>
        </w:rPr>
        <w:t>2019</w:t>
      </w:r>
      <w:r>
        <w:rPr>
          <w:rFonts w:hint="eastAsia"/>
          <w:sz w:val="28"/>
          <w:szCs w:val="28"/>
        </w:rPr>
        <w:t>年度</w:t>
      </w:r>
      <w:r>
        <w:rPr>
          <w:rFonts w:hint="eastAsia"/>
          <w:sz w:val="28"/>
          <w:szCs w:val="28"/>
          <w:lang w:eastAsia="zh-CN"/>
        </w:rPr>
        <w:t>决算</w:t>
      </w:r>
      <w:r>
        <w:rPr>
          <w:rFonts w:hint="eastAsia"/>
          <w:sz w:val="28"/>
          <w:szCs w:val="28"/>
        </w:rPr>
        <w:t>收</w:t>
      </w:r>
      <w:r>
        <w:rPr>
          <w:rFonts w:hint="eastAsia"/>
          <w:sz w:val="28"/>
          <w:szCs w:val="28"/>
          <w:lang w:eastAsia="zh-CN"/>
        </w:rPr>
        <w:t>入</w:t>
      </w:r>
      <w:r>
        <w:rPr>
          <w:rFonts w:hint="eastAsia"/>
          <w:sz w:val="28"/>
          <w:szCs w:val="28"/>
        </w:rPr>
        <w:t>支</w:t>
      </w:r>
      <w:r>
        <w:rPr>
          <w:rFonts w:hint="eastAsia"/>
          <w:sz w:val="28"/>
          <w:szCs w:val="28"/>
          <w:lang w:eastAsia="zh-CN"/>
        </w:rPr>
        <w:t>出</w:t>
      </w:r>
      <w:r>
        <w:rPr>
          <w:rFonts w:hint="eastAsia"/>
          <w:sz w:val="28"/>
          <w:szCs w:val="28"/>
        </w:rPr>
        <w:t>决算情况</w:t>
      </w:r>
      <w:r>
        <w:rPr>
          <w:sz w:val="28"/>
          <w:szCs w:val="28"/>
        </w:rPr>
        <w:t> </w:t>
      </w:r>
      <w:r>
        <w:rPr>
          <w:rFonts w:hint="eastAsia"/>
          <w:sz w:val="28"/>
          <w:szCs w:val="28"/>
          <w:lang w:eastAsia="zh-CN"/>
        </w:rPr>
        <w:t>：</w:t>
      </w:r>
    </w:p>
    <w:p>
      <w:pPr>
        <w:ind w:firstLine="560" w:firstLineChars="200"/>
        <w:rPr>
          <w:rFonts w:hint="eastAsia"/>
          <w:sz w:val="28"/>
          <w:szCs w:val="28"/>
        </w:rPr>
      </w:pPr>
      <w:r>
        <w:rPr>
          <w:sz w:val="28"/>
          <w:szCs w:val="28"/>
        </w:rPr>
        <w:t>1. 2019</w:t>
      </w:r>
      <w:r>
        <w:rPr>
          <w:rFonts w:hint="eastAsia"/>
          <w:sz w:val="28"/>
          <w:szCs w:val="28"/>
        </w:rPr>
        <w:t>年度收入决算情况</w:t>
      </w:r>
      <w:r>
        <w:rPr>
          <w:sz w:val="28"/>
          <w:szCs w:val="28"/>
        </w:rPr>
        <w:t> 2019</w:t>
      </w:r>
      <w:r>
        <w:rPr>
          <w:rFonts w:hint="eastAsia"/>
          <w:sz w:val="28"/>
          <w:szCs w:val="28"/>
        </w:rPr>
        <w:t>年度总收入</w:t>
      </w:r>
      <w:r>
        <w:rPr>
          <w:rFonts w:hint="eastAsia"/>
          <w:sz w:val="28"/>
          <w:szCs w:val="28"/>
          <w:lang w:val="en-US" w:eastAsia="zh-CN"/>
        </w:rPr>
        <w:t>1771</w:t>
      </w:r>
      <w:r>
        <w:rPr>
          <w:rFonts w:hint="eastAsia"/>
          <w:sz w:val="28"/>
          <w:szCs w:val="28"/>
        </w:rPr>
        <w:t xml:space="preserve"> 万元，其中：财政拨款收入  </w:t>
      </w:r>
      <w:r>
        <w:rPr>
          <w:rFonts w:hint="eastAsia"/>
          <w:sz w:val="28"/>
          <w:szCs w:val="28"/>
          <w:lang w:val="en-US" w:eastAsia="zh-CN"/>
        </w:rPr>
        <w:t>1762</w:t>
      </w:r>
      <w:r>
        <w:rPr>
          <w:rFonts w:hint="eastAsia"/>
          <w:sz w:val="28"/>
          <w:szCs w:val="28"/>
        </w:rPr>
        <w:t xml:space="preserve">万元，占 </w:t>
      </w:r>
      <w:r>
        <w:rPr>
          <w:rFonts w:hint="eastAsia"/>
          <w:sz w:val="28"/>
          <w:szCs w:val="28"/>
          <w:lang w:val="en-US" w:eastAsia="zh-CN"/>
        </w:rPr>
        <w:t>100</w:t>
      </w:r>
      <w:r>
        <w:rPr>
          <w:rFonts w:hint="eastAsia"/>
          <w:sz w:val="28"/>
          <w:szCs w:val="28"/>
        </w:rPr>
        <w:t xml:space="preserve"> </w:t>
      </w:r>
      <w:r>
        <w:rPr>
          <w:sz w:val="28"/>
          <w:szCs w:val="28"/>
        </w:rPr>
        <w:t>%,</w:t>
      </w:r>
      <w:r>
        <w:rPr>
          <w:rFonts w:hint="eastAsia"/>
          <w:sz w:val="28"/>
          <w:szCs w:val="28"/>
          <w:lang w:val="en-US" w:eastAsia="zh-CN"/>
        </w:rPr>
        <w:t>其中事业</w:t>
      </w:r>
      <w:r>
        <w:rPr>
          <w:rFonts w:hint="eastAsia"/>
          <w:sz w:val="28"/>
          <w:szCs w:val="28"/>
        </w:rPr>
        <w:t xml:space="preserve">收入 </w:t>
      </w:r>
      <w:r>
        <w:rPr>
          <w:rFonts w:hint="eastAsia"/>
          <w:sz w:val="28"/>
          <w:szCs w:val="28"/>
          <w:lang w:val="en-US" w:eastAsia="zh-CN"/>
        </w:rPr>
        <w:t>9</w:t>
      </w:r>
      <w:r>
        <w:rPr>
          <w:rFonts w:hint="eastAsia"/>
          <w:sz w:val="28"/>
          <w:szCs w:val="28"/>
        </w:rPr>
        <w:t xml:space="preserve"> 万元</w:t>
      </w:r>
      <w:r>
        <w:rPr>
          <w:rFonts w:hint="eastAsia"/>
          <w:sz w:val="28"/>
          <w:szCs w:val="28"/>
          <w:lang w:val="en-US" w:eastAsia="zh-CN"/>
        </w:rPr>
        <w:t>.</w:t>
      </w:r>
      <w:r>
        <w:rPr>
          <w:sz w:val="28"/>
          <w:szCs w:val="28"/>
        </w:rPr>
        <w:t>  </w:t>
      </w:r>
    </w:p>
    <w:p>
      <w:pPr>
        <w:ind w:firstLine="560" w:firstLineChars="200"/>
        <w:rPr>
          <w:rFonts w:hint="eastAsia"/>
          <w:sz w:val="28"/>
          <w:szCs w:val="28"/>
          <w:lang w:val="en-US" w:eastAsia="zh-CN"/>
        </w:rPr>
      </w:pPr>
      <w:r>
        <w:rPr>
          <w:sz w:val="28"/>
          <w:szCs w:val="28"/>
        </w:rPr>
        <w:t>2</w:t>
      </w:r>
      <w:r>
        <w:rPr>
          <w:rFonts w:hint="eastAsia"/>
          <w:sz w:val="28"/>
          <w:szCs w:val="28"/>
        </w:rPr>
        <w:t>．</w:t>
      </w:r>
      <w:r>
        <w:rPr>
          <w:sz w:val="28"/>
          <w:szCs w:val="28"/>
        </w:rPr>
        <w:t>2019</w:t>
      </w:r>
      <w:r>
        <w:rPr>
          <w:rFonts w:hint="eastAsia"/>
          <w:sz w:val="28"/>
          <w:szCs w:val="28"/>
        </w:rPr>
        <w:t>年度支出决算情况</w:t>
      </w:r>
      <w:r>
        <w:rPr>
          <w:sz w:val="28"/>
          <w:szCs w:val="28"/>
        </w:rPr>
        <w:t> 2019</w:t>
      </w:r>
      <w:r>
        <w:rPr>
          <w:rFonts w:hint="eastAsia"/>
          <w:sz w:val="28"/>
          <w:szCs w:val="28"/>
        </w:rPr>
        <w:t xml:space="preserve">年度总支出 </w:t>
      </w:r>
      <w:r>
        <w:rPr>
          <w:rFonts w:hint="eastAsia"/>
          <w:sz w:val="28"/>
          <w:szCs w:val="28"/>
          <w:lang w:val="en-US" w:eastAsia="zh-CN"/>
        </w:rPr>
        <w:t>1713</w:t>
      </w:r>
      <w:r>
        <w:rPr>
          <w:rFonts w:hint="eastAsia"/>
          <w:sz w:val="28"/>
          <w:szCs w:val="28"/>
        </w:rPr>
        <w:t>万元，其中基本支出</w:t>
      </w:r>
      <w:r>
        <w:rPr>
          <w:rFonts w:hint="eastAsia"/>
          <w:sz w:val="28"/>
          <w:szCs w:val="28"/>
          <w:lang w:val="en-US" w:eastAsia="zh-CN"/>
        </w:rPr>
        <w:t>1713</w:t>
      </w:r>
      <w:r>
        <w:rPr>
          <w:rFonts w:hint="eastAsia"/>
          <w:sz w:val="28"/>
          <w:szCs w:val="28"/>
        </w:rPr>
        <w:t xml:space="preserve">  万元</w:t>
      </w:r>
      <w:r>
        <w:rPr>
          <w:sz w:val="28"/>
          <w:szCs w:val="28"/>
        </w:rPr>
        <w:t>,</w:t>
      </w:r>
      <w:r>
        <w:rPr>
          <w:rFonts w:hint="eastAsia"/>
          <w:sz w:val="28"/>
          <w:szCs w:val="28"/>
        </w:rPr>
        <w:t xml:space="preserve">占总支出比例 </w:t>
      </w:r>
      <w:r>
        <w:rPr>
          <w:rFonts w:hint="eastAsia"/>
          <w:sz w:val="28"/>
          <w:szCs w:val="28"/>
          <w:lang w:val="en-US" w:eastAsia="zh-CN"/>
        </w:rPr>
        <w:t>100</w:t>
      </w:r>
      <w:r>
        <w:rPr>
          <w:rFonts w:hint="eastAsia"/>
          <w:sz w:val="28"/>
          <w:szCs w:val="28"/>
        </w:rPr>
        <w:t xml:space="preserve">  </w:t>
      </w:r>
      <w:r>
        <w:rPr>
          <w:sz w:val="28"/>
          <w:szCs w:val="28"/>
        </w:rPr>
        <w:t>%</w:t>
      </w:r>
      <w:r>
        <w:rPr>
          <w:rFonts w:hint="eastAsia"/>
          <w:sz w:val="28"/>
          <w:szCs w:val="28"/>
        </w:rPr>
        <w:t xml:space="preserve">；项目支出 </w:t>
      </w:r>
      <w:r>
        <w:rPr>
          <w:rFonts w:hint="eastAsia"/>
          <w:sz w:val="28"/>
          <w:szCs w:val="28"/>
          <w:lang w:val="en-US" w:eastAsia="zh-CN"/>
        </w:rPr>
        <w:t>0</w:t>
      </w:r>
      <w:r>
        <w:rPr>
          <w:rFonts w:hint="eastAsia"/>
          <w:sz w:val="28"/>
          <w:szCs w:val="28"/>
        </w:rPr>
        <w:t xml:space="preserve"> 万元</w:t>
      </w:r>
      <w:r>
        <w:rPr>
          <w:sz w:val="28"/>
          <w:szCs w:val="28"/>
        </w:rPr>
        <w:t>,</w:t>
      </w:r>
      <w:r>
        <w:rPr>
          <w:rFonts w:hint="eastAsia"/>
          <w:sz w:val="28"/>
          <w:szCs w:val="28"/>
        </w:rPr>
        <w:t xml:space="preserve">占总支出比例  </w:t>
      </w:r>
      <w:r>
        <w:rPr>
          <w:rFonts w:hint="eastAsia"/>
          <w:sz w:val="28"/>
          <w:szCs w:val="28"/>
          <w:lang w:val="en-US" w:eastAsia="zh-CN"/>
        </w:rPr>
        <w:t>0</w:t>
      </w:r>
      <w:r>
        <w:rPr>
          <w:sz w:val="28"/>
          <w:szCs w:val="28"/>
        </w:rPr>
        <w:t>%</w:t>
      </w:r>
      <w:r>
        <w:rPr>
          <w:rFonts w:hint="eastAsia"/>
          <w:sz w:val="28"/>
          <w:szCs w:val="28"/>
        </w:rPr>
        <w:t>。</w:t>
      </w:r>
      <w:r>
        <w:rPr>
          <w:sz w:val="28"/>
          <w:szCs w:val="28"/>
        </w:rPr>
        <w:t> </w:t>
      </w:r>
      <w:r>
        <w:rPr>
          <w:rFonts w:hint="eastAsia"/>
          <w:sz w:val="28"/>
          <w:szCs w:val="28"/>
        </w:rPr>
        <w:t xml:space="preserve">基本支出 </w:t>
      </w:r>
      <w:r>
        <w:rPr>
          <w:rFonts w:hint="eastAsia"/>
          <w:sz w:val="28"/>
          <w:szCs w:val="28"/>
          <w:lang w:val="en-US" w:eastAsia="zh-CN"/>
        </w:rPr>
        <w:t>1713</w:t>
      </w:r>
      <w:r>
        <w:rPr>
          <w:rFonts w:hint="eastAsia"/>
          <w:sz w:val="28"/>
          <w:szCs w:val="28"/>
        </w:rPr>
        <w:t xml:space="preserve"> 万元，其中：工资福利支出  </w:t>
      </w:r>
      <w:r>
        <w:rPr>
          <w:rFonts w:hint="eastAsia"/>
          <w:sz w:val="28"/>
          <w:szCs w:val="28"/>
          <w:lang w:val="en-US" w:eastAsia="zh-CN"/>
        </w:rPr>
        <w:t>1036</w:t>
      </w:r>
      <w:r>
        <w:rPr>
          <w:rFonts w:hint="eastAsia"/>
          <w:sz w:val="28"/>
          <w:szCs w:val="28"/>
        </w:rPr>
        <w:t>万元</w:t>
      </w:r>
      <w:r>
        <w:rPr>
          <w:sz w:val="28"/>
          <w:szCs w:val="28"/>
        </w:rPr>
        <w:t>,</w:t>
      </w:r>
      <w:r>
        <w:rPr>
          <w:rFonts w:hint="eastAsia"/>
          <w:sz w:val="28"/>
          <w:szCs w:val="28"/>
        </w:rPr>
        <w:t>占基本支出比例</w:t>
      </w:r>
      <w:r>
        <w:rPr>
          <w:rFonts w:hint="eastAsia"/>
          <w:sz w:val="28"/>
          <w:szCs w:val="28"/>
          <w:lang w:val="en-US" w:eastAsia="zh-CN"/>
        </w:rPr>
        <w:t>60</w:t>
      </w:r>
      <w:r>
        <w:rPr>
          <w:rFonts w:hint="eastAsia"/>
          <w:sz w:val="28"/>
          <w:szCs w:val="28"/>
        </w:rPr>
        <w:t xml:space="preserve"> </w:t>
      </w:r>
      <w:r>
        <w:rPr>
          <w:sz w:val="28"/>
          <w:szCs w:val="28"/>
        </w:rPr>
        <w:t>%</w:t>
      </w:r>
      <w:r>
        <w:rPr>
          <w:rFonts w:hint="eastAsia"/>
          <w:sz w:val="28"/>
          <w:szCs w:val="28"/>
        </w:rPr>
        <w:t xml:space="preserve">；商品和服务支出  </w:t>
      </w:r>
      <w:r>
        <w:rPr>
          <w:rFonts w:hint="eastAsia"/>
          <w:sz w:val="28"/>
          <w:szCs w:val="28"/>
          <w:lang w:val="en-US" w:eastAsia="zh-CN"/>
        </w:rPr>
        <w:t>620</w:t>
      </w:r>
      <w:r>
        <w:rPr>
          <w:rFonts w:hint="eastAsia"/>
          <w:sz w:val="28"/>
          <w:szCs w:val="28"/>
        </w:rPr>
        <w:t xml:space="preserve"> 万元，占基本支出比例</w:t>
      </w:r>
      <w:r>
        <w:rPr>
          <w:rFonts w:hint="eastAsia"/>
          <w:sz w:val="28"/>
          <w:szCs w:val="28"/>
          <w:lang w:val="en-US" w:eastAsia="zh-CN"/>
        </w:rPr>
        <w:t>36</w:t>
      </w:r>
      <w:r>
        <w:rPr>
          <w:rFonts w:hint="eastAsia"/>
          <w:sz w:val="28"/>
          <w:szCs w:val="28"/>
        </w:rPr>
        <w:t xml:space="preserve">  </w:t>
      </w:r>
      <w:r>
        <w:rPr>
          <w:sz w:val="28"/>
          <w:szCs w:val="28"/>
        </w:rPr>
        <w:t>%</w:t>
      </w:r>
      <w:r>
        <w:rPr>
          <w:rFonts w:hint="eastAsia"/>
          <w:sz w:val="28"/>
          <w:szCs w:val="28"/>
        </w:rPr>
        <w:t xml:space="preserve">；对个人和家庭的补助支出 </w:t>
      </w:r>
      <w:r>
        <w:rPr>
          <w:rFonts w:hint="eastAsia"/>
          <w:sz w:val="28"/>
          <w:szCs w:val="28"/>
          <w:lang w:val="en-US" w:eastAsia="zh-CN"/>
        </w:rPr>
        <w:t>55</w:t>
      </w:r>
      <w:r>
        <w:rPr>
          <w:rFonts w:hint="eastAsia"/>
          <w:sz w:val="28"/>
          <w:szCs w:val="28"/>
        </w:rPr>
        <w:t xml:space="preserve"> 万元</w:t>
      </w:r>
      <w:r>
        <w:rPr>
          <w:sz w:val="28"/>
          <w:szCs w:val="28"/>
        </w:rPr>
        <w:t>,</w:t>
      </w:r>
      <w:r>
        <w:rPr>
          <w:rFonts w:hint="eastAsia"/>
          <w:sz w:val="28"/>
          <w:szCs w:val="28"/>
        </w:rPr>
        <w:t>占基本支出比例</w:t>
      </w:r>
      <w:r>
        <w:rPr>
          <w:rFonts w:hint="eastAsia"/>
          <w:sz w:val="28"/>
          <w:szCs w:val="28"/>
          <w:lang w:val="en-US" w:eastAsia="zh-CN"/>
        </w:rPr>
        <w:t>3</w:t>
      </w:r>
      <w:r>
        <w:rPr>
          <w:rFonts w:hint="eastAsia"/>
          <w:sz w:val="28"/>
          <w:szCs w:val="28"/>
        </w:rPr>
        <w:t xml:space="preserve">  </w:t>
      </w:r>
      <w:r>
        <w:rPr>
          <w:sz w:val="28"/>
          <w:szCs w:val="28"/>
        </w:rPr>
        <w:t>%</w:t>
      </w:r>
      <w:r>
        <w:rPr>
          <w:rFonts w:hint="eastAsia"/>
          <w:sz w:val="28"/>
          <w:szCs w:val="28"/>
        </w:rPr>
        <w:t>。</w:t>
      </w:r>
      <w:r>
        <w:rPr>
          <w:sz w:val="28"/>
          <w:szCs w:val="28"/>
        </w:rPr>
        <w:t> </w:t>
      </w:r>
      <w:r>
        <w:rPr>
          <w:rFonts w:hint="eastAsia"/>
          <w:sz w:val="28"/>
          <w:szCs w:val="28"/>
        </w:rPr>
        <w:t xml:space="preserve">项目支出 </w:t>
      </w:r>
      <w:r>
        <w:rPr>
          <w:rFonts w:hint="eastAsia"/>
          <w:sz w:val="28"/>
          <w:szCs w:val="28"/>
          <w:lang w:val="en-US" w:eastAsia="zh-CN"/>
        </w:rPr>
        <w:t>0</w:t>
      </w:r>
      <w:r>
        <w:rPr>
          <w:rFonts w:hint="eastAsia"/>
          <w:sz w:val="28"/>
          <w:szCs w:val="28"/>
        </w:rPr>
        <w:t xml:space="preserve"> 万元</w:t>
      </w:r>
      <w:r>
        <w:rPr>
          <w:rFonts w:hint="eastAsia"/>
          <w:sz w:val="28"/>
          <w:szCs w:val="28"/>
          <w:lang w:val="en-US" w:eastAsia="zh-CN"/>
        </w:rPr>
        <w:t>.</w:t>
      </w:r>
    </w:p>
    <w:p>
      <w:pPr>
        <w:ind w:firstLine="560" w:firstLineChars="200"/>
        <w:rPr>
          <w:rFonts w:hint="eastAsia"/>
          <w:sz w:val="28"/>
          <w:szCs w:val="28"/>
        </w:rPr>
      </w:pPr>
      <w:r>
        <w:rPr>
          <w:rFonts w:hint="eastAsia"/>
          <w:sz w:val="28"/>
          <w:szCs w:val="28"/>
        </w:rPr>
        <w:t>（三）基本支出使用管理情况</w:t>
      </w:r>
      <w:r>
        <w:rPr>
          <w:sz w:val="28"/>
          <w:szCs w:val="28"/>
        </w:rPr>
        <w:t>  </w:t>
      </w:r>
    </w:p>
    <w:p>
      <w:pPr>
        <w:ind w:firstLine="560" w:firstLineChars="200"/>
        <w:rPr>
          <w:sz w:val="28"/>
          <w:szCs w:val="28"/>
        </w:rPr>
      </w:pPr>
      <w:r>
        <w:rPr>
          <w:rFonts w:hint="eastAsia"/>
          <w:sz w:val="28"/>
          <w:szCs w:val="28"/>
        </w:rPr>
        <w:t>基本支出用于为保障机构正常运转、完成日常工作任务而发生的支出，包括人员经费和公用经费。</w:t>
      </w:r>
      <w:r>
        <w:rPr>
          <w:sz w:val="28"/>
          <w:szCs w:val="28"/>
        </w:rPr>
        <w:t>20</w:t>
      </w:r>
      <w:r>
        <w:rPr>
          <w:rFonts w:hint="eastAsia"/>
          <w:sz w:val="28"/>
          <w:szCs w:val="28"/>
        </w:rPr>
        <w:t xml:space="preserve">19年度本单位人员经费  </w:t>
      </w:r>
      <w:r>
        <w:rPr>
          <w:rFonts w:hint="eastAsia"/>
          <w:sz w:val="28"/>
          <w:szCs w:val="28"/>
          <w:lang w:val="en-US" w:eastAsia="zh-CN"/>
        </w:rPr>
        <w:t>1090</w:t>
      </w:r>
      <w:r>
        <w:rPr>
          <w:rFonts w:hint="eastAsia"/>
          <w:sz w:val="28"/>
          <w:szCs w:val="28"/>
        </w:rPr>
        <w:t>万元占基本支出比例</w:t>
      </w:r>
      <w:r>
        <w:rPr>
          <w:rFonts w:hint="eastAsia"/>
          <w:sz w:val="28"/>
          <w:szCs w:val="28"/>
          <w:lang w:val="en-US" w:eastAsia="zh-CN"/>
        </w:rPr>
        <w:t>75%</w:t>
      </w:r>
      <w:r>
        <w:rPr>
          <w:rFonts w:hint="eastAsia"/>
          <w:sz w:val="28"/>
          <w:szCs w:val="28"/>
        </w:rPr>
        <w:t xml:space="preserve"> </w:t>
      </w:r>
      <w:r>
        <w:rPr>
          <w:rFonts w:hint="eastAsia"/>
          <w:sz w:val="28"/>
          <w:szCs w:val="28"/>
          <w:lang w:eastAsia="zh-CN"/>
        </w:rPr>
        <w:t>，</w:t>
      </w:r>
      <w:r>
        <w:rPr>
          <w:rFonts w:hint="eastAsia"/>
          <w:sz w:val="28"/>
          <w:szCs w:val="28"/>
        </w:rPr>
        <w:t>较年初预算超支比例较大的主要原因是本年度进行了工资及其他缴费比例调整。本年度基本支出与调整后的预算基本一致。</w:t>
      </w:r>
    </w:p>
    <w:p>
      <w:pPr>
        <w:rPr>
          <w:sz w:val="28"/>
          <w:szCs w:val="28"/>
        </w:rPr>
      </w:pPr>
      <w:r>
        <w:rPr>
          <w:sz w:val="28"/>
          <w:szCs w:val="28"/>
        </w:rPr>
        <w:t> </w:t>
      </w:r>
      <w:r>
        <w:rPr>
          <w:rFonts w:hint="eastAsia"/>
          <w:sz w:val="28"/>
          <w:szCs w:val="28"/>
        </w:rPr>
        <w:t xml:space="preserve">  （四）项目支出使用管理情况</w:t>
      </w:r>
      <w:r>
        <w:rPr>
          <w:sz w:val="28"/>
          <w:szCs w:val="28"/>
        </w:rPr>
        <w:t> </w:t>
      </w:r>
      <w:r>
        <w:rPr>
          <w:rFonts w:hint="eastAsia"/>
          <w:sz w:val="28"/>
          <w:szCs w:val="28"/>
        </w:rPr>
        <w:t xml:space="preserve">项目支出 </w:t>
      </w:r>
      <w:r>
        <w:rPr>
          <w:rFonts w:hint="eastAsia"/>
          <w:sz w:val="28"/>
          <w:szCs w:val="28"/>
          <w:lang w:val="en-US" w:eastAsia="zh-CN"/>
        </w:rPr>
        <w:t>0</w:t>
      </w:r>
      <w:r>
        <w:rPr>
          <w:rFonts w:hint="eastAsia"/>
          <w:sz w:val="28"/>
          <w:szCs w:val="28"/>
        </w:rPr>
        <w:t xml:space="preserve"> 万元</w:t>
      </w:r>
      <w:r>
        <w:rPr>
          <w:rFonts w:hint="eastAsia"/>
          <w:sz w:val="28"/>
          <w:szCs w:val="28"/>
          <w:lang w:val="en-US" w:eastAsia="zh-CN"/>
        </w:rPr>
        <w:t>.</w:t>
      </w:r>
      <w:r>
        <w:rPr>
          <w:sz w:val="28"/>
          <w:szCs w:val="28"/>
        </w:rPr>
        <w:t> </w:t>
      </w:r>
    </w:p>
    <w:p>
      <w:pPr>
        <w:ind w:firstLine="560" w:firstLineChars="200"/>
        <w:rPr>
          <w:sz w:val="28"/>
          <w:szCs w:val="28"/>
        </w:rPr>
      </w:pPr>
      <w:r>
        <w:rPr>
          <w:rFonts w:hint="eastAsia"/>
          <w:sz w:val="28"/>
          <w:szCs w:val="28"/>
        </w:rPr>
        <w:t>（五）“三公”经费使用管理情况</w:t>
      </w:r>
      <w:r>
        <w:rPr>
          <w:sz w:val="28"/>
          <w:szCs w:val="28"/>
        </w:rPr>
        <w:t> </w:t>
      </w:r>
    </w:p>
    <w:p>
      <w:pPr>
        <w:ind w:firstLine="560" w:firstLineChars="200"/>
        <w:rPr>
          <w:sz w:val="28"/>
          <w:szCs w:val="28"/>
        </w:rPr>
      </w:pPr>
      <w:r>
        <w:rPr>
          <w:sz w:val="28"/>
          <w:szCs w:val="28"/>
        </w:rPr>
        <w:t>1</w:t>
      </w:r>
      <w:r>
        <w:rPr>
          <w:rFonts w:hint="eastAsia"/>
          <w:sz w:val="28"/>
          <w:szCs w:val="28"/>
        </w:rPr>
        <w:t>．“三公”经费支出情况</w:t>
      </w:r>
      <w:r>
        <w:rPr>
          <w:sz w:val="28"/>
          <w:szCs w:val="28"/>
        </w:rPr>
        <w:t> 20</w:t>
      </w:r>
      <w:r>
        <w:rPr>
          <w:rFonts w:hint="eastAsia"/>
          <w:sz w:val="28"/>
          <w:szCs w:val="28"/>
        </w:rPr>
        <w:t xml:space="preserve">19年度“三公”经费支出决算为 </w:t>
      </w:r>
      <w:r>
        <w:rPr>
          <w:rFonts w:hint="eastAsia"/>
          <w:sz w:val="28"/>
          <w:szCs w:val="28"/>
          <w:lang w:val="en-US" w:eastAsia="zh-CN"/>
        </w:rPr>
        <w:t>0</w:t>
      </w:r>
      <w:r>
        <w:rPr>
          <w:rFonts w:hint="eastAsia"/>
          <w:sz w:val="28"/>
          <w:szCs w:val="28"/>
        </w:rPr>
        <w:t xml:space="preserve"> 万元，其中：公务接待费支出决算为  </w:t>
      </w:r>
      <w:r>
        <w:rPr>
          <w:rFonts w:hint="eastAsia"/>
          <w:sz w:val="28"/>
          <w:szCs w:val="28"/>
          <w:lang w:val="en-US" w:eastAsia="zh-CN"/>
        </w:rPr>
        <w:t>0</w:t>
      </w:r>
      <w:r>
        <w:rPr>
          <w:rFonts w:hint="eastAsia"/>
          <w:sz w:val="28"/>
          <w:szCs w:val="28"/>
        </w:rPr>
        <w:t>万元，会议费支出决算</w:t>
      </w:r>
      <w:r>
        <w:rPr>
          <w:rFonts w:hint="eastAsia"/>
          <w:sz w:val="28"/>
          <w:szCs w:val="28"/>
          <w:lang w:val="en-US" w:eastAsia="zh-CN"/>
        </w:rPr>
        <w:t>0</w:t>
      </w:r>
      <w:r>
        <w:rPr>
          <w:rFonts w:hint="eastAsia"/>
          <w:sz w:val="28"/>
          <w:szCs w:val="28"/>
        </w:rPr>
        <w:t>万元。</w:t>
      </w:r>
    </w:p>
    <w:p>
      <w:pPr>
        <w:ind w:firstLine="560" w:firstLineChars="200"/>
        <w:rPr>
          <w:sz w:val="28"/>
          <w:szCs w:val="28"/>
        </w:rPr>
      </w:pPr>
      <w:r>
        <w:rPr>
          <w:sz w:val="28"/>
          <w:szCs w:val="28"/>
        </w:rPr>
        <w:t> 2.“</w:t>
      </w:r>
      <w:r>
        <w:rPr>
          <w:rFonts w:hint="eastAsia"/>
          <w:sz w:val="28"/>
          <w:szCs w:val="28"/>
        </w:rPr>
        <w:t>三公”经费与上年对比情况：</w:t>
      </w:r>
    </w:p>
    <w:p>
      <w:pPr>
        <w:ind w:firstLine="560" w:firstLineChars="200"/>
        <w:rPr>
          <w:rFonts w:hint="eastAsia"/>
          <w:sz w:val="28"/>
          <w:szCs w:val="28"/>
        </w:rPr>
      </w:pPr>
      <w:r>
        <w:rPr>
          <w:rFonts w:hint="eastAsia"/>
          <w:sz w:val="28"/>
          <w:szCs w:val="28"/>
        </w:rPr>
        <w:t>费用项目</w:t>
      </w:r>
      <w:r>
        <w:rPr>
          <w:sz w:val="28"/>
          <w:szCs w:val="28"/>
        </w:rPr>
        <w:t> 201</w:t>
      </w:r>
      <w:r>
        <w:rPr>
          <w:rFonts w:hint="eastAsia"/>
          <w:sz w:val="28"/>
          <w:szCs w:val="28"/>
        </w:rPr>
        <w:t>8年</w:t>
      </w:r>
      <w:r>
        <w:rPr>
          <w:sz w:val="28"/>
          <w:szCs w:val="28"/>
        </w:rPr>
        <w:t> </w:t>
      </w:r>
      <w:r>
        <w:rPr>
          <w:rFonts w:hint="eastAsia"/>
          <w:sz w:val="28"/>
          <w:szCs w:val="28"/>
        </w:rPr>
        <w:t>决算数</w:t>
      </w:r>
      <w:r>
        <w:rPr>
          <w:sz w:val="28"/>
          <w:szCs w:val="28"/>
        </w:rPr>
        <w:t> 201</w:t>
      </w:r>
      <w:r>
        <w:rPr>
          <w:rFonts w:hint="eastAsia"/>
          <w:sz w:val="28"/>
          <w:szCs w:val="28"/>
        </w:rPr>
        <w:t>9年</w:t>
      </w:r>
      <w:r>
        <w:rPr>
          <w:sz w:val="28"/>
          <w:szCs w:val="28"/>
        </w:rPr>
        <w:t> </w:t>
      </w:r>
      <w:r>
        <w:rPr>
          <w:rFonts w:hint="eastAsia"/>
          <w:sz w:val="28"/>
          <w:szCs w:val="28"/>
        </w:rPr>
        <w:t>决算数</w:t>
      </w:r>
      <w:r>
        <w:rPr>
          <w:sz w:val="28"/>
          <w:szCs w:val="28"/>
        </w:rPr>
        <w:t> </w:t>
      </w:r>
      <w:r>
        <w:rPr>
          <w:rFonts w:hint="eastAsia"/>
          <w:sz w:val="28"/>
          <w:szCs w:val="28"/>
        </w:rPr>
        <w:t>增减情况</w:t>
      </w:r>
      <w:r>
        <w:rPr>
          <w:rFonts w:hint="eastAsia"/>
          <w:sz w:val="28"/>
          <w:szCs w:val="28"/>
          <w:lang w:eastAsia="zh-CN"/>
        </w:rPr>
        <w:t>：</w:t>
      </w:r>
      <w:r>
        <w:rPr>
          <w:sz w:val="28"/>
          <w:szCs w:val="28"/>
        </w:rPr>
        <w:t> </w:t>
      </w:r>
      <w:r>
        <w:rPr>
          <w:rFonts w:hint="eastAsia"/>
          <w:sz w:val="28"/>
          <w:szCs w:val="28"/>
        </w:rPr>
        <w:t>公务接待费</w:t>
      </w:r>
      <w:r>
        <w:rPr>
          <w:sz w:val="28"/>
          <w:szCs w:val="28"/>
        </w:rPr>
        <w:t> </w:t>
      </w:r>
      <w:r>
        <w:rPr>
          <w:rFonts w:hint="eastAsia"/>
          <w:sz w:val="28"/>
          <w:szCs w:val="28"/>
          <w:lang w:val="en-US" w:eastAsia="zh-CN"/>
        </w:rPr>
        <w:t>0</w:t>
      </w:r>
      <w:r>
        <w:rPr>
          <w:rFonts w:hint="eastAsia"/>
          <w:sz w:val="28"/>
          <w:szCs w:val="28"/>
        </w:rPr>
        <w:t xml:space="preserve"> 万元 </w:t>
      </w:r>
      <w:r>
        <w:rPr>
          <w:rFonts w:hint="eastAsia"/>
          <w:sz w:val="28"/>
          <w:szCs w:val="28"/>
          <w:lang w:eastAsia="zh-CN"/>
        </w:rPr>
        <w:t>，</w:t>
      </w:r>
      <w:r>
        <w:rPr>
          <w:sz w:val="28"/>
          <w:szCs w:val="28"/>
        </w:rPr>
        <w:t> </w:t>
      </w:r>
      <w:r>
        <w:rPr>
          <w:rFonts w:hint="eastAsia"/>
          <w:sz w:val="28"/>
          <w:szCs w:val="28"/>
        </w:rPr>
        <w:t>会议费</w:t>
      </w:r>
      <w:r>
        <w:rPr>
          <w:rFonts w:hint="eastAsia"/>
          <w:sz w:val="28"/>
          <w:szCs w:val="28"/>
          <w:lang w:val="en-US" w:eastAsia="zh-CN"/>
        </w:rPr>
        <w:t>0</w:t>
      </w:r>
      <w:r>
        <w:rPr>
          <w:rFonts w:hint="eastAsia"/>
          <w:sz w:val="28"/>
          <w:szCs w:val="28"/>
        </w:rPr>
        <w:t>万元</w:t>
      </w:r>
      <w:r>
        <w:rPr>
          <w:sz w:val="28"/>
          <w:szCs w:val="28"/>
        </w:rPr>
        <w:t> </w:t>
      </w:r>
      <w:r>
        <w:rPr>
          <w:rFonts w:hint="eastAsia"/>
          <w:sz w:val="28"/>
          <w:szCs w:val="28"/>
          <w:lang w:eastAsia="zh-CN"/>
        </w:rPr>
        <w:t>，</w:t>
      </w:r>
      <w:r>
        <w:rPr>
          <w:sz w:val="28"/>
          <w:szCs w:val="28"/>
        </w:rPr>
        <w:t> </w:t>
      </w:r>
      <w:r>
        <w:rPr>
          <w:rFonts w:hint="eastAsia"/>
          <w:sz w:val="28"/>
          <w:szCs w:val="28"/>
        </w:rPr>
        <w:t>合计</w:t>
      </w:r>
      <w:r>
        <w:rPr>
          <w:sz w:val="28"/>
          <w:szCs w:val="28"/>
        </w:rPr>
        <w:t> </w:t>
      </w:r>
      <w:r>
        <w:rPr>
          <w:rFonts w:hint="eastAsia"/>
          <w:sz w:val="28"/>
          <w:szCs w:val="28"/>
          <w:lang w:val="en-US" w:eastAsia="zh-CN"/>
        </w:rPr>
        <w:t>0</w:t>
      </w:r>
      <w:r>
        <w:rPr>
          <w:rFonts w:hint="eastAsia"/>
          <w:sz w:val="28"/>
          <w:szCs w:val="28"/>
        </w:rPr>
        <w:t>万元。</w:t>
      </w:r>
    </w:p>
    <w:p>
      <w:pPr>
        <w:ind w:firstLine="560" w:firstLineChars="200"/>
        <w:rPr>
          <w:rFonts w:hint="eastAsia"/>
          <w:sz w:val="28"/>
          <w:szCs w:val="28"/>
          <w:lang w:val="en-US" w:eastAsia="zh-CN"/>
        </w:rPr>
      </w:pPr>
      <w:r>
        <w:rPr>
          <w:rFonts w:hint="eastAsia"/>
          <w:sz w:val="28"/>
          <w:szCs w:val="28"/>
        </w:rPr>
        <w:t>三、县级其他财政性资金实施情况：我单位无县级其他财政性资金支出。</w:t>
      </w:r>
      <w:r>
        <w:rPr>
          <w:sz w:val="28"/>
          <w:szCs w:val="28"/>
        </w:rPr>
        <w:t> </w:t>
      </w:r>
    </w:p>
    <w:p>
      <w:pPr>
        <w:ind w:firstLine="560" w:firstLineChars="200"/>
        <w:rPr>
          <w:sz w:val="28"/>
          <w:szCs w:val="28"/>
        </w:rPr>
      </w:pPr>
    </w:p>
    <w:p>
      <w:pPr>
        <w:ind w:firstLine="560" w:firstLineChars="200"/>
        <w:rPr>
          <w:rFonts w:hint="eastAsia" w:eastAsiaTheme="minorEastAsia"/>
          <w:sz w:val="28"/>
          <w:szCs w:val="28"/>
          <w:lang w:val="en-US" w:eastAsia="zh-CN"/>
        </w:rPr>
      </w:pPr>
      <w:r>
        <w:rPr>
          <w:rFonts w:hint="eastAsia"/>
          <w:sz w:val="28"/>
          <w:szCs w:val="28"/>
          <w:lang w:val="en-US" w:eastAsia="zh-CN"/>
        </w:rPr>
        <w:t>三</w:t>
      </w:r>
      <w:r>
        <w:rPr>
          <w:rFonts w:hint="eastAsia"/>
          <w:sz w:val="28"/>
          <w:szCs w:val="28"/>
        </w:rPr>
        <w:t>、部门内部控制及制度建设情况</w:t>
      </w:r>
    </w:p>
    <w:p>
      <w:pPr>
        <w:ind w:firstLine="560" w:firstLineChars="200"/>
        <w:rPr>
          <w:sz w:val="28"/>
          <w:szCs w:val="28"/>
        </w:rPr>
      </w:pPr>
      <w:r>
        <w:rPr>
          <w:sz w:val="28"/>
          <w:szCs w:val="28"/>
        </w:rPr>
        <w:t> 1. </w:t>
      </w:r>
      <w:r>
        <w:rPr>
          <w:rFonts w:hint="eastAsia"/>
          <w:sz w:val="28"/>
          <w:szCs w:val="28"/>
        </w:rPr>
        <w:t>加强内部控制。我单位历来重视单位内部管理制度建设及监督，加强财务管理，强化财务监督，增强法纪观念，遵守规章制度。为保证财务管理工作规范有序进行，我校制订了相关财务管理的制度、规定，成立了财务监督小组，加强内部控制和监督。对各项资金的管理、经费收支审批等均作了明确规定，正确组织资金的筹集、调度和使用，债权债务及时结算、结清。各项经费支出实行限额把关、一支笔审批制度。</w:t>
      </w:r>
      <w:r>
        <w:rPr>
          <w:sz w:val="28"/>
          <w:szCs w:val="28"/>
        </w:rPr>
        <w:t> </w:t>
      </w:r>
    </w:p>
    <w:p>
      <w:pPr>
        <w:numPr>
          <w:ilvl w:val="0"/>
          <w:numId w:val="5"/>
        </w:numPr>
        <w:ind w:firstLine="560" w:firstLineChars="200"/>
        <w:rPr>
          <w:rFonts w:hint="eastAsia"/>
          <w:sz w:val="28"/>
          <w:szCs w:val="28"/>
        </w:rPr>
      </w:pPr>
      <w:r>
        <w:rPr>
          <w:sz w:val="28"/>
          <w:szCs w:val="28"/>
        </w:rPr>
        <w:t> </w:t>
      </w:r>
      <w:r>
        <w:rPr>
          <w:rFonts w:hint="eastAsia"/>
          <w:sz w:val="28"/>
          <w:szCs w:val="28"/>
        </w:rPr>
        <w:t>强化制度执行。切实做好厉行节约工作，全面落实各项管理制度要求，努力降低行政成本。</w:t>
      </w:r>
    </w:p>
    <w:p>
      <w:pPr>
        <w:ind w:firstLine="560" w:firstLineChars="200"/>
        <w:rPr>
          <w:sz w:val="28"/>
          <w:szCs w:val="28"/>
        </w:rPr>
      </w:pPr>
      <w:r>
        <w:rPr>
          <w:rFonts w:hint="eastAsia"/>
          <w:sz w:val="28"/>
          <w:szCs w:val="28"/>
        </w:rPr>
        <w:t xml:space="preserve">    </w:t>
      </w:r>
    </w:p>
    <w:p>
      <w:pPr>
        <w:ind w:firstLine="560" w:firstLineChars="200"/>
        <w:rPr>
          <w:sz w:val="28"/>
          <w:szCs w:val="28"/>
        </w:rPr>
      </w:pPr>
      <w:r>
        <w:rPr>
          <w:rFonts w:hint="eastAsia"/>
          <w:sz w:val="28"/>
          <w:szCs w:val="28"/>
        </w:rPr>
        <w:t>四、资产管理情况</w:t>
      </w:r>
      <w:r>
        <w:rPr>
          <w:sz w:val="28"/>
          <w:szCs w:val="28"/>
        </w:rPr>
        <w:t> </w:t>
      </w:r>
    </w:p>
    <w:p>
      <w:pPr>
        <w:ind w:firstLine="560" w:firstLineChars="200"/>
        <w:rPr>
          <w:sz w:val="28"/>
          <w:szCs w:val="28"/>
        </w:rPr>
      </w:pPr>
      <w:r>
        <w:rPr>
          <w:rFonts w:hint="eastAsia"/>
          <w:sz w:val="28"/>
          <w:szCs w:val="28"/>
        </w:rPr>
        <w:t>我们修定了资产管理制度，对单位公共财产物资实行统一管理、统一调配，并按使用人建立了资产实物管理台账，实行使用、保管签字登记制度。对单位固定资产统一采购、多人经办，每月月初根据各部门的需求制订采购计划，实行多人经办、“货比三家”，并按政府采购程序和有关规定加强采购手续。年底对财产物资进行清查、盘点、核对、处理。对取得的资产实物及时进行会计核算。</w:t>
      </w:r>
      <w:r>
        <w:rPr>
          <w:sz w:val="28"/>
          <w:szCs w:val="28"/>
        </w:rPr>
        <w:t> 201</w:t>
      </w:r>
      <w:r>
        <w:rPr>
          <w:rFonts w:hint="eastAsia"/>
          <w:sz w:val="28"/>
          <w:szCs w:val="28"/>
        </w:rPr>
        <w:t>9年底资产共计  1105</w:t>
      </w:r>
      <w:r>
        <w:rPr>
          <w:rFonts w:hint="eastAsia"/>
          <w:sz w:val="28"/>
          <w:szCs w:val="28"/>
          <w:lang w:val="en-US" w:eastAsia="zh-CN"/>
        </w:rPr>
        <w:t>.</w:t>
      </w:r>
      <w:r>
        <w:rPr>
          <w:rFonts w:hint="eastAsia"/>
          <w:sz w:val="28"/>
          <w:szCs w:val="28"/>
        </w:rPr>
        <w:t>6</w:t>
      </w:r>
      <w:r>
        <w:rPr>
          <w:rFonts w:hint="eastAsia"/>
          <w:sz w:val="28"/>
          <w:szCs w:val="28"/>
          <w:lang w:val="en-US" w:eastAsia="zh-CN"/>
        </w:rPr>
        <w:t>1</w:t>
      </w:r>
      <w:r>
        <w:rPr>
          <w:rFonts w:hint="eastAsia"/>
          <w:sz w:val="28"/>
          <w:szCs w:val="28"/>
        </w:rPr>
        <w:t xml:space="preserve"> 万元，其中固定资产 686</w:t>
      </w:r>
      <w:r>
        <w:rPr>
          <w:rFonts w:hint="eastAsia"/>
          <w:sz w:val="28"/>
          <w:szCs w:val="28"/>
          <w:lang w:val="en-US" w:eastAsia="zh-CN"/>
        </w:rPr>
        <w:t>.</w:t>
      </w:r>
      <w:r>
        <w:rPr>
          <w:rFonts w:hint="eastAsia"/>
          <w:sz w:val="28"/>
          <w:szCs w:val="28"/>
        </w:rPr>
        <w:t>32 万元，流动资产 419</w:t>
      </w:r>
      <w:r>
        <w:rPr>
          <w:rFonts w:hint="eastAsia"/>
          <w:sz w:val="28"/>
          <w:szCs w:val="28"/>
          <w:lang w:val="en-US" w:eastAsia="zh-CN"/>
        </w:rPr>
        <w:t>.</w:t>
      </w:r>
      <w:r>
        <w:rPr>
          <w:rFonts w:hint="eastAsia"/>
          <w:sz w:val="28"/>
          <w:szCs w:val="28"/>
        </w:rPr>
        <w:t>28 万元</w:t>
      </w:r>
      <w:r>
        <w:rPr>
          <w:sz w:val="28"/>
          <w:szCs w:val="28"/>
        </w:rPr>
        <w:t> </w:t>
      </w:r>
      <w:r>
        <w:rPr>
          <w:rFonts w:hint="eastAsia"/>
          <w:sz w:val="28"/>
          <w:szCs w:val="28"/>
        </w:rPr>
        <w:t>。</w:t>
      </w:r>
      <w:r>
        <w:rPr>
          <w:sz w:val="28"/>
          <w:szCs w:val="28"/>
        </w:rPr>
        <w:t> </w:t>
      </w:r>
      <w:r>
        <w:rPr>
          <w:rFonts w:hint="eastAsia"/>
          <w:sz w:val="28"/>
          <w:szCs w:val="28"/>
        </w:rPr>
        <w:t xml:space="preserve"> </w:t>
      </w:r>
    </w:p>
    <w:p>
      <w:pPr>
        <w:numPr>
          <w:ilvl w:val="0"/>
          <w:numId w:val="6"/>
        </w:numPr>
        <w:ind w:firstLine="560" w:firstLineChars="200"/>
        <w:rPr>
          <w:sz w:val="28"/>
          <w:szCs w:val="28"/>
        </w:rPr>
      </w:pPr>
      <w:r>
        <w:rPr>
          <w:rFonts w:hint="eastAsia"/>
          <w:sz w:val="28"/>
          <w:szCs w:val="28"/>
        </w:rPr>
        <w:t>部门整体支出绩效情况</w:t>
      </w:r>
      <w:r>
        <w:rPr>
          <w:sz w:val="28"/>
          <w:szCs w:val="28"/>
        </w:rPr>
        <w:t> </w:t>
      </w:r>
    </w:p>
    <w:p>
      <w:pPr>
        <w:autoSpaceDE w:val="0"/>
        <w:autoSpaceDN w:val="0"/>
        <w:adjustRightInd w:val="0"/>
        <w:spacing w:line="580" w:lineRule="exact"/>
        <w:ind w:firstLine="640" w:firstLineChars="200"/>
        <w:jc w:val="left"/>
        <w:rPr>
          <w:rFonts w:hint="eastAsia" w:ascii="楷体_GB2312" w:eastAsia="楷体_GB2312"/>
          <w:kern w:val="0"/>
          <w:sz w:val="32"/>
          <w:szCs w:val="32"/>
        </w:rPr>
      </w:pPr>
      <w:r>
        <w:rPr>
          <w:rFonts w:hint="eastAsia" w:ascii="楷体_GB2312" w:eastAsia="楷体_GB2312"/>
          <w:kern w:val="0"/>
          <w:sz w:val="32"/>
          <w:szCs w:val="32"/>
        </w:rPr>
        <w:t>（</w:t>
      </w:r>
      <w:r>
        <w:rPr>
          <w:rFonts w:hint="eastAsia" w:ascii="楷体_GB2312" w:eastAsia="楷体_GB2312"/>
          <w:kern w:val="0"/>
          <w:sz w:val="32"/>
          <w:szCs w:val="32"/>
          <w:lang w:val="en-US" w:eastAsia="zh-CN"/>
        </w:rPr>
        <w:t>一</w:t>
      </w:r>
      <w:r>
        <w:rPr>
          <w:rFonts w:hint="eastAsia" w:ascii="楷体_GB2312" w:eastAsia="楷体_GB2312"/>
          <w:kern w:val="0"/>
          <w:sz w:val="32"/>
          <w:szCs w:val="32"/>
        </w:rPr>
        <w:t>）年度主要工作目标及重点工作。</w:t>
      </w:r>
    </w:p>
    <w:p>
      <w:pPr>
        <w:numPr>
          <w:ilvl w:val="0"/>
          <w:numId w:val="0"/>
        </w:numPr>
        <w:rPr>
          <w:sz w:val="28"/>
          <w:szCs w:val="28"/>
        </w:rPr>
      </w:pPr>
    </w:p>
    <w:tbl>
      <w:tblPr>
        <w:tblStyle w:val="12"/>
        <w:tblW w:w="8580" w:type="dxa"/>
        <w:tblInd w:w="0" w:type="dxa"/>
        <w:tblLayout w:type="fixed"/>
        <w:tblCellMar>
          <w:top w:w="0" w:type="dxa"/>
          <w:left w:w="0" w:type="dxa"/>
          <w:bottom w:w="0" w:type="dxa"/>
          <w:right w:w="0" w:type="dxa"/>
        </w:tblCellMar>
      </w:tblPr>
      <w:tblGrid>
        <w:gridCol w:w="810"/>
        <w:gridCol w:w="2250"/>
        <w:gridCol w:w="3120"/>
        <w:gridCol w:w="795"/>
        <w:gridCol w:w="975"/>
        <w:gridCol w:w="630"/>
      </w:tblGrid>
      <w:tr>
        <w:tblPrEx>
          <w:tblCellMar>
            <w:top w:w="0" w:type="dxa"/>
            <w:left w:w="0" w:type="dxa"/>
            <w:bottom w:w="0" w:type="dxa"/>
            <w:right w:w="0" w:type="dxa"/>
          </w:tblCellMar>
        </w:tblPrEx>
        <w:trPr>
          <w:trHeight w:val="700" w:hRule="atLeast"/>
        </w:trPr>
        <w:tc>
          <w:tcPr>
            <w:tcW w:w="810"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数据标识</w:t>
            </w:r>
          </w:p>
        </w:tc>
        <w:tc>
          <w:tcPr>
            <w:tcW w:w="2250"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主要任务</w:t>
            </w:r>
          </w:p>
        </w:tc>
        <w:tc>
          <w:tcPr>
            <w:tcW w:w="3120" w:type="dxa"/>
            <w:vMerge w:val="restart"/>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任务内容</w:t>
            </w:r>
          </w:p>
        </w:tc>
        <w:tc>
          <w:tcPr>
            <w:tcW w:w="2400" w:type="dxa"/>
            <w:gridSpan w:val="3"/>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预算金额（万元）</w:t>
            </w:r>
          </w:p>
        </w:tc>
      </w:tr>
      <w:tr>
        <w:tblPrEx>
          <w:tblCellMar>
            <w:top w:w="0" w:type="dxa"/>
            <w:left w:w="0" w:type="dxa"/>
            <w:bottom w:w="0" w:type="dxa"/>
            <w:right w:w="0" w:type="dxa"/>
          </w:tblCellMar>
        </w:tblPrEx>
        <w:trPr>
          <w:trHeight w:val="700" w:hRule="atLeast"/>
        </w:trPr>
        <w:tc>
          <w:tcPr>
            <w:tcW w:w="810"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hint="default" w:ascii="Tahoma" w:hAnsi="Tahoma" w:eastAsia="Tahoma" w:cs="Tahoma"/>
                <w:i w:val="0"/>
                <w:color w:val="000000"/>
                <w:sz w:val="16"/>
                <w:szCs w:val="16"/>
                <w:u w:val="none"/>
              </w:rPr>
            </w:pPr>
          </w:p>
        </w:tc>
        <w:tc>
          <w:tcPr>
            <w:tcW w:w="2250"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hint="default" w:ascii="Tahoma" w:hAnsi="Tahoma" w:eastAsia="Tahoma" w:cs="Tahoma"/>
                <w:i w:val="0"/>
                <w:color w:val="000000"/>
                <w:sz w:val="16"/>
                <w:szCs w:val="16"/>
                <w:u w:val="none"/>
              </w:rPr>
            </w:pPr>
          </w:p>
        </w:tc>
        <w:tc>
          <w:tcPr>
            <w:tcW w:w="3120" w:type="dxa"/>
            <w:vMerge w:val="continue"/>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jc w:val="center"/>
              <w:rPr>
                <w:rFonts w:hint="default" w:ascii="Tahoma" w:hAnsi="Tahoma" w:eastAsia="Tahoma" w:cs="Tahoma"/>
                <w:i w:val="0"/>
                <w:color w:val="000000"/>
                <w:sz w:val="16"/>
                <w:szCs w:val="16"/>
                <w:u w:val="none"/>
              </w:rPr>
            </w:pPr>
          </w:p>
        </w:tc>
        <w:tc>
          <w:tcPr>
            <w:tcW w:w="795"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总额</w:t>
            </w:r>
          </w:p>
        </w:tc>
        <w:tc>
          <w:tcPr>
            <w:tcW w:w="975"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财政拨款</w:t>
            </w:r>
          </w:p>
        </w:tc>
        <w:tc>
          <w:tcPr>
            <w:tcW w:w="630" w:type="dxa"/>
            <w:tcBorders>
              <w:top w:val="single" w:color="A9A9A9" w:sz="4" w:space="0"/>
              <w:left w:val="single" w:color="A9A9A9" w:sz="4" w:space="0"/>
              <w:bottom w:val="single" w:color="A9A9A9" w:sz="4" w:space="0"/>
              <w:right w:val="single" w:color="A9A9A9" w:sz="4" w:space="0"/>
            </w:tcBorders>
            <w:shd w:val="clear" w:color="auto" w:fill="D3D3D3"/>
            <w:tcMar>
              <w:top w:w="15" w:type="dxa"/>
              <w:left w:w="15" w:type="dxa"/>
              <w:right w:w="15" w:type="dxa"/>
            </w:tcMar>
            <w:vAlign w:val="center"/>
          </w:tcPr>
          <w:p>
            <w:pPr>
              <w:keepNext w:val="0"/>
              <w:keepLines w:val="0"/>
              <w:widowControl/>
              <w:suppressLineNumbers w:val="0"/>
              <w:jc w:val="center"/>
              <w:textAlignment w:val="center"/>
              <w:rPr>
                <w:rFonts w:hint="default" w:ascii="Tahoma" w:hAnsi="Tahoma" w:eastAsia="Tahoma" w:cs="Tahoma"/>
                <w:i w:val="0"/>
                <w:color w:val="000000"/>
                <w:sz w:val="16"/>
                <w:szCs w:val="16"/>
                <w:u w:val="none"/>
              </w:rPr>
            </w:pPr>
            <w:r>
              <w:rPr>
                <w:rFonts w:hint="default" w:ascii="Tahoma" w:hAnsi="Tahoma" w:eastAsia="Tahoma" w:cs="Tahoma"/>
                <w:i w:val="0"/>
                <w:color w:val="000000"/>
                <w:kern w:val="0"/>
                <w:sz w:val="16"/>
                <w:szCs w:val="16"/>
                <w:u w:val="none"/>
                <w:lang w:val="en-US" w:eastAsia="zh-CN" w:bidi="ar"/>
              </w:rPr>
              <w:t>其他资金</w:t>
            </w:r>
          </w:p>
        </w:tc>
      </w:tr>
      <w:tr>
        <w:tblPrEx>
          <w:tblCellMar>
            <w:top w:w="0" w:type="dxa"/>
            <w:left w:w="0" w:type="dxa"/>
            <w:bottom w:w="0" w:type="dxa"/>
            <w:right w:w="0" w:type="dxa"/>
          </w:tblCellMar>
        </w:tblPrEx>
        <w:trPr>
          <w:trHeight w:val="96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任务一</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贯彻执行国家教育方针政策，完成学区内学前及小学教育事业。</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学校教育教学教师工资人员支出及基本公用经费支出...</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1,150.96</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1,150.96</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10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任务二</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教师家访活动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家校创建活动，加入“全国规范化家长学校实验区”项目，为家长送育人知识，为学生送温暖与关爱，构建家校合力，扩大教育力度。</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08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任务三</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教师健身活动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学校工会开展“健步走“健身活动，增强教职工健身意识，增长健身知识，饱满的工作精力。</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70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任务四</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庆祝“三八”妇女节活动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学校工会开展节日送祝福，节日送温暖，增进学校集体的凝聚力。</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70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任务五</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交流学习教育教研活动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学校科研课题立项，组织管理干部到名校培训。</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5.00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5.00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38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任务六</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“启智节”大型课堂竞赛活动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组织教职工参加“立足课程标准，展示教学风采”教学技能展示活动，提升教学水平，提高教学质量，充分展示教师风采。</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92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任务七</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办公设备购置及校舍维修及设施设备维护</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办公设备购置及校舍维修及设施设备维护</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80.00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80.00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02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任务八</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学生综合实践,学校“影响学生一生”素质5+1活动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学校“影响学生一生”素质5+1活动，提升学校办学的卓越质量，奠定学生梦想基础。见证全面发展，引导学生健康成长。</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5.00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5.00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14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任务九</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学校办公设备笔记本电脑购置</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学校为改善办公条件，提高办公效率，改善教育手段，适应教育教学电子化信息化的要求，计划政府采购购置22台办公笔记本电脑。</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30.00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30.00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10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任务十</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校园文化建设，校园建设“阅读成就人生”书吧</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学校建设建设“阅读成就人生”书吧，在学校的走廊，校园一角修建书屋，安装书桌，书櫈，置办书刊，培养学生一生阅读。</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100.00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100.00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128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任务十一</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智慧校园建设,学校安全运行，教育保障，学校教职工值班任务</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智慧校园建设,学校安全运行，教育保障，学校教职工值班任务，值班安排保障学生学习生活安全。</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80.00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80.00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r>
        <w:tblPrEx>
          <w:tblCellMar>
            <w:top w:w="0" w:type="dxa"/>
            <w:left w:w="0" w:type="dxa"/>
            <w:bottom w:w="0" w:type="dxa"/>
            <w:right w:w="0" w:type="dxa"/>
          </w:tblCellMar>
        </w:tblPrEx>
        <w:trPr>
          <w:trHeight w:val="880" w:hRule="atLeast"/>
        </w:trPr>
        <w:tc>
          <w:tcPr>
            <w:tcW w:w="81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任务十二</w:t>
            </w:r>
          </w:p>
        </w:tc>
        <w:tc>
          <w:tcPr>
            <w:tcW w:w="225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“槐香园”综合艺术节活动</w:t>
            </w:r>
          </w:p>
        </w:tc>
        <w:tc>
          <w:tcPr>
            <w:tcW w:w="312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学校举行校园文艺诗文，书法，才艺大赛，全校师生参加，争相展示个人风采，发展学生艺术潜质。</w:t>
            </w:r>
          </w:p>
        </w:tc>
        <w:tc>
          <w:tcPr>
            <w:tcW w:w="79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975"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bidi="ar"/>
              </w:rPr>
              <w:t>2.00</w:t>
            </w:r>
          </w:p>
        </w:tc>
        <w:tc>
          <w:tcPr>
            <w:tcW w:w="630" w:type="dxa"/>
            <w:tcBorders>
              <w:top w:val="single" w:color="A9A9A9" w:sz="4" w:space="0"/>
              <w:left w:val="single" w:color="A9A9A9" w:sz="4" w:space="0"/>
              <w:bottom w:val="single" w:color="A9A9A9" w:sz="4" w:space="0"/>
              <w:right w:val="single" w:color="A9A9A9" w:sz="4" w:space="0"/>
            </w:tcBorders>
            <w:shd w:val="clear" w:color="auto" w:fill="FFFFFF"/>
            <w:tcMar>
              <w:top w:w="15" w:type="dxa"/>
              <w:left w:w="15" w:type="dxa"/>
              <w:right w:w="15" w:type="dxa"/>
            </w:tcMar>
            <w:vAlign w:val="center"/>
          </w:tcPr>
          <w:p>
            <w:pPr>
              <w:jc w:val="right"/>
              <w:rPr>
                <w:rFonts w:hint="default" w:ascii="Tahoma" w:hAnsi="Tahoma" w:eastAsia="Tahoma" w:cs="Tahoma"/>
                <w:i w:val="0"/>
                <w:color w:val="000000"/>
                <w:sz w:val="18"/>
                <w:szCs w:val="18"/>
                <w:u w:val="none"/>
              </w:rPr>
            </w:pPr>
          </w:p>
        </w:tc>
      </w:tr>
    </w:tbl>
    <w:p>
      <w:pPr>
        <w:numPr>
          <w:ilvl w:val="0"/>
          <w:numId w:val="0"/>
        </w:numPr>
        <w:rPr>
          <w:sz w:val="28"/>
          <w:szCs w:val="28"/>
        </w:rPr>
      </w:pPr>
    </w:p>
    <w:p>
      <w:pPr>
        <w:rPr>
          <w:sz w:val="28"/>
          <w:szCs w:val="28"/>
        </w:rPr>
      </w:pPr>
      <w:r>
        <w:rPr>
          <w:sz w:val="28"/>
          <w:szCs w:val="28"/>
        </w:rPr>
        <w:t xml:space="preserve">  </w:t>
      </w:r>
      <w:r>
        <w:rPr>
          <w:rFonts w:hint="eastAsia"/>
          <w:sz w:val="28"/>
          <w:szCs w:val="28"/>
        </w:rPr>
        <w:t xml:space="preserve">  </w:t>
      </w:r>
      <w:r>
        <w:rPr>
          <w:sz w:val="28"/>
          <w:szCs w:val="28"/>
        </w:rPr>
        <w:t>201</w:t>
      </w:r>
      <w:r>
        <w:rPr>
          <w:rFonts w:hint="eastAsia"/>
          <w:sz w:val="28"/>
          <w:szCs w:val="28"/>
        </w:rPr>
        <w:t xml:space="preserve">9年我单位积极履职，强化管理，较好的完成了年度工作目标。通过加强预算收支管理，不断建立健全内部管理制度，梳理内部管理流程，部门整体支出管理水平得到提升。根据部门整体支出绩效评价指标体系，我单位2019年度评价得分为  </w:t>
      </w:r>
      <w:r>
        <w:rPr>
          <w:rFonts w:hint="eastAsia"/>
          <w:sz w:val="28"/>
          <w:szCs w:val="28"/>
          <w:lang w:val="en-US" w:eastAsia="zh-CN"/>
        </w:rPr>
        <w:t>97</w:t>
      </w:r>
      <w:r>
        <w:rPr>
          <w:rFonts w:hint="eastAsia"/>
          <w:sz w:val="28"/>
          <w:szCs w:val="28"/>
        </w:rPr>
        <w:t xml:space="preserve"> 分。部门整体支出绩效情况如下：</w:t>
      </w:r>
      <w:r>
        <w:rPr>
          <w:sz w:val="28"/>
          <w:szCs w:val="28"/>
        </w:rPr>
        <w:t> </w:t>
      </w:r>
    </w:p>
    <w:tbl>
      <w:tblPr>
        <w:tblStyle w:val="12"/>
        <w:tblW w:w="8675" w:type="dxa"/>
        <w:tblInd w:w="0" w:type="dxa"/>
        <w:tblLayout w:type="fixed"/>
        <w:tblCellMar>
          <w:top w:w="0" w:type="dxa"/>
          <w:left w:w="0" w:type="dxa"/>
          <w:bottom w:w="0" w:type="dxa"/>
          <w:right w:w="0" w:type="dxa"/>
        </w:tblCellMar>
      </w:tblPr>
      <w:tblGrid>
        <w:gridCol w:w="404"/>
        <w:gridCol w:w="1771"/>
        <w:gridCol w:w="1837"/>
        <w:gridCol w:w="490"/>
        <w:gridCol w:w="450"/>
        <w:gridCol w:w="1214"/>
        <w:gridCol w:w="2509"/>
      </w:tblGrid>
      <w:tr>
        <w:tblPrEx>
          <w:tblCellMar>
            <w:top w:w="0" w:type="dxa"/>
            <w:left w:w="0" w:type="dxa"/>
            <w:bottom w:w="0" w:type="dxa"/>
            <w:right w:w="0" w:type="dxa"/>
          </w:tblCellMar>
        </w:tblPrEx>
        <w:trPr>
          <w:trHeight w:val="439" w:hRule="atLeast"/>
        </w:trPr>
        <w:tc>
          <w:tcPr>
            <w:tcW w:w="2175"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left"/>
              <w:textAlignment w:val="center"/>
              <w:rPr>
                <w:rFonts w:ascii="方正黑体_GBK" w:hAnsi="方正黑体_GBK" w:eastAsia="方正黑体_GBK" w:cs="方正黑体_GBK"/>
                <w:i w:val="0"/>
                <w:color w:val="000000"/>
                <w:sz w:val="32"/>
                <w:szCs w:val="32"/>
                <w:u w:val="none"/>
              </w:rPr>
            </w:pPr>
            <w:r>
              <w:rPr>
                <w:rFonts w:hint="default" w:ascii="方正黑体_GBK" w:hAnsi="方正黑体_GBK" w:eastAsia="方正黑体_GBK" w:cs="方正黑体_GBK"/>
                <w:i w:val="0"/>
                <w:color w:val="000000"/>
                <w:kern w:val="0"/>
                <w:sz w:val="32"/>
                <w:szCs w:val="32"/>
                <w:u w:val="none"/>
                <w:lang w:val="en-US" w:eastAsia="zh-CN" w:bidi="ar"/>
              </w:rPr>
              <w:t>附件8</w:t>
            </w:r>
          </w:p>
        </w:tc>
        <w:tc>
          <w:tcPr>
            <w:tcW w:w="1837" w:type="dxa"/>
            <w:tcBorders>
              <w:top w:val="nil"/>
              <w:left w:val="nil"/>
              <w:bottom w:val="nil"/>
              <w:right w:val="nil"/>
            </w:tcBorders>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490" w:type="dxa"/>
            <w:tcBorders>
              <w:top w:val="nil"/>
              <w:left w:val="nil"/>
              <w:bottom w:val="nil"/>
              <w:right w:val="nil"/>
            </w:tcBorders>
            <w:tcMar>
              <w:top w:w="15" w:type="dxa"/>
              <w:left w:w="15" w:type="dxa"/>
              <w:right w:w="15" w:type="dxa"/>
            </w:tcMar>
            <w:vAlign w:val="bottom"/>
          </w:tcPr>
          <w:p>
            <w:pPr>
              <w:jc w:val="center"/>
              <w:rPr>
                <w:rFonts w:hint="eastAsia" w:ascii="宋体" w:hAnsi="宋体" w:eastAsia="宋体" w:cs="宋体"/>
                <w:i w:val="0"/>
                <w:color w:val="000000"/>
                <w:sz w:val="24"/>
                <w:szCs w:val="24"/>
                <w:u w:val="none"/>
              </w:rPr>
            </w:pPr>
          </w:p>
        </w:tc>
        <w:tc>
          <w:tcPr>
            <w:tcW w:w="450" w:type="dxa"/>
            <w:tcBorders>
              <w:top w:val="nil"/>
              <w:left w:val="nil"/>
              <w:bottom w:val="nil"/>
              <w:right w:val="nil"/>
            </w:tcBorders>
            <w:tcMar>
              <w:top w:w="15" w:type="dxa"/>
              <w:left w:w="15" w:type="dxa"/>
              <w:right w:w="15" w:type="dxa"/>
            </w:tcMar>
            <w:vAlign w:val="bottom"/>
          </w:tcPr>
          <w:p>
            <w:pPr>
              <w:jc w:val="center"/>
              <w:rPr>
                <w:rFonts w:hint="eastAsia" w:ascii="宋体" w:hAnsi="宋体" w:eastAsia="宋体" w:cs="宋体"/>
                <w:i w:val="0"/>
                <w:color w:val="000000"/>
                <w:sz w:val="24"/>
                <w:szCs w:val="24"/>
                <w:u w:val="none"/>
              </w:rPr>
            </w:pPr>
          </w:p>
        </w:tc>
        <w:tc>
          <w:tcPr>
            <w:tcW w:w="1214" w:type="dxa"/>
            <w:tcBorders>
              <w:top w:val="nil"/>
              <w:left w:val="nil"/>
              <w:bottom w:val="nil"/>
              <w:right w:val="nil"/>
            </w:tcBorders>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2509" w:type="dxa"/>
            <w:tcBorders>
              <w:top w:val="nil"/>
              <w:left w:val="nil"/>
              <w:bottom w:val="nil"/>
              <w:right w:val="nil"/>
            </w:tcBorders>
            <w:tcMar>
              <w:top w:w="15" w:type="dxa"/>
              <w:left w:w="15" w:type="dxa"/>
              <w:right w:w="15" w:type="dxa"/>
            </w:tcMar>
            <w:vAlign w:val="bottom"/>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05" w:hRule="atLeast"/>
        </w:trPr>
        <w:tc>
          <w:tcPr>
            <w:tcW w:w="8675" w:type="dxa"/>
            <w:gridSpan w:val="7"/>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default" w:ascii="方正小标宋_GBK" w:hAnsi="方正小标宋_GBK" w:eastAsia="方正小标宋_GBK" w:cs="方正小标宋_GBK"/>
                <w:i w:val="0"/>
                <w:color w:val="000000"/>
                <w:kern w:val="0"/>
                <w:sz w:val="32"/>
                <w:szCs w:val="32"/>
                <w:u w:val="none"/>
                <w:lang w:val="en-US" w:eastAsia="zh-CN" w:bidi="ar"/>
              </w:rPr>
              <w:t>2020年部门整体支出绩效评价指标体系</w:t>
            </w:r>
          </w:p>
        </w:tc>
      </w:tr>
      <w:tr>
        <w:tblPrEx>
          <w:tblCellMar>
            <w:top w:w="0" w:type="dxa"/>
            <w:left w:w="0" w:type="dxa"/>
            <w:bottom w:w="0" w:type="dxa"/>
            <w:right w:w="0" w:type="dxa"/>
          </w:tblCellMar>
        </w:tblPrEx>
        <w:trPr>
          <w:trHeight w:val="450" w:hRule="atLeast"/>
        </w:trPr>
        <w:tc>
          <w:tcPr>
            <w:tcW w:w="4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指标解释</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评分标准</w:t>
            </w:r>
          </w:p>
        </w:tc>
      </w:tr>
      <w:tr>
        <w:tblPrEx>
          <w:tblCellMar>
            <w:top w:w="0" w:type="dxa"/>
            <w:left w:w="0" w:type="dxa"/>
            <w:bottom w:w="0" w:type="dxa"/>
            <w:right w:w="0" w:type="dxa"/>
          </w:tblCellMar>
        </w:tblPrEx>
        <w:trPr>
          <w:trHeight w:val="1800" w:hRule="atLeast"/>
        </w:trPr>
        <w:tc>
          <w:tcPr>
            <w:tcW w:w="40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预算管理</w:t>
            </w: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预算编制（5分）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预算安排准确性</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反映部门（单位）年初预算安排的准确性</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指标得分=（预算资金总来源-中期评估调整取消资金-预算结余注销资金）/预算资金总来源*指标分值，预算资金总来源是指年初预算与执行中追加预算（不含当年中央、省专款）总和</w:t>
            </w:r>
          </w:p>
        </w:tc>
      </w:tr>
      <w:tr>
        <w:tblPrEx>
          <w:tblCellMar>
            <w:top w:w="0" w:type="dxa"/>
            <w:left w:w="0" w:type="dxa"/>
            <w:bottom w:w="0" w:type="dxa"/>
            <w:right w:w="0" w:type="dxa"/>
          </w:tblCellMar>
        </w:tblPrEx>
        <w:trPr>
          <w:trHeight w:val="40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执行进度（5分）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部门总体执行进度</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部门（单位）按要求严格预算管理</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部门总体执行进度达96%以上，不扣分；达92%以上，按80%打分；达88%以上，按60%打分；未达到88%，不得分。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tblPrEx>
          <w:tblCellMar>
            <w:top w:w="0" w:type="dxa"/>
            <w:left w:w="0" w:type="dxa"/>
            <w:bottom w:w="0" w:type="dxa"/>
            <w:right w:w="0" w:type="dxa"/>
          </w:tblCellMar>
        </w:tblPrEx>
        <w:trPr>
          <w:trHeight w:val="1350" w:hRule="atLeast"/>
        </w:trPr>
        <w:tc>
          <w:tcPr>
            <w:tcW w:w="40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目标管理</w:t>
            </w: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绩效目标（10分）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目标填报</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考核部门是否按要求编制专项资金、部门专项类项目绩效目标</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应编制绩效目标的专项类项目、专项资金未按要求申报绩效目标，发现1个项目扣0.5分；填报内容不规范，发现1处扣0.5分。直至扣完</w:t>
            </w:r>
          </w:p>
        </w:tc>
      </w:tr>
      <w:tr>
        <w:tblPrEx>
          <w:tblCellMar>
            <w:top w:w="0" w:type="dxa"/>
            <w:left w:w="0" w:type="dxa"/>
            <w:bottom w:w="0" w:type="dxa"/>
            <w:right w:w="0" w:type="dxa"/>
          </w:tblCellMar>
        </w:tblPrEx>
        <w:trPr>
          <w:trHeight w:val="13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目标量化</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考核部门申报绩效目标的量化程度</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专项类项目、专项资金设定的产出指标均应量化，效果指标中应至少50%以上量化指标。发现1个项目未达到要求扣0.5分，直至扣完。</w:t>
            </w:r>
          </w:p>
        </w:tc>
      </w:tr>
      <w:tr>
        <w:tblPrEx>
          <w:tblCellMar>
            <w:top w:w="0" w:type="dxa"/>
            <w:left w:w="0" w:type="dxa"/>
            <w:bottom w:w="0" w:type="dxa"/>
            <w:right w:w="0" w:type="dxa"/>
          </w:tblCellMar>
        </w:tblPrEx>
        <w:trPr>
          <w:trHeight w:val="90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目标匹配</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考核部门申报的绩效目标是否与部门职能职责相关</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专项类项目、专项资金设定的绩效目标与部门职能职责不一致的，发现一个项目扣1分，直至扣完。</w:t>
            </w:r>
          </w:p>
        </w:tc>
      </w:tr>
      <w:tr>
        <w:tblPrEx>
          <w:tblCellMar>
            <w:top w:w="0" w:type="dxa"/>
            <w:left w:w="0" w:type="dxa"/>
            <w:bottom w:w="0" w:type="dxa"/>
            <w:right w:w="0" w:type="dxa"/>
          </w:tblCellMar>
        </w:tblPrEx>
        <w:trPr>
          <w:trHeight w:val="1800" w:hRule="atLeast"/>
        </w:trPr>
        <w:tc>
          <w:tcPr>
            <w:tcW w:w="40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部门管理</w:t>
            </w: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基础管理（4分）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管理制度健全性</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部门（单位）为加强预算管理、推进厉行节约、规范财务行为而制定的管理制度是否健全完整</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是否已制定或具有预算资金管理办法、厉行节约管理措施、内部财务管理制度、会计核算制度等管理制度；相关管理制度是否合法、合规、完整；相关管理制度是否得到有效执行。定性评价。</w:t>
            </w:r>
          </w:p>
        </w:tc>
      </w:tr>
      <w:tr>
        <w:tblPrEx>
          <w:tblCellMar>
            <w:top w:w="0" w:type="dxa"/>
            <w:left w:w="0" w:type="dxa"/>
            <w:bottom w:w="0" w:type="dxa"/>
            <w:right w:w="0" w:type="dxa"/>
          </w:tblCellMar>
        </w:tblPrEx>
        <w:trPr>
          <w:trHeight w:val="24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资金使用合规性</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部门（单位）使用预算资金是否符合相关的预算财务管理制度的规定</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tblPrEx>
          <w:tblCellMar>
            <w:top w:w="0" w:type="dxa"/>
            <w:left w:w="0" w:type="dxa"/>
            <w:bottom w:w="0" w:type="dxa"/>
            <w:right w:w="0" w:type="dxa"/>
          </w:tblCellMar>
        </w:tblPrEx>
        <w:trPr>
          <w:trHeight w:val="15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财务监控有效性</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考察部门是否对部门内部、各所属单位，专项资金分配的区（市）县或项目实施主体进行工作监督和定期考核。</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对部门内部、下属单位、分配的专项资金①制定明确的财务监控监督措施，得1分；②监控、监督措施执行有效，得1分。</w:t>
            </w:r>
          </w:p>
        </w:tc>
      </w:tr>
      <w:tr>
        <w:tblPrEx>
          <w:tblCellMar>
            <w:top w:w="0" w:type="dxa"/>
            <w:left w:w="0" w:type="dxa"/>
            <w:bottom w:w="0" w:type="dxa"/>
            <w:right w:w="0" w:type="dxa"/>
          </w:tblCellMar>
        </w:tblPrEx>
        <w:trPr>
          <w:trHeight w:val="90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行政成本（1分）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“三公”经费控制</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当年“三公”经费预算与当年决算比，反映“三公”经费控制情况</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部门“三公”经费决算数一项超预算扣0.5分，两项扣1分。</w:t>
            </w: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政府采购（1分）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采购规范性</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考察政府采购项目的采购程序、 采购方式的规范性</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采购方式、程序中每一点不规范，扣 0.5 分，直至扣完。</w:t>
            </w:r>
          </w:p>
        </w:tc>
      </w:tr>
      <w:tr>
        <w:tblPrEx>
          <w:tblCellMar>
            <w:top w:w="0" w:type="dxa"/>
            <w:left w:w="0" w:type="dxa"/>
            <w:bottom w:w="0" w:type="dxa"/>
            <w:right w:w="0" w:type="dxa"/>
          </w:tblCellMar>
        </w:tblPrEx>
        <w:trPr>
          <w:trHeight w:val="15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资产管理（2分）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固定资产在用率</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部门实际在用固定资产总额与所有固定资产总额的比率， 用以反映和考核部门固定资产使用效率及程度。</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固定资产在用率=（实际在用固定资产总额/所有固定资产总额）×100%。 固定资产在用率达到 95%以上得满分。 相较95%，每降低 5个百分点扣1分，直至扣完。</w:t>
            </w:r>
          </w:p>
        </w:tc>
      </w:tr>
      <w:tr>
        <w:tblPrEx>
          <w:tblCellMar>
            <w:top w:w="0" w:type="dxa"/>
            <w:left w:w="0" w:type="dxa"/>
            <w:bottom w:w="0" w:type="dxa"/>
            <w:right w:w="0" w:type="dxa"/>
          </w:tblCellMar>
        </w:tblPrEx>
        <w:trPr>
          <w:trHeight w:val="13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信息公开（2分）</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除涉密单位和信息外，考核部门（单位）是否按财政要求及时完成预算、决算、绩效等信息公开工作</w:t>
            </w:r>
          </w:p>
        </w:tc>
        <w:tc>
          <w:tcPr>
            <w:tcW w:w="25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一项公开工作未完成的扣1分，直至扣完。</w:t>
            </w:r>
          </w:p>
        </w:tc>
      </w:tr>
      <w:tr>
        <w:tblPrEx>
          <w:tblCellMar>
            <w:top w:w="0" w:type="dxa"/>
            <w:left w:w="0" w:type="dxa"/>
            <w:bottom w:w="0" w:type="dxa"/>
            <w:right w:w="0" w:type="dxa"/>
          </w:tblCellMar>
        </w:tblPrEx>
        <w:trPr>
          <w:trHeight w:val="1575" w:hRule="atLeast"/>
        </w:trPr>
        <w:tc>
          <w:tcPr>
            <w:tcW w:w="40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履职效能</w:t>
            </w: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重点任务一：贯彻执行国家教育方针政策，完成学区内学前及小学教育事业。完善的教学设施，先进的教学设备，让学生能享受到优质的教育资源，为实现学生的全面发展奠定了坚实的物质基础。</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学校理念先进，全面育人。树立让每一个学生都能成人成才成功的办学思想，努力培养“德才兼备、身心两健”的创新人才。学校教育教学教师工资人员支出及基本公用经费支出</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1.履职效能指标设定，由评价工作组根据部门职能职责、年度工作计划等梳理年度重点工作任务。各项重点任务分值，由评价工作组根据任务重要性在总权重分值（70分）中分配。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tblPrEx>
          <w:tblCellMar>
            <w:top w:w="0" w:type="dxa"/>
            <w:left w:w="0" w:type="dxa"/>
            <w:bottom w:w="0" w:type="dxa"/>
            <w:right w:w="0" w:type="dxa"/>
          </w:tblCellMar>
        </w:tblPrEx>
        <w:trPr>
          <w:trHeight w:val="4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服务对象(受益)对象满意度：99%</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根据满意度调查评分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关键绩效指标一：1、年度内师资力量达到91人。</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关键绩效指标二：2、完成年度招生计划 320人。</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关键绩效指标三：3、在校学生达到1607人.</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关键绩效指标四：4、小学生毕业率100%。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关键绩效指标五：5、学校教育教学秩序良好</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关键绩效指标六：6、教学质量在市内同类学校中居第一位</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关键绩效指标七：7、毕业合格率达100%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关键绩效指标八：8、学校管理优化</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关键绩效指标九：9、学校声誉良好</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关键绩效指标十：10、学校绿化覆盖率</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关键绩效指标十一：11、实现文明单位</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关键绩效指标十二：12、实现环保单位</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重点任务二：教师家访任务。家校同心圆创建活动，加入“全国规范化家长学校实验区”项目，为家长送育人知识，为学生送温暖与关爱，构建家校合力，扩大教育力度。</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关键绩效指标一：.教师家访400人次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关键绩效指标二：家长满意度99%以上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重点任务三：教师健身活动.学校工会开展“亲近自然健步走“健身活动，让每位教职工增强健身意识，增长健身知识，拥有强健的身体和饱满的工作精力。</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任务完成率：80%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服务对象或受益对象满意度：80%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关键绩效指标一：健步走活动4次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关键绩效指标二：体育锻炼150人次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重点任务四：庆祝“三八”妇女节活动。学校工会开展节日送祝福，节日送温暖，增进学校集体的凝聚力。</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关键绩效指标一：参加活动人次50人次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关键绩效指标二：工会活动经费1万元</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重点任务五：学校重视教师培训，积极提高教师专业化成长。学校科研课题立项，组织管理干部到名校培训。</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关键绩效指标一：年度内师资力量达到91人</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关键绩效指标二：教师家访400人次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关键绩效指标三：交流学习教育教研910人次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关键绩效指标四：课堂竞赛30人次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关键绩效指标五：教师满意度98%以上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重点任务六：“启智节”大型课堂竞赛活动。组织教职工参加“立足课程标准，展示教学风采”教学技能展示活动，提升教学水平，提高教学质量，充分展示教师风采。</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关键绩效指标一：在校学生达到1607人参加活动人次1607人次</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关键绩效指标二：社区满意度99%以上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关键绩效指标二：家长满意度99%以上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关键绩效指标二：学生满意度99%以上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关键绩效指标二：教师满意度99%以上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重点任务七：办公设备购置及校舍维修及设施设备维护.办公设备购置及校舍维修及设施设备维护</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服务对象或受益对象满意度：95%</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关键绩效指标一：办公设备购置80万元。</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关键绩效指标二：社区满意度99%以上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关键绩效指标二：家长满意度99%以上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关键绩效指标二：学生满意度99%以上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关键绩效指标二：教师满意度99%以上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重点任务八：学校积极推行学生综合素质的提高.学校“三年影响学生一生”素质5+1活动，提升学校办学的卓越质量，奠定学生梦想基础。五张证书，见证全面发展，引导学生健康成长。</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关键绩效指标一:1、在校学生达到1607人.</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关键绩效指标二：2、毕业合格率达100%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0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5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重点任务九：学校设施设备齐全。学校为改善办公条件，提高办公效率，改善教育手段，适应教育教学电子化信息化的要求，计划政府采购购置40台电脑。</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任务完成率：60%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服务对象或受益对象满意度：80%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关键绩效指标一：办公笔记本电脑40台</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关键绩效指标二：校园文化展示架20个</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90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重点任务十：校园文化建设，校园建设“阅读成就人生”书吧。学校建设建设“阅读成就人生”书吧，在学校的走廊，校园一角修建书屋，安装书桌，书櫈，置办书刊，培养学生一生阅读。</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关键绩效指标一：校园建设“书吧”6间</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关键绩效指标二：社区满意度99%以上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关键绩效指标二：家长满意度99%以上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关键绩效指标二：学生满意度99%以上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关键绩效指标二：教师满意度99%以上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重点任务十一：智慧校园建设,学校安全运行，教育保障，学校教职工值班任务</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关键绩效指标一：智慧校园建设80万元。</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关键绩效指标二：社区满意度99%以上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关键绩效指标二：家长满意度99%以上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关键绩效指标二：学生满意度99%以上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关键绩效指标二：教师满意度99%以上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250"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重点任务十一：“槐香园”综合艺术节活动。学校举行校园文艺诗文，书法，才艺大赛，全校师生参加，争相展示个人风采，发展学生艺术潜质。</w:t>
            </w: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任务完成率：:100%</w:t>
            </w:r>
          </w:p>
        </w:tc>
        <w:tc>
          <w:tcPr>
            <w:tcW w:w="4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得分=分值×实际完成任务量/绩效目标设定任务量×100%。实际完成任务量大于绩效目标设定任务量得满分。</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服务对象或受益对象满意度：100%</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关键绩效指标一：学生综合实践30万元。</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关键绩效指标二：社区满意度99%以上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关键绩效指标二：家长满意度99%以上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关键绩效指标二：学生满意度99%以上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关键绩效指标二：教师满意度99%以上</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17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hint="eastAsia" w:ascii="宋体" w:hAnsi="宋体" w:eastAsia="宋体" w:cs="宋体"/>
                <w:i w:val="0"/>
                <w:color w:val="000000"/>
                <w:sz w:val="18"/>
                <w:szCs w:val="18"/>
                <w:u w:val="none"/>
              </w:rPr>
            </w:pPr>
          </w:p>
        </w:tc>
        <w:tc>
          <w:tcPr>
            <w:tcW w:w="576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5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1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4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372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404" w:type="dxa"/>
            <w:tcBorders>
              <w:top w:val="nil"/>
              <w:left w:val="nil"/>
              <w:bottom w:val="nil"/>
              <w:right w:val="nil"/>
            </w:tcBorders>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771" w:type="dxa"/>
            <w:tcBorders>
              <w:top w:val="nil"/>
              <w:left w:val="nil"/>
              <w:bottom w:val="nil"/>
              <w:right w:val="nil"/>
            </w:tcBorders>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1837" w:type="dxa"/>
            <w:tcBorders>
              <w:top w:val="nil"/>
              <w:left w:val="nil"/>
              <w:bottom w:val="nil"/>
              <w:right w:val="nil"/>
            </w:tcBorders>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490" w:type="dxa"/>
            <w:tcBorders>
              <w:top w:val="nil"/>
              <w:left w:val="nil"/>
              <w:bottom w:val="nil"/>
              <w:right w:val="nil"/>
            </w:tcBorders>
            <w:tcMar>
              <w:top w:w="15" w:type="dxa"/>
              <w:left w:w="15" w:type="dxa"/>
              <w:right w:w="15" w:type="dxa"/>
            </w:tcMar>
            <w:vAlign w:val="bottom"/>
          </w:tcPr>
          <w:p>
            <w:pPr>
              <w:jc w:val="center"/>
              <w:rPr>
                <w:rFonts w:hint="default" w:ascii="等线" w:hAnsi="等线" w:eastAsia="等线" w:cs="等线"/>
                <w:i w:val="0"/>
                <w:color w:val="000000"/>
                <w:sz w:val="22"/>
                <w:szCs w:val="22"/>
                <w:u w:val="none"/>
              </w:rPr>
            </w:pPr>
          </w:p>
        </w:tc>
        <w:tc>
          <w:tcPr>
            <w:tcW w:w="450" w:type="dxa"/>
            <w:tcBorders>
              <w:top w:val="nil"/>
              <w:left w:val="nil"/>
              <w:bottom w:val="nil"/>
              <w:right w:val="nil"/>
            </w:tcBorders>
            <w:tcMar>
              <w:top w:w="15" w:type="dxa"/>
              <w:left w:w="15" w:type="dxa"/>
              <w:right w:w="15" w:type="dxa"/>
            </w:tcMar>
            <w:vAlign w:val="bottom"/>
          </w:tcPr>
          <w:p>
            <w:pPr>
              <w:jc w:val="center"/>
              <w:rPr>
                <w:rFonts w:hint="default" w:ascii="等线" w:hAnsi="等线" w:eastAsia="等线" w:cs="等线"/>
                <w:i w:val="0"/>
                <w:color w:val="000000"/>
                <w:sz w:val="22"/>
                <w:szCs w:val="22"/>
                <w:u w:val="none"/>
              </w:rPr>
            </w:pPr>
          </w:p>
        </w:tc>
        <w:tc>
          <w:tcPr>
            <w:tcW w:w="1214" w:type="dxa"/>
            <w:tcBorders>
              <w:top w:val="nil"/>
              <w:left w:val="nil"/>
              <w:bottom w:val="nil"/>
              <w:right w:val="nil"/>
            </w:tcBorders>
            <w:tcMar>
              <w:top w:w="15" w:type="dxa"/>
              <w:left w:w="15" w:type="dxa"/>
              <w:right w:w="15" w:type="dxa"/>
            </w:tcMar>
            <w:vAlign w:val="bottom"/>
          </w:tcPr>
          <w:p>
            <w:pPr>
              <w:rPr>
                <w:rFonts w:hint="default" w:ascii="等线" w:hAnsi="等线" w:eastAsia="等线" w:cs="等线"/>
                <w:i w:val="0"/>
                <w:color w:val="000000"/>
                <w:sz w:val="22"/>
                <w:szCs w:val="22"/>
                <w:u w:val="none"/>
              </w:rPr>
            </w:pPr>
          </w:p>
        </w:tc>
        <w:tc>
          <w:tcPr>
            <w:tcW w:w="2509" w:type="dxa"/>
            <w:tcBorders>
              <w:top w:val="nil"/>
              <w:left w:val="nil"/>
              <w:bottom w:val="nil"/>
              <w:right w:val="nil"/>
            </w:tcBorders>
            <w:tcMar>
              <w:top w:w="15" w:type="dxa"/>
              <w:left w:w="15" w:type="dxa"/>
              <w:right w:w="15" w:type="dxa"/>
            </w:tcMar>
            <w:vAlign w:val="bottom"/>
          </w:tcPr>
          <w:p>
            <w:pPr>
              <w:rPr>
                <w:rFonts w:hint="default"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499" w:hRule="atLeast"/>
        </w:trPr>
        <w:tc>
          <w:tcPr>
            <w:tcW w:w="8675" w:type="dxa"/>
            <w:gridSpan w:val="7"/>
            <w:tcBorders>
              <w:top w:val="nil"/>
              <w:left w:val="nil"/>
              <w:bottom w:val="nil"/>
              <w:right w:val="nil"/>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注：若某部门不存在某项评价内容或评价指标，则该评价内容或评价指标不计入该部门考核评价范围，即该部门评价总分=不含该评价内容或指标的实际评价总分/（100-该评价内容或指标所占分值）*100</w:t>
            </w:r>
          </w:p>
        </w:tc>
      </w:tr>
    </w:tbl>
    <w:p>
      <w:pPr>
        <w:rPr>
          <w:sz w:val="28"/>
          <w:szCs w:val="28"/>
        </w:rPr>
      </w:pPr>
    </w:p>
    <w:p>
      <w:pPr>
        <w:ind w:firstLine="560" w:firstLineChars="200"/>
        <w:rPr>
          <w:sz w:val="28"/>
          <w:szCs w:val="28"/>
        </w:rPr>
      </w:pPr>
      <w:r>
        <w:rPr>
          <w:sz w:val="28"/>
          <w:szCs w:val="28"/>
        </w:rPr>
        <w:t>1. </w:t>
      </w:r>
      <w:r>
        <w:rPr>
          <w:rFonts w:hint="eastAsia"/>
          <w:sz w:val="28"/>
          <w:szCs w:val="28"/>
        </w:rPr>
        <w:t>预算配置控制较好。</w:t>
      </w:r>
      <w:r>
        <w:rPr>
          <w:rFonts w:hint="eastAsia"/>
          <w:sz w:val="28"/>
          <w:szCs w:val="28"/>
          <w:lang w:val="en-US" w:eastAsia="zh-CN"/>
        </w:rPr>
        <w:t>预算决算比较准确，调整不大。</w:t>
      </w:r>
      <w:r>
        <w:rPr>
          <w:sz w:val="28"/>
          <w:szCs w:val="28"/>
        </w:rPr>
        <w:t> </w:t>
      </w:r>
    </w:p>
    <w:p>
      <w:pPr>
        <w:ind w:firstLine="560" w:firstLineChars="200"/>
        <w:rPr>
          <w:sz w:val="28"/>
          <w:szCs w:val="28"/>
        </w:rPr>
      </w:pPr>
      <w:r>
        <w:rPr>
          <w:sz w:val="28"/>
          <w:szCs w:val="28"/>
        </w:rPr>
        <w:t>2. </w:t>
      </w:r>
      <w:r>
        <w:rPr>
          <w:rFonts w:hint="eastAsia"/>
          <w:sz w:val="28"/>
          <w:szCs w:val="28"/>
        </w:rPr>
        <w:t>预算执行比较到位。支出总额控制在预算总额以内，全年无截留或滞留专项资金情况</w:t>
      </w:r>
      <w:r>
        <w:rPr>
          <w:sz w:val="28"/>
          <w:szCs w:val="28"/>
        </w:rPr>
        <w:t> </w:t>
      </w:r>
      <w:r>
        <w:rPr>
          <w:rFonts w:hint="eastAsia"/>
          <w:sz w:val="28"/>
          <w:szCs w:val="28"/>
        </w:rPr>
        <w:t>。</w:t>
      </w:r>
      <w:r>
        <w:rPr>
          <w:sz w:val="28"/>
          <w:szCs w:val="28"/>
        </w:rPr>
        <w:t> </w:t>
      </w:r>
    </w:p>
    <w:p>
      <w:pPr>
        <w:ind w:firstLine="560" w:firstLineChars="200"/>
        <w:rPr>
          <w:rFonts w:hint="eastAsia"/>
          <w:sz w:val="28"/>
          <w:szCs w:val="28"/>
        </w:rPr>
      </w:pPr>
      <w:r>
        <w:rPr>
          <w:sz w:val="28"/>
          <w:szCs w:val="28"/>
        </w:rPr>
        <w:t>3. </w:t>
      </w:r>
      <w:r>
        <w:rPr>
          <w:rFonts w:hint="eastAsia"/>
          <w:sz w:val="28"/>
          <w:szCs w:val="28"/>
        </w:rPr>
        <w:t>预算管理较为理想，制度执行总体较为有效，但仍需进一步强化。</w:t>
      </w:r>
      <w:r>
        <w:rPr>
          <w:sz w:val="28"/>
          <w:szCs w:val="28"/>
        </w:rPr>
        <w:t> </w:t>
      </w:r>
    </w:p>
    <w:p>
      <w:pPr>
        <w:ind w:firstLine="560" w:firstLineChars="200"/>
        <w:rPr>
          <w:rFonts w:hint="eastAsia"/>
          <w:sz w:val="28"/>
          <w:szCs w:val="28"/>
        </w:rPr>
      </w:pPr>
      <w:r>
        <w:rPr>
          <w:rFonts w:hint="eastAsia"/>
          <w:sz w:val="28"/>
          <w:szCs w:val="28"/>
        </w:rPr>
        <w:t>（</w:t>
      </w:r>
      <w:r>
        <w:rPr>
          <w:sz w:val="28"/>
          <w:szCs w:val="28"/>
        </w:rPr>
        <w:t>1</w:t>
      </w:r>
      <w:r>
        <w:rPr>
          <w:rFonts w:hint="eastAsia"/>
          <w:sz w:val="28"/>
          <w:szCs w:val="28"/>
        </w:rPr>
        <w:t>）</w:t>
      </w:r>
      <w:r>
        <w:rPr>
          <w:sz w:val="28"/>
          <w:szCs w:val="28"/>
        </w:rPr>
        <w:t> “</w:t>
      </w:r>
      <w:r>
        <w:rPr>
          <w:rFonts w:hint="eastAsia"/>
          <w:sz w:val="28"/>
          <w:szCs w:val="28"/>
        </w:rPr>
        <w:t>三公”经费总体控制较好，较本年预算和上年决算支出数有小幅下降，“三公”经费控制率为</w:t>
      </w:r>
      <w:r>
        <w:rPr>
          <w:sz w:val="28"/>
          <w:szCs w:val="28"/>
        </w:rPr>
        <w:t>100%</w:t>
      </w:r>
      <w:r>
        <w:rPr>
          <w:rFonts w:hint="eastAsia"/>
          <w:sz w:val="28"/>
          <w:szCs w:val="28"/>
        </w:rPr>
        <w:t>。</w:t>
      </w:r>
      <w:r>
        <w:rPr>
          <w:sz w:val="28"/>
          <w:szCs w:val="28"/>
        </w:rPr>
        <w:t> </w:t>
      </w:r>
    </w:p>
    <w:p>
      <w:pPr>
        <w:ind w:firstLine="560" w:firstLineChars="200"/>
        <w:rPr>
          <w:rFonts w:hint="eastAsia"/>
          <w:sz w:val="28"/>
          <w:szCs w:val="28"/>
        </w:rPr>
      </w:pPr>
      <w:r>
        <w:rPr>
          <w:rFonts w:hint="eastAsia"/>
          <w:sz w:val="28"/>
          <w:szCs w:val="28"/>
        </w:rPr>
        <w:t>（</w:t>
      </w:r>
      <w:r>
        <w:rPr>
          <w:sz w:val="28"/>
          <w:szCs w:val="28"/>
        </w:rPr>
        <w:t>2</w:t>
      </w:r>
      <w:r>
        <w:rPr>
          <w:rFonts w:hint="eastAsia"/>
          <w:sz w:val="28"/>
          <w:szCs w:val="28"/>
        </w:rPr>
        <w:t>）政府采购执行率达到</w:t>
      </w:r>
      <w:r>
        <w:rPr>
          <w:sz w:val="28"/>
          <w:szCs w:val="28"/>
        </w:rPr>
        <w:t>100%</w:t>
      </w:r>
      <w:r>
        <w:rPr>
          <w:rFonts w:hint="eastAsia"/>
          <w:sz w:val="28"/>
          <w:szCs w:val="28"/>
        </w:rPr>
        <w:t>，对于单位的政府采购项目，凡单位购买属于政府采购范围内的货物、工程和服务，严格遵守政府采购相关法律法规的规定办理相关审批手续。</w:t>
      </w:r>
      <w:r>
        <w:rPr>
          <w:sz w:val="28"/>
          <w:szCs w:val="28"/>
        </w:rPr>
        <w:t> </w:t>
      </w:r>
    </w:p>
    <w:p>
      <w:pPr>
        <w:ind w:firstLine="560" w:firstLineChars="200"/>
        <w:rPr>
          <w:rFonts w:hint="eastAsia"/>
          <w:sz w:val="28"/>
          <w:szCs w:val="28"/>
        </w:rPr>
      </w:pPr>
      <w:r>
        <w:rPr>
          <w:rFonts w:hint="eastAsia"/>
          <w:sz w:val="28"/>
          <w:szCs w:val="28"/>
        </w:rPr>
        <w:t>（</w:t>
      </w:r>
      <w:r>
        <w:rPr>
          <w:sz w:val="28"/>
          <w:szCs w:val="28"/>
        </w:rPr>
        <w:t>3</w:t>
      </w:r>
      <w:r>
        <w:rPr>
          <w:rFonts w:hint="eastAsia"/>
          <w:sz w:val="28"/>
          <w:szCs w:val="28"/>
        </w:rPr>
        <w:t>）管理制度健全。我们严格预算管理，切实按照相关管理制度要求，修改完善了《实验小学财务负责人职责、》《总务主任职责》、《会计岗位职责》、《出纳岗位职责》、《校产管理制度》、《财经小组审计制度》、《教育经费预、决算制度》、《会计核算制度》、《执行过程管理制度》、《钱账、印鉴、支票分管制度》、《收费制度》、《现金管理制度》、《支出审批制度》、《按期发放工资、报账制度》、《校产验收、保管、领发、维护、修理制度》、《校产购置审批制度》《校产管理奖惩制度》、《校产定期盘点制度》、《校产变价及改变使用用途审批制度》等工作制度，进一步明确了财政预算资金审批手续和拨付程序、机关行政经费审批手续和报销程序，加强了财务管理，规范了收支行为，保证了财务管理工作规范有序进行。</w:t>
      </w:r>
      <w:r>
        <w:rPr>
          <w:sz w:val="28"/>
          <w:szCs w:val="28"/>
        </w:rPr>
        <w:t> </w:t>
      </w:r>
    </w:p>
    <w:p>
      <w:pPr>
        <w:ind w:firstLine="560" w:firstLineChars="200"/>
        <w:rPr>
          <w:rFonts w:hint="eastAsia"/>
          <w:sz w:val="28"/>
          <w:szCs w:val="28"/>
        </w:rPr>
      </w:pPr>
      <w:r>
        <w:rPr>
          <w:rFonts w:hint="eastAsia"/>
          <w:sz w:val="28"/>
          <w:szCs w:val="28"/>
        </w:rPr>
        <w:t>（</w:t>
      </w:r>
      <w:r>
        <w:rPr>
          <w:sz w:val="28"/>
          <w:szCs w:val="28"/>
        </w:rPr>
        <w:t>4</w:t>
      </w:r>
      <w:r>
        <w:rPr>
          <w:rFonts w:hint="eastAsia"/>
          <w:sz w:val="28"/>
          <w:szCs w:val="28"/>
        </w:rPr>
        <w:t>）资金使用管理逐步加强。单位支出严格按照国家财经法规和财务管理制度规定执行，正确组织资金的筹集、调度和使用，费用开支有标准、有预算，债权债务及时结算、结清。所有支出均通过我单位财政直接支付方式办理，资金使用无截留、挤占、挪用、虚列支出等情况。</w:t>
      </w:r>
      <w:r>
        <w:rPr>
          <w:sz w:val="28"/>
          <w:szCs w:val="28"/>
        </w:rPr>
        <w:t> </w:t>
      </w:r>
    </w:p>
    <w:p>
      <w:pPr>
        <w:ind w:firstLine="560" w:firstLineChars="200"/>
        <w:rPr>
          <w:rFonts w:hint="eastAsia"/>
          <w:sz w:val="28"/>
          <w:szCs w:val="28"/>
        </w:rPr>
      </w:pPr>
      <w:r>
        <w:rPr>
          <w:rFonts w:hint="eastAsia"/>
          <w:sz w:val="28"/>
          <w:szCs w:val="28"/>
        </w:rPr>
        <w:t>（</w:t>
      </w:r>
      <w:r>
        <w:rPr>
          <w:sz w:val="28"/>
          <w:szCs w:val="28"/>
        </w:rPr>
        <w:t>5</w:t>
      </w:r>
      <w:r>
        <w:rPr>
          <w:rFonts w:hint="eastAsia"/>
          <w:sz w:val="28"/>
          <w:szCs w:val="28"/>
        </w:rPr>
        <w:t>）部门预算收支严格按年初部门预算方案执行，部门预决算、“三公”经费预决算信息均按要求及时进行了公开。</w:t>
      </w:r>
      <w:r>
        <w:rPr>
          <w:sz w:val="28"/>
          <w:szCs w:val="28"/>
        </w:rPr>
        <w:t> </w:t>
      </w:r>
    </w:p>
    <w:p>
      <w:pPr>
        <w:ind w:firstLine="560" w:firstLineChars="200"/>
        <w:rPr>
          <w:rFonts w:hint="eastAsia"/>
          <w:sz w:val="28"/>
          <w:szCs w:val="28"/>
        </w:rPr>
      </w:pPr>
      <w:r>
        <w:rPr>
          <w:rFonts w:hint="eastAsia"/>
          <w:sz w:val="28"/>
          <w:szCs w:val="28"/>
        </w:rPr>
        <w:t>六、</w:t>
      </w:r>
      <w:r>
        <w:rPr>
          <w:sz w:val="28"/>
          <w:szCs w:val="28"/>
        </w:rPr>
        <w:t> </w:t>
      </w:r>
      <w:r>
        <w:rPr>
          <w:rFonts w:hint="eastAsia"/>
          <w:sz w:val="28"/>
          <w:szCs w:val="28"/>
        </w:rPr>
        <w:t>存在的问题</w:t>
      </w:r>
    </w:p>
    <w:p>
      <w:pPr>
        <w:ind w:firstLine="560" w:firstLineChars="200"/>
        <w:rPr>
          <w:sz w:val="28"/>
          <w:szCs w:val="28"/>
        </w:rPr>
      </w:pPr>
      <w:r>
        <w:rPr>
          <w:sz w:val="28"/>
          <w:szCs w:val="28"/>
        </w:rPr>
        <w:t>1</w:t>
      </w:r>
      <w:r>
        <w:rPr>
          <w:rFonts w:hint="eastAsia"/>
          <w:sz w:val="28"/>
          <w:szCs w:val="28"/>
        </w:rPr>
        <w:t>、预算编制工作有待细化。预算编制不够明确和细化，预算编制的合理性需要提高，预算执行力度还要进一步加强。</w:t>
      </w:r>
      <w:r>
        <w:rPr>
          <w:sz w:val="28"/>
          <w:szCs w:val="28"/>
        </w:rPr>
        <w:t> </w:t>
      </w:r>
    </w:p>
    <w:p>
      <w:pPr>
        <w:ind w:firstLine="560" w:firstLineChars="200"/>
        <w:rPr>
          <w:sz w:val="28"/>
          <w:szCs w:val="28"/>
        </w:rPr>
      </w:pPr>
      <w:r>
        <w:rPr>
          <w:sz w:val="28"/>
          <w:szCs w:val="28"/>
        </w:rPr>
        <w:t>2</w:t>
      </w:r>
      <w:r>
        <w:rPr>
          <w:rFonts w:hint="eastAsia"/>
          <w:sz w:val="28"/>
          <w:szCs w:val="28"/>
        </w:rPr>
        <w:t>、因单位人员较多导致经费不足：绩效工资和日常公用经费不足。</w:t>
      </w:r>
      <w:r>
        <w:rPr>
          <w:sz w:val="28"/>
          <w:szCs w:val="28"/>
        </w:rPr>
        <w:t> </w:t>
      </w:r>
    </w:p>
    <w:p>
      <w:pPr>
        <w:ind w:firstLine="560" w:firstLineChars="200"/>
        <w:rPr>
          <w:sz w:val="28"/>
          <w:szCs w:val="28"/>
        </w:rPr>
      </w:pPr>
      <w:r>
        <w:rPr>
          <w:rFonts w:hint="eastAsia"/>
          <w:sz w:val="28"/>
          <w:szCs w:val="28"/>
        </w:rPr>
        <w:t>七、改进措施和有关建议</w:t>
      </w:r>
      <w:r>
        <w:rPr>
          <w:sz w:val="28"/>
          <w:szCs w:val="28"/>
        </w:rPr>
        <w:t> </w:t>
      </w:r>
      <w:r>
        <w:rPr>
          <w:rFonts w:hint="eastAsia"/>
          <w:sz w:val="28"/>
          <w:szCs w:val="28"/>
        </w:rPr>
        <w:t>针对上述存在的问题及对外整体支出管理工作的需要，拟实施的改进措施如下：</w:t>
      </w:r>
      <w:r>
        <w:rPr>
          <w:sz w:val="28"/>
          <w:szCs w:val="28"/>
        </w:rPr>
        <w:t> </w:t>
      </w:r>
    </w:p>
    <w:p>
      <w:pPr>
        <w:ind w:firstLine="560" w:firstLineChars="200"/>
        <w:rPr>
          <w:sz w:val="28"/>
          <w:szCs w:val="28"/>
        </w:rPr>
      </w:pPr>
      <w:r>
        <w:rPr>
          <w:sz w:val="28"/>
          <w:szCs w:val="28"/>
        </w:rPr>
        <w:t>1</w:t>
      </w:r>
      <w:r>
        <w:rPr>
          <w:rFonts w:hint="eastAsia"/>
          <w:sz w:val="28"/>
          <w:szCs w:val="28"/>
        </w:rPr>
        <w:t>、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r>
        <w:rPr>
          <w:sz w:val="28"/>
          <w:szCs w:val="28"/>
        </w:rPr>
        <w:t> </w:t>
      </w:r>
    </w:p>
    <w:p>
      <w:pPr>
        <w:ind w:firstLine="560" w:firstLineChars="200"/>
        <w:rPr>
          <w:sz w:val="28"/>
          <w:szCs w:val="28"/>
        </w:rPr>
      </w:pPr>
      <w:r>
        <w:rPr>
          <w:sz w:val="28"/>
          <w:szCs w:val="28"/>
        </w:rPr>
        <w:t>2</w:t>
      </w:r>
      <w:r>
        <w:rPr>
          <w:rFonts w:hint="eastAsia"/>
          <w:sz w:val="28"/>
          <w:szCs w:val="28"/>
        </w:rPr>
        <w:t>、加强财务管理，严格财务审核。加强单位财务管理，健全单位财务管理制度体系，规范单位财务行为。在费用报账支付时，按照预算规定的费用项目和用途进行资金使用审核、列报支付、财务核算，杜绝超支现象的发生。</w:t>
      </w:r>
      <w:r>
        <w:rPr>
          <w:sz w:val="28"/>
          <w:szCs w:val="28"/>
        </w:rPr>
        <w:t> </w:t>
      </w:r>
    </w:p>
    <w:p>
      <w:pPr>
        <w:ind w:firstLine="560" w:firstLineChars="200"/>
        <w:rPr>
          <w:sz w:val="28"/>
          <w:szCs w:val="28"/>
        </w:rPr>
      </w:pPr>
      <w:r>
        <w:rPr>
          <w:sz w:val="28"/>
          <w:szCs w:val="28"/>
        </w:rPr>
        <w:t>3</w:t>
      </w:r>
      <w:r>
        <w:rPr>
          <w:rFonts w:hint="eastAsia"/>
          <w:sz w:val="28"/>
          <w:szCs w:val="28"/>
        </w:rPr>
        <w:t>、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r>
        <w:rPr>
          <w:sz w:val="28"/>
          <w:szCs w:val="28"/>
        </w:rPr>
        <w:t> </w:t>
      </w:r>
    </w:p>
    <w:p>
      <w:pPr>
        <w:jc w:val="left"/>
        <w:rPr>
          <w:sz w:val="28"/>
          <w:szCs w:val="28"/>
        </w:rPr>
      </w:pPr>
      <w:r>
        <w:rPr>
          <w:sz w:val="28"/>
          <w:szCs w:val="28"/>
        </w:rPr>
        <w:t>4</w:t>
      </w:r>
      <w:r>
        <w:rPr>
          <w:rFonts w:hint="eastAsia"/>
          <w:sz w:val="28"/>
          <w:szCs w:val="28"/>
        </w:rPr>
        <w:t>、对相关人员加强培训，特别是针对《预算法》、《行政事业单位会计制度》等学习培训，规范部门预算收支核算，切实提高部门预算收支管理水平。</w:t>
      </w:r>
      <w:r>
        <w:rPr>
          <w:sz w:val="28"/>
          <w:szCs w:val="28"/>
        </w:rPr>
        <w:t>                                                              </w:t>
      </w:r>
    </w:p>
    <w:p>
      <w:pPr>
        <w:rPr>
          <w:sz w:val="28"/>
          <w:szCs w:val="28"/>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600" w:lineRule="exact"/>
        <w:jc w:val="center"/>
        <w:outlineLvl w:val="0"/>
        <w:rPr>
          <w:rStyle w:val="24"/>
          <w:rFonts w:ascii="黑体" w:hAnsi="黑体" w:eastAsia="黑体"/>
          <w:b w:val="0"/>
        </w:rPr>
      </w:pPr>
    </w:p>
    <w:p>
      <w:pPr>
        <w:spacing w:line="600" w:lineRule="exact"/>
        <w:jc w:val="center"/>
        <w:outlineLvl w:val="0"/>
        <w:rPr>
          <w:rStyle w:val="24"/>
          <w:rFonts w:ascii="黑体" w:hAnsi="黑体" w:eastAsia="黑体"/>
          <w:b w:val="0"/>
        </w:rPr>
      </w:pPr>
      <w:bookmarkStart w:id="63" w:name="_Toc15396618"/>
      <w:r>
        <w:rPr>
          <w:rFonts w:hint="eastAsia" w:ascii="黑体" w:hAnsi="黑体" w:eastAsia="黑体"/>
          <w:color w:val="000000"/>
          <w:sz w:val="44"/>
          <w:szCs w:val="44"/>
        </w:rPr>
        <w:t>第</w:t>
      </w:r>
      <w:r>
        <w:rPr>
          <w:rStyle w:val="24"/>
          <w:rFonts w:hint="eastAsia" w:ascii="黑体" w:hAnsi="黑体" w:eastAsia="黑体"/>
          <w:b w:val="0"/>
        </w:rPr>
        <w:t>五部分 附表</w:t>
      </w:r>
      <w:bookmarkEnd w:id="61"/>
      <w:bookmarkEnd w:id="63"/>
    </w:p>
    <w:p>
      <w:pPr>
        <w:spacing w:line="600" w:lineRule="exact"/>
        <w:jc w:val="center"/>
        <w:outlineLvl w:val="0"/>
        <w:rPr>
          <w:rFonts w:ascii="仿宋" w:hAnsi="仿宋" w:eastAsia="仿宋"/>
          <w:b/>
          <w:color w:val="000000"/>
          <w:sz w:val="44"/>
          <w:szCs w:val="44"/>
        </w:rPr>
      </w:pPr>
    </w:p>
    <w:p>
      <w:pPr>
        <w:pStyle w:val="3"/>
        <w:numPr>
          <w:ilvl w:val="0"/>
          <w:numId w:val="7"/>
        </w:numPr>
      </w:pPr>
      <w:bookmarkStart w:id="64" w:name="_Toc15396619"/>
      <w:r>
        <w:rPr>
          <w:rFonts w:hint="eastAsia" w:ascii="仿宋" w:hAnsi="仿宋" w:eastAsia="仿宋"/>
          <w:b w:val="0"/>
          <w:color w:val="000000"/>
        </w:rPr>
        <w:t>收</w:t>
      </w:r>
      <w:r>
        <w:rPr>
          <w:rStyle w:val="25"/>
          <w:rFonts w:hint="eastAsia" w:ascii="仿宋" w:hAnsi="仿宋" w:eastAsia="仿宋"/>
          <w:b w:val="0"/>
          <w:bCs w:val="0"/>
        </w:rPr>
        <w:t>入支出决算总表</w:t>
      </w:r>
      <w:bookmarkEnd w:id="64"/>
    </w:p>
    <w:p>
      <w:pPr>
        <w:pStyle w:val="3"/>
        <w:numPr>
          <w:ilvl w:val="0"/>
          <w:numId w:val="7"/>
        </w:numPr>
        <w:ind w:left="0" w:leftChars="0" w:firstLine="0" w:firstLineChars="0"/>
      </w:pPr>
      <w:bookmarkStart w:id="65" w:name="_Toc15396620"/>
      <w:r>
        <w:rPr>
          <w:rFonts w:hint="eastAsia" w:ascii="仿宋" w:hAnsi="仿宋" w:eastAsia="仿宋"/>
          <w:b w:val="0"/>
          <w:color w:val="000000"/>
        </w:rPr>
        <w:t>收</w:t>
      </w:r>
      <w:r>
        <w:rPr>
          <w:rStyle w:val="25"/>
          <w:rFonts w:hint="eastAsia" w:ascii="仿宋" w:hAnsi="仿宋" w:eastAsia="仿宋"/>
          <w:b w:val="0"/>
          <w:bCs w:val="0"/>
        </w:rPr>
        <w:t>入决算表</w:t>
      </w:r>
      <w:bookmarkEnd w:id="65"/>
    </w:p>
    <w:p>
      <w:pPr>
        <w:pStyle w:val="3"/>
        <w:numPr>
          <w:ilvl w:val="0"/>
          <w:numId w:val="7"/>
        </w:numPr>
        <w:ind w:left="0" w:leftChars="0" w:firstLine="0" w:firstLineChars="0"/>
      </w:pPr>
      <w:bookmarkStart w:id="66" w:name="_Toc15396621"/>
      <w:r>
        <w:rPr>
          <w:rFonts w:hint="eastAsia" w:ascii="仿宋" w:hAnsi="仿宋" w:eastAsia="仿宋"/>
          <w:b w:val="0"/>
          <w:color w:val="000000"/>
        </w:rPr>
        <w:t>支</w:t>
      </w:r>
      <w:r>
        <w:rPr>
          <w:rStyle w:val="25"/>
          <w:rFonts w:hint="eastAsia" w:ascii="仿宋" w:hAnsi="仿宋" w:eastAsia="仿宋"/>
          <w:b w:val="0"/>
          <w:bCs w:val="0"/>
        </w:rPr>
        <w:t>出决算表</w:t>
      </w:r>
      <w:bookmarkEnd w:id="66"/>
    </w:p>
    <w:p>
      <w:pPr>
        <w:pStyle w:val="3"/>
        <w:numPr>
          <w:ilvl w:val="0"/>
          <w:numId w:val="7"/>
        </w:numPr>
        <w:ind w:left="0" w:leftChars="0" w:firstLine="0" w:firstLineChars="0"/>
      </w:pPr>
      <w:bookmarkStart w:id="67" w:name="_Toc15396622"/>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67"/>
    </w:p>
    <w:p>
      <w:pPr>
        <w:pStyle w:val="3"/>
        <w:numPr>
          <w:ilvl w:val="0"/>
          <w:numId w:val="7"/>
        </w:numPr>
        <w:ind w:left="0" w:leftChars="0" w:firstLine="0" w:firstLineChars="0"/>
      </w:pPr>
      <w:bookmarkStart w:id="68" w:name="_Toc15396623"/>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68"/>
      <w:bookmarkStart w:id="69" w:name="_Toc15396624"/>
    </w:p>
    <w:p>
      <w:pPr>
        <w:pStyle w:val="3"/>
        <w:numPr>
          <w:ilvl w:val="0"/>
          <w:numId w:val="7"/>
        </w:numPr>
        <w:ind w:left="0" w:leftChars="0" w:firstLine="0" w:firstLineChars="0"/>
      </w:pP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69"/>
    </w:p>
    <w:p>
      <w:pPr>
        <w:pStyle w:val="3"/>
        <w:numPr>
          <w:ilvl w:val="0"/>
          <w:numId w:val="7"/>
        </w:numPr>
        <w:ind w:left="0" w:leftChars="0" w:firstLine="0" w:firstLineChars="0"/>
      </w:pPr>
      <w:bookmarkStart w:id="70" w:name="_Toc15396625"/>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70"/>
    </w:p>
    <w:p>
      <w:pPr>
        <w:pStyle w:val="3"/>
        <w:numPr>
          <w:ilvl w:val="0"/>
          <w:numId w:val="7"/>
        </w:numPr>
        <w:ind w:left="0" w:leftChars="0" w:firstLine="0" w:firstLineChars="0"/>
      </w:pPr>
      <w:bookmarkStart w:id="71" w:name="_Toc15396626"/>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71"/>
    </w:p>
    <w:p>
      <w:pPr>
        <w:pStyle w:val="3"/>
        <w:numPr>
          <w:ilvl w:val="0"/>
          <w:numId w:val="7"/>
        </w:numPr>
        <w:ind w:left="0" w:leftChars="0" w:firstLine="0" w:firstLineChars="0"/>
      </w:pPr>
      <w:bookmarkStart w:id="72" w:name="_Toc15396627"/>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72"/>
    </w:p>
    <w:p>
      <w:pPr>
        <w:pStyle w:val="3"/>
        <w:numPr>
          <w:ilvl w:val="0"/>
          <w:numId w:val="7"/>
        </w:numPr>
        <w:ind w:left="0" w:leftChars="0" w:firstLine="0" w:firstLineChars="0"/>
      </w:pPr>
      <w:bookmarkStart w:id="73" w:name="_Toc15396628"/>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73"/>
    </w:p>
    <w:p>
      <w:pPr>
        <w:pStyle w:val="3"/>
        <w:numPr>
          <w:ilvl w:val="0"/>
          <w:numId w:val="7"/>
        </w:numPr>
        <w:ind w:left="0" w:leftChars="0" w:firstLine="0" w:firstLineChars="0"/>
      </w:pPr>
      <w:bookmarkStart w:id="74" w:name="_Toc15396629"/>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74"/>
    </w:p>
    <w:p>
      <w:pPr>
        <w:pStyle w:val="3"/>
        <w:numPr>
          <w:ilvl w:val="0"/>
          <w:numId w:val="7"/>
        </w:numPr>
        <w:ind w:left="0" w:leftChars="0" w:firstLine="0" w:firstLineChars="0"/>
      </w:pPr>
      <w:bookmarkStart w:id="75" w:name="_Toc15396630"/>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75"/>
    </w:p>
    <w:p>
      <w:pPr>
        <w:pStyle w:val="3"/>
        <w:numPr>
          <w:ilvl w:val="0"/>
          <w:numId w:val="7"/>
        </w:numPr>
        <w:ind w:left="0" w:leftChars="0" w:firstLine="0" w:firstLineChars="0"/>
        <w:rPr>
          <w:rStyle w:val="25"/>
          <w:rFonts w:hint="eastAsia" w:ascii="仿宋" w:hAnsi="仿宋" w:eastAsia="仿宋"/>
          <w:b w:val="0"/>
          <w:bCs w:val="0"/>
        </w:rPr>
      </w:pPr>
      <w:bookmarkStart w:id="76" w:name="_Toc15396631"/>
      <w:r>
        <w:rPr>
          <w:rFonts w:hint="eastAsia" w:ascii="仿宋" w:hAnsi="仿宋" w:eastAsia="仿宋"/>
          <w:b w:val="0"/>
          <w:color w:val="000000"/>
        </w:rPr>
        <w:t>国</w:t>
      </w:r>
      <w:r>
        <w:rPr>
          <w:rStyle w:val="25"/>
          <w:rFonts w:hint="eastAsia" w:ascii="仿宋" w:hAnsi="仿宋" w:eastAsia="仿宋"/>
          <w:b w:val="0"/>
          <w:bCs w:val="0"/>
        </w:rPr>
        <w:t>有资本经营预算支出决算表</w:t>
      </w:r>
      <w:bookmarkEnd w:id="76"/>
    </w:p>
    <w:p>
      <w:pPr>
        <w:numPr>
          <w:ilvl w:val="0"/>
          <w:numId w:val="0"/>
        </w:numPr>
        <w:ind w:leftChars="0"/>
      </w:pP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00040001" w:csb1="00000000"/>
  </w:font>
  <w:font w:name="方正小标宋_GBK">
    <w:altName w:val="微软雅黑"/>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24</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3326C"/>
    <w:multiLevelType w:val="singleLevel"/>
    <w:tmpl w:val="8763326C"/>
    <w:lvl w:ilvl="0" w:tentative="0">
      <w:start w:val="1"/>
      <w:numFmt w:val="decimal"/>
      <w:lvlText w:val="%1."/>
      <w:lvlJc w:val="left"/>
      <w:pPr>
        <w:tabs>
          <w:tab w:val="left" w:pos="312"/>
        </w:tabs>
      </w:p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rPr>
    </w:lvl>
  </w:abstractNum>
  <w:abstractNum w:abstractNumId="3">
    <w:nsid w:val="022A82BC"/>
    <w:multiLevelType w:val="singleLevel"/>
    <w:tmpl w:val="022A82BC"/>
    <w:lvl w:ilvl="0" w:tentative="0">
      <w:start w:val="1"/>
      <w:numFmt w:val="chineseCounting"/>
      <w:suff w:val="nothing"/>
      <w:lvlText w:val="%1、"/>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3525105B"/>
    <w:multiLevelType w:val="singleLevel"/>
    <w:tmpl w:val="3525105B"/>
    <w:lvl w:ilvl="0" w:tentative="0">
      <w:start w:val="2"/>
      <w:numFmt w:val="decimal"/>
      <w:lvlText w:val="%1."/>
      <w:lvlJc w:val="left"/>
      <w:pPr>
        <w:tabs>
          <w:tab w:val="left" w:pos="312"/>
        </w:tabs>
      </w:pPr>
    </w:lvl>
  </w:abstractNum>
  <w:abstractNum w:abstractNumId="6">
    <w:nsid w:val="668A3AC7"/>
    <w:multiLevelType w:val="singleLevel"/>
    <w:tmpl w:val="668A3AC7"/>
    <w:lvl w:ilvl="0" w:tentative="0">
      <w:start w:val="5"/>
      <w:numFmt w:val="chineseCounting"/>
      <w:suff w:val="nothing"/>
      <w:lvlText w:val="%1、"/>
      <w:lvlJc w:val="left"/>
      <w:rPr>
        <w:rFonts w:hint="eastAsia"/>
      </w:rPr>
    </w:lvl>
  </w:abstractNum>
  <w:num w:numId="1">
    <w:abstractNumId w:val="4"/>
  </w:num>
  <w:num w:numId="2">
    <w:abstractNumId w:val="0"/>
  </w:num>
  <w:num w:numId="3">
    <w:abstractNumId w:val="1"/>
  </w:num>
  <w:num w:numId="4">
    <w:abstractNumId w:val="2"/>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80A2FE6"/>
    <w:rsid w:val="09F40268"/>
    <w:rsid w:val="10C055FF"/>
    <w:rsid w:val="13C231D9"/>
    <w:rsid w:val="142D7899"/>
    <w:rsid w:val="1594321C"/>
    <w:rsid w:val="16BB723D"/>
    <w:rsid w:val="204B0C62"/>
    <w:rsid w:val="240371BF"/>
    <w:rsid w:val="2633438A"/>
    <w:rsid w:val="294C3FE9"/>
    <w:rsid w:val="29FD04D3"/>
    <w:rsid w:val="2D5E2691"/>
    <w:rsid w:val="319F7F4E"/>
    <w:rsid w:val="3578263E"/>
    <w:rsid w:val="391A7E30"/>
    <w:rsid w:val="395E6905"/>
    <w:rsid w:val="3A125957"/>
    <w:rsid w:val="3AEF7E74"/>
    <w:rsid w:val="3B661333"/>
    <w:rsid w:val="403843F3"/>
    <w:rsid w:val="4A6F2432"/>
    <w:rsid w:val="4CC7050F"/>
    <w:rsid w:val="4D2E3CFA"/>
    <w:rsid w:val="4ECE2238"/>
    <w:rsid w:val="511F77D5"/>
    <w:rsid w:val="517A0D19"/>
    <w:rsid w:val="529D62A2"/>
    <w:rsid w:val="55FB0B02"/>
    <w:rsid w:val="58F10DED"/>
    <w:rsid w:val="6575268D"/>
    <w:rsid w:val="66220077"/>
    <w:rsid w:val="6B351F15"/>
    <w:rsid w:val="70DC7BDA"/>
    <w:rsid w:val="72734D90"/>
    <w:rsid w:val="789875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1"/>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5"/>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2"/>
    <w:qFormat/>
    <w:uiPriority w:val="9"/>
    <w:rPr>
      <w:rFonts w:ascii="Times New Roman" w:hAnsi="Times New Roman"/>
      <w:b/>
      <w:bCs/>
      <w:kern w:val="44"/>
      <w:sz w:val="44"/>
      <w:szCs w:val="44"/>
    </w:rPr>
  </w:style>
  <w:style w:type="character" w:customStyle="1" w:styleId="25">
    <w:name w:val="标题 2 Char"/>
    <w:basedOn w:val="13"/>
    <w:link w:val="3"/>
    <w:qFormat/>
    <w:uiPriority w:val="9"/>
    <w:rPr>
      <w:rFonts w:asciiTheme="majorHAnsi" w:hAnsiTheme="majorHAnsi" w:eastAsiaTheme="majorEastAsia" w:cstheme="majorBidi"/>
      <w:b/>
      <w:bCs/>
      <w:kern w:val="2"/>
      <w:sz w:val="32"/>
      <w:szCs w:val="32"/>
    </w:rPr>
  </w:style>
  <w:style w:type="paragraph" w:customStyle="1" w:styleId="2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4"/>
    <w:qFormat/>
    <w:uiPriority w:val="9"/>
    <w:rPr>
      <w:rFonts w:ascii="Times New Roman" w:hAnsi="Times New Roman"/>
      <w:b/>
      <w:bCs/>
      <w:kern w:val="2"/>
      <w:sz w:val="32"/>
      <w:szCs w:val="32"/>
    </w:rPr>
  </w:style>
  <w:style w:type="paragraph" w:customStyle="1" w:styleId="2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30">
    <w:name w:val="Normal (Web)"/>
    <w:qFormat/>
    <w:uiPriority w:val="0"/>
    <w:pPr>
      <w:spacing w:before="100" w:beforeAutospacing="1" w:after="100" w:afterAutospacing="1"/>
    </w:pPr>
    <w:rPr>
      <w:rFonts w:hint="default" w:ascii="宋体" w:hAnsi="宋体" w:eastAsia="宋体" w:cs="宋体"/>
      <w:sz w:val="24"/>
      <w:szCs w:val="24"/>
      <w:lang w:val="en-US" w:eastAsia="zh-CN"/>
    </w:rPr>
  </w:style>
  <w:style w:type="character" w:customStyle="1" w:styleId="31">
    <w:name w:val="font1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24</Pages>
  <Words>7622</Words>
  <Characters>931</Characters>
  <Lines>7</Lines>
  <Paragraphs>17</Paragraphs>
  <TotalTime>3</TotalTime>
  <ScaleCrop>false</ScaleCrop>
  <LinksUpToDate>false</LinksUpToDate>
  <CharactersWithSpaces>8536</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Administrator</cp:lastModifiedBy>
  <cp:lastPrinted>2020-07-23T02:58:00Z</cp:lastPrinted>
  <dcterms:modified xsi:type="dcterms:W3CDTF">2020-11-02T08:11:16Z</dcterms:modified>
  <dc:title>四川省***</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