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E176D6" w:rsidRDefault="00E176D6" w:rsidP="008A0129">
      <w:pPr>
        <w:adjustRightInd w:val="0"/>
        <w:snapToGrid w:val="0"/>
        <w:spacing w:line="360" w:lineRule="auto"/>
        <w:jc w:val="center"/>
        <w:outlineLvl w:val="0"/>
        <w:rPr>
          <w:rFonts w:ascii="方正小标宋简体" w:eastAsia="方正小标宋简体" w:hAnsi="宋体" w:hint="eastAsia"/>
          <w:color w:val="000000"/>
          <w:sz w:val="72"/>
          <w:szCs w:val="72"/>
        </w:rPr>
      </w:pPr>
      <w:bookmarkStart w:id="1" w:name="_Toc15396475"/>
      <w:bookmarkStart w:id="2" w:name="_Toc15377193"/>
      <w:bookmarkStart w:id="3" w:name="_Toc15378441"/>
      <w:bookmarkStart w:id="4" w:name="_Toc15377425"/>
      <w:bookmarkStart w:id="5" w:name="_Toc15396597"/>
      <w:r>
        <w:rPr>
          <w:rFonts w:ascii="方正小标宋简体" w:eastAsia="方正小标宋简体" w:hAnsi="宋体" w:hint="eastAsia"/>
          <w:color w:val="000000"/>
          <w:sz w:val="72"/>
          <w:szCs w:val="72"/>
        </w:rPr>
        <w:t>广汉市南丰第二小学</w:t>
      </w:r>
    </w:p>
    <w:p w:rsidR="008A0129" w:rsidRDefault="00204CDE" w:rsidP="00E176D6">
      <w:pPr>
        <w:adjustRightInd w:val="0"/>
        <w:snapToGrid w:val="0"/>
        <w:spacing w:line="360" w:lineRule="auto"/>
        <w:jc w:val="center"/>
        <w:outlineLvl w:val="0"/>
        <w:rPr>
          <w:rFonts w:ascii="方正小标宋简体" w:eastAsia="方正小标宋简体" w:hAnsi="宋体"/>
          <w:color w:val="000000"/>
          <w:sz w:val="72"/>
          <w:szCs w:val="72"/>
        </w:rPr>
      </w:pPr>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Start w:id="6" w:name="_Toc15396476"/>
      <w:bookmarkStart w:id="7" w:name="_Toc15377194"/>
      <w:bookmarkStart w:id="8" w:name="_Toc15396598"/>
      <w:bookmarkStart w:id="9" w:name="_Toc15377426"/>
      <w:bookmarkStart w:id="10" w:name="_Toc15378442"/>
      <w:bookmarkEnd w:id="1"/>
      <w:bookmarkEnd w:id="2"/>
      <w:bookmarkEnd w:id="3"/>
      <w:bookmarkEnd w:id="4"/>
      <w:bookmarkEnd w:id="5"/>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Pr="008A0129" w:rsidRDefault="008A0129" w:rsidP="008A0129">
      <w:pPr>
        <w:adjustRightInd w:val="0"/>
        <w:snapToGrid w:val="0"/>
        <w:spacing w:line="360" w:lineRule="auto"/>
        <w:jc w:val="center"/>
        <w:outlineLvl w:val="0"/>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编制说明</w:t>
      </w:r>
      <w:r w:rsidR="00204CDE">
        <w:rPr>
          <w:rFonts w:ascii="方正小标宋简体" w:eastAsia="方正小标宋简体" w:hAnsi="宋体"/>
          <w:color w:val="000000"/>
          <w:sz w:val="36"/>
          <w:szCs w:val="36"/>
        </w:rPr>
        <w:br w:type="page"/>
      </w:r>
      <w:r w:rsidR="00204CDE">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w:t>
      </w:r>
      <w:proofErr w:type="gramStart"/>
      <w:r w:rsidRPr="00833962">
        <w:rPr>
          <w:rFonts w:hint="eastAsia"/>
          <w:sz w:val="24"/>
        </w:rPr>
        <w:t>度部门</w:t>
      </w:r>
      <w:proofErr w:type="gramEnd"/>
      <w:r w:rsidRPr="00833962">
        <w:rPr>
          <w:rFonts w:hint="eastAsia"/>
          <w:sz w:val="24"/>
        </w:rPr>
        <w:t>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rsidR="005B5C64" w:rsidRDefault="008A0129" w:rsidP="008A0129">
      <w:pPr>
        <w:pStyle w:val="1"/>
        <w:tabs>
          <w:tab w:val="center" w:pos="4153"/>
        </w:tabs>
        <w:rPr>
          <w:rStyle w:val="1Char"/>
          <w:rFonts w:ascii="黑体" w:eastAsia="黑体" w:hAnsi="黑体"/>
          <w:b/>
        </w:rPr>
      </w:pPr>
      <w:r>
        <w:rPr>
          <w:rFonts w:ascii="黑体" w:eastAsia="黑体" w:hAnsi="黑体"/>
          <w:b w:val="0"/>
        </w:rPr>
        <w:lastRenderedPageBreak/>
        <w:tab/>
      </w:r>
      <w:r w:rsidR="00204CDE">
        <w:rPr>
          <w:rFonts w:ascii="黑体" w:eastAsia="黑体" w:hAnsi="黑体" w:hint="eastAsia"/>
          <w:b w:val="0"/>
        </w:rPr>
        <w:t xml:space="preserve">第一部分 </w:t>
      </w:r>
      <w:r w:rsidR="00204CDE">
        <w:rPr>
          <w:rStyle w:val="1Char"/>
          <w:rFonts w:ascii="黑体" w:eastAsia="黑体" w:hAnsi="黑体" w:hint="eastAsia"/>
        </w:rPr>
        <w:t>部门概况</w:t>
      </w:r>
      <w:bookmarkEnd w:id="12"/>
      <w:bookmarkEnd w:id="13"/>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8A0129"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bookmarkStart w:id="18" w:name="_Toc15378446"/>
      <w:bookmarkStart w:id="19" w:name="_Toc15377199"/>
      <w:bookmarkEnd w:id="16"/>
      <w:bookmarkEnd w:id="17"/>
    </w:p>
    <w:p w:rsidR="008A0129" w:rsidRPr="008A0129" w:rsidRDefault="008A0129" w:rsidP="008A0129">
      <w:pPr>
        <w:snapToGrid w:val="0"/>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全面贯彻落实国家《义务教育法》，确保当地适龄儿童接受国家规定年限的义务教育；大力加强基础教育改革，不断为国家基础教育改革提供真实可用的素材；从小培养儿童良好的思想道德品质，教给儿童扎实的基础知识和基本技能，为高一级学校提供优质的生源。</w:t>
      </w:r>
    </w:p>
    <w:p w:rsidR="005B5C64"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8A0129" w:rsidRPr="00C26D9B" w:rsidRDefault="008A0129" w:rsidP="008A0129">
      <w:pPr>
        <w:ind w:firstLineChars="250" w:firstLine="800"/>
        <w:rPr>
          <w:rFonts w:ascii="仿宋_GB2312" w:eastAsia="仿宋_GB2312" w:hAnsi="仿宋"/>
          <w:sz w:val="32"/>
          <w:szCs w:val="32"/>
        </w:rPr>
      </w:pPr>
      <w:r w:rsidRPr="00C26D9B">
        <w:rPr>
          <w:rFonts w:ascii="仿宋_GB2312" w:eastAsia="仿宋_GB2312" w:hAnsi="仿宋" w:hint="eastAsia"/>
          <w:sz w:val="32"/>
          <w:szCs w:val="32"/>
        </w:rPr>
        <w:t>1、开展</w:t>
      </w:r>
      <w:r>
        <w:rPr>
          <w:rFonts w:ascii="仿宋_GB2312" w:eastAsia="仿宋_GB2312" w:hAnsi="仿宋" w:hint="eastAsia"/>
          <w:sz w:val="32"/>
          <w:szCs w:val="32"/>
        </w:rPr>
        <w:t>了丰富多彩的</w:t>
      </w:r>
      <w:r w:rsidRPr="00C26D9B">
        <w:rPr>
          <w:rFonts w:ascii="仿宋_GB2312" w:eastAsia="仿宋_GB2312" w:hAnsi="仿宋" w:hint="eastAsia"/>
          <w:sz w:val="32"/>
          <w:szCs w:val="32"/>
        </w:rPr>
        <w:t>学生德育活动。通过多种有效途径加强学生爱国主义教育和公民道德教育，强化法制、安全、心理健康教育，收到较好效果。</w:t>
      </w:r>
      <w:r w:rsidRPr="00C26D9B">
        <w:rPr>
          <w:rFonts w:ascii="仿宋_GB2312" w:eastAsia="仿宋_GB2312" w:hAnsi="仿宋" w:hint="eastAsia"/>
          <w:sz w:val="32"/>
          <w:szCs w:val="32"/>
        </w:rPr>
        <w:br/>
        <w:t xml:space="preserve">　　2、开展</w:t>
      </w:r>
      <w:r>
        <w:rPr>
          <w:rFonts w:ascii="仿宋_GB2312" w:eastAsia="仿宋_GB2312" w:hAnsi="仿宋" w:hint="eastAsia"/>
          <w:sz w:val="32"/>
          <w:szCs w:val="32"/>
        </w:rPr>
        <w:t>了各种形式的</w:t>
      </w:r>
      <w:r w:rsidRPr="00C26D9B">
        <w:rPr>
          <w:rFonts w:ascii="仿宋_GB2312" w:eastAsia="仿宋_GB2312" w:hAnsi="仿宋" w:hint="eastAsia"/>
          <w:sz w:val="32"/>
          <w:szCs w:val="32"/>
        </w:rPr>
        <w:t>教学和教研活动。加强教学常规管理，贯彻落实减负措施。培养学生综合素质，切实开展“阳光体育”活动；重视学生艺术素质培养。有效开展听课、说课与评课活动，加强集体备课，增强校本教研实效。</w:t>
      </w:r>
      <w:r w:rsidRPr="00C26D9B">
        <w:rPr>
          <w:rFonts w:ascii="仿宋_GB2312" w:eastAsia="仿宋_GB2312" w:hAnsi="仿宋" w:hint="eastAsia"/>
          <w:sz w:val="32"/>
          <w:szCs w:val="32"/>
        </w:rPr>
        <w:br/>
        <w:t xml:space="preserve">　　3、开展</w:t>
      </w:r>
      <w:r>
        <w:rPr>
          <w:rFonts w:ascii="仿宋_GB2312" w:eastAsia="仿宋_GB2312" w:hAnsi="仿宋" w:hint="eastAsia"/>
          <w:sz w:val="32"/>
          <w:szCs w:val="32"/>
        </w:rPr>
        <w:t>了</w:t>
      </w:r>
      <w:r w:rsidRPr="00C26D9B">
        <w:rPr>
          <w:rFonts w:ascii="仿宋_GB2312" w:eastAsia="仿宋_GB2312" w:hAnsi="仿宋" w:hint="eastAsia"/>
          <w:sz w:val="32"/>
          <w:szCs w:val="32"/>
        </w:rPr>
        <w:t>教育科学研究活动。积极倡导小课题深研究，组织教师对教育教学和管理中的难点和热点问题开展研究，提倡行动研究，注重研究的可操作性与实效性。</w:t>
      </w:r>
    </w:p>
    <w:p w:rsidR="008A0129" w:rsidRPr="008A0129" w:rsidRDefault="008A0129" w:rsidP="008A0129">
      <w:pPr>
        <w:autoSpaceDE w:val="0"/>
        <w:autoSpaceDN w:val="0"/>
        <w:adjustRightInd w:val="0"/>
        <w:ind w:firstLineChars="200" w:firstLine="640"/>
        <w:jc w:val="left"/>
        <w:rPr>
          <w:rFonts w:ascii="仿宋_GB2312" w:eastAsia="仿宋_GB2312" w:cs="仿宋_GB2312"/>
          <w:kern w:val="0"/>
          <w:sz w:val="32"/>
          <w:szCs w:val="32"/>
        </w:rPr>
      </w:pPr>
      <w:bookmarkStart w:id="20" w:name="NODE00850800030100000103"/>
      <w:bookmarkEnd w:id="20"/>
      <w:r w:rsidRPr="00C26D9B">
        <w:rPr>
          <w:rFonts w:ascii="仿宋_GB2312" w:eastAsia="仿宋_GB2312" w:hAnsi="仿宋" w:hint="eastAsia"/>
          <w:sz w:val="32"/>
          <w:szCs w:val="32"/>
        </w:rPr>
        <w:t>4、开展</w:t>
      </w:r>
      <w:r>
        <w:rPr>
          <w:rFonts w:ascii="仿宋_GB2312" w:eastAsia="仿宋_GB2312" w:hAnsi="仿宋" w:hint="eastAsia"/>
          <w:sz w:val="32"/>
          <w:szCs w:val="32"/>
        </w:rPr>
        <w:t>了</w:t>
      </w:r>
      <w:r w:rsidRPr="00C26D9B">
        <w:rPr>
          <w:rFonts w:ascii="仿宋_GB2312" w:eastAsia="仿宋_GB2312" w:hAnsi="仿宋" w:hint="eastAsia"/>
          <w:sz w:val="32"/>
          <w:szCs w:val="32"/>
        </w:rPr>
        <w:t>教师培训活动。规范教师培训制度，组织教</w:t>
      </w:r>
      <w:r w:rsidRPr="00C26D9B">
        <w:rPr>
          <w:rFonts w:ascii="仿宋_GB2312" w:eastAsia="仿宋_GB2312" w:hAnsi="仿宋" w:hint="eastAsia"/>
          <w:sz w:val="32"/>
          <w:szCs w:val="32"/>
        </w:rPr>
        <w:lastRenderedPageBreak/>
        <w:t>职工开展师德培训，加强继续教育工作，根据校本培训方案认真实施校本培训工作，努力提升教师整体素质。</w:t>
      </w:r>
      <w:r w:rsidRPr="00C26D9B">
        <w:rPr>
          <w:rFonts w:ascii="仿宋_GB2312" w:eastAsia="仿宋_GB2312" w:hAnsi="仿宋" w:hint="eastAsia"/>
          <w:sz w:val="32"/>
          <w:szCs w:val="32"/>
        </w:rPr>
        <w:br/>
        <w:t xml:space="preserve">　　5、开展</w:t>
      </w:r>
      <w:r>
        <w:rPr>
          <w:rFonts w:ascii="仿宋_GB2312" w:eastAsia="仿宋_GB2312" w:hAnsi="仿宋" w:hint="eastAsia"/>
          <w:sz w:val="32"/>
          <w:szCs w:val="32"/>
        </w:rPr>
        <w:t>了</w:t>
      </w:r>
      <w:r w:rsidRPr="00C26D9B">
        <w:rPr>
          <w:rFonts w:ascii="仿宋_GB2312" w:eastAsia="仿宋_GB2312" w:hAnsi="仿宋" w:hint="eastAsia"/>
          <w:sz w:val="32"/>
          <w:szCs w:val="32"/>
        </w:rPr>
        <w:t>学校后勤服务活动。加强校产管理，规范校产的购入、登记、出借、报损、核查和</w:t>
      </w:r>
      <w:proofErr w:type="gramStart"/>
      <w:r w:rsidRPr="00C26D9B">
        <w:rPr>
          <w:rFonts w:ascii="仿宋_GB2312" w:eastAsia="仿宋_GB2312" w:hAnsi="仿宋" w:hint="eastAsia"/>
          <w:sz w:val="32"/>
          <w:szCs w:val="32"/>
        </w:rPr>
        <w:t>入帐</w:t>
      </w:r>
      <w:proofErr w:type="gramEnd"/>
      <w:r w:rsidRPr="00C26D9B">
        <w:rPr>
          <w:rFonts w:ascii="仿宋_GB2312" w:eastAsia="仿宋_GB2312" w:hAnsi="仿宋" w:hint="eastAsia"/>
          <w:sz w:val="32"/>
          <w:szCs w:val="32"/>
        </w:rPr>
        <w:t>手续，做到账物相符、账</w:t>
      </w:r>
      <w:proofErr w:type="gramStart"/>
      <w:r w:rsidRPr="00C26D9B">
        <w:rPr>
          <w:rFonts w:ascii="仿宋_GB2312" w:eastAsia="仿宋_GB2312" w:hAnsi="仿宋" w:hint="eastAsia"/>
          <w:sz w:val="32"/>
          <w:szCs w:val="32"/>
        </w:rPr>
        <w:t>账</w:t>
      </w:r>
      <w:proofErr w:type="gramEnd"/>
      <w:r w:rsidRPr="00C26D9B">
        <w:rPr>
          <w:rFonts w:ascii="仿宋_GB2312" w:eastAsia="仿宋_GB2312" w:hAnsi="仿宋" w:hint="eastAsia"/>
          <w:sz w:val="32"/>
          <w:szCs w:val="32"/>
        </w:rPr>
        <w:t>相符。规范财务管理，严格执行有关收费规定，及时公示收费项目和标准。改进食堂管理，实行食堂“自主经营，自负盈亏”的经营模式，加强对食品采购、验收、储存、制作与加工等诸多环节的管理工作，确保饮食卫生安全。改善办学条件，为师生工作和学习创造良好的环境。</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B5C64" w:rsidRPr="008A0129" w:rsidRDefault="008A0129" w:rsidP="008A0129">
      <w:pPr>
        <w:ind w:firstLineChars="250" w:firstLine="800"/>
        <w:rPr>
          <w:rFonts w:ascii="仿宋" w:eastAsia="仿宋" w:hAnsi="仿宋"/>
          <w:sz w:val="32"/>
          <w:szCs w:val="32"/>
        </w:rPr>
      </w:pPr>
      <w:r>
        <w:rPr>
          <w:rFonts w:ascii="仿宋" w:eastAsia="仿宋" w:hAnsi="仿宋" w:hint="eastAsia"/>
          <w:sz w:val="32"/>
          <w:szCs w:val="32"/>
        </w:rPr>
        <w:t>广汉市南丰第二小学为一所财政全额拨款事业单位</w:t>
      </w:r>
      <w:r w:rsidR="005D455A">
        <w:rPr>
          <w:rFonts w:ascii="仿宋" w:eastAsia="仿宋" w:hAnsi="仿宋" w:hint="eastAsia"/>
          <w:sz w:val="32"/>
          <w:szCs w:val="32"/>
        </w:rPr>
        <w:t>、</w:t>
      </w:r>
      <w:r>
        <w:rPr>
          <w:rFonts w:ascii="仿宋" w:eastAsia="仿宋" w:hAnsi="仿宋" w:hint="eastAsia"/>
          <w:sz w:val="32"/>
          <w:szCs w:val="32"/>
        </w:rPr>
        <w:t>普通乡镇小学，</w:t>
      </w:r>
      <w:r w:rsidR="005D455A">
        <w:rPr>
          <w:rFonts w:ascii="仿宋" w:eastAsia="仿宋" w:hAnsi="仿宋" w:hint="eastAsia"/>
          <w:sz w:val="32"/>
          <w:szCs w:val="32"/>
        </w:rPr>
        <w:t>无</w:t>
      </w:r>
      <w:r w:rsidR="00204CDE">
        <w:rPr>
          <w:rFonts w:ascii="仿宋" w:eastAsia="仿宋" w:hAnsi="仿宋" w:hint="eastAsia"/>
          <w:sz w:val="32"/>
          <w:szCs w:val="32"/>
        </w:rPr>
        <w:t>下属二级单位。</w:t>
      </w:r>
      <w:r w:rsidR="00204CDE">
        <w:rPr>
          <w:rFonts w:ascii="仿宋" w:eastAsia="仿宋" w:hAnsi="仿宋"/>
          <w:color w:val="000000"/>
          <w:sz w:val="32"/>
          <w:szCs w:val="32"/>
        </w:rPr>
        <w:br w:type="page"/>
      </w:r>
    </w:p>
    <w:p w:rsidR="005B5C64" w:rsidRPr="00292FA7" w:rsidRDefault="00204CDE" w:rsidP="00140460">
      <w:pPr>
        <w:pStyle w:val="1"/>
        <w:ind w:right="880"/>
        <w:jc w:val="right"/>
        <w:rPr>
          <w:rFonts w:ascii="黑体" w:eastAsia="黑体" w:hAnsi="黑体"/>
          <w:b w:val="0"/>
          <w:bCs w:val="0"/>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5D455A" w:rsidRDefault="00204CDE" w:rsidP="00D74E8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w:t>
      </w:r>
      <w:r w:rsidR="008A0129">
        <w:rPr>
          <w:rFonts w:ascii="仿宋" w:eastAsia="仿宋" w:hAnsi="仿宋" w:hint="eastAsia"/>
          <w:color w:val="000000"/>
          <w:sz w:val="32"/>
          <w:szCs w:val="32"/>
        </w:rPr>
        <w:t>入总计653.27万元，</w:t>
      </w:r>
      <w:r>
        <w:rPr>
          <w:rFonts w:ascii="仿宋" w:eastAsia="仿宋" w:hAnsi="仿宋" w:hint="eastAsia"/>
          <w:color w:val="000000"/>
          <w:sz w:val="32"/>
          <w:szCs w:val="32"/>
        </w:rPr>
        <w:t>支总计</w:t>
      </w:r>
      <w:r w:rsidR="008A0129">
        <w:rPr>
          <w:rFonts w:ascii="仿宋" w:eastAsia="仿宋" w:hAnsi="仿宋" w:hint="eastAsia"/>
          <w:color w:val="000000"/>
          <w:sz w:val="32"/>
          <w:szCs w:val="32"/>
        </w:rPr>
        <w:t>658.10</w:t>
      </w:r>
      <w:r>
        <w:rPr>
          <w:rFonts w:ascii="仿宋" w:eastAsia="仿宋" w:hAnsi="仿宋" w:hint="eastAsia"/>
          <w:color w:val="000000"/>
          <w:sz w:val="32"/>
          <w:szCs w:val="32"/>
        </w:rPr>
        <w:t>万元。与2018年相比，收、支总计</w:t>
      </w:r>
      <w:r w:rsidR="00D74E8F">
        <w:rPr>
          <w:rFonts w:ascii="仿宋" w:eastAsia="仿宋" w:hAnsi="仿宋" w:hint="eastAsia"/>
          <w:color w:val="000000"/>
          <w:sz w:val="32"/>
          <w:szCs w:val="32"/>
        </w:rPr>
        <w:t>分别</w:t>
      </w:r>
      <w:r>
        <w:rPr>
          <w:rFonts w:ascii="仿宋" w:eastAsia="仿宋" w:hAnsi="仿宋" w:hint="eastAsia"/>
          <w:color w:val="000000"/>
          <w:sz w:val="32"/>
          <w:szCs w:val="32"/>
        </w:rPr>
        <w:t>增加</w:t>
      </w:r>
      <w:r w:rsidR="00D74E8F">
        <w:rPr>
          <w:rFonts w:ascii="仿宋" w:eastAsia="仿宋" w:hAnsi="仿宋" w:hint="eastAsia"/>
          <w:color w:val="000000"/>
          <w:sz w:val="32"/>
          <w:szCs w:val="32"/>
        </w:rPr>
        <w:t>了43.92</w:t>
      </w:r>
      <w:r>
        <w:rPr>
          <w:rFonts w:ascii="仿宋" w:eastAsia="仿宋" w:hAnsi="仿宋" w:hint="eastAsia"/>
          <w:color w:val="000000"/>
          <w:sz w:val="32"/>
          <w:szCs w:val="32"/>
        </w:rPr>
        <w:t>万元</w:t>
      </w:r>
      <w:r w:rsidR="00D74E8F">
        <w:rPr>
          <w:rFonts w:ascii="仿宋" w:eastAsia="仿宋" w:hAnsi="仿宋" w:hint="eastAsia"/>
          <w:color w:val="000000"/>
          <w:sz w:val="32"/>
          <w:szCs w:val="32"/>
        </w:rPr>
        <w:t>和65.90万元</w:t>
      </w:r>
      <w:r>
        <w:rPr>
          <w:rFonts w:ascii="仿宋" w:eastAsia="仿宋" w:hAnsi="仿宋" w:hint="eastAsia"/>
          <w:color w:val="000000"/>
          <w:sz w:val="32"/>
          <w:szCs w:val="32"/>
        </w:rPr>
        <w:t>，</w:t>
      </w:r>
      <w:r w:rsidR="00D74E8F">
        <w:rPr>
          <w:rFonts w:ascii="仿宋" w:eastAsia="仿宋" w:hAnsi="仿宋" w:hint="eastAsia"/>
          <w:color w:val="000000"/>
          <w:sz w:val="32"/>
          <w:szCs w:val="32"/>
        </w:rPr>
        <w:t>分别</w:t>
      </w:r>
      <w:r>
        <w:rPr>
          <w:rFonts w:ascii="仿宋" w:eastAsia="仿宋" w:hAnsi="仿宋" w:hint="eastAsia"/>
          <w:color w:val="000000"/>
          <w:sz w:val="32"/>
          <w:szCs w:val="32"/>
        </w:rPr>
        <w:t>增长</w:t>
      </w:r>
      <w:r w:rsidR="00D74E8F">
        <w:rPr>
          <w:rFonts w:ascii="仿宋" w:eastAsia="仿宋" w:hAnsi="仿宋" w:hint="eastAsia"/>
          <w:color w:val="000000"/>
          <w:sz w:val="32"/>
          <w:szCs w:val="32"/>
        </w:rPr>
        <w:t>了7.21</w:t>
      </w:r>
      <w:r>
        <w:rPr>
          <w:rFonts w:ascii="仿宋" w:eastAsia="仿宋" w:hAnsi="仿宋"/>
          <w:color w:val="000000"/>
          <w:sz w:val="32"/>
          <w:szCs w:val="32"/>
        </w:rPr>
        <w:t>%</w:t>
      </w:r>
      <w:r w:rsidR="00D74E8F">
        <w:rPr>
          <w:rFonts w:ascii="仿宋" w:eastAsia="仿宋" w:hAnsi="仿宋" w:hint="eastAsia"/>
          <w:color w:val="000000"/>
          <w:sz w:val="32"/>
          <w:szCs w:val="32"/>
        </w:rPr>
        <w:t>和11.13%</w:t>
      </w:r>
      <w:r>
        <w:rPr>
          <w:rFonts w:ascii="仿宋" w:eastAsia="仿宋" w:hAnsi="仿宋" w:hint="eastAsia"/>
          <w:color w:val="000000"/>
          <w:sz w:val="32"/>
          <w:szCs w:val="32"/>
        </w:rPr>
        <w:t>。主要变动原因是</w:t>
      </w:r>
      <w:r w:rsidR="005D455A">
        <w:rPr>
          <w:rFonts w:ascii="仿宋" w:eastAsia="仿宋" w:hAnsi="仿宋" w:hint="eastAsia"/>
          <w:color w:val="000000"/>
          <w:sz w:val="32"/>
          <w:szCs w:val="32"/>
        </w:rPr>
        <w:t>正常的薪级晋升及工资标准变动执行。</w:t>
      </w:r>
    </w:p>
    <w:p w:rsidR="005D455A" w:rsidRPr="00D74E8F" w:rsidRDefault="00BC606B" w:rsidP="00BC606B">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59264" behindDoc="0" locked="0" layoutInCell="1" allowOverlap="1">
            <wp:simplePos x="0" y="0"/>
            <wp:positionH relativeFrom="column">
              <wp:posOffset>387985</wp:posOffset>
            </wp:positionH>
            <wp:positionV relativeFrom="paragraph">
              <wp:posOffset>744220</wp:posOffset>
            </wp:positionV>
            <wp:extent cx="3843655" cy="1490345"/>
            <wp:effectExtent l="19050" t="0" r="23495" b="0"/>
            <wp:wrapTopAndBottom/>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204CDE">
        <w:rPr>
          <w:rFonts w:ascii="仿宋" w:eastAsia="仿宋" w:hAnsi="仿宋" w:hint="eastAsia"/>
          <w:color w:val="000000" w:themeColor="text1"/>
          <w:sz w:val="32"/>
          <w:szCs w:val="32"/>
        </w:rPr>
        <w:t>（图</w:t>
      </w:r>
      <w:r w:rsidR="00204CDE">
        <w:rPr>
          <w:rFonts w:ascii="仿宋" w:eastAsia="仿宋" w:hAnsi="仿宋"/>
          <w:color w:val="000000" w:themeColor="text1"/>
          <w:sz w:val="32"/>
          <w:szCs w:val="32"/>
        </w:rPr>
        <w:t>1</w:t>
      </w:r>
      <w:r w:rsidR="00204CDE">
        <w:rPr>
          <w:rFonts w:ascii="仿宋" w:eastAsia="仿宋" w:hAnsi="仿宋" w:hint="eastAsia"/>
          <w:color w:val="000000" w:themeColor="text1"/>
          <w:sz w:val="32"/>
          <w:szCs w:val="32"/>
        </w:rPr>
        <w:t>：收、支决算总计变动情况图）（柱状图）</w:t>
      </w: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7" w:name="_Toc15396604"/>
      <w:bookmarkStart w:id="28"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585B33" w:rsidRDefault="00204CDE" w:rsidP="00292FA7">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D74E8F">
        <w:rPr>
          <w:rFonts w:ascii="仿宋" w:eastAsia="仿宋" w:hAnsi="仿宋" w:hint="eastAsia"/>
          <w:color w:val="000000"/>
          <w:sz w:val="32"/>
          <w:szCs w:val="32"/>
        </w:rPr>
        <w:t>653.27</w:t>
      </w:r>
      <w:r>
        <w:rPr>
          <w:rFonts w:ascii="仿宋" w:eastAsia="仿宋" w:hAnsi="仿宋" w:hint="eastAsia"/>
          <w:color w:val="000000"/>
          <w:sz w:val="32"/>
          <w:szCs w:val="32"/>
        </w:rPr>
        <w:t>万元，其中：一般公共预算财政拨款收入</w:t>
      </w:r>
      <w:r w:rsidR="00D74E8F">
        <w:rPr>
          <w:rFonts w:ascii="仿宋" w:eastAsia="仿宋" w:hAnsi="仿宋" w:hint="eastAsia"/>
          <w:color w:val="000000"/>
          <w:sz w:val="32"/>
          <w:szCs w:val="32"/>
        </w:rPr>
        <w:t>620.16</w:t>
      </w:r>
      <w:r>
        <w:rPr>
          <w:rFonts w:ascii="仿宋" w:eastAsia="仿宋" w:hAnsi="仿宋" w:hint="eastAsia"/>
          <w:color w:val="000000"/>
          <w:sz w:val="32"/>
          <w:szCs w:val="32"/>
        </w:rPr>
        <w:t>万元，占</w:t>
      </w:r>
      <w:r w:rsidR="00D74E8F">
        <w:rPr>
          <w:rFonts w:ascii="仿宋" w:eastAsia="仿宋" w:hAnsi="仿宋" w:hint="eastAsia"/>
          <w:color w:val="000000"/>
          <w:sz w:val="32"/>
          <w:szCs w:val="32"/>
        </w:rPr>
        <w:t>94.93</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D74E8F">
        <w:rPr>
          <w:rFonts w:ascii="仿宋" w:eastAsia="仿宋" w:hAnsi="仿宋" w:hint="eastAsia"/>
          <w:color w:val="000000"/>
          <w:sz w:val="32"/>
          <w:szCs w:val="32"/>
        </w:rPr>
        <w:t>3.00</w:t>
      </w:r>
      <w:r>
        <w:rPr>
          <w:rFonts w:ascii="仿宋" w:eastAsia="仿宋" w:hAnsi="仿宋" w:hint="eastAsia"/>
          <w:color w:val="000000"/>
          <w:sz w:val="32"/>
          <w:szCs w:val="32"/>
        </w:rPr>
        <w:t>万元，占</w:t>
      </w:r>
      <w:r w:rsidR="00D74E8F">
        <w:rPr>
          <w:rFonts w:ascii="仿宋" w:eastAsia="仿宋" w:hAnsi="仿宋" w:hint="eastAsia"/>
          <w:color w:val="000000"/>
          <w:sz w:val="32"/>
          <w:szCs w:val="32"/>
        </w:rPr>
        <w:t>0.46</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D74E8F">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D74E8F">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D74E8F">
        <w:rPr>
          <w:rFonts w:ascii="仿宋" w:eastAsia="仿宋" w:hAnsi="仿宋" w:hint="eastAsia"/>
          <w:color w:val="000000"/>
          <w:sz w:val="32"/>
          <w:szCs w:val="32"/>
        </w:rPr>
        <w:t>12.08</w:t>
      </w:r>
      <w:r>
        <w:rPr>
          <w:rFonts w:ascii="仿宋" w:eastAsia="仿宋" w:hAnsi="仿宋" w:hint="eastAsia"/>
          <w:color w:val="000000"/>
          <w:sz w:val="32"/>
          <w:szCs w:val="32"/>
        </w:rPr>
        <w:t>万元，占</w:t>
      </w:r>
      <w:r w:rsidR="00D74E8F">
        <w:rPr>
          <w:rFonts w:ascii="仿宋" w:eastAsia="仿宋" w:hAnsi="仿宋" w:hint="eastAsia"/>
          <w:color w:val="000000"/>
          <w:sz w:val="32"/>
          <w:szCs w:val="32"/>
        </w:rPr>
        <w:t>1.85</w:t>
      </w:r>
      <w:r>
        <w:rPr>
          <w:rFonts w:ascii="仿宋" w:eastAsia="仿宋" w:hAnsi="仿宋"/>
          <w:color w:val="000000"/>
          <w:sz w:val="32"/>
          <w:szCs w:val="32"/>
        </w:rPr>
        <w:t>%</w:t>
      </w:r>
      <w:r>
        <w:rPr>
          <w:rFonts w:ascii="仿宋" w:eastAsia="仿宋" w:hAnsi="仿宋" w:hint="eastAsia"/>
          <w:color w:val="000000"/>
          <w:sz w:val="32"/>
          <w:szCs w:val="32"/>
        </w:rPr>
        <w:t>；经营收入</w:t>
      </w:r>
      <w:r w:rsidR="00D74E8F">
        <w:rPr>
          <w:rFonts w:ascii="仿宋" w:eastAsia="仿宋" w:hAnsi="仿宋" w:hint="eastAsia"/>
          <w:color w:val="000000"/>
          <w:sz w:val="32"/>
          <w:szCs w:val="32"/>
        </w:rPr>
        <w:t>0</w:t>
      </w:r>
      <w:r>
        <w:rPr>
          <w:rFonts w:ascii="仿宋" w:eastAsia="仿宋" w:hAnsi="仿宋" w:hint="eastAsia"/>
          <w:color w:val="000000"/>
          <w:sz w:val="32"/>
          <w:szCs w:val="32"/>
        </w:rPr>
        <w:t>万元，占</w:t>
      </w:r>
      <w:r w:rsidR="00D74E8F">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D74E8F">
        <w:rPr>
          <w:rFonts w:ascii="仿宋" w:eastAsia="仿宋" w:hAnsi="仿宋" w:hint="eastAsia"/>
          <w:color w:val="000000"/>
          <w:sz w:val="32"/>
          <w:szCs w:val="32"/>
        </w:rPr>
        <w:t>0</w:t>
      </w:r>
      <w:r>
        <w:rPr>
          <w:rFonts w:ascii="仿宋" w:eastAsia="仿宋" w:hAnsi="仿宋" w:hint="eastAsia"/>
          <w:color w:val="000000"/>
          <w:sz w:val="32"/>
          <w:szCs w:val="32"/>
        </w:rPr>
        <w:t>万元，占</w:t>
      </w:r>
      <w:r w:rsidR="00D74E8F">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D74E8F">
        <w:rPr>
          <w:rFonts w:ascii="仿宋" w:eastAsia="仿宋" w:hAnsi="仿宋" w:hint="eastAsia"/>
          <w:color w:val="000000"/>
          <w:sz w:val="32"/>
          <w:szCs w:val="32"/>
        </w:rPr>
        <w:t>18.04</w:t>
      </w:r>
      <w:r>
        <w:rPr>
          <w:rFonts w:ascii="仿宋" w:eastAsia="仿宋" w:hAnsi="仿宋" w:hint="eastAsia"/>
          <w:color w:val="000000"/>
          <w:sz w:val="32"/>
          <w:szCs w:val="32"/>
        </w:rPr>
        <w:t>万元，占</w:t>
      </w:r>
      <w:r w:rsidR="00292FA7">
        <w:rPr>
          <w:rFonts w:ascii="仿宋" w:eastAsia="仿宋" w:hAnsi="仿宋" w:hint="eastAsia"/>
          <w:color w:val="000000"/>
          <w:sz w:val="32"/>
          <w:szCs w:val="32"/>
        </w:rPr>
        <w:t>2.76</w:t>
      </w:r>
      <w:r>
        <w:rPr>
          <w:rFonts w:ascii="仿宋" w:eastAsia="仿宋" w:hAnsi="仿宋"/>
          <w:color w:val="000000"/>
          <w:sz w:val="32"/>
          <w:szCs w:val="32"/>
        </w:rPr>
        <w:t>%</w:t>
      </w:r>
      <w:r w:rsidR="00585B33">
        <w:rPr>
          <w:rFonts w:ascii="仿宋" w:eastAsia="仿宋" w:hAnsi="仿宋" w:hint="eastAsia"/>
          <w:color w:val="000000"/>
          <w:sz w:val="32"/>
          <w:szCs w:val="32"/>
        </w:rPr>
        <w:t>。</w:t>
      </w:r>
    </w:p>
    <w:p w:rsidR="00E323AB" w:rsidRDefault="00E323AB" w:rsidP="00BC606B">
      <w:pPr>
        <w:spacing w:line="600" w:lineRule="exact"/>
        <w:ind w:firstLineChars="200" w:firstLine="640"/>
        <w:rPr>
          <w:rFonts w:ascii="仿宋" w:eastAsia="仿宋" w:hAnsi="仿宋"/>
          <w:color w:val="000000" w:themeColor="text1"/>
          <w:sz w:val="32"/>
          <w:szCs w:val="32"/>
        </w:rPr>
      </w:pPr>
    </w:p>
    <w:p w:rsidR="00307E59" w:rsidRDefault="00204CDE" w:rsidP="00307E59">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（图2：收入决算结构图）（饼状图）</w:t>
      </w:r>
    </w:p>
    <w:p w:rsidR="00307E59" w:rsidRPr="00307E59" w:rsidRDefault="00E323AB" w:rsidP="00307E59">
      <w:pPr>
        <w:spacing w:line="600" w:lineRule="exact"/>
        <w:ind w:firstLineChars="200" w:firstLine="640"/>
        <w:rPr>
          <w:rFonts w:ascii="仿宋" w:eastAsia="仿宋" w:hAnsi="仿宋"/>
          <w:color w:val="000000" w:themeColor="text1"/>
          <w:sz w:val="32"/>
          <w:szCs w:val="32"/>
        </w:rPr>
      </w:pPr>
      <w:r>
        <w:rPr>
          <w:rFonts w:ascii="仿宋" w:eastAsia="仿宋" w:hAnsi="仿宋"/>
          <w:noProof/>
          <w:color w:val="000000" w:themeColor="text1"/>
          <w:sz w:val="32"/>
          <w:szCs w:val="32"/>
        </w:rPr>
        <w:lastRenderedPageBreak/>
        <w:drawing>
          <wp:anchor distT="0" distB="0" distL="114300" distR="114300" simplePos="0" relativeHeight="251661312" behindDoc="0" locked="0" layoutInCell="1" allowOverlap="1">
            <wp:simplePos x="0" y="0"/>
            <wp:positionH relativeFrom="column">
              <wp:posOffset>-114300</wp:posOffset>
            </wp:positionH>
            <wp:positionV relativeFrom="paragraph">
              <wp:posOffset>47625</wp:posOffset>
            </wp:positionV>
            <wp:extent cx="5586095" cy="3625215"/>
            <wp:effectExtent l="19050" t="0" r="14605" b="0"/>
            <wp:wrapSquare wrapText="bothSides"/>
            <wp:docPr id="1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bookmarkStart w:id="29" w:name="_Toc15377207"/>
      <w:bookmarkStart w:id="30" w:name="_Toc15396605"/>
    </w:p>
    <w:p w:rsidR="00776BB7" w:rsidRPr="00776BB7" w:rsidRDefault="00776BB7" w:rsidP="00776BB7">
      <w:pPr>
        <w:spacing w:line="600" w:lineRule="exact"/>
        <w:ind w:left="640"/>
        <w:outlineLvl w:val="1"/>
        <w:rPr>
          <w:rStyle w:val="2Char"/>
          <w:rFonts w:ascii="黑体" w:eastAsia="黑体" w:hAnsi="黑体"/>
          <w:b w:val="0"/>
        </w:rPr>
      </w:pPr>
      <w:r>
        <w:rPr>
          <w:rFonts w:ascii="黑体" w:eastAsia="黑体" w:hAnsi="黑体" w:hint="eastAsia"/>
          <w:color w:val="000000"/>
          <w:sz w:val="32"/>
          <w:szCs w:val="32"/>
        </w:rPr>
        <w:t>三、</w:t>
      </w:r>
      <w:r w:rsidR="00204CDE" w:rsidRPr="00776BB7">
        <w:rPr>
          <w:rFonts w:ascii="黑体" w:eastAsia="黑体" w:hAnsi="黑体" w:hint="eastAsia"/>
          <w:color w:val="000000"/>
          <w:sz w:val="32"/>
          <w:szCs w:val="32"/>
        </w:rPr>
        <w:t>支</w:t>
      </w:r>
      <w:r w:rsidR="00204CDE" w:rsidRPr="00776BB7">
        <w:rPr>
          <w:rStyle w:val="2Char"/>
          <w:rFonts w:ascii="黑体" w:eastAsia="黑体" w:hAnsi="黑体" w:hint="eastAsia"/>
          <w:b w:val="0"/>
        </w:rPr>
        <w:t>出决算情况说明</w:t>
      </w:r>
      <w:bookmarkEnd w:id="29"/>
      <w:bookmarkEnd w:id="30"/>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292FA7">
        <w:rPr>
          <w:rFonts w:ascii="仿宋" w:eastAsia="仿宋" w:hAnsi="仿宋" w:hint="eastAsia"/>
          <w:color w:val="000000"/>
          <w:sz w:val="32"/>
          <w:szCs w:val="32"/>
        </w:rPr>
        <w:t>658.10</w:t>
      </w:r>
      <w:r>
        <w:rPr>
          <w:rFonts w:ascii="仿宋" w:eastAsia="仿宋" w:hAnsi="仿宋" w:hint="eastAsia"/>
          <w:color w:val="000000"/>
          <w:sz w:val="32"/>
          <w:szCs w:val="32"/>
        </w:rPr>
        <w:t>万元，其中：基本支出</w:t>
      </w:r>
      <w:r w:rsidR="00292FA7">
        <w:rPr>
          <w:rFonts w:ascii="仿宋" w:eastAsia="仿宋" w:hAnsi="仿宋" w:hint="eastAsia"/>
          <w:color w:val="000000"/>
          <w:sz w:val="32"/>
          <w:szCs w:val="32"/>
        </w:rPr>
        <w:t>652.10</w:t>
      </w:r>
      <w:r>
        <w:rPr>
          <w:rFonts w:ascii="仿宋" w:eastAsia="仿宋" w:hAnsi="仿宋" w:hint="eastAsia"/>
          <w:color w:val="000000"/>
          <w:sz w:val="32"/>
          <w:szCs w:val="32"/>
        </w:rPr>
        <w:t>万元，占</w:t>
      </w:r>
      <w:r w:rsidR="00292FA7">
        <w:rPr>
          <w:rFonts w:ascii="仿宋" w:eastAsia="仿宋" w:hAnsi="仿宋" w:hint="eastAsia"/>
          <w:color w:val="000000"/>
          <w:sz w:val="32"/>
          <w:szCs w:val="32"/>
        </w:rPr>
        <w:t>99.09</w:t>
      </w:r>
      <w:r>
        <w:rPr>
          <w:rFonts w:ascii="仿宋" w:eastAsia="仿宋" w:hAnsi="仿宋"/>
          <w:color w:val="000000"/>
          <w:sz w:val="32"/>
          <w:szCs w:val="32"/>
        </w:rPr>
        <w:t>%</w:t>
      </w:r>
      <w:r>
        <w:rPr>
          <w:rFonts w:ascii="仿宋" w:eastAsia="仿宋" w:hAnsi="仿宋" w:hint="eastAsia"/>
          <w:color w:val="000000"/>
          <w:sz w:val="32"/>
          <w:szCs w:val="32"/>
        </w:rPr>
        <w:t>；项目支出</w:t>
      </w:r>
      <w:r w:rsidR="00292FA7">
        <w:rPr>
          <w:rFonts w:ascii="仿宋" w:eastAsia="仿宋" w:hAnsi="仿宋" w:hint="eastAsia"/>
          <w:color w:val="000000"/>
          <w:sz w:val="32"/>
          <w:szCs w:val="32"/>
        </w:rPr>
        <w:t>6.00</w:t>
      </w:r>
      <w:r>
        <w:rPr>
          <w:rFonts w:ascii="仿宋" w:eastAsia="仿宋" w:hAnsi="仿宋" w:hint="eastAsia"/>
          <w:color w:val="000000"/>
          <w:sz w:val="32"/>
          <w:szCs w:val="32"/>
        </w:rPr>
        <w:t>万元，占</w:t>
      </w:r>
      <w:r w:rsidR="00292FA7">
        <w:rPr>
          <w:rFonts w:ascii="仿宋" w:eastAsia="仿宋" w:hAnsi="仿宋" w:hint="eastAsia"/>
          <w:color w:val="000000"/>
          <w:sz w:val="32"/>
          <w:szCs w:val="32"/>
        </w:rPr>
        <w:t>0.91</w:t>
      </w:r>
      <w:r>
        <w:rPr>
          <w:rFonts w:ascii="仿宋" w:eastAsia="仿宋" w:hAnsi="仿宋"/>
          <w:color w:val="000000"/>
          <w:sz w:val="32"/>
          <w:szCs w:val="32"/>
        </w:rPr>
        <w:t>%</w:t>
      </w:r>
      <w:r>
        <w:rPr>
          <w:rFonts w:ascii="仿宋" w:eastAsia="仿宋" w:hAnsi="仿宋" w:hint="eastAsia"/>
          <w:color w:val="000000"/>
          <w:sz w:val="32"/>
          <w:szCs w:val="32"/>
        </w:rPr>
        <w:t>；上缴上级支出</w:t>
      </w:r>
      <w:r w:rsidR="00292FA7">
        <w:rPr>
          <w:rFonts w:ascii="仿宋" w:eastAsia="仿宋" w:hAnsi="仿宋" w:hint="eastAsia"/>
          <w:color w:val="000000"/>
          <w:sz w:val="32"/>
          <w:szCs w:val="32"/>
        </w:rPr>
        <w:t>0</w:t>
      </w:r>
      <w:r>
        <w:rPr>
          <w:rFonts w:ascii="仿宋" w:eastAsia="仿宋" w:hAnsi="仿宋" w:hint="eastAsia"/>
          <w:color w:val="000000"/>
          <w:sz w:val="32"/>
          <w:szCs w:val="32"/>
        </w:rPr>
        <w:t>万元，占</w:t>
      </w:r>
      <w:r w:rsidR="00292FA7">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292FA7">
        <w:rPr>
          <w:rFonts w:ascii="仿宋" w:eastAsia="仿宋" w:hAnsi="仿宋" w:hint="eastAsia"/>
          <w:color w:val="000000"/>
          <w:sz w:val="32"/>
          <w:szCs w:val="32"/>
        </w:rPr>
        <w:t>0</w:t>
      </w:r>
      <w:r>
        <w:rPr>
          <w:rFonts w:ascii="仿宋" w:eastAsia="仿宋" w:hAnsi="仿宋" w:hint="eastAsia"/>
          <w:color w:val="000000"/>
          <w:sz w:val="32"/>
          <w:szCs w:val="32"/>
        </w:rPr>
        <w:t>万元，占</w:t>
      </w:r>
      <w:r w:rsidR="00292FA7">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292FA7">
        <w:rPr>
          <w:rFonts w:ascii="仿宋" w:eastAsia="仿宋" w:hAnsi="仿宋" w:hint="eastAsia"/>
          <w:color w:val="000000"/>
          <w:sz w:val="32"/>
          <w:szCs w:val="32"/>
        </w:rPr>
        <w:t>0</w:t>
      </w:r>
      <w:r>
        <w:rPr>
          <w:rFonts w:ascii="仿宋" w:eastAsia="仿宋" w:hAnsi="仿宋" w:hint="eastAsia"/>
          <w:color w:val="000000"/>
          <w:sz w:val="32"/>
          <w:szCs w:val="32"/>
        </w:rPr>
        <w:t>万元，占</w:t>
      </w:r>
      <w:r w:rsidR="00292FA7">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rsidP="00292FA7">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（图3：支出决算结构图）（饼状图）</w:t>
      </w:r>
    </w:p>
    <w:p w:rsidR="00307E59" w:rsidRDefault="00307E59" w:rsidP="00307E59">
      <w:pPr>
        <w:spacing w:line="600" w:lineRule="exact"/>
        <w:ind w:firstLineChars="200" w:firstLine="640"/>
        <w:rPr>
          <w:rFonts w:ascii="仿宋" w:eastAsia="仿宋" w:hAnsi="仿宋"/>
          <w:color w:val="000000" w:themeColor="text1"/>
          <w:sz w:val="32"/>
          <w:szCs w:val="32"/>
        </w:rPr>
      </w:pPr>
      <w:r w:rsidRPr="00307E59">
        <w:rPr>
          <w:rFonts w:ascii="仿宋" w:eastAsia="仿宋" w:hAnsi="仿宋" w:hint="eastAsia"/>
          <w:noProof/>
          <w:color w:val="000000" w:themeColor="text1"/>
          <w:sz w:val="32"/>
          <w:szCs w:val="32"/>
        </w:rPr>
        <w:drawing>
          <wp:anchor distT="0" distB="0" distL="114300" distR="114300" simplePos="0" relativeHeight="251663360" behindDoc="0" locked="0" layoutInCell="1" allowOverlap="1">
            <wp:simplePos x="0" y="0"/>
            <wp:positionH relativeFrom="column">
              <wp:posOffset>370840</wp:posOffset>
            </wp:positionH>
            <wp:positionV relativeFrom="paragraph">
              <wp:posOffset>211455</wp:posOffset>
            </wp:positionV>
            <wp:extent cx="4894580" cy="2520315"/>
            <wp:effectExtent l="19050" t="0" r="20320" b="0"/>
            <wp:wrapSquare wrapText="bothSides"/>
            <wp:docPr id="1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307E59" w:rsidRDefault="00307E59" w:rsidP="00307E59">
      <w:pPr>
        <w:spacing w:line="600" w:lineRule="exact"/>
        <w:ind w:firstLineChars="200" w:firstLine="640"/>
        <w:rPr>
          <w:rFonts w:ascii="仿宋" w:eastAsia="仿宋" w:hAnsi="仿宋"/>
          <w:color w:val="000000" w:themeColor="text1"/>
          <w:sz w:val="32"/>
          <w:szCs w:val="32"/>
        </w:rPr>
      </w:pPr>
    </w:p>
    <w:p w:rsidR="00307E59" w:rsidRDefault="00307E59" w:rsidP="00307E59">
      <w:pPr>
        <w:spacing w:line="600" w:lineRule="exact"/>
        <w:ind w:firstLineChars="200" w:firstLine="640"/>
        <w:rPr>
          <w:rFonts w:ascii="仿宋" w:eastAsia="仿宋" w:hAnsi="仿宋"/>
          <w:color w:val="000000" w:themeColor="text1"/>
          <w:sz w:val="32"/>
          <w:szCs w:val="32"/>
        </w:rPr>
      </w:pPr>
    </w:p>
    <w:p w:rsidR="00307E59" w:rsidRDefault="00307E59" w:rsidP="00307E59">
      <w:pPr>
        <w:spacing w:line="600" w:lineRule="exact"/>
        <w:ind w:firstLineChars="200" w:firstLine="640"/>
        <w:rPr>
          <w:rFonts w:ascii="仿宋" w:eastAsia="仿宋" w:hAnsi="仿宋"/>
          <w:color w:val="000000" w:themeColor="text1"/>
          <w:sz w:val="32"/>
          <w:szCs w:val="32"/>
        </w:rPr>
      </w:pPr>
    </w:p>
    <w:p w:rsidR="00307E59" w:rsidRDefault="00307E59" w:rsidP="00307E59">
      <w:pPr>
        <w:spacing w:line="600" w:lineRule="exact"/>
        <w:ind w:firstLineChars="200" w:firstLine="640"/>
        <w:rPr>
          <w:rFonts w:ascii="仿宋" w:eastAsia="仿宋" w:hAnsi="仿宋"/>
          <w:color w:val="000000" w:themeColor="text1"/>
          <w:sz w:val="32"/>
          <w:szCs w:val="32"/>
        </w:rPr>
      </w:pPr>
    </w:p>
    <w:p w:rsidR="00307E59" w:rsidRPr="00292FA7" w:rsidRDefault="00307E59" w:rsidP="00307E59">
      <w:pPr>
        <w:spacing w:line="600" w:lineRule="exact"/>
        <w:ind w:firstLineChars="200" w:firstLine="640"/>
        <w:rPr>
          <w:rFonts w:ascii="仿宋" w:eastAsia="仿宋" w:hAnsi="仿宋"/>
          <w:color w:val="000000" w:themeColor="text1"/>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lastRenderedPageBreak/>
        <w:t>四、财</w:t>
      </w:r>
      <w:r>
        <w:rPr>
          <w:rStyle w:val="2Char"/>
          <w:rFonts w:ascii="黑体" w:eastAsia="黑体" w:hAnsi="黑体" w:hint="eastAsia"/>
          <w:b w:val="0"/>
        </w:rPr>
        <w:t>政拨款收入支出决算总体情况说明</w:t>
      </w:r>
      <w:bookmarkEnd w:id="31"/>
      <w:bookmarkEnd w:id="32"/>
    </w:p>
    <w:p w:rsidR="00416CD4" w:rsidRDefault="00204CDE" w:rsidP="00FE5775">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292FA7">
        <w:rPr>
          <w:rFonts w:ascii="仿宋" w:eastAsia="仿宋" w:hAnsi="仿宋" w:hint="eastAsia"/>
          <w:color w:val="000000"/>
          <w:sz w:val="32"/>
          <w:szCs w:val="32"/>
        </w:rPr>
        <w:t>入总计623.16万元</w:t>
      </w:r>
      <w:r>
        <w:rPr>
          <w:rFonts w:ascii="仿宋" w:eastAsia="仿宋" w:hAnsi="仿宋" w:hint="eastAsia"/>
          <w:color w:val="000000"/>
          <w:sz w:val="32"/>
          <w:szCs w:val="32"/>
        </w:rPr>
        <w:t>、支</w:t>
      </w:r>
      <w:r w:rsidR="00292FA7">
        <w:rPr>
          <w:rFonts w:ascii="仿宋" w:eastAsia="仿宋" w:hAnsi="仿宋" w:hint="eastAsia"/>
          <w:color w:val="000000"/>
          <w:sz w:val="32"/>
          <w:szCs w:val="32"/>
        </w:rPr>
        <w:t>出</w:t>
      </w:r>
      <w:r>
        <w:rPr>
          <w:rFonts w:ascii="仿宋" w:eastAsia="仿宋" w:hAnsi="仿宋" w:hint="eastAsia"/>
          <w:color w:val="000000"/>
          <w:sz w:val="32"/>
          <w:szCs w:val="32"/>
        </w:rPr>
        <w:t>总计</w:t>
      </w:r>
      <w:r w:rsidR="00292FA7">
        <w:rPr>
          <w:rFonts w:ascii="仿宋" w:eastAsia="仿宋" w:hAnsi="仿宋" w:hint="eastAsia"/>
          <w:color w:val="000000"/>
          <w:sz w:val="32"/>
          <w:szCs w:val="32"/>
        </w:rPr>
        <w:t>633.26</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w:t>
      </w:r>
      <w:r w:rsidR="00292FA7">
        <w:rPr>
          <w:rFonts w:ascii="仿宋" w:eastAsia="仿宋" w:hAnsi="仿宋" w:hint="eastAsia"/>
          <w:color w:val="000000"/>
          <w:sz w:val="32"/>
          <w:szCs w:val="32"/>
        </w:rPr>
        <w:t>分别</w:t>
      </w:r>
      <w:r>
        <w:rPr>
          <w:rFonts w:ascii="仿宋" w:eastAsia="仿宋" w:hAnsi="仿宋" w:hint="eastAsia"/>
          <w:color w:val="000000"/>
          <w:sz w:val="32"/>
          <w:szCs w:val="32"/>
        </w:rPr>
        <w:t>增加</w:t>
      </w:r>
      <w:r w:rsidR="00292FA7">
        <w:rPr>
          <w:rFonts w:ascii="仿宋" w:eastAsia="仿宋" w:hAnsi="仿宋" w:hint="eastAsia"/>
          <w:color w:val="000000"/>
          <w:sz w:val="32"/>
          <w:szCs w:val="32"/>
        </w:rPr>
        <w:t>23.42</w:t>
      </w:r>
      <w:r>
        <w:rPr>
          <w:rFonts w:ascii="仿宋" w:eastAsia="仿宋" w:hAnsi="仿宋" w:hint="eastAsia"/>
          <w:color w:val="000000"/>
          <w:sz w:val="32"/>
          <w:szCs w:val="32"/>
        </w:rPr>
        <w:t>万元</w:t>
      </w:r>
      <w:r w:rsidR="00292FA7">
        <w:rPr>
          <w:rFonts w:ascii="仿宋" w:eastAsia="仿宋" w:hAnsi="仿宋" w:hint="eastAsia"/>
          <w:color w:val="000000"/>
          <w:sz w:val="32"/>
          <w:szCs w:val="32"/>
        </w:rPr>
        <w:t>和50.67万元</w:t>
      </w:r>
      <w:r>
        <w:rPr>
          <w:rFonts w:ascii="仿宋" w:eastAsia="仿宋" w:hAnsi="仿宋" w:hint="eastAsia"/>
          <w:color w:val="000000"/>
          <w:sz w:val="32"/>
          <w:szCs w:val="32"/>
        </w:rPr>
        <w:t>，</w:t>
      </w:r>
      <w:r w:rsidR="00606A7B">
        <w:rPr>
          <w:rFonts w:ascii="仿宋" w:eastAsia="仿宋" w:hAnsi="仿宋" w:hint="eastAsia"/>
          <w:color w:val="000000"/>
          <w:sz w:val="32"/>
          <w:szCs w:val="32"/>
        </w:rPr>
        <w:t>分别</w:t>
      </w:r>
      <w:r>
        <w:rPr>
          <w:rFonts w:ascii="仿宋" w:eastAsia="仿宋" w:hAnsi="仿宋" w:hint="eastAsia"/>
          <w:color w:val="000000"/>
          <w:sz w:val="32"/>
          <w:szCs w:val="32"/>
        </w:rPr>
        <w:t>增长</w:t>
      </w:r>
      <w:r w:rsidR="00292FA7">
        <w:rPr>
          <w:rFonts w:ascii="仿宋" w:eastAsia="仿宋" w:hAnsi="仿宋" w:hint="eastAsia"/>
          <w:color w:val="000000"/>
          <w:sz w:val="32"/>
          <w:szCs w:val="32"/>
        </w:rPr>
        <w:t>3.9</w:t>
      </w:r>
      <w:r w:rsidR="00606A7B">
        <w:rPr>
          <w:rFonts w:ascii="仿宋" w:eastAsia="仿宋" w:hAnsi="仿宋" w:hint="eastAsia"/>
          <w:color w:val="000000"/>
          <w:sz w:val="32"/>
          <w:szCs w:val="32"/>
        </w:rPr>
        <w:t>2</w:t>
      </w:r>
      <w:r>
        <w:rPr>
          <w:rFonts w:ascii="仿宋" w:eastAsia="仿宋" w:hAnsi="仿宋"/>
          <w:color w:val="000000"/>
          <w:sz w:val="32"/>
          <w:szCs w:val="32"/>
        </w:rPr>
        <w:t>%</w:t>
      </w:r>
      <w:r w:rsidR="00292FA7">
        <w:rPr>
          <w:rFonts w:ascii="仿宋" w:eastAsia="仿宋" w:hAnsi="仿宋" w:hint="eastAsia"/>
          <w:color w:val="000000"/>
          <w:sz w:val="32"/>
          <w:szCs w:val="32"/>
        </w:rPr>
        <w:t>、8.70%</w:t>
      </w:r>
      <w:r>
        <w:rPr>
          <w:rFonts w:ascii="仿宋" w:eastAsia="仿宋" w:hAnsi="仿宋" w:hint="eastAsia"/>
          <w:color w:val="000000"/>
          <w:sz w:val="32"/>
          <w:szCs w:val="32"/>
        </w:rPr>
        <w:t>。主要变动原因是</w:t>
      </w:r>
      <w:r w:rsidR="00606A7B">
        <w:rPr>
          <w:rFonts w:ascii="仿宋" w:eastAsia="仿宋" w:hAnsi="仿宋" w:hint="eastAsia"/>
          <w:color w:val="000000"/>
          <w:sz w:val="32"/>
          <w:szCs w:val="32"/>
        </w:rPr>
        <w:t>年度人员薪级工资正常晋升、人员职称晋升、小等级晋升增资以及“五险</w:t>
      </w:r>
      <w:proofErr w:type="gramStart"/>
      <w:r w:rsidR="00606A7B">
        <w:rPr>
          <w:rFonts w:ascii="仿宋" w:eastAsia="仿宋" w:hAnsi="仿宋" w:hint="eastAsia"/>
          <w:color w:val="000000"/>
          <w:sz w:val="32"/>
          <w:szCs w:val="32"/>
        </w:rPr>
        <w:t>一</w:t>
      </w:r>
      <w:proofErr w:type="gramEnd"/>
      <w:r w:rsidR="00606A7B">
        <w:rPr>
          <w:rFonts w:ascii="仿宋" w:eastAsia="仿宋" w:hAnsi="仿宋" w:hint="eastAsia"/>
          <w:color w:val="000000"/>
          <w:sz w:val="32"/>
          <w:szCs w:val="32"/>
        </w:rPr>
        <w:t>金”缴费的增长</w:t>
      </w:r>
      <w:r w:rsidR="00DF5FE0">
        <w:rPr>
          <w:rFonts w:ascii="仿宋" w:eastAsia="仿宋" w:hAnsi="仿宋" w:hint="eastAsia"/>
          <w:color w:val="000000"/>
          <w:sz w:val="32"/>
          <w:szCs w:val="32"/>
        </w:rPr>
        <w:t>，从而</w:t>
      </w:r>
      <w:r w:rsidR="00606A7B">
        <w:rPr>
          <w:rFonts w:ascii="仿宋" w:eastAsia="仿宋" w:hAnsi="仿宋" w:hint="eastAsia"/>
          <w:color w:val="000000"/>
          <w:sz w:val="32"/>
          <w:szCs w:val="32"/>
        </w:rPr>
        <w:t>导致</w:t>
      </w:r>
      <w:r w:rsidR="00DF5FE0">
        <w:rPr>
          <w:rFonts w:ascii="仿宋" w:eastAsia="仿宋" w:hAnsi="仿宋" w:hint="eastAsia"/>
          <w:color w:val="000000"/>
          <w:sz w:val="32"/>
          <w:szCs w:val="32"/>
        </w:rPr>
        <w:t>了</w:t>
      </w:r>
      <w:r w:rsidR="00606A7B">
        <w:rPr>
          <w:rFonts w:ascii="仿宋" w:eastAsia="仿宋" w:hAnsi="仿宋" w:hint="eastAsia"/>
          <w:color w:val="000000"/>
          <w:sz w:val="32"/>
          <w:szCs w:val="32"/>
        </w:rPr>
        <w:t>财政拨款收、</w:t>
      </w:r>
      <w:proofErr w:type="gramStart"/>
      <w:r w:rsidR="00606A7B">
        <w:rPr>
          <w:rFonts w:ascii="仿宋" w:eastAsia="仿宋" w:hAnsi="仿宋" w:hint="eastAsia"/>
          <w:color w:val="000000"/>
          <w:sz w:val="32"/>
          <w:szCs w:val="32"/>
        </w:rPr>
        <w:t>支相应</w:t>
      </w:r>
      <w:proofErr w:type="gramEnd"/>
      <w:r w:rsidR="00606A7B">
        <w:rPr>
          <w:rFonts w:ascii="仿宋" w:eastAsia="仿宋" w:hAnsi="仿宋" w:hint="eastAsia"/>
          <w:color w:val="000000"/>
          <w:sz w:val="32"/>
          <w:szCs w:val="32"/>
        </w:rPr>
        <w:t>的增加。</w:t>
      </w:r>
    </w:p>
    <w:p w:rsidR="00307E59" w:rsidRPr="00FE5775" w:rsidRDefault="00307E59" w:rsidP="00307E59">
      <w:pPr>
        <w:spacing w:line="600" w:lineRule="exact"/>
        <w:ind w:firstLineChars="200" w:firstLine="640"/>
        <w:rPr>
          <w:rFonts w:ascii="仿宋" w:eastAsia="仿宋" w:hAnsi="仿宋"/>
          <w:color w:val="000000" w:themeColor="text1"/>
          <w:sz w:val="32"/>
          <w:szCs w:val="32"/>
        </w:rPr>
      </w:pPr>
      <w:r>
        <w:rPr>
          <w:rFonts w:ascii="仿宋" w:eastAsia="仿宋" w:hAnsi="仿宋" w:hint="eastAsia"/>
          <w:noProof/>
          <w:color w:val="000000" w:themeColor="text1"/>
          <w:sz w:val="32"/>
          <w:szCs w:val="32"/>
        </w:rPr>
        <w:drawing>
          <wp:anchor distT="0" distB="0" distL="114300" distR="114300" simplePos="0" relativeHeight="251665408" behindDoc="0" locked="0" layoutInCell="1" allowOverlap="1">
            <wp:simplePos x="0" y="0"/>
            <wp:positionH relativeFrom="column">
              <wp:posOffset>481965</wp:posOffset>
            </wp:positionH>
            <wp:positionV relativeFrom="paragraph">
              <wp:posOffset>624840</wp:posOffset>
            </wp:positionV>
            <wp:extent cx="4504690" cy="1971675"/>
            <wp:effectExtent l="19050" t="0" r="10160" b="0"/>
            <wp:wrapTopAndBottom/>
            <wp:docPr id="18"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204CDE">
        <w:rPr>
          <w:rFonts w:ascii="仿宋" w:eastAsia="仿宋" w:hAnsi="仿宋" w:hint="eastAsia"/>
          <w:color w:val="000000" w:themeColor="text1"/>
          <w:sz w:val="32"/>
          <w:szCs w:val="32"/>
        </w:rPr>
        <w:t>（图4：财政拨款收、支决算总计变动情况）（柱状图）</w:t>
      </w:r>
    </w:p>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rsidP="008A0129">
      <w:pPr>
        <w:spacing w:line="600" w:lineRule="exact"/>
        <w:ind w:firstLineChars="200" w:firstLine="640"/>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A733B2" w:rsidRPr="00DF5FE0" w:rsidRDefault="00204CDE" w:rsidP="00DF5FE0">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DF5FE0">
        <w:rPr>
          <w:rFonts w:ascii="仿宋" w:eastAsia="仿宋" w:hAnsi="仿宋" w:hint="eastAsia"/>
          <w:color w:val="000000"/>
          <w:sz w:val="32"/>
          <w:szCs w:val="32"/>
        </w:rPr>
        <w:t>627.26</w:t>
      </w:r>
      <w:r>
        <w:rPr>
          <w:rFonts w:ascii="仿宋" w:eastAsia="仿宋" w:hAnsi="仿宋" w:hint="eastAsia"/>
          <w:color w:val="000000"/>
          <w:sz w:val="32"/>
          <w:szCs w:val="32"/>
        </w:rPr>
        <w:t>万元，占本年支出合计的</w:t>
      </w:r>
      <w:r w:rsidR="00DF5FE0">
        <w:rPr>
          <w:rFonts w:ascii="仿宋" w:eastAsia="仿宋" w:hAnsi="仿宋" w:hint="eastAsia"/>
          <w:color w:val="000000"/>
          <w:sz w:val="32"/>
          <w:szCs w:val="32"/>
        </w:rPr>
        <w:t>95.31</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DF5FE0">
        <w:rPr>
          <w:rFonts w:ascii="仿宋" w:eastAsia="仿宋" w:hAnsi="仿宋" w:hint="eastAsia"/>
          <w:color w:val="000000"/>
          <w:sz w:val="32"/>
          <w:szCs w:val="32"/>
        </w:rPr>
        <w:t>44.67</w:t>
      </w:r>
      <w:r>
        <w:rPr>
          <w:rFonts w:ascii="仿宋" w:eastAsia="仿宋" w:hAnsi="仿宋" w:hint="eastAsia"/>
          <w:color w:val="000000"/>
          <w:sz w:val="32"/>
          <w:szCs w:val="32"/>
        </w:rPr>
        <w:t>万元，增长</w:t>
      </w:r>
      <w:r w:rsidR="00DF5FE0">
        <w:rPr>
          <w:rFonts w:ascii="仿宋" w:eastAsia="仿宋" w:hAnsi="仿宋" w:hint="eastAsia"/>
          <w:color w:val="000000"/>
          <w:sz w:val="32"/>
          <w:szCs w:val="32"/>
        </w:rPr>
        <w:t>7.67</w:t>
      </w:r>
      <w:r>
        <w:rPr>
          <w:rFonts w:ascii="仿宋" w:eastAsia="仿宋" w:hAnsi="仿宋"/>
          <w:color w:val="000000"/>
          <w:sz w:val="32"/>
          <w:szCs w:val="32"/>
        </w:rPr>
        <w:t>%</w:t>
      </w:r>
      <w:r>
        <w:rPr>
          <w:rFonts w:ascii="仿宋" w:eastAsia="仿宋" w:hAnsi="仿宋" w:hint="eastAsia"/>
          <w:color w:val="000000"/>
          <w:sz w:val="32"/>
          <w:szCs w:val="32"/>
        </w:rPr>
        <w:t>。主要变动原因是</w:t>
      </w:r>
      <w:r w:rsidR="00DF5FE0">
        <w:rPr>
          <w:rFonts w:ascii="仿宋" w:eastAsia="仿宋" w:hAnsi="仿宋" w:hint="eastAsia"/>
          <w:color w:val="000000"/>
          <w:sz w:val="32"/>
          <w:szCs w:val="32"/>
        </w:rPr>
        <w:t>年度人员薪级工资正常晋升、人员职称晋升、小等级晋升增资以及“五险</w:t>
      </w:r>
      <w:proofErr w:type="gramStart"/>
      <w:r w:rsidR="00DF5FE0">
        <w:rPr>
          <w:rFonts w:ascii="仿宋" w:eastAsia="仿宋" w:hAnsi="仿宋" w:hint="eastAsia"/>
          <w:color w:val="000000"/>
          <w:sz w:val="32"/>
          <w:szCs w:val="32"/>
        </w:rPr>
        <w:t>一</w:t>
      </w:r>
      <w:proofErr w:type="gramEnd"/>
      <w:r w:rsidR="00DF5FE0">
        <w:rPr>
          <w:rFonts w:ascii="仿宋" w:eastAsia="仿宋" w:hAnsi="仿宋" w:hint="eastAsia"/>
          <w:color w:val="000000"/>
          <w:sz w:val="32"/>
          <w:szCs w:val="32"/>
        </w:rPr>
        <w:t>金”缴费的增长，从而导致了财政拨款收、</w:t>
      </w:r>
      <w:proofErr w:type="gramStart"/>
      <w:r w:rsidR="00DF5FE0">
        <w:rPr>
          <w:rFonts w:ascii="仿宋" w:eastAsia="仿宋" w:hAnsi="仿宋" w:hint="eastAsia"/>
          <w:color w:val="000000"/>
          <w:sz w:val="32"/>
          <w:szCs w:val="32"/>
        </w:rPr>
        <w:t>支相应</w:t>
      </w:r>
      <w:proofErr w:type="gramEnd"/>
      <w:r w:rsidR="00DF5FE0">
        <w:rPr>
          <w:rFonts w:ascii="仿宋" w:eastAsia="仿宋" w:hAnsi="仿宋" w:hint="eastAsia"/>
          <w:color w:val="000000"/>
          <w:sz w:val="32"/>
          <w:szCs w:val="32"/>
        </w:rPr>
        <w:t>的增加。</w:t>
      </w:r>
    </w:p>
    <w:p w:rsidR="00140DA3" w:rsidRDefault="00204CDE" w:rsidP="00140DA3">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（图5：一般公共预算财政拨款支出决算变动情况）（柱</w:t>
      </w:r>
      <w:r w:rsidR="00140DA3">
        <w:rPr>
          <w:rFonts w:ascii="仿宋" w:eastAsia="仿宋" w:hAnsi="仿宋" w:hint="eastAsia"/>
          <w:noProof/>
          <w:color w:val="000000" w:themeColor="text1"/>
          <w:sz w:val="32"/>
          <w:szCs w:val="32"/>
        </w:rPr>
        <w:lastRenderedPageBreak/>
        <w:drawing>
          <wp:anchor distT="0" distB="0" distL="114300" distR="114300" simplePos="0" relativeHeight="251667456" behindDoc="0" locked="0" layoutInCell="1" allowOverlap="1">
            <wp:simplePos x="0" y="0"/>
            <wp:positionH relativeFrom="column">
              <wp:posOffset>481965</wp:posOffset>
            </wp:positionH>
            <wp:positionV relativeFrom="paragraph">
              <wp:posOffset>603885</wp:posOffset>
            </wp:positionV>
            <wp:extent cx="3921125" cy="1876425"/>
            <wp:effectExtent l="19050" t="0" r="22225" b="0"/>
            <wp:wrapTopAndBottom/>
            <wp:docPr id="19"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ascii="仿宋" w:eastAsia="仿宋" w:hAnsi="仿宋" w:hint="eastAsia"/>
          <w:color w:val="000000" w:themeColor="text1"/>
          <w:sz w:val="32"/>
          <w:szCs w:val="32"/>
        </w:rPr>
        <w:t>状图）</w:t>
      </w:r>
    </w:p>
    <w:p w:rsidR="005B5C64" w:rsidRDefault="00204CDE" w:rsidP="008A0129">
      <w:pPr>
        <w:spacing w:line="600" w:lineRule="exact"/>
        <w:ind w:firstLineChars="200" w:firstLine="640"/>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A733B2" w:rsidRPr="00140DA3" w:rsidRDefault="00204CDE" w:rsidP="00140DA3">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DF5FE0">
        <w:rPr>
          <w:rFonts w:ascii="仿宋" w:eastAsia="仿宋" w:hAnsi="仿宋" w:hint="eastAsia"/>
          <w:color w:val="000000" w:themeColor="text1"/>
          <w:sz w:val="32"/>
          <w:szCs w:val="32"/>
        </w:rPr>
        <w:t>627.26</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E81ADC">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E81ADC">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E81ADC">
        <w:rPr>
          <w:rFonts w:ascii="仿宋" w:eastAsia="仿宋" w:hAnsi="仿宋" w:hint="eastAsia"/>
          <w:color w:val="000000" w:themeColor="text1"/>
          <w:sz w:val="32"/>
          <w:szCs w:val="32"/>
        </w:rPr>
        <w:t>420.36</w:t>
      </w:r>
      <w:r>
        <w:rPr>
          <w:rFonts w:ascii="仿宋" w:eastAsia="仿宋" w:hAnsi="仿宋" w:hint="eastAsia"/>
          <w:color w:val="000000" w:themeColor="text1"/>
          <w:sz w:val="32"/>
          <w:szCs w:val="32"/>
        </w:rPr>
        <w:t>万元，占</w:t>
      </w:r>
      <w:r w:rsidR="00E81ADC">
        <w:rPr>
          <w:rFonts w:ascii="仿宋" w:eastAsia="仿宋" w:hAnsi="仿宋" w:hint="eastAsia"/>
          <w:color w:val="000000" w:themeColor="text1"/>
          <w:sz w:val="32"/>
          <w:szCs w:val="32"/>
        </w:rPr>
        <w:t>67.02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E81ADC">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E81ADC">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E81ADC">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sidR="00E81ADC">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E81ADC">
        <w:rPr>
          <w:rFonts w:ascii="仿宋" w:eastAsia="仿宋" w:hAnsi="仿宋" w:hint="eastAsia"/>
          <w:color w:val="000000" w:themeColor="text1"/>
          <w:sz w:val="32"/>
          <w:szCs w:val="32"/>
        </w:rPr>
        <w:t>128.63</w:t>
      </w:r>
      <w:r>
        <w:rPr>
          <w:rFonts w:ascii="仿宋" w:eastAsia="仿宋" w:hAnsi="仿宋" w:hint="eastAsia"/>
          <w:color w:val="000000" w:themeColor="text1"/>
          <w:sz w:val="32"/>
          <w:szCs w:val="32"/>
        </w:rPr>
        <w:t>万元，占</w:t>
      </w:r>
      <w:r w:rsidR="00E81ADC">
        <w:rPr>
          <w:rFonts w:ascii="仿宋" w:eastAsia="仿宋" w:hAnsi="仿宋" w:hint="eastAsia"/>
          <w:color w:val="000000" w:themeColor="text1"/>
          <w:sz w:val="32"/>
          <w:szCs w:val="32"/>
        </w:rPr>
        <w:t>20.51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E81ADC">
        <w:rPr>
          <w:rFonts w:ascii="仿宋" w:eastAsia="仿宋" w:hAnsi="仿宋" w:hint="eastAsia"/>
          <w:color w:val="000000" w:themeColor="text1"/>
          <w:sz w:val="32"/>
          <w:szCs w:val="32"/>
        </w:rPr>
        <w:t>34.72</w:t>
      </w:r>
      <w:r>
        <w:rPr>
          <w:rFonts w:ascii="仿宋" w:eastAsia="仿宋" w:hAnsi="仿宋" w:hint="eastAsia"/>
          <w:color w:val="000000" w:themeColor="text1"/>
          <w:sz w:val="32"/>
          <w:szCs w:val="32"/>
        </w:rPr>
        <w:t>万元，占</w:t>
      </w:r>
      <w:r w:rsidR="00E81ADC">
        <w:rPr>
          <w:rFonts w:ascii="仿宋" w:eastAsia="仿宋" w:hAnsi="仿宋" w:hint="eastAsia"/>
          <w:color w:val="000000" w:themeColor="text1"/>
          <w:sz w:val="32"/>
          <w:szCs w:val="32"/>
        </w:rPr>
        <w:t>5.54</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E81ADC">
        <w:rPr>
          <w:rFonts w:ascii="仿宋" w:eastAsia="仿宋" w:hAnsi="仿宋" w:hint="eastAsia"/>
          <w:color w:val="000000" w:themeColor="text1"/>
          <w:sz w:val="32"/>
          <w:szCs w:val="32"/>
        </w:rPr>
        <w:t>43.55</w:t>
      </w:r>
      <w:r>
        <w:rPr>
          <w:rFonts w:ascii="仿宋" w:eastAsia="仿宋" w:hAnsi="仿宋" w:hint="eastAsia"/>
          <w:color w:val="000000" w:themeColor="text1"/>
          <w:sz w:val="32"/>
          <w:szCs w:val="32"/>
        </w:rPr>
        <w:t>万元，占</w:t>
      </w:r>
      <w:r w:rsidR="00E81ADC">
        <w:rPr>
          <w:rFonts w:ascii="仿宋" w:eastAsia="仿宋" w:hAnsi="仿宋" w:hint="eastAsia"/>
          <w:color w:val="000000" w:themeColor="text1"/>
          <w:sz w:val="32"/>
          <w:szCs w:val="32"/>
        </w:rPr>
        <w:t>6.94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rsidR="005B5C64" w:rsidRDefault="00140DA3" w:rsidP="00140DA3">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9504" behindDoc="0" locked="0" layoutInCell="1" allowOverlap="1">
            <wp:simplePos x="0" y="0"/>
            <wp:positionH relativeFrom="column">
              <wp:posOffset>370840</wp:posOffset>
            </wp:positionH>
            <wp:positionV relativeFrom="paragraph">
              <wp:posOffset>292100</wp:posOffset>
            </wp:positionV>
            <wp:extent cx="5051425" cy="2552065"/>
            <wp:effectExtent l="19050" t="0" r="15875" b="635"/>
            <wp:wrapSquare wrapText="bothSides"/>
            <wp:docPr id="21"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140DA3" w:rsidRDefault="00140DA3" w:rsidP="00140DA3">
      <w:pPr>
        <w:spacing w:line="600" w:lineRule="exact"/>
        <w:ind w:firstLineChars="200" w:firstLine="640"/>
        <w:rPr>
          <w:rFonts w:ascii="仿宋" w:eastAsia="仿宋" w:hAnsi="仿宋"/>
          <w:color w:val="000000"/>
          <w:sz w:val="32"/>
          <w:szCs w:val="32"/>
        </w:rPr>
      </w:pPr>
    </w:p>
    <w:p w:rsidR="00140DA3" w:rsidRDefault="00140DA3">
      <w:pPr>
        <w:spacing w:line="600" w:lineRule="exact"/>
        <w:ind w:firstLineChars="200" w:firstLine="640"/>
        <w:rPr>
          <w:rFonts w:ascii="仿宋" w:eastAsia="仿宋" w:hAnsi="仿宋"/>
          <w:color w:val="000000"/>
          <w:sz w:val="32"/>
          <w:szCs w:val="32"/>
        </w:rPr>
      </w:pPr>
    </w:p>
    <w:p w:rsidR="00140DA3" w:rsidRDefault="00140DA3">
      <w:pPr>
        <w:spacing w:line="600" w:lineRule="exact"/>
        <w:ind w:firstLineChars="200" w:firstLine="640"/>
        <w:rPr>
          <w:rFonts w:ascii="仿宋" w:eastAsia="仿宋" w:hAnsi="仿宋"/>
          <w:color w:val="000000"/>
          <w:sz w:val="32"/>
          <w:szCs w:val="32"/>
        </w:rPr>
      </w:pPr>
    </w:p>
    <w:p w:rsidR="00140DA3" w:rsidRDefault="00140DA3">
      <w:pPr>
        <w:spacing w:line="600" w:lineRule="exact"/>
        <w:ind w:firstLineChars="200" w:firstLine="640"/>
        <w:rPr>
          <w:rFonts w:ascii="仿宋" w:eastAsia="仿宋" w:hAnsi="仿宋"/>
          <w:color w:val="000000"/>
          <w:sz w:val="32"/>
          <w:szCs w:val="32"/>
        </w:rPr>
      </w:pPr>
    </w:p>
    <w:p w:rsidR="00140DA3" w:rsidRDefault="00140DA3">
      <w:pPr>
        <w:spacing w:line="600" w:lineRule="exact"/>
        <w:ind w:firstLineChars="200" w:firstLine="640"/>
        <w:rPr>
          <w:rFonts w:ascii="仿宋" w:eastAsia="仿宋" w:hAnsi="仿宋"/>
          <w:color w:val="000000"/>
          <w:sz w:val="32"/>
          <w:szCs w:val="32"/>
        </w:rPr>
      </w:pPr>
    </w:p>
    <w:p w:rsidR="00140DA3" w:rsidRPr="00140DA3" w:rsidRDefault="00140DA3">
      <w:pPr>
        <w:spacing w:line="600" w:lineRule="exact"/>
        <w:ind w:firstLineChars="200" w:firstLine="640"/>
        <w:rPr>
          <w:rFonts w:ascii="仿宋" w:eastAsia="仿宋" w:hAnsi="仿宋"/>
          <w:color w:val="000000"/>
          <w:sz w:val="32"/>
          <w:szCs w:val="32"/>
        </w:rPr>
      </w:pPr>
    </w:p>
    <w:p w:rsidR="005B5C64" w:rsidRDefault="00204CDE" w:rsidP="008A0129">
      <w:pPr>
        <w:spacing w:line="600" w:lineRule="exact"/>
        <w:ind w:firstLineChars="200" w:firstLine="640"/>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lastRenderedPageBreak/>
        <w:t>（三）一般公共预算财政拨款支出决算具体情况</w:t>
      </w:r>
      <w:bookmarkEnd w:id="37"/>
    </w:p>
    <w:p w:rsidR="005B5C64" w:rsidRDefault="00204CDE" w:rsidP="008A0129">
      <w:pPr>
        <w:spacing w:line="600" w:lineRule="exact"/>
        <w:ind w:firstLineChars="200" w:firstLine="640"/>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w:t>
      </w:r>
      <w:r w:rsidR="00E81ADC">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E81ADC">
        <w:rPr>
          <w:rFonts w:ascii="仿宋" w:eastAsia="仿宋" w:hAnsi="仿宋" w:hint="eastAsia"/>
          <w:b/>
          <w:color w:val="000000" w:themeColor="text1"/>
          <w:sz w:val="32"/>
          <w:szCs w:val="32"/>
        </w:rPr>
        <w:t>627.26万元</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B35649">
        <w:rPr>
          <w:rStyle w:val="a7"/>
          <w:rFonts w:ascii="仿宋" w:eastAsia="仿宋" w:hAnsi="仿宋" w:hint="eastAsia"/>
          <w:bCs/>
          <w:color w:val="000000"/>
          <w:sz w:val="32"/>
          <w:szCs w:val="32"/>
        </w:rPr>
        <w:t>97.83</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8"/>
      <w:bookmarkEnd w:id="39"/>
      <w:bookmarkEnd w:id="40"/>
    </w:p>
    <w:p w:rsidR="005B5C64" w:rsidRDefault="00512266" w:rsidP="008A0129">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1</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教育（类）</w:t>
      </w:r>
      <w:r>
        <w:rPr>
          <w:rStyle w:val="a7"/>
          <w:rFonts w:ascii="仿宋" w:eastAsia="仿宋" w:hAnsi="仿宋" w:hint="eastAsia"/>
          <w:bCs/>
          <w:color w:val="000000"/>
          <w:sz w:val="32"/>
          <w:szCs w:val="32"/>
        </w:rPr>
        <w:t>02</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01</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9.98</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p>
    <w:p w:rsidR="00512266" w:rsidRDefault="00512266" w:rsidP="00512266">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教育（类）02（款）02（项）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支出决算为391.23万元，完成预算101.85</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12266" w:rsidRPr="00512266" w:rsidRDefault="00512266" w:rsidP="00512266">
      <w:pPr>
        <w:spacing w:line="600" w:lineRule="exact"/>
        <w:ind w:firstLineChars="200" w:firstLine="640"/>
        <w:rPr>
          <w:rFonts w:ascii="仿宋" w:eastAsia="仿宋" w:hAnsi="仿宋"/>
          <w:bCs/>
          <w:color w:val="000000"/>
          <w:sz w:val="32"/>
          <w:szCs w:val="32"/>
        </w:rPr>
      </w:pPr>
      <w:r>
        <w:rPr>
          <w:rStyle w:val="a7"/>
          <w:rFonts w:ascii="仿宋" w:eastAsia="仿宋" w:hAnsi="仿宋" w:hint="eastAsia"/>
          <w:bCs/>
          <w:color w:val="000000"/>
          <w:sz w:val="32"/>
          <w:szCs w:val="32"/>
        </w:rPr>
        <w:t>3</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教育（类）04（款）01（项）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支出决算为19.15万元，完成预算100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512266" w:rsidP="008A0129">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4</w:t>
      </w:r>
      <w:r w:rsidR="00204CDE">
        <w:rPr>
          <w:rStyle w:val="a7"/>
          <w:rFonts w:ascii="仿宋" w:eastAsia="仿宋" w:hAnsi="仿宋"/>
          <w:bCs/>
          <w:color w:val="000000"/>
          <w:sz w:val="32"/>
          <w:szCs w:val="32"/>
        </w:rPr>
        <w:t>.</w:t>
      </w:r>
      <w:r w:rsidR="00204CDE">
        <w:rPr>
          <w:rStyle w:val="a7"/>
          <w:rFonts w:ascii="仿宋" w:eastAsia="仿宋" w:hAnsi="仿宋" w:hint="eastAsia"/>
          <w:bCs/>
          <w:color w:val="000000"/>
          <w:sz w:val="32"/>
          <w:szCs w:val="32"/>
        </w:rPr>
        <w:t>社会保障和就业（类）</w:t>
      </w:r>
      <w:r w:rsidR="00E678BB">
        <w:rPr>
          <w:rStyle w:val="a7"/>
          <w:rFonts w:ascii="仿宋" w:eastAsia="仿宋" w:hAnsi="仿宋" w:hint="eastAsia"/>
          <w:bCs/>
          <w:color w:val="000000"/>
          <w:sz w:val="32"/>
          <w:szCs w:val="32"/>
        </w:rPr>
        <w:t>05</w:t>
      </w:r>
      <w:r w:rsidR="00204CDE">
        <w:rPr>
          <w:rStyle w:val="a7"/>
          <w:rFonts w:ascii="仿宋" w:eastAsia="仿宋" w:hAnsi="仿宋" w:hint="eastAsia"/>
          <w:bCs/>
          <w:color w:val="000000"/>
          <w:sz w:val="32"/>
          <w:szCs w:val="32"/>
        </w:rPr>
        <w:t>（款）</w:t>
      </w:r>
      <w:r w:rsidR="00E678BB">
        <w:rPr>
          <w:rStyle w:val="a7"/>
          <w:rFonts w:ascii="仿宋" w:eastAsia="仿宋" w:hAnsi="仿宋" w:hint="eastAsia"/>
          <w:bCs/>
          <w:color w:val="000000"/>
          <w:sz w:val="32"/>
          <w:szCs w:val="32"/>
        </w:rPr>
        <w:t>02</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b w:val="0"/>
          <w:bCs/>
          <w:color w:val="000000"/>
          <w:sz w:val="32"/>
          <w:szCs w:val="32"/>
        </w:rPr>
        <w:t xml:space="preserve"> </w:t>
      </w:r>
      <w:r w:rsidR="00204CDE">
        <w:rPr>
          <w:rStyle w:val="a7"/>
          <w:rFonts w:ascii="仿宋" w:eastAsia="仿宋" w:hAnsi="仿宋" w:hint="eastAsia"/>
          <w:b w:val="0"/>
          <w:bCs/>
          <w:color w:val="000000"/>
          <w:sz w:val="32"/>
          <w:szCs w:val="32"/>
        </w:rPr>
        <w:t>支出决算为</w:t>
      </w:r>
      <w:r w:rsidR="00E678BB">
        <w:rPr>
          <w:rStyle w:val="a7"/>
          <w:rFonts w:ascii="仿宋" w:eastAsia="仿宋" w:hAnsi="仿宋" w:hint="eastAsia"/>
          <w:b w:val="0"/>
          <w:bCs/>
          <w:color w:val="000000"/>
          <w:sz w:val="32"/>
          <w:szCs w:val="32"/>
        </w:rPr>
        <w:t>49.55</w:t>
      </w:r>
      <w:r w:rsidR="00204CDE">
        <w:rPr>
          <w:rStyle w:val="a7"/>
          <w:rFonts w:ascii="仿宋" w:eastAsia="仿宋" w:hAnsi="仿宋" w:hint="eastAsia"/>
          <w:b w:val="0"/>
          <w:bCs/>
          <w:color w:val="000000"/>
          <w:sz w:val="32"/>
          <w:szCs w:val="32"/>
        </w:rPr>
        <w:t>万元，完成预算</w:t>
      </w:r>
      <w:r w:rsidR="00E678BB">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p>
    <w:p w:rsidR="00E678BB" w:rsidRDefault="00E678BB" w:rsidP="00E678BB">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5</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社会保障和就业（类）05（款）05（项）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支出决算为54.41万元，完成预算100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E678BB" w:rsidRPr="00E678BB" w:rsidRDefault="00E678BB" w:rsidP="00E678BB">
      <w:pPr>
        <w:spacing w:line="600" w:lineRule="exact"/>
        <w:ind w:firstLineChars="200" w:firstLine="640"/>
        <w:rPr>
          <w:rFonts w:ascii="仿宋" w:eastAsia="仿宋" w:hAnsi="仿宋"/>
          <w:bCs/>
          <w:color w:val="000000"/>
          <w:sz w:val="32"/>
          <w:szCs w:val="32"/>
        </w:rPr>
      </w:pPr>
      <w:r>
        <w:rPr>
          <w:rStyle w:val="a7"/>
          <w:rFonts w:ascii="仿宋" w:eastAsia="仿宋" w:hAnsi="仿宋" w:hint="eastAsia"/>
          <w:bCs/>
          <w:color w:val="000000"/>
          <w:sz w:val="32"/>
          <w:szCs w:val="32"/>
        </w:rPr>
        <w:t>6</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社会保障和就业（类）05（款）06（项）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支出决算为24.67万元，完成预算100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E678BB" w:rsidP="008A0129">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7</w:t>
      </w:r>
      <w:r w:rsidR="00204CDE">
        <w:rPr>
          <w:rStyle w:val="a7"/>
          <w:rFonts w:ascii="仿宋" w:eastAsia="仿宋" w:hAnsi="仿宋"/>
          <w:bCs/>
          <w:color w:val="000000"/>
          <w:sz w:val="32"/>
          <w:szCs w:val="32"/>
        </w:rPr>
        <w:t>.</w:t>
      </w:r>
      <w:r w:rsidR="00204CDE">
        <w:rPr>
          <w:rFonts w:ascii="仿宋" w:eastAsia="仿宋" w:hAnsi="仿宋" w:hint="eastAsia"/>
          <w:b/>
          <w:bCs/>
          <w:color w:val="000000" w:themeColor="text1"/>
          <w:sz w:val="32"/>
          <w:szCs w:val="32"/>
        </w:rPr>
        <w:t>卫生健康</w:t>
      </w:r>
      <w:r w:rsidR="00204CDE">
        <w:rPr>
          <w:rStyle w:val="a7"/>
          <w:rFonts w:ascii="仿宋" w:eastAsia="仿宋" w:hAnsi="仿宋" w:hint="eastAsia"/>
          <w:bCs/>
          <w:color w:val="000000"/>
          <w:sz w:val="32"/>
          <w:szCs w:val="32"/>
        </w:rPr>
        <w:t>（类）</w:t>
      </w:r>
      <w:r>
        <w:rPr>
          <w:rStyle w:val="a7"/>
          <w:rFonts w:ascii="仿宋" w:eastAsia="仿宋" w:hAnsi="仿宋" w:hint="eastAsia"/>
          <w:bCs/>
          <w:color w:val="000000"/>
          <w:sz w:val="32"/>
          <w:szCs w:val="32"/>
        </w:rPr>
        <w:t>11</w:t>
      </w:r>
      <w:r w:rsidR="00204CDE">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02</w:t>
      </w:r>
      <w:r w:rsidR="00204CDE">
        <w:rPr>
          <w:rStyle w:val="a7"/>
          <w:rFonts w:ascii="仿宋" w:eastAsia="仿宋" w:hAnsi="仿宋" w:hint="eastAsia"/>
          <w:bCs/>
          <w:color w:val="000000"/>
          <w:sz w:val="32"/>
          <w:szCs w:val="32"/>
        </w:rPr>
        <w:t>（项）</w:t>
      </w:r>
      <w:r w:rsidR="00204CDE">
        <w:rPr>
          <w:rStyle w:val="a7"/>
          <w:rFonts w:ascii="仿宋" w:eastAsia="仿宋" w:hAnsi="仿宋"/>
          <w:bCs/>
          <w:color w:val="000000"/>
          <w:sz w:val="32"/>
          <w:szCs w:val="32"/>
        </w:rPr>
        <w:t>:</w:t>
      </w:r>
      <w:r w:rsidR="00204CDE">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19.35</w:t>
      </w:r>
      <w:r w:rsidR="00204CDE">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100</w:t>
      </w:r>
      <w:r w:rsidR="00204CDE">
        <w:rPr>
          <w:rStyle w:val="a7"/>
          <w:rFonts w:ascii="仿宋" w:eastAsia="仿宋" w:hAnsi="仿宋"/>
          <w:b w:val="0"/>
          <w:bCs/>
          <w:color w:val="000000"/>
          <w:sz w:val="32"/>
          <w:szCs w:val="32"/>
        </w:rPr>
        <w:t>%</w:t>
      </w:r>
      <w:r w:rsidR="00204CDE">
        <w:rPr>
          <w:rStyle w:val="a7"/>
          <w:rFonts w:ascii="仿宋" w:eastAsia="仿宋" w:hAnsi="仿宋" w:hint="eastAsia"/>
          <w:b w:val="0"/>
          <w:bCs/>
          <w:color w:val="000000"/>
          <w:sz w:val="32"/>
          <w:szCs w:val="32"/>
        </w:rPr>
        <w:t>。</w:t>
      </w:r>
    </w:p>
    <w:p w:rsidR="00E678BB" w:rsidRDefault="00E678BB" w:rsidP="00E678BB">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7</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（类）11（款）03（项）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支出决算为13.80万元，完成预算100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231266" w:rsidRDefault="00231266" w:rsidP="00231266">
      <w:pPr>
        <w:spacing w:line="600" w:lineRule="exact"/>
        <w:ind w:firstLineChars="200" w:firstLine="640"/>
        <w:rPr>
          <w:rStyle w:val="a7"/>
          <w:rFonts w:ascii="仿宋" w:eastAsia="仿宋" w:hAnsi="仿宋"/>
          <w:b w:val="0"/>
          <w:bCs/>
          <w:color w:val="000000"/>
          <w:sz w:val="32"/>
          <w:szCs w:val="32"/>
        </w:rPr>
      </w:pPr>
      <w:r>
        <w:rPr>
          <w:rStyle w:val="a7"/>
          <w:rFonts w:ascii="仿宋" w:eastAsia="仿宋" w:hAnsi="仿宋" w:hint="eastAsia"/>
          <w:bCs/>
          <w:color w:val="000000"/>
          <w:sz w:val="32"/>
          <w:szCs w:val="32"/>
        </w:rPr>
        <w:t>8</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（类）99（款）01（项）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支出决算为1.57万元，完成预算100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Pr="00231266" w:rsidRDefault="00231266" w:rsidP="00231266">
      <w:pPr>
        <w:spacing w:line="600" w:lineRule="exact"/>
        <w:ind w:firstLineChars="200" w:firstLine="640"/>
        <w:rPr>
          <w:rFonts w:ascii="仿宋" w:eastAsia="仿宋" w:hAnsi="仿宋"/>
          <w:bCs/>
          <w:color w:val="000000"/>
          <w:sz w:val="32"/>
          <w:szCs w:val="32"/>
        </w:rPr>
      </w:pPr>
      <w:r>
        <w:rPr>
          <w:rStyle w:val="a7"/>
          <w:rFonts w:ascii="仿宋" w:eastAsia="仿宋" w:hAnsi="仿宋" w:hint="eastAsia"/>
          <w:bCs/>
          <w:color w:val="000000"/>
          <w:sz w:val="32"/>
          <w:szCs w:val="32"/>
        </w:rPr>
        <w:t>9</w:t>
      </w:r>
      <w:r>
        <w:rPr>
          <w:rStyle w:val="a7"/>
          <w:rFonts w:ascii="仿宋" w:eastAsia="仿宋" w:hAnsi="仿宋"/>
          <w:bCs/>
          <w:color w:val="000000"/>
          <w:sz w:val="32"/>
          <w:szCs w:val="32"/>
        </w:rPr>
        <w:t>.</w:t>
      </w:r>
      <w:r>
        <w:rPr>
          <w:rFonts w:ascii="仿宋" w:eastAsia="仿宋" w:hAnsi="仿宋" w:hint="eastAsia"/>
          <w:b/>
          <w:bCs/>
          <w:color w:val="000000" w:themeColor="text1"/>
          <w:sz w:val="32"/>
          <w:szCs w:val="32"/>
        </w:rPr>
        <w:t>住房保障支出</w:t>
      </w:r>
      <w:r>
        <w:rPr>
          <w:rStyle w:val="a7"/>
          <w:rFonts w:ascii="仿宋" w:eastAsia="仿宋" w:hAnsi="仿宋" w:hint="eastAsia"/>
          <w:bCs/>
          <w:color w:val="000000"/>
          <w:sz w:val="32"/>
          <w:szCs w:val="32"/>
        </w:rPr>
        <w:t>（类）02（款）01（项）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支出决算为43.55万元，完成预算100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lastRenderedPageBreak/>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231266">
        <w:rPr>
          <w:rFonts w:ascii="仿宋" w:eastAsia="仿宋" w:hAnsi="仿宋" w:hint="eastAsia"/>
          <w:color w:val="000000"/>
          <w:sz w:val="32"/>
          <w:szCs w:val="32"/>
        </w:rPr>
        <w:t>627.26</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231266">
        <w:rPr>
          <w:rFonts w:ascii="仿宋" w:eastAsia="仿宋" w:hAnsi="仿宋" w:hint="eastAsia"/>
          <w:color w:val="000000"/>
          <w:sz w:val="32"/>
          <w:szCs w:val="32"/>
        </w:rPr>
        <w:t>583.02</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231266">
        <w:rPr>
          <w:rFonts w:ascii="仿宋" w:eastAsia="仿宋" w:hAnsi="仿宋" w:hint="eastAsia"/>
          <w:color w:val="000000"/>
          <w:sz w:val="32"/>
          <w:szCs w:val="32"/>
        </w:rPr>
        <w:t>44.23</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231266">
        <w:rPr>
          <w:rFonts w:ascii="仿宋" w:eastAsia="仿宋" w:hAnsi="仿宋" w:hint="eastAsia"/>
          <w:color w:val="000000"/>
          <w:sz w:val="32"/>
          <w:szCs w:val="32"/>
        </w:rPr>
        <w:t>0</w:t>
      </w:r>
      <w:r>
        <w:rPr>
          <w:rFonts w:ascii="仿宋" w:eastAsia="仿宋" w:hAnsi="仿宋" w:hint="eastAsia"/>
          <w:color w:val="000000"/>
          <w:sz w:val="32"/>
          <w:szCs w:val="32"/>
        </w:rPr>
        <w:t>万元，完成预算</w:t>
      </w:r>
      <w:r w:rsidR="00231266">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DF25D2">
        <w:rPr>
          <w:rFonts w:ascii="仿宋" w:eastAsia="仿宋" w:hAnsi="仿宋" w:hint="eastAsia"/>
          <w:color w:val="000000"/>
          <w:sz w:val="32"/>
          <w:szCs w:val="32"/>
        </w:rPr>
        <w:t>0</w:t>
      </w:r>
      <w:r>
        <w:rPr>
          <w:rFonts w:ascii="仿宋" w:eastAsia="仿宋" w:hAnsi="仿宋" w:hint="eastAsia"/>
          <w:color w:val="000000"/>
          <w:sz w:val="32"/>
          <w:szCs w:val="32"/>
        </w:rPr>
        <w:t>万元，占</w:t>
      </w:r>
      <w:r w:rsidR="00DF25D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DF25D2">
        <w:rPr>
          <w:rFonts w:ascii="仿宋" w:eastAsia="仿宋" w:hAnsi="仿宋" w:hint="eastAsia"/>
          <w:color w:val="000000"/>
          <w:sz w:val="32"/>
          <w:szCs w:val="32"/>
        </w:rPr>
        <w:t>0</w:t>
      </w:r>
      <w:r>
        <w:rPr>
          <w:rFonts w:ascii="仿宋" w:eastAsia="仿宋" w:hAnsi="仿宋" w:hint="eastAsia"/>
          <w:color w:val="000000"/>
          <w:sz w:val="32"/>
          <w:szCs w:val="32"/>
        </w:rPr>
        <w:t>万元，占</w:t>
      </w:r>
      <w:r w:rsidR="00DF25D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DF25D2">
        <w:rPr>
          <w:rFonts w:ascii="仿宋" w:eastAsia="仿宋" w:hAnsi="仿宋" w:hint="eastAsia"/>
          <w:color w:val="000000"/>
          <w:sz w:val="32"/>
          <w:szCs w:val="32"/>
        </w:rPr>
        <w:t>0</w:t>
      </w:r>
      <w:r>
        <w:rPr>
          <w:rFonts w:ascii="仿宋" w:eastAsia="仿宋" w:hAnsi="仿宋" w:hint="eastAsia"/>
          <w:color w:val="000000"/>
          <w:sz w:val="32"/>
          <w:szCs w:val="32"/>
        </w:rPr>
        <w:t>万元，占</w:t>
      </w:r>
      <w:r w:rsidR="00DF25D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color w:val="000000"/>
          <w:sz w:val="32"/>
          <w:szCs w:val="32"/>
        </w:rPr>
        <w:lastRenderedPageBreak/>
        <w:t>具体情况如下：</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DF25D2">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DF25D2">
        <w:rPr>
          <w:rFonts w:ascii="仿宋_GB2312" w:eastAsia="仿宋_GB2312" w:hint="eastAsia"/>
          <w:color w:val="000000"/>
          <w:sz w:val="32"/>
          <w:szCs w:val="32"/>
        </w:rPr>
        <w:t>0</w:t>
      </w:r>
      <w:r>
        <w:rPr>
          <w:rFonts w:ascii="仿宋_GB2312" w:eastAsia="仿宋_GB2312" w:hint="eastAsia"/>
          <w:color w:val="000000"/>
          <w:sz w:val="32"/>
          <w:szCs w:val="32"/>
        </w:rPr>
        <w:t>次，出国（境）</w:t>
      </w:r>
      <w:r w:rsidR="00DF25D2">
        <w:rPr>
          <w:rFonts w:ascii="仿宋_GB2312" w:eastAsia="仿宋_GB2312" w:hint="eastAsia"/>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DF25D2">
        <w:rPr>
          <w:rFonts w:ascii="仿宋_GB2312" w:eastAsia="仿宋_GB2312" w:hint="eastAsia"/>
          <w:color w:val="000000"/>
          <w:sz w:val="32"/>
          <w:szCs w:val="32"/>
        </w:rPr>
        <w:t>0</w:t>
      </w:r>
      <w:r>
        <w:rPr>
          <w:rFonts w:ascii="仿宋_GB2312" w:eastAsia="仿宋_GB2312" w:hint="eastAsia"/>
          <w:color w:val="000000"/>
          <w:sz w:val="32"/>
          <w:szCs w:val="32"/>
        </w:rPr>
        <w:t>万元</w:t>
      </w:r>
      <w:r w:rsidR="00DF25D2">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DF25D2">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DF25D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DF25D2">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5B5C64" w:rsidRPr="00DF25D2" w:rsidRDefault="00204CDE" w:rsidP="00DF25D2">
      <w:pPr>
        <w:spacing w:line="600" w:lineRule="exact"/>
        <w:ind w:firstLine="640"/>
        <w:rPr>
          <w:rFonts w:ascii="仿宋_GB2312" w:eastAsia="仿宋_GB2312"/>
          <w:color w:val="000000" w:themeColor="text1"/>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DF25D2">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DF25D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DF25D2">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bookmarkStart w:id="47" w:name="_Toc15396610"/>
      <w:bookmarkStart w:id="48"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7"/>
      <w:bookmarkEnd w:id="48"/>
    </w:p>
    <w:p w:rsidR="005B5C64" w:rsidRPr="00DF25D2" w:rsidRDefault="00204CDE" w:rsidP="00DF25D2">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DF25D2">
        <w:rPr>
          <w:rFonts w:ascii="仿宋_GB2312" w:eastAsia="仿宋_GB2312" w:hint="eastAsia"/>
          <w:color w:val="000000"/>
          <w:sz w:val="32"/>
          <w:szCs w:val="32"/>
        </w:rPr>
        <w:t>6.00</w:t>
      </w:r>
      <w:r>
        <w:rPr>
          <w:rFonts w:ascii="仿宋_GB2312" w:eastAsia="仿宋_GB2312" w:hint="eastAsia"/>
          <w:color w:val="000000"/>
          <w:sz w:val="32"/>
          <w:szCs w:val="32"/>
        </w:rPr>
        <w:t>万元。</w:t>
      </w:r>
    </w:p>
    <w:p w:rsidR="005B5C64" w:rsidRDefault="00204CDE">
      <w:pPr>
        <w:numPr>
          <w:ilvl w:val="0"/>
          <w:numId w:val="3"/>
        </w:numPr>
        <w:spacing w:line="600" w:lineRule="exact"/>
        <w:ind w:firstLine="640"/>
        <w:outlineLvl w:val="1"/>
        <w:rPr>
          <w:rStyle w:val="2Char"/>
          <w:rFonts w:ascii="黑体" w:eastAsia="黑体" w:hAnsi="黑体"/>
          <w:b w:val="0"/>
        </w:rPr>
      </w:pPr>
      <w:bookmarkStart w:id="49" w:name="_Toc15377219"/>
      <w:bookmarkStart w:id="50" w:name="_Toc15396611"/>
      <w:r>
        <w:rPr>
          <w:rStyle w:val="2Char"/>
          <w:rFonts w:ascii="黑体" w:eastAsia="黑体" w:hAnsi="黑体" w:hint="eastAsia"/>
          <w:b w:val="0"/>
        </w:rPr>
        <w:t>国有资本经营预算支出决算情况说明</w:t>
      </w:r>
      <w:bookmarkEnd w:id="49"/>
      <w:bookmarkEnd w:id="50"/>
    </w:p>
    <w:p w:rsidR="005B5C64" w:rsidRPr="00DF25D2" w:rsidRDefault="00204CDE" w:rsidP="00DF25D2">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p>
    <w:p w:rsidR="005B5C64" w:rsidRDefault="00204CDE" w:rsidP="008A0129">
      <w:pPr>
        <w:spacing w:line="600" w:lineRule="exact"/>
        <w:ind w:firstLineChars="200" w:firstLine="640"/>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DF25D2">
        <w:rPr>
          <w:rFonts w:ascii="仿宋_GB2312" w:eastAsia="仿宋_GB2312" w:hint="eastAsia"/>
          <w:color w:val="000000"/>
          <w:sz w:val="32"/>
          <w:szCs w:val="32"/>
        </w:rPr>
        <w:t>广汉市南丰第二小学</w:t>
      </w:r>
      <w:r>
        <w:rPr>
          <w:rFonts w:ascii="仿宋_GB2312" w:eastAsia="仿宋_GB2312" w:hint="eastAsia"/>
          <w:color w:val="000000"/>
          <w:sz w:val="32"/>
          <w:szCs w:val="32"/>
        </w:rPr>
        <w:t>机关运行经费支出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DF25D2">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DF25D2">
        <w:rPr>
          <w:rFonts w:ascii="仿宋_GB2312" w:eastAsia="仿宋_GB2312" w:hint="eastAsia"/>
          <w:color w:val="000000"/>
          <w:sz w:val="32"/>
          <w:szCs w:val="32"/>
        </w:rPr>
        <w:t>0</w:t>
      </w:r>
      <w:r>
        <w:rPr>
          <w:rFonts w:ascii="仿宋_GB2312" w:eastAsia="仿宋_GB2312"/>
          <w:color w:val="000000"/>
          <w:sz w:val="32"/>
          <w:szCs w:val="32"/>
        </w:rPr>
        <w:t>%</w:t>
      </w:r>
      <w:r w:rsidR="00DF25D2">
        <w:rPr>
          <w:rFonts w:ascii="仿宋_GB2312" w:eastAsia="仿宋_GB2312" w:hint="eastAsia"/>
          <w:color w:val="000000"/>
          <w:sz w:val="32"/>
          <w:szCs w:val="32"/>
        </w:rPr>
        <w:t>.</w:t>
      </w:r>
    </w:p>
    <w:p w:rsidR="005B5C64" w:rsidRDefault="00204CDE" w:rsidP="008A0129">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DF25D2">
        <w:rPr>
          <w:rFonts w:ascii="仿宋_GB2312" w:eastAsia="仿宋_GB2312" w:hint="eastAsia"/>
          <w:color w:val="000000"/>
          <w:sz w:val="32"/>
          <w:szCs w:val="32"/>
        </w:rPr>
        <w:t>广汉市南丰第二小学</w:t>
      </w:r>
      <w:r>
        <w:rPr>
          <w:rFonts w:ascii="仿宋_GB2312" w:eastAsia="仿宋_GB2312" w:hint="eastAsia"/>
          <w:color w:val="000000"/>
          <w:sz w:val="32"/>
          <w:szCs w:val="32"/>
        </w:rPr>
        <w:t>政府采购支出总额</w:t>
      </w:r>
      <w:r w:rsidR="00DF25D2">
        <w:rPr>
          <w:rFonts w:ascii="仿宋_GB2312" w:eastAsia="仿宋_GB2312" w:hint="eastAsia"/>
          <w:color w:val="000000"/>
          <w:sz w:val="32"/>
          <w:szCs w:val="32"/>
        </w:rPr>
        <w:t>1.38</w:t>
      </w:r>
      <w:r>
        <w:rPr>
          <w:rFonts w:ascii="仿宋_GB2312" w:eastAsia="仿宋_GB2312" w:hint="eastAsia"/>
          <w:color w:val="000000"/>
          <w:sz w:val="32"/>
          <w:szCs w:val="32"/>
        </w:rPr>
        <w:t>万元，其中：政府采购货物支出</w:t>
      </w:r>
      <w:r w:rsidR="00DF25D2">
        <w:rPr>
          <w:rFonts w:ascii="仿宋_GB2312" w:eastAsia="仿宋_GB2312" w:hint="eastAsia"/>
          <w:color w:val="000000"/>
          <w:sz w:val="32"/>
          <w:szCs w:val="32"/>
        </w:rPr>
        <w:t>1.38</w:t>
      </w:r>
      <w:r>
        <w:rPr>
          <w:rFonts w:ascii="仿宋_GB2312" w:eastAsia="仿宋_GB2312" w:hint="eastAsia"/>
          <w:color w:val="000000"/>
          <w:sz w:val="32"/>
          <w:szCs w:val="32"/>
        </w:rPr>
        <w:t>万元、政府采购工程支出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DF25D2">
        <w:rPr>
          <w:rFonts w:ascii="仿宋_GB2312" w:eastAsia="仿宋_GB2312" w:hint="eastAsia"/>
          <w:color w:val="000000"/>
          <w:sz w:val="32"/>
          <w:szCs w:val="32"/>
        </w:rPr>
        <w:t>0</w:t>
      </w:r>
      <w:r>
        <w:rPr>
          <w:rFonts w:ascii="仿宋_GB2312" w:eastAsia="仿宋_GB2312" w:hint="eastAsia"/>
          <w:color w:val="000000"/>
          <w:sz w:val="32"/>
          <w:szCs w:val="32"/>
        </w:rPr>
        <w:t>万元。主要用于</w:t>
      </w:r>
      <w:r w:rsidR="00DF25D2">
        <w:rPr>
          <w:rFonts w:ascii="仿宋_GB2312" w:eastAsia="仿宋_GB2312" w:hint="eastAsia"/>
          <w:color w:val="000000"/>
          <w:sz w:val="32"/>
          <w:szCs w:val="32"/>
        </w:rPr>
        <w:t>购置</w:t>
      </w:r>
      <w:r w:rsidR="005D455A">
        <w:rPr>
          <w:rFonts w:ascii="仿宋_GB2312" w:eastAsia="仿宋_GB2312" w:hint="eastAsia"/>
          <w:color w:val="000000"/>
          <w:sz w:val="32"/>
          <w:szCs w:val="32"/>
        </w:rPr>
        <w:t>1台</w:t>
      </w:r>
      <w:r w:rsidR="00DF25D2">
        <w:rPr>
          <w:rFonts w:ascii="仿宋_GB2312" w:eastAsia="仿宋_GB2312" w:hint="eastAsia"/>
          <w:color w:val="000000"/>
          <w:sz w:val="32"/>
          <w:szCs w:val="32"/>
        </w:rPr>
        <w:t>办公用速印机。</w:t>
      </w:r>
    </w:p>
    <w:p w:rsidR="005B5C64" w:rsidRDefault="00204CDE" w:rsidP="008A0129">
      <w:pPr>
        <w:autoSpaceDE w:val="0"/>
        <w:autoSpaceDN w:val="0"/>
        <w:adjustRightInd w:val="0"/>
        <w:spacing w:line="600" w:lineRule="exact"/>
        <w:ind w:firstLineChars="200" w:firstLine="640"/>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lastRenderedPageBreak/>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8F72CD">
        <w:rPr>
          <w:rFonts w:ascii="仿宋_GB2312" w:eastAsia="仿宋_GB2312" w:hint="eastAsia"/>
          <w:color w:val="000000"/>
          <w:sz w:val="32"/>
          <w:szCs w:val="32"/>
        </w:rPr>
        <w:t>广汉市南丰第二小学</w:t>
      </w:r>
      <w:r>
        <w:rPr>
          <w:rFonts w:ascii="仿宋_GB2312" w:eastAsia="仿宋_GB2312" w:hint="eastAsia"/>
          <w:color w:val="000000"/>
          <w:sz w:val="32"/>
          <w:szCs w:val="32"/>
        </w:rPr>
        <w:t>共有车辆</w:t>
      </w:r>
      <w:r w:rsidR="008F72CD">
        <w:rPr>
          <w:rFonts w:ascii="仿宋_GB2312" w:eastAsia="仿宋_GB2312" w:hint="eastAsia"/>
          <w:color w:val="000000"/>
          <w:sz w:val="32"/>
          <w:szCs w:val="32"/>
        </w:rPr>
        <w:t>0</w:t>
      </w:r>
      <w:r>
        <w:rPr>
          <w:rFonts w:ascii="仿宋_GB2312" w:eastAsia="仿宋_GB2312" w:hint="eastAsia"/>
          <w:color w:val="000000"/>
          <w:sz w:val="32"/>
          <w:szCs w:val="32"/>
        </w:rPr>
        <w:t>辆</w:t>
      </w:r>
      <w:r w:rsidR="008F72CD">
        <w:rPr>
          <w:rFonts w:ascii="仿宋_GB2312" w:eastAsia="仿宋_GB2312" w:hint="eastAsia"/>
          <w:color w:val="000000"/>
          <w:sz w:val="32"/>
          <w:szCs w:val="32"/>
        </w:rPr>
        <w:t>.</w:t>
      </w:r>
      <w:r>
        <w:rPr>
          <w:rFonts w:ascii="仿宋_GB2312" w:eastAsia="仿宋_GB2312" w:hint="eastAsia"/>
          <w:color w:val="000000" w:themeColor="text1"/>
          <w:sz w:val="32"/>
          <w:szCs w:val="32"/>
        </w:rPr>
        <w:t>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8F72CD">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8F72CD">
        <w:rPr>
          <w:rFonts w:ascii="仿宋_GB2312" w:eastAsia="仿宋_GB2312" w:hint="eastAsia"/>
          <w:color w:val="000000"/>
          <w:sz w:val="32"/>
          <w:szCs w:val="32"/>
        </w:rPr>
        <w:t>0</w:t>
      </w:r>
      <w:r>
        <w:rPr>
          <w:rFonts w:ascii="仿宋_GB2312" w:eastAsia="仿宋_GB2312" w:hint="eastAsia"/>
          <w:color w:val="000000"/>
          <w:sz w:val="32"/>
          <w:szCs w:val="32"/>
        </w:rPr>
        <w:t>台（套）。</w:t>
      </w:r>
    </w:p>
    <w:p w:rsidR="00416CD4" w:rsidRDefault="00833962" w:rsidP="008A0129">
      <w:pPr>
        <w:autoSpaceDE w:val="0"/>
        <w:autoSpaceDN w:val="0"/>
        <w:adjustRightInd w:val="0"/>
        <w:spacing w:line="600" w:lineRule="exact"/>
        <w:ind w:firstLineChars="200" w:firstLine="640"/>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w:t>
      </w:r>
      <w:r w:rsidR="00CB6DF6">
        <w:rPr>
          <w:rFonts w:ascii="仿宋_GB2312" w:eastAsia="仿宋_GB2312" w:hAnsi="仿宋_GB2312" w:cs="仿宋_GB2312" w:hint="eastAsia"/>
          <w:sz w:val="32"/>
          <w:szCs w:val="32"/>
        </w:rPr>
        <w:t>我校</w:t>
      </w:r>
      <w:r>
        <w:rPr>
          <w:rFonts w:ascii="仿宋_GB2312" w:eastAsia="仿宋_GB2312" w:hAnsi="仿宋_GB2312" w:cs="仿宋_GB2312" w:hint="eastAsia"/>
          <w:sz w:val="32"/>
          <w:szCs w:val="32"/>
        </w:rPr>
        <w:t>在年初预算编制阶段，</w:t>
      </w:r>
      <w:r w:rsidR="00CB6DF6">
        <w:rPr>
          <w:rFonts w:ascii="仿宋_GB2312" w:eastAsia="仿宋_GB2312" w:hAnsi="仿宋_GB2312" w:cs="仿宋_GB2312" w:hint="eastAsia"/>
          <w:sz w:val="32"/>
          <w:szCs w:val="32"/>
        </w:rPr>
        <w:t>认真制定了</w:t>
      </w:r>
      <w:r>
        <w:rPr>
          <w:rFonts w:ascii="仿宋_GB2312" w:eastAsia="仿宋_GB2312" w:hAnsi="仿宋_GB2312" w:cs="仿宋_GB2312" w:hint="eastAsia"/>
          <w:sz w:val="32"/>
          <w:szCs w:val="32"/>
        </w:rPr>
        <w:t>绩效目标，</w:t>
      </w:r>
      <w:r w:rsidR="00CB6DF6">
        <w:rPr>
          <w:rFonts w:ascii="仿宋_GB2312" w:eastAsia="仿宋_GB2312" w:hAnsi="仿宋_GB2312" w:cs="仿宋_GB2312" w:hint="eastAsia"/>
          <w:sz w:val="32"/>
          <w:szCs w:val="32"/>
        </w:rPr>
        <w:t>在</w:t>
      </w:r>
      <w:r>
        <w:rPr>
          <w:rFonts w:ascii="仿宋_GB2312" w:eastAsia="仿宋_GB2312" w:hAnsi="仿宋_GB2312" w:cs="仿宋_GB2312" w:hint="eastAsia"/>
          <w:sz w:val="32"/>
          <w:szCs w:val="32"/>
        </w:rPr>
        <w:t>预算执行过程中，</w:t>
      </w:r>
      <w:r w:rsidR="00CB6DF6">
        <w:rPr>
          <w:rFonts w:ascii="仿宋_GB2312" w:eastAsia="仿宋_GB2312" w:hAnsi="仿宋_GB2312" w:cs="仿宋_GB2312" w:hint="eastAsia"/>
          <w:sz w:val="32"/>
          <w:szCs w:val="32"/>
        </w:rPr>
        <w:t>预算编制的绩效目标</w:t>
      </w:r>
      <w:r>
        <w:rPr>
          <w:rFonts w:ascii="仿宋_GB2312" w:eastAsia="仿宋_GB2312" w:hAnsi="仿宋_GB2312" w:cs="仿宋_GB2312" w:hint="eastAsia"/>
          <w:sz w:val="32"/>
          <w:szCs w:val="32"/>
        </w:rPr>
        <w:t>开展绩效监控，年终执行完毕后，开展了绩效目标完成情况自评。</w:t>
      </w:r>
    </w:p>
    <w:p w:rsidR="002A31DE" w:rsidRDefault="002A31DE" w:rsidP="00CB6DF6">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w:t>
      </w:r>
      <w:r w:rsidR="00CB6DF6">
        <w:rPr>
          <w:rFonts w:ascii="仿宋_GB2312" w:eastAsia="仿宋_GB2312" w:hAnsi="仿宋_GB2312" w:cs="仿宋_GB2312" w:hint="eastAsia"/>
          <w:sz w:val="32"/>
          <w:szCs w:val="32"/>
        </w:rPr>
        <w:t>2019年，我校以绩效目标实现为导向，进一步加强制度建设，提升自评质量，预算绩效管理取得了新成效。一是抓好绩效目标编制，及时报送绩效目标。二是探索绩效跟踪监控方法，要求加强过程监控。三是深入开展财政支出绩效评价，对专项资金实施绩效自评和项目核查，在此基础上形成自评报告。四是</w:t>
      </w:r>
      <w:r w:rsidR="00E176D6">
        <w:rPr>
          <w:rFonts w:ascii="仿宋_GB2312" w:eastAsia="仿宋_GB2312" w:hAnsi="仿宋_GB2312" w:cs="仿宋_GB2312" w:hint="eastAsia"/>
          <w:sz w:val="32"/>
          <w:szCs w:val="32"/>
        </w:rPr>
        <w:t>强化评价结果应用，组织绩效自评和绩效跟踪监控，对发现的问题及时整改，加强评价结果与项目资金的衔接。五是健全绩效管理工作机制，明确职责分工，努力提高了绩效管理工作水平。</w:t>
      </w: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6F58EF" w:rsidP="002A31DE">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基础工作管理。我校领导非常重视预算绩效管理工作，对该工作给与大力支持和指导，对上级做出的批示和下发的预算批文非常关心。在一些制度建设方面我们做得还有些欠缺，有待提高和完善。</w:t>
      </w:r>
    </w:p>
    <w:p w:rsidR="006F58EF" w:rsidRDefault="006F58EF" w:rsidP="002A31DE">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绩效目标管理。我校严格按照上级的要求在规定的时间报送绩效目标，比如每月按时</w:t>
      </w:r>
      <w:r w:rsidR="003F01BD">
        <w:rPr>
          <w:rFonts w:ascii="仿宋_GB2312" w:eastAsia="仿宋_GB2312" w:hAnsi="仿宋_GB2312" w:cs="仿宋_GB2312" w:hint="eastAsia"/>
          <w:sz w:val="32"/>
          <w:szCs w:val="32"/>
        </w:rPr>
        <w:t>发放工资，及时缴纳“五险二金”。</w:t>
      </w:r>
    </w:p>
    <w:p w:rsidR="003F01BD" w:rsidRDefault="003F01BD" w:rsidP="002A31DE">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绩效监控管理。我校2019年未安排项目预算。</w:t>
      </w:r>
    </w:p>
    <w:p w:rsidR="003F01BD" w:rsidRDefault="003F01BD" w:rsidP="002A31DE">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绩效评价管理。2019年我校基本支出管理的各项收入和支出都按预算的目标完成。我校财政拨款收入有在职人员和退休人员工资、社会保障缴费以及公用经费。支出时按国家规定的工资标准</w:t>
      </w:r>
      <w:r w:rsidR="000E1206">
        <w:rPr>
          <w:rFonts w:ascii="仿宋_GB2312" w:eastAsia="仿宋_GB2312" w:hAnsi="仿宋_GB2312" w:cs="仿宋_GB2312" w:hint="eastAsia"/>
          <w:sz w:val="32"/>
          <w:szCs w:val="32"/>
        </w:rPr>
        <w:t>发放给职工。公用经费全部用于添置办公用品、办公设备等。比如我校2019年购置了速印机、办公耗材、体育耗材等，使办公经费用到了实处，改善了学校的教学环境。</w:t>
      </w:r>
    </w:p>
    <w:p w:rsidR="000E1206" w:rsidRPr="000E1206" w:rsidRDefault="000E1206"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结果运用管理。在上级部门的领导下，我</w:t>
      </w:r>
      <w:proofErr w:type="gramStart"/>
      <w:r>
        <w:rPr>
          <w:rFonts w:ascii="仿宋_GB2312" w:eastAsia="仿宋_GB2312" w:hAnsi="仿宋_GB2312" w:cs="仿宋_GB2312" w:hint="eastAsia"/>
          <w:sz w:val="32"/>
          <w:szCs w:val="32"/>
        </w:rPr>
        <w:t>校圆</w:t>
      </w:r>
      <w:proofErr w:type="gramEnd"/>
      <w:r>
        <w:rPr>
          <w:rFonts w:ascii="仿宋_GB2312" w:eastAsia="仿宋_GB2312" w:hAnsi="仿宋_GB2312" w:cs="仿宋_GB2312" w:hint="eastAsia"/>
          <w:sz w:val="32"/>
          <w:szCs w:val="32"/>
        </w:rPr>
        <w:t>满地完成了2019年绩效管理工作，为下一年的工作奠定了基础。我校将一如既往，在新的一年里更上新台阶</w:t>
      </w:r>
      <w:r w:rsidR="00CB6DF6">
        <w:rPr>
          <w:rFonts w:ascii="仿宋_GB2312" w:eastAsia="仿宋_GB2312" w:hAnsi="仿宋_GB2312" w:cs="仿宋_GB2312" w:hint="eastAsia"/>
          <w:sz w:val="32"/>
          <w:szCs w:val="32"/>
        </w:rPr>
        <w:t>。</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E176D6" w:rsidRDefault="00204CDE">
      <w:pPr>
        <w:pStyle w:val="Default"/>
        <w:spacing w:line="560" w:lineRule="exact"/>
        <w:ind w:firstLineChars="200" w:firstLine="640"/>
        <w:rPr>
          <w:rFonts w:ascii="仿宋_GB2312" w:eastAsia="仿宋_GB2312" w:hint="eastAsia"/>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w:t>
      </w:r>
    </w:p>
    <w:p w:rsidR="005B5C64" w:rsidRDefault="00C54983">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204CDE">
        <w:rPr>
          <w:rFonts w:ascii="仿宋_GB2312" w:eastAsia="仿宋_GB2312"/>
          <w:sz w:val="32"/>
          <w:szCs w:val="32"/>
        </w:rPr>
        <w:t>.</w:t>
      </w:r>
      <w:r w:rsidR="00204CDE">
        <w:rPr>
          <w:rFonts w:ascii="仿宋_GB2312" w:eastAsia="仿宋_GB2312" w:hint="eastAsia"/>
          <w:sz w:val="32"/>
          <w:szCs w:val="32"/>
        </w:rPr>
        <w:t>其他收入：指单位取得的除上述收入以外的各项收入。主要是</w:t>
      </w:r>
      <w:r w:rsidR="00E176D6">
        <w:rPr>
          <w:rFonts w:ascii="仿宋_GB2312" w:eastAsia="仿宋_GB2312" w:hint="eastAsia"/>
          <w:sz w:val="32"/>
          <w:szCs w:val="32"/>
        </w:rPr>
        <w:t>课后延时服务收费收入</w:t>
      </w:r>
      <w:r w:rsidR="00204CDE">
        <w:rPr>
          <w:rFonts w:ascii="仿宋_GB2312" w:eastAsia="仿宋_GB2312" w:hint="eastAsia"/>
          <w:sz w:val="32"/>
          <w:szCs w:val="32"/>
        </w:rPr>
        <w:t>。</w:t>
      </w:r>
      <w:r w:rsidR="00204CDE">
        <w:rPr>
          <w:rFonts w:ascii="仿宋_GB2312" w:eastAsia="仿宋_GB2312"/>
          <w:sz w:val="32"/>
          <w:szCs w:val="32"/>
        </w:rPr>
        <w:t xml:space="preserve"> </w:t>
      </w:r>
    </w:p>
    <w:p w:rsidR="005B5C64" w:rsidRDefault="00C54983">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00204CDE">
        <w:rPr>
          <w:rFonts w:ascii="仿宋_GB2312" w:eastAsia="仿宋_GB2312"/>
          <w:sz w:val="32"/>
          <w:szCs w:val="32"/>
        </w:rPr>
        <w:t>.</w:t>
      </w:r>
      <w:r w:rsidR="00204CDE">
        <w:rPr>
          <w:rFonts w:ascii="仿宋_GB2312" w:eastAsia="仿宋_GB2312" w:hint="eastAsia"/>
          <w:sz w:val="32"/>
          <w:szCs w:val="32"/>
        </w:rPr>
        <w:t>年初结转和结余：指以前年度尚未完成、结转到本年按有关规定继续使用的资金。</w:t>
      </w:r>
      <w:r w:rsidR="00204CDE">
        <w:rPr>
          <w:rFonts w:ascii="仿宋_GB2312" w:eastAsia="仿宋_GB2312"/>
          <w:sz w:val="32"/>
          <w:szCs w:val="32"/>
        </w:rPr>
        <w:t xml:space="preserve"> </w:t>
      </w:r>
    </w:p>
    <w:p w:rsidR="005B5C64" w:rsidRDefault="00C54983">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5</w:t>
      </w:r>
      <w:r w:rsidR="00204CDE">
        <w:rPr>
          <w:rFonts w:ascii="仿宋_GB2312" w:eastAsia="仿宋_GB2312" w:hint="eastAsia"/>
          <w:sz w:val="32"/>
          <w:szCs w:val="32"/>
        </w:rPr>
        <w:t>、年末结转和结余：指单位按有关规定结转到下年或以后年度继续使用的资金。</w:t>
      </w:r>
    </w:p>
    <w:p w:rsidR="005B5C64" w:rsidRDefault="002A6615">
      <w:pPr>
        <w:ind w:firstLineChars="200" w:firstLine="640"/>
        <w:rPr>
          <w:rFonts w:ascii="仿宋_GB2312" w:eastAsia="仿宋_GB2312"/>
          <w:color w:val="000000"/>
          <w:sz w:val="32"/>
          <w:szCs w:val="32"/>
        </w:rPr>
      </w:pPr>
      <w:r>
        <w:rPr>
          <w:rFonts w:ascii="仿宋_GB2312" w:eastAsia="仿宋_GB2312" w:hint="eastAsia"/>
          <w:color w:val="000000"/>
          <w:sz w:val="32"/>
          <w:szCs w:val="32"/>
        </w:rPr>
        <w:t>6</w:t>
      </w:r>
      <w:r w:rsidR="00204CDE">
        <w:rPr>
          <w:rFonts w:ascii="仿宋_GB2312" w:eastAsia="仿宋_GB2312"/>
          <w:color w:val="000000"/>
          <w:sz w:val="32"/>
          <w:szCs w:val="32"/>
        </w:rPr>
        <w:t>.</w:t>
      </w:r>
      <w:r w:rsidR="00204CDE">
        <w:rPr>
          <w:rFonts w:ascii="仿宋_GB2312" w:eastAsia="仿宋_GB2312" w:hint="eastAsia"/>
          <w:color w:val="000000"/>
          <w:sz w:val="32"/>
          <w:szCs w:val="32"/>
        </w:rPr>
        <w:t>教育</w:t>
      </w:r>
      <w:r>
        <w:rPr>
          <w:rFonts w:ascii="仿宋_GB2312" w:eastAsia="仿宋_GB2312" w:hint="eastAsia"/>
          <w:color w:val="000000"/>
          <w:sz w:val="32"/>
          <w:szCs w:val="32"/>
        </w:rPr>
        <w:t>205</w:t>
      </w:r>
      <w:r w:rsidR="00204CDE">
        <w:rPr>
          <w:rFonts w:ascii="仿宋_GB2312" w:eastAsia="仿宋_GB2312" w:hint="eastAsia"/>
          <w:color w:val="000000"/>
          <w:sz w:val="32"/>
          <w:szCs w:val="32"/>
        </w:rPr>
        <w:t>（类）</w:t>
      </w:r>
      <w:r>
        <w:rPr>
          <w:rFonts w:ascii="仿宋_GB2312" w:eastAsia="仿宋_GB2312" w:hint="eastAsia"/>
          <w:color w:val="000000"/>
          <w:sz w:val="32"/>
          <w:szCs w:val="32"/>
        </w:rPr>
        <w:t>02</w:t>
      </w:r>
      <w:r w:rsidR="00204CDE">
        <w:rPr>
          <w:rFonts w:ascii="仿宋_GB2312" w:eastAsia="仿宋_GB2312" w:hint="eastAsia"/>
          <w:color w:val="000000"/>
          <w:sz w:val="32"/>
          <w:szCs w:val="32"/>
        </w:rPr>
        <w:t>（款）</w:t>
      </w:r>
      <w:r>
        <w:rPr>
          <w:rFonts w:ascii="仿宋_GB2312" w:eastAsia="仿宋_GB2312" w:hint="eastAsia"/>
          <w:color w:val="000000"/>
          <w:sz w:val="32"/>
          <w:szCs w:val="32"/>
        </w:rPr>
        <w:t>01</w:t>
      </w:r>
      <w:r w:rsidR="00204CDE">
        <w:rPr>
          <w:rFonts w:ascii="仿宋_GB2312" w:eastAsia="仿宋_GB2312" w:hint="eastAsia"/>
          <w:color w:val="000000"/>
          <w:sz w:val="32"/>
          <w:szCs w:val="32"/>
        </w:rPr>
        <w:t>（项）：</w:t>
      </w:r>
      <w:proofErr w:type="gramStart"/>
      <w:r w:rsidR="00204CDE">
        <w:rPr>
          <w:rFonts w:ascii="仿宋_GB2312" w:eastAsia="仿宋_GB2312" w:hint="eastAsia"/>
          <w:color w:val="000000"/>
          <w:sz w:val="32"/>
          <w:szCs w:val="32"/>
        </w:rPr>
        <w:t>指</w:t>
      </w:r>
      <w:r>
        <w:rPr>
          <w:rFonts w:ascii="仿宋_GB2312" w:eastAsia="仿宋_GB2312" w:hint="eastAsia"/>
          <w:color w:val="000000"/>
          <w:sz w:val="32"/>
          <w:szCs w:val="32"/>
        </w:rPr>
        <w:t>举办</w:t>
      </w:r>
      <w:proofErr w:type="gramEnd"/>
      <w:r>
        <w:rPr>
          <w:rFonts w:ascii="仿宋_GB2312" w:eastAsia="仿宋_GB2312" w:hint="eastAsia"/>
          <w:color w:val="000000"/>
          <w:sz w:val="32"/>
          <w:szCs w:val="32"/>
        </w:rPr>
        <w:t>的学前教育支出</w:t>
      </w:r>
      <w:r w:rsidR="00204CDE">
        <w:rPr>
          <w:rFonts w:ascii="仿宋_GB2312" w:eastAsia="仿宋_GB2312" w:hint="eastAsia"/>
          <w:color w:val="000000"/>
          <w:sz w:val="32"/>
          <w:szCs w:val="32"/>
        </w:rPr>
        <w:t>。</w:t>
      </w:r>
    </w:p>
    <w:p w:rsidR="002A6615" w:rsidRDefault="002A6615" w:rsidP="002A6615">
      <w:pPr>
        <w:ind w:firstLineChars="200" w:firstLine="640"/>
        <w:rPr>
          <w:rFonts w:ascii="仿宋_GB2312" w:eastAsia="仿宋_GB2312"/>
          <w:color w:val="000000"/>
          <w:sz w:val="32"/>
          <w:szCs w:val="32"/>
        </w:rPr>
      </w:pPr>
      <w:r>
        <w:rPr>
          <w:rFonts w:ascii="仿宋_GB2312" w:eastAsia="仿宋_GB2312" w:hint="eastAsia"/>
          <w:color w:val="000000"/>
          <w:sz w:val="32"/>
          <w:szCs w:val="32"/>
        </w:rPr>
        <w:t>7</w:t>
      </w:r>
      <w:r>
        <w:rPr>
          <w:rFonts w:ascii="仿宋_GB2312" w:eastAsia="仿宋_GB2312"/>
          <w:color w:val="000000"/>
          <w:sz w:val="32"/>
          <w:szCs w:val="32"/>
        </w:rPr>
        <w:t>.</w:t>
      </w:r>
      <w:r>
        <w:rPr>
          <w:rFonts w:ascii="仿宋_GB2312" w:eastAsia="仿宋_GB2312" w:hint="eastAsia"/>
          <w:color w:val="000000"/>
          <w:sz w:val="32"/>
          <w:szCs w:val="32"/>
        </w:rPr>
        <w:t>教育205（类）02（款）02（项）：</w:t>
      </w:r>
      <w:proofErr w:type="gramStart"/>
      <w:r>
        <w:rPr>
          <w:rFonts w:ascii="仿宋_GB2312" w:eastAsia="仿宋_GB2312" w:hint="eastAsia"/>
          <w:color w:val="000000"/>
          <w:sz w:val="32"/>
          <w:szCs w:val="32"/>
        </w:rPr>
        <w:t>指举办</w:t>
      </w:r>
      <w:proofErr w:type="gramEnd"/>
      <w:r>
        <w:rPr>
          <w:rFonts w:ascii="仿宋_GB2312" w:eastAsia="仿宋_GB2312" w:hint="eastAsia"/>
          <w:color w:val="000000"/>
          <w:sz w:val="32"/>
          <w:szCs w:val="32"/>
        </w:rPr>
        <w:t>的小学教育支出。</w:t>
      </w:r>
    </w:p>
    <w:p w:rsidR="002A6615" w:rsidRDefault="002A6615" w:rsidP="002A6615">
      <w:pPr>
        <w:ind w:firstLineChars="200" w:firstLine="640"/>
        <w:rPr>
          <w:rFonts w:ascii="仿宋_GB2312" w:eastAsia="仿宋_GB2312"/>
          <w:color w:val="000000"/>
          <w:sz w:val="32"/>
          <w:szCs w:val="32"/>
        </w:rPr>
      </w:pPr>
      <w:r>
        <w:rPr>
          <w:rFonts w:ascii="仿宋_GB2312" w:eastAsia="仿宋_GB2312" w:hint="eastAsia"/>
          <w:color w:val="000000"/>
          <w:sz w:val="32"/>
          <w:szCs w:val="32"/>
        </w:rPr>
        <w:t>8</w:t>
      </w:r>
      <w:r>
        <w:rPr>
          <w:rFonts w:ascii="仿宋_GB2312" w:eastAsia="仿宋_GB2312"/>
          <w:color w:val="000000"/>
          <w:sz w:val="32"/>
          <w:szCs w:val="32"/>
        </w:rPr>
        <w:t>.</w:t>
      </w:r>
      <w:r>
        <w:rPr>
          <w:rFonts w:ascii="仿宋_GB2312" w:eastAsia="仿宋_GB2312" w:hint="eastAsia"/>
          <w:color w:val="000000"/>
          <w:sz w:val="32"/>
          <w:szCs w:val="32"/>
        </w:rPr>
        <w:t>教育205（类）04（款）01（项）：</w:t>
      </w:r>
      <w:proofErr w:type="gramStart"/>
      <w:r>
        <w:rPr>
          <w:rFonts w:ascii="仿宋_GB2312" w:eastAsia="仿宋_GB2312" w:hint="eastAsia"/>
          <w:color w:val="000000"/>
          <w:sz w:val="32"/>
          <w:szCs w:val="32"/>
        </w:rPr>
        <w:t>指举办</w:t>
      </w:r>
      <w:proofErr w:type="gramEnd"/>
      <w:r>
        <w:rPr>
          <w:rFonts w:ascii="仿宋_GB2312" w:eastAsia="仿宋_GB2312" w:hint="eastAsia"/>
          <w:color w:val="000000"/>
          <w:sz w:val="32"/>
          <w:szCs w:val="32"/>
        </w:rPr>
        <w:t>的成人教育支出。</w:t>
      </w:r>
    </w:p>
    <w:p w:rsidR="005B5C64" w:rsidRDefault="002A6615">
      <w:pPr>
        <w:ind w:firstLineChars="200" w:firstLine="640"/>
        <w:rPr>
          <w:rFonts w:ascii="仿宋_GB2312" w:eastAsia="仿宋_GB2312"/>
          <w:color w:val="000000"/>
          <w:sz w:val="32"/>
          <w:szCs w:val="32"/>
        </w:rPr>
      </w:pPr>
      <w:r>
        <w:rPr>
          <w:rFonts w:ascii="仿宋_GB2312" w:eastAsia="仿宋_GB2312" w:hint="eastAsia"/>
          <w:color w:val="000000"/>
          <w:sz w:val="32"/>
          <w:szCs w:val="32"/>
        </w:rPr>
        <w:t>9</w:t>
      </w:r>
      <w:r w:rsidR="00204CDE">
        <w:rPr>
          <w:rFonts w:ascii="仿宋_GB2312" w:eastAsia="仿宋_GB2312"/>
          <w:color w:val="000000"/>
          <w:sz w:val="32"/>
          <w:szCs w:val="32"/>
        </w:rPr>
        <w:t>.</w:t>
      </w:r>
      <w:r w:rsidR="00204CDE">
        <w:rPr>
          <w:rFonts w:ascii="仿宋_GB2312" w:eastAsia="仿宋_GB2312" w:hint="eastAsia"/>
          <w:color w:val="000000"/>
          <w:sz w:val="32"/>
          <w:szCs w:val="32"/>
        </w:rPr>
        <w:t>社会保障和就业</w:t>
      </w:r>
      <w:r>
        <w:rPr>
          <w:rFonts w:ascii="仿宋_GB2312" w:eastAsia="仿宋_GB2312" w:hint="eastAsia"/>
          <w:color w:val="000000"/>
          <w:sz w:val="32"/>
          <w:szCs w:val="32"/>
        </w:rPr>
        <w:t>208</w:t>
      </w:r>
      <w:r w:rsidR="00204CDE">
        <w:rPr>
          <w:rFonts w:ascii="仿宋_GB2312" w:eastAsia="仿宋_GB2312" w:hint="eastAsia"/>
          <w:color w:val="000000"/>
          <w:sz w:val="32"/>
          <w:szCs w:val="32"/>
        </w:rPr>
        <w:t>（类）</w:t>
      </w:r>
      <w:r>
        <w:rPr>
          <w:rFonts w:ascii="仿宋_GB2312" w:eastAsia="仿宋_GB2312" w:hint="eastAsia"/>
          <w:color w:val="000000"/>
          <w:sz w:val="32"/>
          <w:szCs w:val="32"/>
        </w:rPr>
        <w:t>05</w:t>
      </w:r>
      <w:r w:rsidR="00204CDE">
        <w:rPr>
          <w:rFonts w:ascii="仿宋_GB2312" w:eastAsia="仿宋_GB2312" w:hint="eastAsia"/>
          <w:color w:val="000000"/>
          <w:sz w:val="32"/>
          <w:szCs w:val="32"/>
        </w:rPr>
        <w:t>（款）</w:t>
      </w:r>
      <w:r>
        <w:rPr>
          <w:rFonts w:ascii="仿宋_GB2312" w:eastAsia="仿宋_GB2312" w:hint="eastAsia"/>
          <w:color w:val="000000"/>
          <w:sz w:val="32"/>
          <w:szCs w:val="32"/>
        </w:rPr>
        <w:t>02</w:t>
      </w:r>
      <w:r w:rsidR="00204CDE">
        <w:rPr>
          <w:rFonts w:ascii="仿宋_GB2312" w:eastAsia="仿宋_GB2312" w:hint="eastAsia"/>
          <w:color w:val="000000"/>
          <w:sz w:val="32"/>
          <w:szCs w:val="32"/>
        </w:rPr>
        <w:t>（项）：指</w:t>
      </w:r>
      <w:r>
        <w:rPr>
          <w:rFonts w:ascii="仿宋_GB2312" w:eastAsia="仿宋_GB2312" w:hint="eastAsia"/>
          <w:color w:val="000000"/>
          <w:sz w:val="32"/>
          <w:szCs w:val="32"/>
        </w:rPr>
        <w:t>事业单位开支的离退休经费</w:t>
      </w:r>
      <w:r w:rsidR="00204CDE">
        <w:rPr>
          <w:rFonts w:ascii="仿宋_GB2312" w:eastAsia="仿宋_GB2312" w:hint="eastAsia"/>
          <w:color w:val="000000"/>
          <w:sz w:val="32"/>
          <w:szCs w:val="32"/>
        </w:rPr>
        <w:t>。</w:t>
      </w:r>
    </w:p>
    <w:p w:rsidR="002A6615" w:rsidRDefault="002A6615" w:rsidP="002A6615">
      <w:pPr>
        <w:ind w:firstLineChars="200" w:firstLine="640"/>
        <w:rPr>
          <w:rFonts w:ascii="仿宋_GB2312" w:eastAsia="仿宋_GB2312"/>
          <w:color w:val="000000"/>
          <w:sz w:val="32"/>
          <w:szCs w:val="32"/>
        </w:rPr>
      </w:pPr>
      <w:r>
        <w:rPr>
          <w:rFonts w:ascii="仿宋_GB2312" w:eastAsia="仿宋_GB2312" w:hint="eastAsia"/>
          <w:color w:val="000000"/>
          <w:sz w:val="32"/>
          <w:szCs w:val="32"/>
        </w:rPr>
        <w:t>10</w:t>
      </w:r>
      <w:r>
        <w:rPr>
          <w:rFonts w:ascii="仿宋_GB2312" w:eastAsia="仿宋_GB2312"/>
          <w:color w:val="000000"/>
          <w:sz w:val="32"/>
          <w:szCs w:val="32"/>
        </w:rPr>
        <w:t>.</w:t>
      </w:r>
      <w:r>
        <w:rPr>
          <w:rFonts w:ascii="仿宋_GB2312" w:eastAsia="仿宋_GB2312" w:hint="eastAsia"/>
          <w:color w:val="000000"/>
          <w:sz w:val="32"/>
          <w:szCs w:val="32"/>
        </w:rPr>
        <w:t>社会保障和就业208（类）05（款）05（项）：指机关事业单位养老保险缴费支出。</w:t>
      </w:r>
    </w:p>
    <w:p w:rsidR="002A6615" w:rsidRPr="002A6615" w:rsidRDefault="002A6615" w:rsidP="002A6615">
      <w:pPr>
        <w:ind w:firstLineChars="200" w:firstLine="640"/>
        <w:rPr>
          <w:rFonts w:ascii="仿宋_GB2312" w:eastAsia="仿宋_GB2312"/>
          <w:color w:val="000000"/>
          <w:sz w:val="32"/>
          <w:szCs w:val="32"/>
        </w:rPr>
      </w:pPr>
      <w:r>
        <w:rPr>
          <w:rFonts w:ascii="仿宋_GB2312" w:eastAsia="仿宋_GB2312" w:hint="eastAsia"/>
          <w:color w:val="000000"/>
          <w:sz w:val="32"/>
          <w:szCs w:val="32"/>
        </w:rPr>
        <w:t>11</w:t>
      </w:r>
      <w:r>
        <w:rPr>
          <w:rFonts w:ascii="仿宋_GB2312" w:eastAsia="仿宋_GB2312"/>
          <w:color w:val="000000"/>
          <w:sz w:val="32"/>
          <w:szCs w:val="32"/>
        </w:rPr>
        <w:t>.</w:t>
      </w:r>
      <w:r>
        <w:rPr>
          <w:rFonts w:ascii="仿宋_GB2312" w:eastAsia="仿宋_GB2312" w:hint="eastAsia"/>
          <w:color w:val="000000"/>
          <w:sz w:val="32"/>
          <w:szCs w:val="32"/>
        </w:rPr>
        <w:t>社会保障和就业208（类）05（款）06（项）：指机</w:t>
      </w:r>
      <w:r>
        <w:rPr>
          <w:rFonts w:ascii="仿宋_GB2312" w:eastAsia="仿宋_GB2312" w:hint="eastAsia"/>
          <w:color w:val="000000"/>
          <w:sz w:val="32"/>
          <w:szCs w:val="32"/>
        </w:rPr>
        <w:lastRenderedPageBreak/>
        <w:t>关事业单位职业年金缴费支出。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w:t>
      </w:r>
      <w:r w:rsidR="002A6615">
        <w:rPr>
          <w:rFonts w:ascii="仿宋_GB2312" w:eastAsia="仿宋_GB2312" w:hint="eastAsia"/>
          <w:color w:val="000000"/>
          <w:sz w:val="32"/>
          <w:szCs w:val="32"/>
        </w:rPr>
        <w:t>2</w:t>
      </w:r>
      <w:r>
        <w:rPr>
          <w:rFonts w:ascii="仿宋_GB2312" w:eastAsia="仿宋_GB2312"/>
          <w:color w:val="000000"/>
          <w:sz w:val="32"/>
          <w:szCs w:val="32"/>
        </w:rPr>
        <w:t>.</w:t>
      </w:r>
      <w:r>
        <w:rPr>
          <w:rFonts w:ascii="仿宋_GB2312" w:eastAsia="仿宋_GB2312" w:hint="eastAsia"/>
          <w:color w:val="000000"/>
          <w:sz w:val="32"/>
          <w:szCs w:val="32"/>
        </w:rPr>
        <w:t>医疗卫生与计划生育</w:t>
      </w:r>
      <w:r w:rsidR="002A6615">
        <w:rPr>
          <w:rFonts w:ascii="仿宋_GB2312" w:eastAsia="仿宋_GB2312" w:hint="eastAsia"/>
          <w:color w:val="000000"/>
          <w:sz w:val="32"/>
          <w:szCs w:val="32"/>
        </w:rPr>
        <w:t>210</w:t>
      </w:r>
      <w:r>
        <w:rPr>
          <w:rFonts w:ascii="仿宋_GB2312" w:eastAsia="仿宋_GB2312" w:hint="eastAsia"/>
          <w:color w:val="000000"/>
          <w:sz w:val="32"/>
          <w:szCs w:val="32"/>
        </w:rPr>
        <w:t>（类）</w:t>
      </w:r>
      <w:r w:rsidR="002A6615">
        <w:rPr>
          <w:rFonts w:ascii="仿宋_GB2312" w:eastAsia="仿宋_GB2312" w:hint="eastAsia"/>
          <w:color w:val="000000"/>
          <w:sz w:val="32"/>
          <w:szCs w:val="32"/>
        </w:rPr>
        <w:t>11</w:t>
      </w:r>
      <w:r>
        <w:rPr>
          <w:rFonts w:ascii="仿宋_GB2312" w:eastAsia="仿宋_GB2312" w:hint="eastAsia"/>
          <w:color w:val="000000"/>
          <w:sz w:val="32"/>
          <w:szCs w:val="32"/>
        </w:rPr>
        <w:t>（款）</w:t>
      </w:r>
      <w:r w:rsidR="002A6615">
        <w:rPr>
          <w:rFonts w:ascii="仿宋_GB2312" w:eastAsia="仿宋_GB2312" w:hint="eastAsia"/>
          <w:color w:val="000000"/>
          <w:sz w:val="32"/>
          <w:szCs w:val="32"/>
        </w:rPr>
        <w:t>02</w:t>
      </w:r>
      <w:r>
        <w:rPr>
          <w:rFonts w:ascii="仿宋_GB2312" w:eastAsia="仿宋_GB2312" w:hint="eastAsia"/>
          <w:color w:val="000000"/>
          <w:sz w:val="32"/>
          <w:szCs w:val="32"/>
        </w:rPr>
        <w:t>（项）：指</w:t>
      </w:r>
      <w:r w:rsidR="002A6615">
        <w:rPr>
          <w:rFonts w:ascii="仿宋_GB2312" w:eastAsia="仿宋_GB2312" w:hint="eastAsia"/>
          <w:color w:val="000000"/>
          <w:sz w:val="32"/>
          <w:szCs w:val="32"/>
        </w:rPr>
        <w:t>事业单位基本医疗保险缴费支出</w:t>
      </w:r>
      <w:r>
        <w:rPr>
          <w:rFonts w:ascii="仿宋_GB2312" w:eastAsia="仿宋_GB2312" w:hint="eastAsia"/>
          <w:color w:val="000000"/>
          <w:sz w:val="32"/>
          <w:szCs w:val="32"/>
        </w:rPr>
        <w:t>。</w:t>
      </w:r>
    </w:p>
    <w:p w:rsidR="00C36DD7" w:rsidRPr="00C36DD7" w:rsidRDefault="00C36DD7" w:rsidP="00C36DD7">
      <w:pPr>
        <w:ind w:firstLineChars="200" w:firstLine="640"/>
        <w:rPr>
          <w:rFonts w:ascii="仿宋_GB2312" w:eastAsia="仿宋_GB2312"/>
          <w:color w:val="000000"/>
          <w:sz w:val="32"/>
          <w:szCs w:val="32"/>
        </w:rPr>
      </w:pPr>
      <w:r>
        <w:rPr>
          <w:rFonts w:ascii="仿宋_GB2312" w:eastAsia="仿宋_GB2312"/>
          <w:color w:val="000000"/>
          <w:sz w:val="32"/>
          <w:szCs w:val="32"/>
        </w:rPr>
        <w:t>1</w:t>
      </w:r>
      <w:r>
        <w:rPr>
          <w:rFonts w:ascii="仿宋_GB2312" w:eastAsia="仿宋_GB2312" w:hint="eastAsia"/>
          <w:color w:val="000000"/>
          <w:sz w:val="32"/>
          <w:szCs w:val="32"/>
        </w:rPr>
        <w:t>3</w:t>
      </w:r>
      <w:r>
        <w:rPr>
          <w:rFonts w:ascii="仿宋_GB2312" w:eastAsia="仿宋_GB2312"/>
          <w:color w:val="000000"/>
          <w:sz w:val="32"/>
          <w:szCs w:val="32"/>
        </w:rPr>
        <w:t>.</w:t>
      </w:r>
      <w:r>
        <w:rPr>
          <w:rFonts w:ascii="仿宋_GB2312" w:eastAsia="仿宋_GB2312" w:hint="eastAsia"/>
          <w:color w:val="000000"/>
          <w:sz w:val="32"/>
          <w:szCs w:val="32"/>
        </w:rPr>
        <w:t>医疗卫生与计划生育210（类）11（款）03（项）：</w:t>
      </w:r>
      <w:proofErr w:type="gramStart"/>
      <w:r>
        <w:rPr>
          <w:rFonts w:ascii="仿宋_GB2312" w:eastAsia="仿宋_GB2312" w:hint="eastAsia"/>
          <w:color w:val="000000"/>
          <w:sz w:val="32"/>
          <w:szCs w:val="32"/>
        </w:rPr>
        <w:t>指安排</w:t>
      </w:r>
      <w:proofErr w:type="gramEnd"/>
      <w:r>
        <w:rPr>
          <w:rFonts w:ascii="仿宋_GB2312" w:eastAsia="仿宋_GB2312" w:hint="eastAsia"/>
          <w:color w:val="000000"/>
          <w:sz w:val="32"/>
          <w:szCs w:val="32"/>
        </w:rPr>
        <w:t>的公务员医疗补助支出。</w:t>
      </w:r>
    </w:p>
    <w:p w:rsidR="005B5C64" w:rsidRDefault="00C36DD7">
      <w:pPr>
        <w:ind w:firstLineChars="200" w:firstLine="640"/>
        <w:rPr>
          <w:rFonts w:ascii="仿宋_GB2312" w:eastAsia="仿宋_GB2312"/>
          <w:color w:val="000000"/>
          <w:sz w:val="32"/>
          <w:szCs w:val="32"/>
        </w:rPr>
      </w:pPr>
      <w:r>
        <w:rPr>
          <w:rFonts w:ascii="仿宋_GB2312" w:eastAsia="仿宋_GB2312" w:hint="eastAsia"/>
          <w:color w:val="000000"/>
          <w:sz w:val="32"/>
          <w:szCs w:val="32"/>
        </w:rPr>
        <w:t>14</w:t>
      </w:r>
      <w:r w:rsidR="00204CDE">
        <w:rPr>
          <w:rFonts w:ascii="仿宋_GB2312" w:eastAsia="仿宋_GB2312"/>
          <w:color w:val="000000"/>
          <w:sz w:val="32"/>
          <w:szCs w:val="32"/>
        </w:rPr>
        <w:t>.</w:t>
      </w:r>
      <w:r w:rsidR="00204CDE">
        <w:rPr>
          <w:rFonts w:ascii="仿宋_GB2312" w:eastAsia="仿宋_GB2312" w:hint="eastAsia"/>
          <w:color w:val="000000"/>
          <w:sz w:val="32"/>
          <w:szCs w:val="32"/>
        </w:rPr>
        <w:t>住房保障</w:t>
      </w:r>
      <w:r>
        <w:rPr>
          <w:rFonts w:ascii="仿宋_GB2312" w:eastAsia="仿宋_GB2312" w:hint="eastAsia"/>
          <w:color w:val="000000"/>
          <w:sz w:val="32"/>
          <w:szCs w:val="32"/>
        </w:rPr>
        <w:t>221</w:t>
      </w:r>
      <w:r w:rsidR="00204CDE">
        <w:rPr>
          <w:rFonts w:ascii="仿宋_GB2312" w:eastAsia="仿宋_GB2312" w:hint="eastAsia"/>
          <w:color w:val="000000"/>
          <w:sz w:val="32"/>
          <w:szCs w:val="32"/>
        </w:rPr>
        <w:t>（类）</w:t>
      </w:r>
      <w:r>
        <w:rPr>
          <w:rFonts w:ascii="仿宋_GB2312" w:eastAsia="仿宋_GB2312" w:hint="eastAsia"/>
          <w:color w:val="000000"/>
          <w:sz w:val="32"/>
          <w:szCs w:val="32"/>
        </w:rPr>
        <w:t>02</w:t>
      </w:r>
      <w:r w:rsidR="00204CDE">
        <w:rPr>
          <w:rFonts w:ascii="仿宋_GB2312" w:eastAsia="仿宋_GB2312" w:hint="eastAsia"/>
          <w:color w:val="000000"/>
          <w:sz w:val="32"/>
          <w:szCs w:val="32"/>
        </w:rPr>
        <w:t>（款）</w:t>
      </w:r>
      <w:r>
        <w:rPr>
          <w:rFonts w:ascii="仿宋_GB2312" w:eastAsia="仿宋_GB2312" w:hint="eastAsia"/>
          <w:color w:val="000000"/>
          <w:sz w:val="32"/>
          <w:szCs w:val="32"/>
        </w:rPr>
        <w:t>01</w:t>
      </w:r>
      <w:r w:rsidR="00204CDE">
        <w:rPr>
          <w:rFonts w:ascii="仿宋_GB2312" w:eastAsia="仿宋_GB2312" w:hint="eastAsia"/>
          <w:color w:val="000000"/>
          <w:sz w:val="32"/>
          <w:szCs w:val="32"/>
        </w:rPr>
        <w:t>（项）：指</w:t>
      </w:r>
      <w:r>
        <w:rPr>
          <w:rFonts w:ascii="仿宋_GB2312" w:eastAsia="仿宋_GB2312" w:hint="eastAsia"/>
          <w:color w:val="000000"/>
          <w:sz w:val="32"/>
          <w:szCs w:val="32"/>
        </w:rPr>
        <w:t>事业单位按人力资源和社会保障部门、财政部门规定的基本工资和津补贴以及规定比例为职工缴纳的住房公积金</w:t>
      </w:r>
      <w:r w:rsidR="00204CDE">
        <w:rPr>
          <w:rFonts w:ascii="仿宋_GB2312" w:eastAsia="仿宋_GB2312" w:hint="eastAsia"/>
          <w:color w:val="000000"/>
          <w:sz w:val="32"/>
          <w:szCs w:val="32"/>
        </w:rPr>
        <w:t>。</w:t>
      </w:r>
    </w:p>
    <w:p w:rsidR="005B5C64" w:rsidRDefault="00C36DD7">
      <w:pPr>
        <w:ind w:firstLineChars="200" w:firstLine="640"/>
        <w:rPr>
          <w:rFonts w:ascii="仿宋_GB2312" w:eastAsia="仿宋_GB2312"/>
          <w:color w:val="000000"/>
          <w:sz w:val="32"/>
          <w:szCs w:val="32"/>
        </w:rPr>
      </w:pPr>
      <w:r>
        <w:rPr>
          <w:rFonts w:ascii="仿宋_GB2312" w:eastAsia="仿宋_GB2312" w:hint="eastAsia"/>
          <w:color w:val="000000"/>
          <w:sz w:val="32"/>
          <w:szCs w:val="32"/>
        </w:rPr>
        <w:t>15</w:t>
      </w:r>
      <w:r w:rsidR="00204CDE">
        <w:rPr>
          <w:rFonts w:ascii="仿宋_GB2312" w:eastAsia="仿宋_GB2312"/>
          <w:color w:val="000000"/>
          <w:sz w:val="32"/>
          <w:szCs w:val="32"/>
        </w:rPr>
        <w:t>.</w:t>
      </w:r>
      <w:r w:rsidR="00204CDE">
        <w:rPr>
          <w:rFonts w:ascii="仿宋_GB2312" w:eastAsia="仿宋_GB2312" w:hint="eastAsia"/>
          <w:color w:val="000000"/>
          <w:sz w:val="32"/>
          <w:szCs w:val="32"/>
        </w:rPr>
        <w:t>基本支出：指为保障机构正常运转、完成日常工作任务而发生的人员支出和公用支出。</w:t>
      </w:r>
    </w:p>
    <w:p w:rsidR="005B5C64" w:rsidRDefault="00C36DD7">
      <w:pPr>
        <w:ind w:firstLineChars="200" w:firstLine="640"/>
        <w:rPr>
          <w:rFonts w:ascii="仿宋_GB2312" w:eastAsia="仿宋_GB2312"/>
          <w:color w:val="000000"/>
          <w:sz w:val="32"/>
          <w:szCs w:val="32"/>
        </w:rPr>
      </w:pPr>
      <w:r>
        <w:rPr>
          <w:rFonts w:ascii="仿宋_GB2312" w:eastAsia="仿宋_GB2312" w:hint="eastAsia"/>
          <w:color w:val="000000"/>
          <w:sz w:val="32"/>
          <w:szCs w:val="32"/>
        </w:rPr>
        <w:t>16</w:t>
      </w:r>
      <w:r w:rsidR="00204CDE">
        <w:rPr>
          <w:rFonts w:ascii="仿宋_GB2312" w:eastAsia="仿宋_GB2312"/>
          <w:color w:val="000000"/>
          <w:sz w:val="32"/>
          <w:szCs w:val="32"/>
        </w:rPr>
        <w:t>.</w:t>
      </w:r>
      <w:r w:rsidR="00204CDE">
        <w:rPr>
          <w:rFonts w:ascii="仿宋_GB2312" w:eastAsia="仿宋_GB2312" w:hint="eastAsia"/>
          <w:color w:val="000000"/>
          <w:sz w:val="32"/>
          <w:szCs w:val="32"/>
        </w:rPr>
        <w:t>项目支出：指在基本支出之外为完成特定行政任务和事业发展目标所发生的支出。</w:t>
      </w:r>
      <w:r w:rsidR="00204CDE">
        <w:rPr>
          <w:rFonts w:ascii="仿宋_GB2312" w:eastAsia="仿宋_GB2312"/>
          <w:color w:val="000000"/>
          <w:sz w:val="32"/>
          <w:szCs w:val="32"/>
        </w:rPr>
        <w:t xml:space="preserve"> </w:t>
      </w:r>
    </w:p>
    <w:p w:rsidR="005B5C64" w:rsidRDefault="00C36DD7">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17</w:t>
      </w:r>
      <w:r w:rsidR="00204CDE">
        <w:rPr>
          <w:rFonts w:ascii="仿宋_GB2312" w:eastAsia="仿宋_GB2312"/>
          <w:sz w:val="32"/>
          <w:szCs w:val="32"/>
        </w:rPr>
        <w:t>.</w:t>
      </w:r>
      <w:r w:rsidR="00204CDE">
        <w:rPr>
          <w:rFonts w:ascii="仿宋_GB2312" w:eastAsia="仿宋_GB2312" w:hint="eastAsia"/>
          <w:sz w:val="32"/>
          <w:szCs w:val="32"/>
        </w:rPr>
        <w:t>“三公”经费：指部门用财政拨款安排的因公出国（境）费、公务用车购置及运行费和公务接待费。其中，因公出国（境）</w:t>
      </w:r>
      <w:proofErr w:type="gramStart"/>
      <w:r w:rsidR="00204CDE">
        <w:rPr>
          <w:rFonts w:ascii="仿宋_GB2312" w:eastAsia="仿宋_GB2312" w:hint="eastAsia"/>
          <w:sz w:val="32"/>
          <w:szCs w:val="32"/>
        </w:rPr>
        <w:t>费反映</w:t>
      </w:r>
      <w:proofErr w:type="gramEnd"/>
      <w:r w:rsidR="00204CDE">
        <w:rPr>
          <w:rFonts w:ascii="仿宋_GB2312" w:eastAsia="仿宋_GB2312" w:hint="eastAsia"/>
          <w:sz w:val="32"/>
          <w:szCs w:val="32"/>
        </w:rPr>
        <w:t>单位公务出国（境）的国际旅费、国外城市间交通费、住宿费、伙食费、培训费、公杂费等支出；公务用车购置及运行</w:t>
      </w:r>
      <w:proofErr w:type="gramStart"/>
      <w:r w:rsidR="00204CDE">
        <w:rPr>
          <w:rFonts w:ascii="仿宋_GB2312" w:eastAsia="仿宋_GB2312" w:hint="eastAsia"/>
          <w:sz w:val="32"/>
          <w:szCs w:val="32"/>
        </w:rPr>
        <w:t>费反映</w:t>
      </w:r>
      <w:proofErr w:type="gramEnd"/>
      <w:r w:rsidR="00204CDE">
        <w:rPr>
          <w:rFonts w:ascii="仿宋_GB2312" w:eastAsia="仿宋_GB2312" w:hint="eastAsia"/>
          <w:sz w:val="32"/>
          <w:szCs w:val="32"/>
        </w:rPr>
        <w:t>单位公务用车车辆购置支出（</w:t>
      </w:r>
      <w:proofErr w:type="gramStart"/>
      <w:r w:rsidR="00204CDE">
        <w:rPr>
          <w:rFonts w:ascii="仿宋_GB2312" w:eastAsia="仿宋_GB2312" w:hint="eastAsia"/>
          <w:sz w:val="32"/>
          <w:szCs w:val="32"/>
        </w:rPr>
        <w:t>含车辆</w:t>
      </w:r>
      <w:proofErr w:type="gramEnd"/>
      <w:r w:rsidR="00204CDE">
        <w:rPr>
          <w:rFonts w:ascii="仿宋_GB2312" w:eastAsia="仿宋_GB2312" w:hint="eastAsia"/>
          <w:sz w:val="32"/>
          <w:szCs w:val="32"/>
        </w:rPr>
        <w:t>购置税）及租用费、燃料费、维修费、过路过桥费、保险费等支出；公务接待</w:t>
      </w:r>
      <w:proofErr w:type="gramStart"/>
      <w:r w:rsidR="00204CDE">
        <w:rPr>
          <w:rFonts w:ascii="仿宋_GB2312" w:eastAsia="仿宋_GB2312" w:hint="eastAsia"/>
          <w:sz w:val="32"/>
          <w:szCs w:val="32"/>
        </w:rPr>
        <w:t>费反映</w:t>
      </w:r>
      <w:proofErr w:type="gramEnd"/>
      <w:r w:rsidR="00204CDE">
        <w:rPr>
          <w:rFonts w:ascii="仿宋_GB2312" w:eastAsia="仿宋_GB2312" w:hint="eastAsia"/>
          <w:sz w:val="32"/>
          <w:szCs w:val="32"/>
        </w:rPr>
        <w:t>单位按规定开支的各类公务接待（含外宾接待）支出。</w:t>
      </w:r>
    </w:p>
    <w:p w:rsidR="00C36DD7" w:rsidRDefault="00C36DD7">
      <w:pPr>
        <w:spacing w:line="600" w:lineRule="exact"/>
        <w:jc w:val="center"/>
        <w:outlineLvl w:val="0"/>
        <w:rPr>
          <w:rFonts w:ascii="黑体" w:eastAsia="黑体" w:hAnsi="黑体"/>
          <w:color w:val="000000"/>
          <w:sz w:val="44"/>
          <w:szCs w:val="44"/>
        </w:rPr>
      </w:pPr>
      <w:bookmarkStart w:id="58" w:name="_Toc15396614"/>
      <w:bookmarkStart w:id="59" w:name="_Toc15377226"/>
    </w:p>
    <w:p w:rsidR="00C36DD7" w:rsidRDefault="00C36DD7">
      <w:pPr>
        <w:spacing w:line="600" w:lineRule="exact"/>
        <w:jc w:val="center"/>
        <w:outlineLvl w:val="0"/>
        <w:rPr>
          <w:rFonts w:ascii="黑体" w:eastAsia="黑体" w:hAnsi="黑体"/>
          <w:color w:val="000000"/>
          <w:sz w:val="44"/>
          <w:szCs w:val="44"/>
        </w:rPr>
      </w:pPr>
    </w:p>
    <w:p w:rsidR="00C36DD7" w:rsidRDefault="00C36DD7">
      <w:pPr>
        <w:spacing w:line="600" w:lineRule="exact"/>
        <w:jc w:val="center"/>
        <w:outlineLvl w:val="0"/>
        <w:rPr>
          <w:rFonts w:ascii="黑体" w:eastAsia="黑体" w:hAnsi="黑体"/>
          <w:color w:val="000000"/>
          <w:sz w:val="44"/>
          <w:szCs w:val="44"/>
        </w:rPr>
      </w:pPr>
    </w:p>
    <w:p w:rsidR="00416CD4" w:rsidRDefault="00204CDE">
      <w:pPr>
        <w:spacing w:line="600" w:lineRule="exact"/>
        <w:jc w:val="center"/>
        <w:outlineLvl w:val="0"/>
        <w:rPr>
          <w:rStyle w:val="1Char"/>
          <w:rFonts w:ascii="黑体" w:eastAsia="黑体" w:hAnsi="黑体"/>
          <w:b w:val="0"/>
        </w:rPr>
      </w:pPr>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8"/>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070A43" w:rsidRPr="00D254F7" w:rsidRDefault="00C70BB3"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广汉市南丰第二小学</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66005B" w:rsidRDefault="0066005B" w:rsidP="00070A43">
      <w:pPr>
        <w:widowControl/>
        <w:adjustRightInd w:val="0"/>
        <w:snapToGrid w:val="0"/>
        <w:spacing w:line="580" w:lineRule="exact"/>
        <w:ind w:firstLineChars="200" w:firstLine="640"/>
        <w:contextualSpacing/>
        <w:jc w:val="left"/>
        <w:rPr>
          <w:rFonts w:ascii="仿宋_GB2312" w:eastAsia="仿宋_GB2312"/>
          <w:kern w:val="0"/>
          <w:sz w:val="32"/>
          <w:szCs w:val="32"/>
        </w:rPr>
      </w:pPr>
      <w:r w:rsidRPr="004103C1">
        <w:rPr>
          <w:rFonts w:ascii="仿宋_GB2312" w:eastAsia="仿宋_GB2312" w:hint="eastAsia"/>
          <w:kern w:val="0"/>
          <w:sz w:val="32"/>
          <w:szCs w:val="32"/>
        </w:rPr>
        <w:t>2019年末，独立编制机构数1个，内设校长室、教师办公室、工会、教导处、政教处、总务处等6个办公室。</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 xml:space="preserve">（1）全面贯彻国家教育方针，具体负责南丰镇学区范围内义务教育阶段小学教育教学工作；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 xml:space="preserve">（2）创建平安校园，确保校园安宁，师生平安；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（3）</w:t>
      </w:r>
      <w:proofErr w:type="gramStart"/>
      <w:r w:rsidRPr="004103C1">
        <w:rPr>
          <w:rFonts w:ascii="仿宋_GB2312" w:eastAsia="仿宋_GB2312" w:hint="eastAsia"/>
          <w:kern w:val="0"/>
          <w:sz w:val="32"/>
          <w:szCs w:val="32"/>
        </w:rPr>
        <w:t>践行</w:t>
      </w:r>
      <w:proofErr w:type="gramEnd"/>
      <w:r w:rsidRPr="004103C1">
        <w:rPr>
          <w:rFonts w:ascii="仿宋_GB2312" w:eastAsia="仿宋_GB2312" w:hint="eastAsia"/>
          <w:kern w:val="0"/>
          <w:sz w:val="32"/>
          <w:szCs w:val="32"/>
        </w:rPr>
        <w:t xml:space="preserve">学校育人理念，推进学校内涵发展，注重学生品行培养，激发学生兴趣，培育健康体魄，养成良好习惯，全面提升教育质量；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 xml:space="preserve">（4）加强科学的教学质量过程管理，做好高效课题、教科研等工作，全面提升各个学科教学质量；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 xml:space="preserve">（5）抓好学校绩效考核和班级考核评比机制，调动教师积极性；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 xml:space="preserve">（6）强化学校规范管理，完善各项规章制度，依法治校，依章办事；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（7）加强教师队伍建设，创新师德规范教育的方法和</w:t>
      </w:r>
      <w:r w:rsidRPr="004103C1">
        <w:rPr>
          <w:rFonts w:ascii="仿宋_GB2312" w:eastAsia="仿宋_GB2312" w:hint="eastAsia"/>
          <w:kern w:val="0"/>
          <w:sz w:val="32"/>
          <w:szCs w:val="32"/>
        </w:rPr>
        <w:lastRenderedPageBreak/>
        <w:t>途径，积极</w:t>
      </w:r>
      <w:proofErr w:type="gramStart"/>
      <w:r w:rsidRPr="004103C1">
        <w:rPr>
          <w:rFonts w:ascii="仿宋_GB2312" w:eastAsia="仿宋_GB2312" w:hint="eastAsia"/>
          <w:kern w:val="0"/>
          <w:sz w:val="32"/>
          <w:szCs w:val="32"/>
        </w:rPr>
        <w:t>践行</w:t>
      </w:r>
      <w:proofErr w:type="gramEnd"/>
      <w:r w:rsidRPr="004103C1">
        <w:rPr>
          <w:rFonts w:ascii="仿宋_GB2312" w:eastAsia="仿宋_GB2312" w:hint="eastAsia"/>
          <w:kern w:val="0"/>
          <w:sz w:val="32"/>
          <w:szCs w:val="32"/>
        </w:rPr>
        <w:t xml:space="preserve">“童心母爱，至诚高效”的师训，强化教师培训工作，积极鼓励教师专业化发展，提升自身业务素质，强化骨干教师队伍建设；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 xml:space="preserve">（8）积极拓展学校对外交流渠道，加大学校宣传力度，树立学校良好的社会形象，沟通校际交流，开阔眼界，紧跟教育发展脚步； </w:t>
      </w:r>
    </w:p>
    <w:p w:rsidR="0066005B" w:rsidRPr="004103C1"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（9）加强艺</w:t>
      </w:r>
      <w:proofErr w:type="gramStart"/>
      <w:r w:rsidRPr="004103C1">
        <w:rPr>
          <w:rFonts w:ascii="仿宋_GB2312" w:eastAsia="仿宋_GB2312" w:hint="eastAsia"/>
          <w:kern w:val="0"/>
          <w:sz w:val="32"/>
          <w:szCs w:val="32"/>
        </w:rPr>
        <w:t>体教学</w:t>
      </w:r>
      <w:proofErr w:type="gramEnd"/>
      <w:r w:rsidRPr="004103C1">
        <w:rPr>
          <w:rFonts w:ascii="仿宋_GB2312" w:eastAsia="仿宋_GB2312" w:hint="eastAsia"/>
          <w:kern w:val="0"/>
          <w:sz w:val="32"/>
          <w:szCs w:val="32"/>
        </w:rPr>
        <w:t xml:space="preserve">工作，拓展学生课外兴趣小组活动项目，提高教学质量，逐步形成学校经典特色项目；  </w:t>
      </w:r>
    </w:p>
    <w:p w:rsidR="0066005B" w:rsidRDefault="0066005B" w:rsidP="0066005B">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4103C1">
        <w:rPr>
          <w:rFonts w:ascii="仿宋_GB2312" w:eastAsia="仿宋_GB2312" w:hint="eastAsia"/>
          <w:kern w:val="0"/>
          <w:sz w:val="32"/>
          <w:szCs w:val="32"/>
        </w:rPr>
        <w:t>（10）承办市委、市政府交办的其他事项。</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p>
    <w:p w:rsidR="0066005B" w:rsidRPr="0066005B"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sidRPr="004103C1">
        <w:rPr>
          <w:rFonts w:ascii="仿宋_GB2312" w:eastAsia="仿宋_GB2312" w:hint="eastAsia"/>
          <w:kern w:val="0"/>
          <w:sz w:val="32"/>
          <w:szCs w:val="32"/>
        </w:rPr>
        <w:t>2019年末，南丰二小实有在职教职工45人，其中财政供养人员45人，与上年末相比无增减。</w:t>
      </w:r>
      <w:proofErr w:type="gramStart"/>
      <w:r w:rsidRPr="004103C1">
        <w:rPr>
          <w:rFonts w:ascii="仿宋_GB2312" w:eastAsia="仿宋_GB2312" w:hint="eastAsia"/>
          <w:kern w:val="0"/>
          <w:sz w:val="32"/>
          <w:szCs w:val="32"/>
        </w:rPr>
        <w:t>在职转</w:t>
      </w:r>
      <w:proofErr w:type="gramEnd"/>
      <w:r w:rsidRPr="004103C1">
        <w:rPr>
          <w:rFonts w:ascii="仿宋_GB2312" w:eastAsia="仿宋_GB2312" w:hint="eastAsia"/>
          <w:kern w:val="0"/>
          <w:sz w:val="32"/>
          <w:szCs w:val="32"/>
        </w:rPr>
        <w:t>退休1人，调入3人，调出2人。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66005B" w:rsidRPr="0066005B" w:rsidRDefault="0066005B" w:rsidP="00070A43">
      <w:pPr>
        <w:widowControl/>
        <w:adjustRightInd w:val="0"/>
        <w:snapToGrid w:val="0"/>
        <w:spacing w:line="580" w:lineRule="exact"/>
        <w:ind w:firstLineChars="200" w:firstLine="640"/>
        <w:contextualSpacing/>
        <w:jc w:val="left"/>
        <w:rPr>
          <w:rFonts w:ascii="仿宋_GB2312" w:eastAsia="仿宋_GB2312"/>
          <w:kern w:val="0"/>
          <w:sz w:val="32"/>
          <w:szCs w:val="32"/>
        </w:rPr>
      </w:pPr>
      <w:r w:rsidRPr="0066005B">
        <w:rPr>
          <w:rFonts w:ascii="仿宋_GB2312" w:eastAsia="仿宋_GB2312"/>
          <w:kern w:val="0"/>
          <w:sz w:val="32"/>
          <w:szCs w:val="32"/>
        </w:rPr>
        <w:t>201</w:t>
      </w:r>
      <w:r w:rsidRPr="0066005B">
        <w:rPr>
          <w:rFonts w:ascii="仿宋_GB2312" w:eastAsia="仿宋_GB2312" w:hint="eastAsia"/>
          <w:kern w:val="0"/>
          <w:sz w:val="32"/>
          <w:szCs w:val="32"/>
        </w:rPr>
        <w:t>9年，我校财政拨款收入总计623.16万元。支出总计633.26万元。</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66005B" w:rsidRPr="0066005B" w:rsidRDefault="0066005B" w:rsidP="0066005B">
      <w:pPr>
        <w:widowControl/>
        <w:adjustRightInd w:val="0"/>
        <w:snapToGrid w:val="0"/>
        <w:spacing w:line="580" w:lineRule="exact"/>
        <w:ind w:firstLineChars="200" w:firstLine="640"/>
        <w:contextualSpacing/>
        <w:jc w:val="left"/>
        <w:rPr>
          <w:rFonts w:ascii="仿宋_GB2312" w:eastAsia="仿宋_GB2312"/>
          <w:kern w:val="0"/>
          <w:sz w:val="32"/>
          <w:szCs w:val="32"/>
        </w:rPr>
      </w:pPr>
      <w:r w:rsidRPr="0066005B">
        <w:rPr>
          <w:rFonts w:ascii="仿宋_GB2312" w:eastAsia="仿宋_GB2312"/>
          <w:kern w:val="0"/>
          <w:sz w:val="32"/>
          <w:szCs w:val="32"/>
        </w:rPr>
        <w:t>201</w:t>
      </w:r>
      <w:r w:rsidRPr="0066005B">
        <w:rPr>
          <w:rFonts w:ascii="仿宋_GB2312" w:eastAsia="仿宋_GB2312" w:hint="eastAsia"/>
          <w:kern w:val="0"/>
          <w:sz w:val="32"/>
          <w:szCs w:val="32"/>
        </w:rPr>
        <w:t>9年，我校财政拨款支出总计633.26万元。</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66005B"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2019年，南丰二</w:t>
      </w:r>
      <w:proofErr w:type="gramStart"/>
      <w:r>
        <w:rPr>
          <w:rFonts w:ascii="仿宋_GB2312" w:eastAsia="仿宋_GB2312" w:hint="eastAsia"/>
          <w:kern w:val="0"/>
          <w:sz w:val="32"/>
          <w:szCs w:val="32"/>
        </w:rPr>
        <w:t>小收入</w:t>
      </w:r>
      <w:proofErr w:type="gramEnd"/>
      <w:r>
        <w:rPr>
          <w:rFonts w:ascii="仿宋_GB2312" w:eastAsia="仿宋_GB2312" w:hint="eastAsia"/>
          <w:kern w:val="0"/>
          <w:sz w:val="32"/>
          <w:szCs w:val="32"/>
        </w:rPr>
        <w:t>预算总计5265553.00元（全部为基本支出），其中一般公共预算财政拨款收入5165553.00元（其中工资福利支出4777381.00元，商品和服务支出</w:t>
      </w:r>
      <w:r>
        <w:rPr>
          <w:rFonts w:ascii="仿宋_GB2312" w:eastAsia="仿宋_GB2312" w:hint="eastAsia"/>
          <w:kern w:val="0"/>
          <w:sz w:val="32"/>
          <w:szCs w:val="32"/>
        </w:rPr>
        <w:lastRenderedPageBreak/>
        <w:t>88690.00元，对个人和家庭补助支出298982.00元。），事业收入100000.00元。</w:t>
      </w:r>
    </w:p>
    <w:p w:rsidR="0066005B" w:rsidRPr="001F6448"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2019年，南丰二小支出预算总计5265553.00元（全部为基本支出）其中人员支出5076363.00元，日常公用支出189190.00元。</w:t>
      </w:r>
    </w:p>
    <w:p w:rsidR="0066005B"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截止2019年12月31日，南丰二</w:t>
      </w:r>
      <w:proofErr w:type="gramStart"/>
      <w:r>
        <w:rPr>
          <w:rFonts w:ascii="仿宋_GB2312" w:eastAsia="仿宋_GB2312" w:hint="eastAsia"/>
          <w:kern w:val="0"/>
          <w:sz w:val="32"/>
          <w:szCs w:val="32"/>
        </w:rPr>
        <w:t>小执行</w:t>
      </w:r>
      <w:proofErr w:type="gramEnd"/>
      <w:r>
        <w:rPr>
          <w:rFonts w:ascii="仿宋_GB2312" w:eastAsia="仿宋_GB2312" w:hint="eastAsia"/>
          <w:kern w:val="0"/>
          <w:sz w:val="32"/>
          <w:szCs w:val="32"/>
        </w:rPr>
        <w:t>预算支出6581009.46元，其中基本支出6521009.46元（其中工资福利支出5210031.08元，商品和服务支出736961.82元，对个人和家庭补助支出620216.56元），项目支出60000.00元。</w:t>
      </w:r>
    </w:p>
    <w:p w:rsidR="0066005B" w:rsidRPr="001F6448" w:rsidRDefault="0066005B" w:rsidP="0066005B">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2019年，广汉市财政给我单位下达的乡村少年宫运行维护专项资金30000.00元，截止2019年12月31日已全额列支。</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C70BB3" w:rsidRPr="00C70BB3" w:rsidRDefault="00C70BB3" w:rsidP="00C70BB3">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为加强财政支出管理，强化支出责任，优化财政支出结构，提高财政资金使用效益，2019年，我校进一步建立和完善了预算业务管理、收支业务管理、政府采购业务管理、国有资产业务管理、业务管理、合同业务管理等各项管理制度，制定了财务管理、内部审计等一系列财务管理制度，并强化制度执行和责任的落实。严格财经纪律，在“三公”经费的列支上，严格按相关规定执行，坚决杜绝违规违纪的行为发生。坚持民主管理、民主理财，努力做好了校务公开、财务公开和信息公开。</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C70BB3" w:rsidRPr="00514166"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sidRPr="00514166">
        <w:rPr>
          <w:rFonts w:ascii="仿宋_GB2312" w:eastAsia="仿宋_GB2312" w:hint="eastAsia"/>
          <w:kern w:val="0"/>
          <w:sz w:val="32"/>
          <w:szCs w:val="32"/>
        </w:rPr>
        <w:t>绩效评价综合结论  南丰二小20</w:t>
      </w:r>
      <w:r>
        <w:rPr>
          <w:rFonts w:ascii="仿宋_GB2312" w:eastAsia="仿宋_GB2312" w:hint="eastAsia"/>
          <w:kern w:val="0"/>
          <w:sz w:val="32"/>
          <w:szCs w:val="32"/>
        </w:rPr>
        <w:t>19</w:t>
      </w:r>
      <w:r w:rsidRPr="00514166">
        <w:rPr>
          <w:rFonts w:ascii="仿宋_GB2312" w:eastAsia="仿宋_GB2312" w:hint="eastAsia"/>
          <w:kern w:val="0"/>
          <w:sz w:val="32"/>
          <w:szCs w:val="32"/>
        </w:rPr>
        <w:t>年部门整体支出</w:t>
      </w:r>
      <w:r w:rsidRPr="00514166">
        <w:rPr>
          <w:rFonts w:ascii="仿宋_GB2312" w:eastAsia="仿宋_GB2312" w:hint="eastAsia"/>
          <w:kern w:val="0"/>
          <w:sz w:val="32"/>
          <w:szCs w:val="32"/>
        </w:rPr>
        <w:lastRenderedPageBreak/>
        <w:t>绩效评价综合得分</w:t>
      </w:r>
      <w:r>
        <w:rPr>
          <w:rFonts w:ascii="仿宋_GB2312" w:eastAsia="仿宋_GB2312" w:hint="eastAsia"/>
          <w:kern w:val="0"/>
          <w:sz w:val="32"/>
          <w:szCs w:val="32"/>
        </w:rPr>
        <w:t>92</w:t>
      </w:r>
      <w:r w:rsidRPr="00514166">
        <w:rPr>
          <w:rFonts w:ascii="仿宋_GB2312" w:eastAsia="仿宋_GB2312" w:hint="eastAsia"/>
          <w:kern w:val="0"/>
          <w:sz w:val="32"/>
          <w:szCs w:val="32"/>
        </w:rPr>
        <w:t xml:space="preserve">.05分，等级为“良”，通过对评价各项指标的分析，综合评价结论如下：  </w:t>
      </w:r>
    </w:p>
    <w:p w:rsidR="00C70BB3" w:rsidRPr="00514166"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sidRPr="00514166">
        <w:rPr>
          <w:rFonts w:ascii="仿宋_GB2312" w:eastAsia="仿宋_GB2312" w:hint="eastAsia"/>
          <w:kern w:val="0"/>
          <w:sz w:val="32"/>
          <w:szCs w:val="32"/>
        </w:rPr>
        <w:t xml:space="preserve">目标设定合理，绩效目标符合国家法律法规、国民经济和社会发展总体规划，符合广汉市教育事业发展“十四五”规划确定的中长期实施目标。  </w:t>
      </w:r>
    </w:p>
    <w:p w:rsidR="00C70BB3" w:rsidRPr="00514166"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w:t>
      </w:r>
      <w:r w:rsidRPr="00514166">
        <w:rPr>
          <w:rFonts w:ascii="仿宋_GB2312" w:eastAsia="仿宋_GB2312" w:hint="eastAsia"/>
          <w:kern w:val="0"/>
          <w:sz w:val="32"/>
          <w:szCs w:val="32"/>
        </w:rPr>
        <w:t xml:space="preserve">部门职责履行情况较好。基本达到了“平安校园”目标，校园日常管理达到《中小学幼儿园安全管理办法》（教育部令23号）、《中小学公共安全教育指导纲要》、《中小学校岗位安全工作指南》、《学校卫生工作条例》等，对学校安全管理和卫生保健相关要求；教科研工作开展有序，取得实效。  </w:t>
      </w:r>
    </w:p>
    <w:p w:rsidR="00C70BB3" w:rsidRDefault="00C70BB3" w:rsidP="00C70BB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int="eastAsia"/>
          <w:kern w:val="0"/>
          <w:sz w:val="32"/>
          <w:szCs w:val="32"/>
        </w:rPr>
        <w:t>（3）</w:t>
      </w:r>
      <w:r w:rsidRPr="00514166">
        <w:rPr>
          <w:rFonts w:ascii="仿宋_GB2312" w:eastAsia="仿宋_GB2312" w:hint="eastAsia"/>
          <w:kern w:val="0"/>
          <w:sz w:val="32"/>
          <w:szCs w:val="32"/>
        </w:rPr>
        <w:t>部门履职效益一般。南丰二小2019年明确目标，从教学常规、教学管理、立足教研、着眼课题等多方入手，抓常规、促专业，在教学教研方面取得了一定成绩。但从教学质量上来看，南丰二小仍须继续努力。</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C70BB3" w:rsidRPr="009F79A4"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sidRPr="009F79A4">
        <w:rPr>
          <w:rFonts w:ascii="仿宋_GB2312" w:eastAsia="仿宋_GB2312" w:hint="eastAsia"/>
          <w:kern w:val="0"/>
          <w:sz w:val="32"/>
          <w:szCs w:val="32"/>
        </w:rPr>
        <w:t>部门整体支出缺乏绩效目标引领，影响部门整体支出绩效发挥</w:t>
      </w:r>
      <w:r>
        <w:rPr>
          <w:rFonts w:ascii="仿宋_GB2312" w:eastAsia="仿宋_GB2312" w:hint="eastAsia"/>
          <w:kern w:val="0"/>
          <w:sz w:val="32"/>
          <w:szCs w:val="32"/>
        </w:rPr>
        <w:t>。</w:t>
      </w:r>
      <w:r w:rsidRPr="009F79A4">
        <w:rPr>
          <w:rFonts w:ascii="仿宋_GB2312" w:eastAsia="仿宋_GB2312" w:hint="eastAsia"/>
          <w:kern w:val="0"/>
          <w:sz w:val="32"/>
          <w:szCs w:val="32"/>
        </w:rPr>
        <w:t>一是南丰二小在申报2019年预算资金时，申报了部门整体支出绩效目标，但未将南丰二</w:t>
      </w:r>
      <w:proofErr w:type="gramStart"/>
      <w:r w:rsidRPr="009F79A4">
        <w:rPr>
          <w:rFonts w:ascii="仿宋_GB2312" w:eastAsia="仿宋_GB2312" w:hint="eastAsia"/>
          <w:kern w:val="0"/>
          <w:sz w:val="32"/>
          <w:szCs w:val="32"/>
        </w:rPr>
        <w:t>小制定</w:t>
      </w:r>
      <w:proofErr w:type="gramEnd"/>
      <w:r w:rsidRPr="009F79A4">
        <w:rPr>
          <w:rFonts w:ascii="仿宋_GB2312" w:eastAsia="仿宋_GB2312" w:hint="eastAsia"/>
          <w:kern w:val="0"/>
          <w:sz w:val="32"/>
          <w:szCs w:val="32"/>
        </w:rPr>
        <w:t>的2019</w:t>
      </w:r>
      <w:r>
        <w:rPr>
          <w:rFonts w:ascii="仿宋_GB2312" w:eastAsia="仿宋_GB2312" w:hint="eastAsia"/>
          <w:kern w:val="0"/>
          <w:sz w:val="32"/>
          <w:szCs w:val="32"/>
        </w:rPr>
        <w:t>年主要任务进行细化分解，并形成量化可考核的指标。</w:t>
      </w:r>
      <w:r w:rsidRPr="009F79A4">
        <w:rPr>
          <w:rFonts w:ascii="仿宋_GB2312" w:eastAsia="仿宋_GB2312" w:hint="eastAsia"/>
          <w:kern w:val="0"/>
          <w:sz w:val="32"/>
          <w:szCs w:val="32"/>
        </w:rPr>
        <w:t xml:space="preserve">二是学校对2019年工作仅有总结，未按绩效评价要求进行自评。  </w:t>
      </w:r>
    </w:p>
    <w:p w:rsidR="00C70BB3" w:rsidRPr="00C70BB3"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w:t>
      </w:r>
      <w:r w:rsidRPr="009F79A4">
        <w:rPr>
          <w:rFonts w:ascii="仿宋_GB2312" w:eastAsia="仿宋_GB2312" w:hint="eastAsia"/>
          <w:kern w:val="0"/>
          <w:sz w:val="32"/>
          <w:szCs w:val="32"/>
        </w:rPr>
        <w:t>学校整体教学质量偏低</w:t>
      </w:r>
      <w:r>
        <w:rPr>
          <w:rFonts w:ascii="仿宋_GB2312" w:eastAsia="仿宋_GB2312" w:hint="eastAsia"/>
          <w:kern w:val="0"/>
          <w:sz w:val="32"/>
          <w:szCs w:val="32"/>
        </w:rPr>
        <w:t>。</w:t>
      </w:r>
      <w:r w:rsidRPr="009F79A4">
        <w:rPr>
          <w:rFonts w:ascii="仿宋_GB2312" w:eastAsia="仿宋_GB2312" w:hint="eastAsia"/>
          <w:kern w:val="0"/>
          <w:sz w:val="32"/>
          <w:szCs w:val="32"/>
        </w:rPr>
        <w:t>2019年南丰二小教学质量整体偏低，结合评价结果来看，主要存在以下方面原因：一是2018-2019学年</w:t>
      </w:r>
      <w:proofErr w:type="gramStart"/>
      <w:r w:rsidRPr="009F79A4">
        <w:rPr>
          <w:rFonts w:ascii="仿宋_GB2312" w:eastAsia="仿宋_GB2312" w:hint="eastAsia"/>
          <w:kern w:val="0"/>
          <w:sz w:val="32"/>
          <w:szCs w:val="32"/>
        </w:rPr>
        <w:t>教师课标过关</w:t>
      </w:r>
      <w:proofErr w:type="gramEnd"/>
      <w:r w:rsidRPr="009F79A4">
        <w:rPr>
          <w:rFonts w:ascii="仿宋_GB2312" w:eastAsia="仿宋_GB2312" w:hint="eastAsia"/>
          <w:kern w:val="0"/>
          <w:sz w:val="32"/>
          <w:szCs w:val="32"/>
        </w:rPr>
        <w:t>考核，全校考试成绩90分</w:t>
      </w:r>
      <w:r w:rsidRPr="009F79A4">
        <w:rPr>
          <w:rFonts w:ascii="仿宋_GB2312" w:eastAsia="仿宋_GB2312" w:hint="eastAsia"/>
          <w:kern w:val="0"/>
          <w:sz w:val="32"/>
          <w:szCs w:val="32"/>
        </w:rPr>
        <w:lastRenderedPageBreak/>
        <w:t>以上</w:t>
      </w:r>
      <w:r>
        <w:rPr>
          <w:rFonts w:ascii="仿宋_GB2312" w:eastAsia="仿宋_GB2312" w:hint="eastAsia"/>
          <w:kern w:val="0"/>
          <w:sz w:val="32"/>
          <w:szCs w:val="32"/>
        </w:rPr>
        <w:t>21</w:t>
      </w:r>
      <w:r w:rsidRPr="009F79A4">
        <w:rPr>
          <w:rFonts w:ascii="仿宋_GB2312" w:eastAsia="仿宋_GB2312" w:hint="eastAsia"/>
          <w:kern w:val="0"/>
          <w:sz w:val="32"/>
          <w:szCs w:val="32"/>
        </w:rPr>
        <w:t>人，占比仅为4</w:t>
      </w:r>
      <w:r>
        <w:rPr>
          <w:rFonts w:ascii="仿宋_GB2312" w:eastAsia="仿宋_GB2312" w:hint="eastAsia"/>
          <w:kern w:val="0"/>
          <w:sz w:val="32"/>
          <w:szCs w:val="32"/>
        </w:rPr>
        <w:t>6</w:t>
      </w:r>
      <w:r w:rsidRPr="009F79A4">
        <w:rPr>
          <w:rFonts w:ascii="仿宋_GB2312" w:eastAsia="仿宋_GB2312" w:hint="eastAsia"/>
          <w:kern w:val="0"/>
          <w:sz w:val="32"/>
          <w:szCs w:val="32"/>
        </w:rPr>
        <w:t>.</w:t>
      </w:r>
      <w:r>
        <w:rPr>
          <w:rFonts w:ascii="仿宋_GB2312" w:eastAsia="仿宋_GB2312" w:hint="eastAsia"/>
          <w:kern w:val="0"/>
          <w:sz w:val="32"/>
          <w:szCs w:val="32"/>
        </w:rPr>
        <w:t>6</w:t>
      </w:r>
      <w:r w:rsidRPr="009F79A4">
        <w:rPr>
          <w:rFonts w:ascii="仿宋_GB2312" w:eastAsia="仿宋_GB2312" w:hint="eastAsia"/>
          <w:kern w:val="0"/>
          <w:sz w:val="32"/>
          <w:szCs w:val="32"/>
        </w:rPr>
        <w:t>7%，考核达到优秀的教师人数偏少。</w:t>
      </w:r>
      <w:proofErr w:type="gramStart"/>
      <w:r w:rsidRPr="009F79A4">
        <w:rPr>
          <w:rFonts w:ascii="仿宋_GB2312" w:eastAsia="仿宋_GB2312" w:hint="eastAsia"/>
          <w:kern w:val="0"/>
          <w:sz w:val="32"/>
          <w:szCs w:val="32"/>
        </w:rPr>
        <w:t>教师课标过关</w:t>
      </w:r>
      <w:proofErr w:type="gramEnd"/>
      <w:r w:rsidRPr="009F79A4">
        <w:rPr>
          <w:rFonts w:ascii="仿宋_GB2312" w:eastAsia="仿宋_GB2312" w:hint="eastAsia"/>
          <w:kern w:val="0"/>
          <w:sz w:val="32"/>
          <w:szCs w:val="32"/>
        </w:rPr>
        <w:t>考核结果反应了部分教师的教学功底和教学理念还存在不足，影响学校整体教学质量；二是201</w:t>
      </w:r>
      <w:r>
        <w:rPr>
          <w:rFonts w:ascii="仿宋_GB2312" w:eastAsia="仿宋_GB2312" w:hint="eastAsia"/>
          <w:kern w:val="0"/>
          <w:sz w:val="32"/>
          <w:szCs w:val="32"/>
        </w:rPr>
        <w:t>9</w:t>
      </w:r>
      <w:r w:rsidRPr="009F79A4">
        <w:rPr>
          <w:rFonts w:ascii="仿宋_GB2312" w:eastAsia="仿宋_GB2312" w:hint="eastAsia"/>
          <w:kern w:val="0"/>
          <w:sz w:val="32"/>
          <w:szCs w:val="32"/>
        </w:rPr>
        <w:t>年毕业班考试成绩与市教育局各项预测指标还有一定差距，特别是在优秀率和低分率上差距还较大。</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C70BB3" w:rsidRPr="009F79A4"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1、</w:t>
      </w:r>
      <w:r w:rsidRPr="009F79A4">
        <w:rPr>
          <w:rFonts w:ascii="仿宋_GB2312" w:eastAsia="仿宋_GB2312" w:hint="eastAsia"/>
          <w:kern w:val="0"/>
          <w:sz w:val="32"/>
          <w:szCs w:val="32"/>
        </w:rPr>
        <w:t xml:space="preserve">以绩效目标为引领，将部门整体支出绩效最大化  按照省委、省政府《关于全面实施预算绩效管理的实施意见》精神，建议从以下方面抓好预算绩效管理工作，一是加强绩效目标管理。南丰二小在组织项目申报预算时，应按照绩效目标编制要求，结合部门（单位）职责和项目特点，制定指向明确、细化量化、合理可行和相应匹配的绩效目标及指标，切实发挥预算绩效目标的前置作用。二是市财政局在组织年度预算编报的同时，应要求各预算单位按照绩效目标管理要求申报绩效目标。三是加强培训。加强预算绩效管理的政策宣传和业务培训，提升项目主管部门（单位）的绩效意识，提高资金使用效益。  </w:t>
      </w:r>
    </w:p>
    <w:p w:rsidR="00C70BB3" w:rsidRDefault="00C70BB3" w:rsidP="00C70BB3">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2、</w:t>
      </w:r>
      <w:r w:rsidRPr="009F79A4">
        <w:rPr>
          <w:rFonts w:ascii="仿宋_GB2312" w:eastAsia="仿宋_GB2312" w:hint="eastAsia"/>
          <w:kern w:val="0"/>
          <w:sz w:val="32"/>
          <w:szCs w:val="32"/>
        </w:rPr>
        <w:t>加强教学管理，提升教学实效  狠抓教学管理，不仅在面上下足功夫，更要在实质上取得效果。一是明确目标。依据统测、联考或抽考成绩找出差距，确立学校各学年、各学科教学目标，并明确细化；二是在教学常规上下功夫，从评价情况来看学校开展了教师读书活动、建立了集体备课制度并进行集体备课、常规检查工作等，落实了各项常规教学工作。但在面上工作做到的同时，还得注重质的提升；三是</w:t>
      </w:r>
      <w:r w:rsidRPr="009F79A4">
        <w:rPr>
          <w:rFonts w:ascii="仿宋_GB2312" w:eastAsia="仿宋_GB2312" w:hint="eastAsia"/>
          <w:kern w:val="0"/>
          <w:sz w:val="32"/>
          <w:szCs w:val="32"/>
        </w:rPr>
        <w:lastRenderedPageBreak/>
        <w:t>在教研上下功夫，教研活动的实质是促进教师专业化发展，在开展各种教研活动的同时，要及时总结教研成果，形成课题或经验。用课题或经验成果指导教学，以提高教学实效。</w:t>
      </w:r>
    </w:p>
    <w:p w:rsidR="00C70BB3" w:rsidRPr="00C70BB3" w:rsidRDefault="00C70BB3" w:rsidP="00C70BB3">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rPr>
      </w:pPr>
    </w:p>
    <w:p w:rsidR="005B5C64" w:rsidRDefault="005B5C64"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36DD7" w:rsidRDefault="00C36DD7" w:rsidP="00C36DD7">
      <w:pPr>
        <w:spacing w:line="600" w:lineRule="exact"/>
        <w:outlineLvl w:val="0"/>
        <w:rPr>
          <w:rFonts w:ascii="仿宋_GB2312" w:eastAsia="仿宋_GB2312" w:hAnsi="仿宋_GB2312" w:cs="仿宋_GB2312"/>
          <w:sz w:val="32"/>
          <w:szCs w:val="32"/>
        </w:rPr>
      </w:pPr>
    </w:p>
    <w:p w:rsidR="00C70BB3" w:rsidRDefault="00C70BB3" w:rsidP="00C36DD7">
      <w:pPr>
        <w:spacing w:line="600" w:lineRule="exact"/>
        <w:outlineLvl w:val="0"/>
        <w:rPr>
          <w:rFonts w:ascii="仿宋_GB2312" w:eastAsia="仿宋_GB2312" w:hAnsi="仿宋_GB2312" w:cs="仿宋_GB2312"/>
          <w:sz w:val="32"/>
          <w:szCs w:val="32"/>
        </w:rPr>
      </w:pPr>
    </w:p>
    <w:p w:rsidR="00C70BB3" w:rsidRDefault="00C70BB3" w:rsidP="00C36DD7">
      <w:pPr>
        <w:spacing w:line="600" w:lineRule="exact"/>
        <w:outlineLvl w:val="0"/>
        <w:rPr>
          <w:rFonts w:ascii="仿宋_GB2312" w:eastAsia="仿宋_GB2312" w:hAnsi="仿宋_GB2312" w:cs="仿宋_GB2312"/>
          <w:sz w:val="32"/>
          <w:szCs w:val="32"/>
        </w:rPr>
      </w:pPr>
    </w:p>
    <w:p w:rsidR="00C70BB3" w:rsidRDefault="00C70BB3" w:rsidP="00C36DD7">
      <w:pPr>
        <w:spacing w:line="600" w:lineRule="exact"/>
        <w:outlineLvl w:val="0"/>
        <w:rPr>
          <w:rFonts w:ascii="仿宋_GB2312" w:eastAsia="仿宋_GB2312" w:hAnsi="仿宋_GB2312" w:cs="仿宋_GB2312"/>
          <w:sz w:val="32"/>
          <w:szCs w:val="32"/>
        </w:rPr>
      </w:pPr>
    </w:p>
    <w:p w:rsidR="00C70BB3" w:rsidRDefault="00C70BB3" w:rsidP="00C36DD7">
      <w:pPr>
        <w:spacing w:line="600" w:lineRule="exact"/>
        <w:outlineLvl w:val="0"/>
        <w:rPr>
          <w:rFonts w:ascii="仿宋_GB2312" w:eastAsia="仿宋_GB2312" w:hAnsi="仿宋_GB2312" w:cs="仿宋_GB2312"/>
          <w:sz w:val="32"/>
          <w:szCs w:val="32"/>
        </w:rPr>
      </w:pPr>
    </w:p>
    <w:p w:rsidR="00C70BB3" w:rsidRDefault="00C70BB3" w:rsidP="00C36DD7">
      <w:pPr>
        <w:spacing w:line="600" w:lineRule="exact"/>
        <w:outlineLvl w:val="0"/>
        <w:rPr>
          <w:rFonts w:ascii="仿宋_GB2312" w:eastAsia="仿宋_GB2312" w:hAnsi="仿宋_GB2312" w:cs="仿宋_GB2312"/>
          <w:sz w:val="32"/>
          <w:szCs w:val="32"/>
        </w:rPr>
      </w:pPr>
    </w:p>
    <w:p w:rsidR="00C70BB3" w:rsidRDefault="00C70BB3" w:rsidP="00C36DD7">
      <w:pPr>
        <w:spacing w:line="600" w:lineRule="exact"/>
        <w:outlineLvl w:val="0"/>
        <w:rPr>
          <w:rStyle w:val="1Char"/>
          <w:rFonts w:ascii="黑体" w:eastAsia="黑体" w:hAnsi="黑体"/>
          <w:b w:val="0"/>
        </w:rPr>
      </w:pPr>
    </w:p>
    <w:p w:rsidR="005B5C64" w:rsidRPr="00C36DD7" w:rsidRDefault="00204CDE" w:rsidP="00C36DD7">
      <w:pPr>
        <w:spacing w:line="600" w:lineRule="exact"/>
        <w:jc w:val="center"/>
        <w:outlineLvl w:val="0"/>
        <w:rPr>
          <w:rFonts w:ascii="黑体" w:eastAsia="黑体" w:hAnsi="黑体"/>
          <w:bCs/>
          <w:kern w:val="44"/>
          <w:sz w:val="44"/>
          <w:szCs w:val="44"/>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9"/>
      <w:bookmarkEnd w:id="60"/>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lastRenderedPageBreak/>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6BC" w:rsidRDefault="00AE06BC" w:rsidP="005B5C64">
      <w:r>
        <w:separator/>
      </w:r>
    </w:p>
  </w:endnote>
  <w:endnote w:type="continuationSeparator" w:id="0">
    <w:p w:rsidR="00AE06BC" w:rsidRDefault="00AE06BC"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A55C0F" w:rsidRDefault="00A55C0F">
        <w:pPr>
          <w:pStyle w:val="a5"/>
          <w:jc w:val="center"/>
        </w:pPr>
        <w:fldSimple w:instr="PAGE   \* MERGEFORMAT">
          <w:r w:rsidR="00306475" w:rsidRPr="00306475">
            <w:rPr>
              <w:noProof/>
              <w:lang w:val="zh-CN"/>
            </w:rPr>
            <w:t>3</w:t>
          </w:r>
        </w:fldSimple>
      </w:p>
    </w:sdtContent>
  </w:sdt>
  <w:p w:rsidR="00A55C0F" w:rsidRDefault="00A55C0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6BC" w:rsidRDefault="00AE06BC" w:rsidP="005B5C64">
      <w:r>
        <w:separator/>
      </w:r>
    </w:p>
  </w:footnote>
  <w:footnote w:type="continuationSeparator" w:id="0">
    <w:p w:rsidR="00AE06BC" w:rsidRDefault="00AE06BC"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0F" w:rsidRDefault="00A55C0F">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5">
    <w:nsid w:val="783853F1"/>
    <w:multiLevelType w:val="hybridMultilevel"/>
    <w:tmpl w:val="1C5C3C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078A"/>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1206"/>
    <w:rsid w:val="000E6613"/>
    <w:rsid w:val="000E7119"/>
    <w:rsid w:val="000F18C4"/>
    <w:rsid w:val="00114E9B"/>
    <w:rsid w:val="00140460"/>
    <w:rsid w:val="00140DA3"/>
    <w:rsid w:val="00142216"/>
    <w:rsid w:val="00144D6A"/>
    <w:rsid w:val="0014729F"/>
    <w:rsid w:val="00157BAB"/>
    <w:rsid w:val="001654D1"/>
    <w:rsid w:val="00174518"/>
    <w:rsid w:val="0018106D"/>
    <w:rsid w:val="00186616"/>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1266"/>
    <w:rsid w:val="00235629"/>
    <w:rsid w:val="00260C38"/>
    <w:rsid w:val="002616C0"/>
    <w:rsid w:val="00265372"/>
    <w:rsid w:val="002662AA"/>
    <w:rsid w:val="00280496"/>
    <w:rsid w:val="00292FA7"/>
    <w:rsid w:val="00294DC9"/>
    <w:rsid w:val="00295495"/>
    <w:rsid w:val="002A31DE"/>
    <w:rsid w:val="002A6615"/>
    <w:rsid w:val="002B2613"/>
    <w:rsid w:val="002D19B0"/>
    <w:rsid w:val="002D6D05"/>
    <w:rsid w:val="002F1818"/>
    <w:rsid w:val="002F567B"/>
    <w:rsid w:val="00306475"/>
    <w:rsid w:val="00307E59"/>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3F01BD"/>
    <w:rsid w:val="00406254"/>
    <w:rsid w:val="00416CD4"/>
    <w:rsid w:val="004223DE"/>
    <w:rsid w:val="00434489"/>
    <w:rsid w:val="00437085"/>
    <w:rsid w:val="00443880"/>
    <w:rsid w:val="004464F4"/>
    <w:rsid w:val="004545E6"/>
    <w:rsid w:val="00463420"/>
    <w:rsid w:val="00471401"/>
    <w:rsid w:val="00473F31"/>
    <w:rsid w:val="0048263A"/>
    <w:rsid w:val="00487E5D"/>
    <w:rsid w:val="004A711F"/>
    <w:rsid w:val="004B199D"/>
    <w:rsid w:val="004B4690"/>
    <w:rsid w:val="004D30D4"/>
    <w:rsid w:val="004E0A2D"/>
    <w:rsid w:val="004E206B"/>
    <w:rsid w:val="004E6DF7"/>
    <w:rsid w:val="004F0FBD"/>
    <w:rsid w:val="004F403E"/>
    <w:rsid w:val="00505A47"/>
    <w:rsid w:val="00512266"/>
    <w:rsid w:val="00512FDA"/>
    <w:rsid w:val="00520DA0"/>
    <w:rsid w:val="005664BB"/>
    <w:rsid w:val="00566FFA"/>
    <w:rsid w:val="0057481D"/>
    <w:rsid w:val="00575F0B"/>
    <w:rsid w:val="0058486E"/>
    <w:rsid w:val="00585B33"/>
    <w:rsid w:val="0059014D"/>
    <w:rsid w:val="005B5C64"/>
    <w:rsid w:val="005C6BD0"/>
    <w:rsid w:val="005C6C4C"/>
    <w:rsid w:val="005D1C8B"/>
    <w:rsid w:val="005D455A"/>
    <w:rsid w:val="005D468D"/>
    <w:rsid w:val="005D5CED"/>
    <w:rsid w:val="005F1A4C"/>
    <w:rsid w:val="005F1D4E"/>
    <w:rsid w:val="00605688"/>
    <w:rsid w:val="00606A7B"/>
    <w:rsid w:val="006070AF"/>
    <w:rsid w:val="00607E6C"/>
    <w:rsid w:val="006101B1"/>
    <w:rsid w:val="00614E44"/>
    <w:rsid w:val="0062270A"/>
    <w:rsid w:val="00622830"/>
    <w:rsid w:val="00623DA0"/>
    <w:rsid w:val="00630AEF"/>
    <w:rsid w:val="006325F8"/>
    <w:rsid w:val="00633463"/>
    <w:rsid w:val="00633CB4"/>
    <w:rsid w:val="00634C9A"/>
    <w:rsid w:val="006440E4"/>
    <w:rsid w:val="0066005B"/>
    <w:rsid w:val="0066343B"/>
    <w:rsid w:val="00664777"/>
    <w:rsid w:val="006748A4"/>
    <w:rsid w:val="00681A31"/>
    <w:rsid w:val="00683E73"/>
    <w:rsid w:val="006A3141"/>
    <w:rsid w:val="006A5E34"/>
    <w:rsid w:val="006B2422"/>
    <w:rsid w:val="006B2B9A"/>
    <w:rsid w:val="006C1937"/>
    <w:rsid w:val="006F020C"/>
    <w:rsid w:val="006F58EF"/>
    <w:rsid w:val="007127B7"/>
    <w:rsid w:val="0071798E"/>
    <w:rsid w:val="00727533"/>
    <w:rsid w:val="007416B6"/>
    <w:rsid w:val="00746F48"/>
    <w:rsid w:val="0075404D"/>
    <w:rsid w:val="0076182A"/>
    <w:rsid w:val="00767B7E"/>
    <w:rsid w:val="00776BB7"/>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0793F"/>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A0129"/>
    <w:rsid w:val="008B768C"/>
    <w:rsid w:val="008C4DB1"/>
    <w:rsid w:val="008C4EAF"/>
    <w:rsid w:val="008C5176"/>
    <w:rsid w:val="008C7FD0"/>
    <w:rsid w:val="008E1DE7"/>
    <w:rsid w:val="008E707C"/>
    <w:rsid w:val="008F72CD"/>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5C0F"/>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06BC"/>
    <w:rsid w:val="00AE16BA"/>
    <w:rsid w:val="00AE1EBE"/>
    <w:rsid w:val="00B03C9D"/>
    <w:rsid w:val="00B060AE"/>
    <w:rsid w:val="00B10517"/>
    <w:rsid w:val="00B14E76"/>
    <w:rsid w:val="00B161B8"/>
    <w:rsid w:val="00B2048C"/>
    <w:rsid w:val="00B310B9"/>
    <w:rsid w:val="00B3564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06B"/>
    <w:rsid w:val="00BC6B50"/>
    <w:rsid w:val="00BD0E25"/>
    <w:rsid w:val="00BF5BD6"/>
    <w:rsid w:val="00C03E31"/>
    <w:rsid w:val="00C30E69"/>
    <w:rsid w:val="00C33E72"/>
    <w:rsid w:val="00C354B2"/>
    <w:rsid w:val="00C35554"/>
    <w:rsid w:val="00C36DD7"/>
    <w:rsid w:val="00C42709"/>
    <w:rsid w:val="00C533CC"/>
    <w:rsid w:val="00C54983"/>
    <w:rsid w:val="00C5751C"/>
    <w:rsid w:val="00C61BFC"/>
    <w:rsid w:val="00C62357"/>
    <w:rsid w:val="00C62B85"/>
    <w:rsid w:val="00C65438"/>
    <w:rsid w:val="00C70BB3"/>
    <w:rsid w:val="00C91CBB"/>
    <w:rsid w:val="00CB4E70"/>
    <w:rsid w:val="00CB6DF6"/>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74E8F"/>
    <w:rsid w:val="00DA634F"/>
    <w:rsid w:val="00DA65AC"/>
    <w:rsid w:val="00DB1913"/>
    <w:rsid w:val="00DC410D"/>
    <w:rsid w:val="00DC5A81"/>
    <w:rsid w:val="00DC68CA"/>
    <w:rsid w:val="00DC7CBA"/>
    <w:rsid w:val="00DD73B7"/>
    <w:rsid w:val="00DE3963"/>
    <w:rsid w:val="00DF25D2"/>
    <w:rsid w:val="00DF28BC"/>
    <w:rsid w:val="00DF34B9"/>
    <w:rsid w:val="00DF5FE0"/>
    <w:rsid w:val="00E01053"/>
    <w:rsid w:val="00E07ACF"/>
    <w:rsid w:val="00E176D6"/>
    <w:rsid w:val="00E323AB"/>
    <w:rsid w:val="00E331A1"/>
    <w:rsid w:val="00E33202"/>
    <w:rsid w:val="00E336A9"/>
    <w:rsid w:val="00E40330"/>
    <w:rsid w:val="00E472B1"/>
    <w:rsid w:val="00E50624"/>
    <w:rsid w:val="00E568DF"/>
    <w:rsid w:val="00E64269"/>
    <w:rsid w:val="00E66797"/>
    <w:rsid w:val="00E678BB"/>
    <w:rsid w:val="00E81ADC"/>
    <w:rsid w:val="00E82267"/>
    <w:rsid w:val="00E853CE"/>
    <w:rsid w:val="00E867B6"/>
    <w:rsid w:val="00E87F08"/>
    <w:rsid w:val="00EA010F"/>
    <w:rsid w:val="00EA543B"/>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95A19"/>
    <w:rsid w:val="00FA23E8"/>
    <w:rsid w:val="00FD3CC1"/>
    <w:rsid w:val="00FE5775"/>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Sheet1!$A$2</c:f>
              <c:strCache>
                <c:ptCount val="1"/>
                <c:pt idx="0">
                  <c:v>2018年</c:v>
                </c:pt>
              </c:strCache>
            </c:strRef>
          </c:tx>
          <c:spPr>
            <a:solidFill>
              <a:schemeClr val="accent1"/>
            </a:solidFill>
            <a:ln>
              <a:noFill/>
            </a:ln>
            <a:effectLst/>
          </c:spPr>
          <c:dLbls>
            <c:showVal val="1"/>
          </c:dLbls>
          <c:cat>
            <c:strRef>
              <c:f>Sheet1!$B$1:$E$1</c:f>
              <c:strCache>
                <c:ptCount val="3"/>
                <c:pt idx="0">
                  <c:v>收入</c:v>
                </c:pt>
                <c:pt idx="2">
                  <c:v>支出</c:v>
                </c:pt>
              </c:strCache>
            </c:strRef>
          </c:cat>
          <c:val>
            <c:numRef>
              <c:f>Sheet1!$B$2:$E$2</c:f>
              <c:numCache>
                <c:formatCode>General</c:formatCode>
                <c:ptCount val="4"/>
                <c:pt idx="0">
                  <c:v>609.34999999999968</c:v>
                </c:pt>
                <c:pt idx="2">
                  <c:v>592.21</c:v>
                </c:pt>
              </c:numCache>
            </c:numRef>
          </c:val>
        </c:ser>
        <c:ser>
          <c:idx val="1"/>
          <c:order val="1"/>
          <c:tx>
            <c:strRef>
              <c:f>Sheet1!$A$3</c:f>
              <c:strCache>
                <c:ptCount val="1"/>
                <c:pt idx="0">
                  <c:v>2019年</c:v>
                </c:pt>
              </c:strCache>
            </c:strRef>
          </c:tx>
          <c:spPr>
            <a:solidFill>
              <a:schemeClr val="accent2"/>
            </a:solidFill>
            <a:ln>
              <a:noFill/>
            </a:ln>
            <a:effectLst/>
          </c:spPr>
          <c:dLbls>
            <c:showVal val="1"/>
          </c:dLbls>
          <c:cat>
            <c:strRef>
              <c:f>Sheet1!$B$1:$E$1</c:f>
              <c:strCache>
                <c:ptCount val="3"/>
                <c:pt idx="0">
                  <c:v>收入</c:v>
                </c:pt>
                <c:pt idx="2">
                  <c:v>支出</c:v>
                </c:pt>
              </c:strCache>
            </c:strRef>
          </c:cat>
          <c:val>
            <c:numRef>
              <c:f>Sheet1!$B$3:$E$3</c:f>
              <c:numCache>
                <c:formatCode>General</c:formatCode>
                <c:ptCount val="4"/>
                <c:pt idx="0">
                  <c:v>653.27000000000032</c:v>
                </c:pt>
                <c:pt idx="2">
                  <c:v>658.1</c:v>
                </c:pt>
              </c:numCache>
            </c:numRef>
          </c:val>
        </c:ser>
        <c:gapWidth val="219"/>
        <c:overlap val="-27"/>
        <c:axId val="152832640"/>
        <c:axId val="152896256"/>
      </c:barChart>
      <c:catAx>
        <c:axId val="152832640"/>
        <c:scaling>
          <c:orientation val="minMax"/>
        </c:scaling>
        <c:axPos val="b"/>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52896256"/>
        <c:crosses val="autoZero"/>
        <c:auto val="1"/>
        <c:lblAlgn val="ctr"/>
        <c:lblOffset val="100"/>
      </c:catAx>
      <c:valAx>
        <c:axId val="15289625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52832640"/>
        <c:crosses val="autoZero"/>
        <c:crossBetween val="between"/>
      </c:valAx>
      <c:spPr>
        <a:noFill/>
        <a:ln>
          <a:noFill/>
        </a:ln>
        <a:effectLst/>
      </c:spPr>
    </c:plotArea>
    <c:legend>
      <c:legendPos val="b"/>
      <c:layout>
        <c:manualLayout>
          <c:xMode val="edge"/>
          <c:yMode val="edge"/>
          <c:x val="0.36688121708601551"/>
          <c:y val="0.86605504587156001"/>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决算收入结构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Pt>
            <c:idx val="5"/>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一般公共财政预算拨款</c:v>
                </c:pt>
                <c:pt idx="1">
                  <c:v>政府性基金预算财政拨款</c:v>
                </c:pt>
                <c:pt idx="2">
                  <c:v>上级补助收入</c:v>
                </c:pt>
                <c:pt idx="3">
                  <c:v>事业收入</c:v>
                </c:pt>
                <c:pt idx="4">
                  <c:v>经营收入</c:v>
                </c:pt>
                <c:pt idx="5">
                  <c:v>附属单位上缴收入</c:v>
                </c:pt>
                <c:pt idx="6">
                  <c:v>其他收入</c:v>
                </c:pt>
              </c:strCache>
            </c:strRef>
          </c:cat>
          <c:val>
            <c:numRef>
              <c:f>Sheet1!$B$2:$B$8</c:f>
              <c:numCache>
                <c:formatCode>0.00%</c:formatCode>
                <c:ptCount val="7"/>
                <c:pt idx="0">
                  <c:v>0.94930000000000003</c:v>
                </c:pt>
                <c:pt idx="1">
                  <c:v>4.6000000000000034E-3</c:v>
                </c:pt>
                <c:pt idx="3">
                  <c:v>1.8499999999999999E-2</c:v>
                </c:pt>
                <c:pt idx="6">
                  <c:v>2.7600000000000027E-2</c:v>
                </c:pt>
              </c:numCache>
            </c:numRef>
          </c:val>
        </c:ser>
        <c:dLbls>
          <c:showVal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决算支出结构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Pt>
            <c:idx val="4"/>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c:v>
                </c:pt>
              </c:strCache>
            </c:strRef>
          </c:cat>
          <c:val>
            <c:numRef>
              <c:f>Sheet1!$B$2:$B$6</c:f>
              <c:numCache>
                <c:formatCode>0.00%</c:formatCode>
                <c:ptCount val="5"/>
                <c:pt idx="0">
                  <c:v>0.9909</c:v>
                </c:pt>
                <c:pt idx="1">
                  <c:v>0</c:v>
                </c:pt>
                <c:pt idx="2">
                  <c:v>0</c:v>
                </c:pt>
                <c:pt idx="3">
                  <c:v>0</c:v>
                </c:pt>
                <c:pt idx="4">
                  <c:v>0</c:v>
                </c:pt>
              </c:numCache>
            </c:numRef>
          </c:val>
        </c:ser>
        <c:dLbls>
          <c:showVal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Sheet1!$A$2</c:f>
              <c:strCache>
                <c:ptCount val="1"/>
                <c:pt idx="0">
                  <c:v>2018年</c:v>
                </c:pt>
              </c:strCache>
            </c:strRef>
          </c:tx>
          <c:spPr>
            <a:solidFill>
              <a:schemeClr val="accent1"/>
            </a:solidFill>
            <a:ln>
              <a:noFill/>
            </a:ln>
            <a:effectLst/>
          </c:spPr>
          <c:dLbls>
            <c:showVal val="1"/>
          </c:dLbls>
          <c:cat>
            <c:strRef>
              <c:f>Sheet1!$B$1:$E$1</c:f>
              <c:strCache>
                <c:ptCount val="3"/>
                <c:pt idx="0">
                  <c:v>收入</c:v>
                </c:pt>
                <c:pt idx="2">
                  <c:v>支出</c:v>
                </c:pt>
              </c:strCache>
            </c:strRef>
          </c:cat>
          <c:val>
            <c:numRef>
              <c:f>Sheet1!$B$2:$E$2</c:f>
              <c:numCache>
                <c:formatCode>General</c:formatCode>
                <c:ptCount val="4"/>
                <c:pt idx="0">
                  <c:v>599.74</c:v>
                </c:pt>
                <c:pt idx="2">
                  <c:v>582.59</c:v>
                </c:pt>
              </c:numCache>
            </c:numRef>
          </c:val>
        </c:ser>
        <c:ser>
          <c:idx val="1"/>
          <c:order val="1"/>
          <c:tx>
            <c:strRef>
              <c:f>Sheet1!$A$3</c:f>
              <c:strCache>
                <c:ptCount val="1"/>
                <c:pt idx="0">
                  <c:v>2019年</c:v>
                </c:pt>
              </c:strCache>
            </c:strRef>
          </c:tx>
          <c:spPr>
            <a:solidFill>
              <a:schemeClr val="accent2"/>
            </a:solidFill>
            <a:ln>
              <a:noFill/>
            </a:ln>
            <a:effectLst/>
          </c:spPr>
          <c:dLbls>
            <c:showVal val="1"/>
          </c:dLbls>
          <c:cat>
            <c:strRef>
              <c:f>Sheet1!$B$1:$E$1</c:f>
              <c:strCache>
                <c:ptCount val="3"/>
                <c:pt idx="0">
                  <c:v>收入</c:v>
                </c:pt>
                <c:pt idx="2">
                  <c:v>支出</c:v>
                </c:pt>
              </c:strCache>
            </c:strRef>
          </c:cat>
          <c:val>
            <c:numRef>
              <c:f>Sheet1!$B$3:$E$3</c:f>
              <c:numCache>
                <c:formatCode>General</c:formatCode>
                <c:ptCount val="4"/>
                <c:pt idx="0">
                  <c:v>623.16</c:v>
                </c:pt>
                <c:pt idx="2">
                  <c:v>633.26</c:v>
                </c:pt>
              </c:numCache>
            </c:numRef>
          </c:val>
        </c:ser>
        <c:gapWidth val="219"/>
        <c:overlap val="-27"/>
        <c:axId val="251741312"/>
        <c:axId val="251743232"/>
      </c:barChart>
      <c:catAx>
        <c:axId val="251741312"/>
        <c:scaling>
          <c:orientation val="minMax"/>
        </c:scaling>
        <c:axPos val="b"/>
        <c:maj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51743232"/>
        <c:crosses val="autoZero"/>
        <c:auto val="1"/>
        <c:lblAlgn val="ctr"/>
        <c:lblOffset val="100"/>
      </c:catAx>
      <c:valAx>
        <c:axId val="25174323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51741312"/>
        <c:crosses val="autoZero"/>
        <c:crossBetween val="between"/>
      </c:valAx>
      <c:spPr>
        <a:noFill/>
        <a:ln>
          <a:noFill/>
        </a:ln>
        <a:effectLst/>
      </c:spPr>
    </c:plotArea>
    <c:legend>
      <c:legendPos val="b"/>
      <c:layout>
        <c:manualLayout>
          <c:xMode val="edge"/>
          <c:yMode val="edge"/>
          <c:x val="0.36688121708601551"/>
          <c:y val="0.86605504587156001"/>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Sheet1!$A$2</c:f>
              <c:strCache>
                <c:ptCount val="1"/>
                <c:pt idx="0">
                  <c:v>2018年</c:v>
                </c:pt>
              </c:strCache>
            </c:strRef>
          </c:tx>
          <c:spPr>
            <a:solidFill>
              <a:schemeClr val="accent1"/>
            </a:solidFill>
            <a:ln>
              <a:noFill/>
            </a:ln>
            <a:effectLst/>
          </c:spPr>
          <c:dLbls>
            <c:showVal val="1"/>
          </c:dLbls>
          <c:cat>
            <c:strRef>
              <c:f>Sheet1!$B$1:$E$1</c:f>
              <c:strCache>
                <c:ptCount val="1"/>
                <c:pt idx="0">
                  <c:v>一般公共预算财政拨款支出决算变动</c:v>
                </c:pt>
              </c:strCache>
            </c:strRef>
          </c:cat>
          <c:val>
            <c:numRef>
              <c:f>Sheet1!$B$2:$E$2</c:f>
              <c:numCache>
                <c:formatCode>General</c:formatCode>
                <c:ptCount val="4"/>
                <c:pt idx="0">
                  <c:v>582.59</c:v>
                </c:pt>
              </c:numCache>
            </c:numRef>
          </c:val>
        </c:ser>
        <c:ser>
          <c:idx val="1"/>
          <c:order val="1"/>
          <c:tx>
            <c:strRef>
              <c:f>Sheet1!$A$3</c:f>
              <c:strCache>
                <c:ptCount val="1"/>
                <c:pt idx="0">
                  <c:v>2019年</c:v>
                </c:pt>
              </c:strCache>
            </c:strRef>
          </c:tx>
          <c:spPr>
            <a:solidFill>
              <a:schemeClr val="accent2"/>
            </a:solidFill>
            <a:ln>
              <a:noFill/>
            </a:ln>
            <a:effectLst/>
          </c:spPr>
          <c:dLbls>
            <c:showVal val="1"/>
          </c:dLbls>
          <c:cat>
            <c:strRef>
              <c:f>Sheet1!$B$1:$E$1</c:f>
              <c:strCache>
                <c:ptCount val="1"/>
                <c:pt idx="0">
                  <c:v>一般公共预算财政拨款支出决算变动</c:v>
                </c:pt>
              </c:strCache>
            </c:strRef>
          </c:cat>
          <c:val>
            <c:numRef>
              <c:f>Sheet1!$B$3:$E$3</c:f>
              <c:numCache>
                <c:formatCode>General</c:formatCode>
                <c:ptCount val="4"/>
                <c:pt idx="0">
                  <c:v>627.26</c:v>
                </c:pt>
              </c:numCache>
            </c:numRef>
          </c:val>
        </c:ser>
        <c:gapWidth val="219"/>
        <c:overlap val="-27"/>
        <c:axId val="235732992"/>
        <c:axId val="235734528"/>
      </c:barChart>
      <c:catAx>
        <c:axId val="235732992"/>
        <c:scaling>
          <c:orientation val="minMax"/>
        </c:scaling>
        <c:delete val="1"/>
        <c:axPos val="b"/>
        <c:majorTickMark val="none"/>
        <c:tickLblPos val="none"/>
        <c:crossAx val="235734528"/>
        <c:crosses val="autoZero"/>
        <c:auto val="1"/>
        <c:lblAlgn val="ctr"/>
        <c:lblOffset val="100"/>
      </c:catAx>
      <c:valAx>
        <c:axId val="23573452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35732992"/>
        <c:crosses val="autoZero"/>
        <c:crossBetween val="between"/>
      </c:valAx>
      <c:spPr>
        <a:noFill/>
        <a:ln>
          <a:noFill/>
        </a:ln>
        <a:effectLst/>
      </c:spPr>
    </c:plotArea>
    <c:legend>
      <c:legendPos val="b"/>
      <c:layout>
        <c:manualLayout>
          <c:xMode val="edge"/>
          <c:yMode val="edge"/>
          <c:x val="0.35448805469285388"/>
          <c:y val="0.81752634498058796"/>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一般公共预算财政拨款支出决算结构</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教育支出</c:v>
                </c:pt>
                <c:pt idx="1">
                  <c:v>社会保障和就业</c:v>
                </c:pt>
                <c:pt idx="2">
                  <c:v>卫生健康支出</c:v>
                </c:pt>
                <c:pt idx="3">
                  <c:v>住房保障支出</c:v>
                </c:pt>
              </c:strCache>
            </c:strRef>
          </c:cat>
          <c:val>
            <c:numRef>
              <c:f>Sheet1!$B$2:$B$5</c:f>
              <c:numCache>
                <c:formatCode>0.00%</c:formatCode>
                <c:ptCount val="4"/>
                <c:pt idx="0">
                  <c:v>0.67020000000000068</c:v>
                </c:pt>
                <c:pt idx="1">
                  <c:v>0.2051</c:v>
                </c:pt>
                <c:pt idx="2">
                  <c:v>5.5400000000000033E-2</c:v>
                </c:pt>
                <c:pt idx="3">
                  <c:v>6.9400000000000073E-2</c:v>
                </c:pt>
              </c:numCache>
            </c:numRef>
          </c:val>
        </c:ser>
        <c:dLbls>
          <c:showVal val="1"/>
        </c:dLbls>
        <c:firstSliceAng val="0"/>
      </c:pieChart>
      <c:spPr>
        <a:noFill/>
        <a:ln>
          <a:noFill/>
        </a:ln>
        <a:effectLst/>
      </c:spPr>
    </c:plotArea>
    <c:legend>
      <c:legendPos val="b"/>
      <c:layout>
        <c:manualLayout>
          <c:xMode val="edge"/>
          <c:yMode val="edge"/>
          <c:x val="8.6031011188160644E-2"/>
          <c:y val="0.76891031559100365"/>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6463-44DB-4057-B276-803954FA6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23</Pages>
  <Words>1280</Words>
  <Characters>7300</Characters>
  <Application>Microsoft Office Word</Application>
  <DocSecurity>0</DocSecurity>
  <Lines>60</Lines>
  <Paragraphs>17</Paragraphs>
  <ScaleCrop>false</ScaleCrop>
  <Company>四川省财政厅</Company>
  <LinksUpToDate>false</LinksUpToDate>
  <CharactersWithSpaces>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　　四川省德阳市广汉市新平镇中心小学校</cp:lastModifiedBy>
  <cp:revision>53</cp:revision>
  <cp:lastPrinted>2020-07-23T02:58:00Z</cp:lastPrinted>
  <dcterms:created xsi:type="dcterms:W3CDTF">2020-08-04T01:49:00Z</dcterms:created>
  <dcterms:modified xsi:type="dcterms:W3CDTF">2020-10-30T02:03:00Z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