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bookmarkStart w:id="1" w:name="_Toc15378441"/>
      <w:bookmarkStart w:id="2" w:name="_Toc15396597"/>
      <w:bookmarkStart w:id="3" w:name="_Toc15396475"/>
      <w:bookmarkStart w:id="4" w:name="_Toc15377193"/>
      <w:bookmarkStart w:id="5" w:name="_Toc15377425"/>
    </w:p>
    <w:p>
      <w:pPr>
        <w:adjustRightInd w:val="0"/>
        <w:snapToGrid w:val="0"/>
        <w:spacing w:line="360" w:lineRule="auto"/>
        <w:jc w:val="center"/>
        <w:outlineLvl w:val="0"/>
        <w:rPr>
          <w:rFonts w:ascii="方正小标宋简体" w:hAnsi="宋体" w:eastAsia="方正小标宋简体"/>
          <w:b/>
          <w:bCs/>
          <w:color w:val="000000"/>
          <w:sz w:val="72"/>
          <w:szCs w:val="72"/>
        </w:rPr>
      </w:pPr>
      <w:r>
        <w:rPr>
          <w:rFonts w:ascii="黑体" w:hAnsi="黑体" w:eastAsia="黑体"/>
          <w:b/>
          <w:bCs/>
          <w:color w:val="000000"/>
          <w:sz w:val="72"/>
          <w:szCs w:val="72"/>
        </w:rPr>
        <w:t>201</w:t>
      </w:r>
      <w:r>
        <w:rPr>
          <w:rFonts w:hint="eastAsia" w:ascii="黑体" w:hAnsi="黑体" w:eastAsia="黑体"/>
          <w:b/>
          <w:bCs/>
          <w:color w:val="000000"/>
          <w:sz w:val="72"/>
          <w:szCs w:val="72"/>
        </w:rPr>
        <w:t>9</w:t>
      </w:r>
      <w:r>
        <w:rPr>
          <w:rFonts w:hint="eastAsia" w:ascii="方正小标宋简体" w:hAnsi="宋体" w:eastAsia="方正小标宋简体"/>
          <w:b/>
          <w:bCs/>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b/>
          <w:bCs/>
          <w:color w:val="000000"/>
          <w:sz w:val="72"/>
          <w:szCs w:val="72"/>
        </w:rPr>
      </w:pPr>
      <w:bookmarkStart w:id="6" w:name="_Toc15396476"/>
      <w:bookmarkStart w:id="7" w:name="_Toc15377426"/>
      <w:bookmarkStart w:id="8" w:name="_Toc15378442"/>
      <w:bookmarkStart w:id="9" w:name="_Toc15377194"/>
      <w:bookmarkStart w:id="10" w:name="_Toc15396598"/>
      <w:r>
        <w:rPr>
          <w:rFonts w:hint="eastAsia" w:ascii="方正小标宋简体" w:hAnsi="宋体" w:eastAsia="方正小标宋简体"/>
          <w:b/>
          <w:bCs/>
          <w:color w:val="000000"/>
          <w:sz w:val="72"/>
          <w:szCs w:val="72"/>
        </w:rPr>
        <w:t>四川省</w:t>
      </w:r>
      <w:bookmarkEnd w:id="0"/>
      <w:bookmarkStart w:id="11" w:name="_Toc15306268"/>
      <w:r>
        <w:rPr>
          <w:rFonts w:hint="eastAsia" w:ascii="方正小标宋简体" w:hAnsi="宋体" w:eastAsia="方正小标宋简体"/>
          <w:b/>
          <w:bCs/>
          <w:color w:val="000000"/>
          <w:sz w:val="72"/>
          <w:szCs w:val="72"/>
          <w:lang w:eastAsia="zh-CN"/>
        </w:rPr>
        <w:t>德阳市</w:t>
      </w:r>
      <w:r>
        <w:rPr>
          <w:rFonts w:hint="eastAsia" w:ascii="方正小标宋简体" w:hAnsi="宋体" w:eastAsia="方正小标宋简体"/>
          <w:b/>
          <w:bCs/>
          <w:color w:val="000000"/>
          <w:sz w:val="72"/>
          <w:szCs w:val="72"/>
        </w:rPr>
        <w:t>广汉市</w:t>
      </w:r>
    </w:p>
    <w:p>
      <w:pPr>
        <w:adjustRightInd w:val="0"/>
        <w:snapToGrid w:val="0"/>
        <w:spacing w:line="360" w:lineRule="auto"/>
        <w:jc w:val="center"/>
        <w:outlineLvl w:val="0"/>
        <w:rPr>
          <w:rFonts w:ascii="方正小标宋简体" w:hAnsi="宋体" w:eastAsia="方正小标宋简体"/>
          <w:b/>
          <w:bCs/>
          <w:color w:val="000000"/>
          <w:sz w:val="72"/>
          <w:szCs w:val="72"/>
        </w:rPr>
      </w:pPr>
      <w:r>
        <w:rPr>
          <w:rFonts w:hint="eastAsia" w:ascii="方正小标宋简体" w:hAnsi="宋体" w:eastAsia="方正小标宋简体"/>
          <w:b/>
          <w:bCs/>
          <w:color w:val="000000"/>
          <w:sz w:val="72"/>
          <w:szCs w:val="72"/>
        </w:rPr>
        <w:t>雒城镇第一小学校</w:t>
      </w:r>
    </w:p>
    <w:p>
      <w:pPr>
        <w:adjustRightInd w:val="0"/>
        <w:snapToGrid w:val="0"/>
        <w:spacing w:line="360" w:lineRule="auto"/>
        <w:jc w:val="center"/>
        <w:outlineLvl w:val="0"/>
        <w:rPr>
          <w:rFonts w:ascii="方正小标宋简体" w:hAnsi="宋体" w:eastAsia="方正小标宋简体"/>
          <w:b/>
          <w:bCs/>
          <w:color w:val="000000"/>
          <w:sz w:val="72"/>
          <w:szCs w:val="72"/>
        </w:rPr>
      </w:pPr>
      <w:r>
        <w:rPr>
          <w:rFonts w:hint="eastAsia" w:ascii="方正小标宋简体" w:hAnsi="宋体" w:eastAsia="方正小标宋简体"/>
          <w:b/>
          <w:bCs/>
          <w:color w:val="000000"/>
          <w:sz w:val="72"/>
          <w:szCs w:val="72"/>
        </w:rPr>
        <w:t>部门决算</w:t>
      </w:r>
      <w:bookmarkEnd w:id="6"/>
      <w:bookmarkEnd w:id="7"/>
      <w:bookmarkEnd w:id="8"/>
      <w:bookmarkEnd w:id="9"/>
      <w:bookmarkEnd w:id="10"/>
      <w:bookmarkEnd w:id="11"/>
      <w:r>
        <w:rPr>
          <w:rFonts w:hint="eastAsia" w:ascii="方正小标宋简体" w:hAnsi="宋体" w:eastAsia="方正小标宋简体"/>
          <w:b/>
          <w:bCs/>
          <w:color w:val="000000"/>
          <w:sz w:val="72"/>
          <w:szCs w:val="72"/>
        </w:rPr>
        <w:t>编制说明</w:t>
      </w: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rFonts w:hint="eastAsia" w:ascii="黑体" w:hAnsi="黑体" w:eastAsia="黑体"/>
          <w:b/>
          <w:bCs/>
          <w:color w:val="000000"/>
          <w:sz w:val="48"/>
          <w:szCs w:val="48"/>
        </w:rPr>
      </w:pPr>
      <w:r>
        <w:rPr>
          <w:rFonts w:hint="eastAsia"/>
          <w:sz w:val="28"/>
          <w:szCs w:val="28"/>
        </w:rPr>
        <w:t>公开时间：2020年9月3日</w:t>
      </w:r>
      <w:r>
        <w:rPr>
          <w:rFonts w:ascii="方正小标宋简体" w:hAnsi="宋体" w:eastAsia="方正小标宋简体"/>
          <w:color w:val="000000"/>
          <w:sz w:val="36"/>
          <w:szCs w:val="36"/>
        </w:rPr>
        <w:br w:type="page"/>
      </w:r>
      <w:r>
        <w:rPr>
          <w:rFonts w:hint="eastAsia" w:ascii="黑体" w:hAnsi="黑体" w:eastAsia="黑体"/>
          <w:b/>
          <w:bCs/>
          <w:color w:val="000000"/>
          <w:sz w:val="48"/>
          <w:szCs w:val="48"/>
        </w:rPr>
        <w:t>目  录</w:t>
      </w:r>
    </w:p>
    <w:p>
      <w:pPr>
        <w:widowControl/>
        <w:jc w:val="left"/>
        <w:rPr>
          <w:rFonts w:hint="eastAsia" w:ascii="仿宋" w:hAnsi="仿宋" w:eastAsia="仿宋"/>
          <w:b/>
          <w:bCs/>
          <w:sz w:val="24"/>
        </w:rPr>
      </w:pPr>
    </w:p>
    <w:p>
      <w:pPr>
        <w:widowControl/>
        <w:jc w:val="left"/>
        <w:rPr>
          <w:rFonts w:hint="eastAsia" w:ascii="仿宋" w:hAnsi="仿宋" w:eastAsia="仿宋"/>
          <w:b/>
          <w:bCs/>
          <w:sz w:val="24"/>
        </w:rPr>
      </w:pPr>
    </w:p>
    <w:p>
      <w:pPr>
        <w:widowControl/>
        <w:ind w:firstLine="361" w:firstLineChars="150"/>
        <w:jc w:val="left"/>
        <w:rPr>
          <w:rFonts w:ascii="仿宋" w:hAnsi="仿宋" w:eastAsia="仿宋"/>
          <w:color w:val="000000"/>
          <w:sz w:val="24"/>
        </w:rPr>
      </w:pPr>
      <w:r>
        <w:rPr>
          <w:rFonts w:hint="eastAsia" w:ascii="仿宋" w:hAnsi="仿宋" w:eastAsia="仿宋"/>
          <w:b/>
          <w:bCs/>
          <w:sz w:val="24"/>
        </w:rPr>
        <w:t>第一部分</w:t>
      </w:r>
      <w:r>
        <w:rPr>
          <w:rFonts w:ascii="仿宋" w:hAnsi="仿宋" w:eastAsia="仿宋"/>
          <w:b/>
          <w:bCs/>
          <w:sz w:val="24"/>
        </w:rPr>
        <w:t xml:space="preserve"> </w:t>
      </w:r>
      <w:r>
        <w:rPr>
          <w:rFonts w:hint="eastAsia" w:ascii="仿宋" w:hAnsi="仿宋" w:eastAsia="仿宋"/>
          <w:b/>
          <w:bCs/>
          <w:sz w:val="24"/>
        </w:rPr>
        <w:t xml:space="preserve">部门概况 </w:t>
      </w:r>
      <w:r>
        <w:rPr>
          <w:rFonts w:hint="eastAsia"/>
          <w:sz w:val="24"/>
        </w:rPr>
        <w:t>……………………………………………………………3</w:t>
      </w:r>
    </w:p>
    <w:p>
      <w:pPr>
        <w:pStyle w:val="11"/>
        <w:adjustRightInd w:val="0"/>
        <w:snapToGrid w:val="0"/>
        <w:spacing w:line="300" w:lineRule="auto"/>
        <w:jc w:val="left"/>
        <w:rPr>
          <w:rFonts w:ascii="仿宋" w:hAnsi="仿宋"/>
          <w:sz w:val="24"/>
        </w:rPr>
      </w:pPr>
      <w:r>
        <w:rPr>
          <w:rFonts w:hint="eastAsia"/>
          <w:sz w:val="24"/>
        </w:rPr>
        <w:t>一、基本职能及主要工作  ……………………………………………………3</w:t>
      </w:r>
    </w:p>
    <w:p>
      <w:pPr>
        <w:pStyle w:val="11"/>
        <w:adjustRightInd w:val="0"/>
        <w:snapToGrid w:val="0"/>
        <w:spacing w:line="300" w:lineRule="auto"/>
        <w:jc w:val="left"/>
        <w:rPr>
          <w:rFonts w:ascii="仿宋" w:hAnsi="仿宋" w:eastAsia="仿宋" w:cstheme="minorBidi"/>
          <w:sz w:val="24"/>
        </w:rPr>
      </w:pPr>
      <w:r>
        <w:rPr>
          <w:rFonts w:hint="eastAsia"/>
          <w:sz w:val="24"/>
        </w:rPr>
        <w:t>二、机构设置  …………………………………………………………………4</w:t>
      </w:r>
    </w:p>
    <w:p>
      <w:pPr>
        <w:pStyle w:val="10"/>
        <w:adjustRightInd w:val="0"/>
        <w:snapToGrid w:val="0"/>
        <w:spacing w:before="0" w:line="300" w:lineRule="auto"/>
        <w:ind w:firstLine="361" w:firstLineChars="150"/>
        <w:jc w:val="left"/>
        <w:rPr>
          <w:sz w:val="24"/>
          <w:szCs w:val="24"/>
        </w:rPr>
      </w:pPr>
      <w:r>
        <w:rPr>
          <w:rFonts w:hint="eastAsia"/>
          <w:b/>
          <w:bCs/>
          <w:sz w:val="24"/>
          <w:szCs w:val="24"/>
        </w:rPr>
        <w:t>第二部分 度部门决算情况说明</w:t>
      </w:r>
    </w:p>
    <w:p>
      <w:pPr>
        <w:pStyle w:val="11"/>
        <w:adjustRightInd w:val="0"/>
        <w:snapToGrid w:val="0"/>
        <w:spacing w:line="300" w:lineRule="auto"/>
        <w:jc w:val="left"/>
        <w:rPr>
          <w:rFonts w:ascii="仿宋" w:hAnsi="仿宋"/>
          <w:sz w:val="24"/>
        </w:rPr>
      </w:pPr>
      <w:r>
        <w:rPr>
          <w:rFonts w:hint="eastAsia"/>
          <w:sz w:val="24"/>
        </w:rPr>
        <w:t>一、收入支出决算总体情况说明  ……………………………………………5二、收入决算情况说明  ………………………………………………………5</w:t>
      </w:r>
    </w:p>
    <w:p>
      <w:pPr>
        <w:pStyle w:val="11"/>
        <w:adjustRightInd w:val="0"/>
        <w:snapToGrid w:val="0"/>
        <w:spacing w:line="300" w:lineRule="auto"/>
        <w:jc w:val="left"/>
        <w:rPr>
          <w:rFonts w:ascii="仿宋" w:hAnsi="仿宋" w:eastAsia="仿宋" w:cstheme="minorBidi"/>
          <w:sz w:val="24"/>
        </w:rPr>
      </w:pPr>
      <w:r>
        <w:rPr>
          <w:rFonts w:hint="eastAsia"/>
          <w:sz w:val="24"/>
        </w:rPr>
        <w:t>三、支出决算情况说明  ………………………………………………………6四、财政拨款收入支出决算总体情况说明……………………………………6</w:t>
      </w:r>
    </w:p>
    <w:p>
      <w:pPr>
        <w:pStyle w:val="11"/>
        <w:adjustRightInd w:val="0"/>
        <w:snapToGrid w:val="0"/>
        <w:spacing w:line="300" w:lineRule="auto"/>
        <w:jc w:val="left"/>
        <w:rPr>
          <w:rFonts w:ascii="仿宋" w:hAnsi="仿宋" w:eastAsia="仿宋" w:cstheme="minorBidi"/>
          <w:sz w:val="24"/>
        </w:rPr>
      </w:pPr>
      <w:r>
        <w:rPr>
          <w:rFonts w:hint="eastAsia"/>
          <w:sz w:val="24"/>
        </w:rPr>
        <w:t>五、一般公共预算财政拨款支出决算情况说明………………………………6</w:t>
      </w:r>
    </w:p>
    <w:p>
      <w:pPr>
        <w:pStyle w:val="11"/>
        <w:adjustRightInd w:val="0"/>
        <w:snapToGrid w:val="0"/>
        <w:spacing w:line="300" w:lineRule="auto"/>
        <w:jc w:val="left"/>
        <w:rPr>
          <w:rFonts w:ascii="仿宋" w:hAnsi="仿宋" w:eastAsia="仿宋" w:cstheme="minorBidi"/>
          <w:sz w:val="24"/>
        </w:rPr>
      </w:pPr>
      <w:r>
        <w:rPr>
          <w:rFonts w:hint="eastAsia"/>
          <w:sz w:val="24"/>
        </w:rPr>
        <w:t>六、一般公共预算财政拨款基本支出决算情况说明  ………………………8 七、</w:t>
      </w:r>
      <w:r>
        <w:rPr>
          <w:sz w:val="24"/>
        </w:rPr>
        <w:t>“</w:t>
      </w:r>
      <w:r>
        <w:rPr>
          <w:rFonts w:hint="eastAsia"/>
          <w:sz w:val="24"/>
        </w:rPr>
        <w:t>三公”经费财政拨款支出决算情况说明 ………………………………8</w:t>
      </w:r>
    </w:p>
    <w:p>
      <w:pPr>
        <w:pStyle w:val="11"/>
        <w:adjustRightInd w:val="0"/>
        <w:snapToGrid w:val="0"/>
        <w:spacing w:line="300" w:lineRule="auto"/>
        <w:jc w:val="left"/>
        <w:rPr>
          <w:rFonts w:ascii="仿宋" w:hAnsi="仿宋" w:eastAsia="仿宋" w:cstheme="minorBidi"/>
          <w:sz w:val="24"/>
        </w:rPr>
      </w:pPr>
      <w:r>
        <w:rPr>
          <w:rFonts w:hint="eastAsia"/>
          <w:sz w:val="24"/>
        </w:rPr>
        <w:t>八、政府性基金预算支出决算情况说明  ……………………………………9</w:t>
      </w:r>
    </w:p>
    <w:p>
      <w:pPr>
        <w:pStyle w:val="11"/>
        <w:adjustRightInd w:val="0"/>
        <w:snapToGrid w:val="0"/>
        <w:spacing w:line="300" w:lineRule="auto"/>
        <w:ind w:leftChars="0"/>
        <w:jc w:val="left"/>
        <w:rPr>
          <w:rFonts w:asciiTheme="minorEastAsia" w:hAnsiTheme="minorEastAsia" w:eastAsiaTheme="minorEastAsia"/>
          <w:sz w:val="24"/>
        </w:rPr>
      </w:pPr>
      <w:r>
        <w:rPr>
          <w:rFonts w:hint="eastAsia" w:asciiTheme="minorEastAsia" w:hAnsiTheme="minorEastAsia" w:eastAsiaTheme="minorEastAsia"/>
          <w:sz w:val="24"/>
        </w:rPr>
        <w:t>九、</w:t>
      </w:r>
      <w:r>
        <w:rPr>
          <w:rFonts w:asciiTheme="minorEastAsia" w:hAnsiTheme="minorEastAsia" w:eastAsiaTheme="minorEastAsia"/>
          <w:sz w:val="24"/>
        </w:rPr>
        <w:t xml:space="preserve"> 国</w:t>
      </w:r>
      <w:r>
        <w:rPr>
          <w:rFonts w:hint="eastAsia" w:asciiTheme="minorEastAsia" w:hAnsiTheme="minorEastAsia" w:eastAsiaTheme="minorEastAsia"/>
          <w:sz w:val="24"/>
        </w:rPr>
        <w:t>有资本经营预算支出决算情况说明 …………………………………</w:t>
      </w:r>
      <w:r>
        <w:rPr>
          <w:rFonts w:eastAsiaTheme="minorEastAsia"/>
          <w:sz w:val="24"/>
        </w:rPr>
        <w:t>9</w:t>
      </w:r>
    </w:p>
    <w:p>
      <w:pPr>
        <w:adjustRightInd w:val="0"/>
        <w:snapToGrid w:val="0"/>
        <w:spacing w:line="300" w:lineRule="auto"/>
        <w:ind w:left="420" w:leftChars="200"/>
        <w:jc w:val="left"/>
        <w:rPr>
          <w:rFonts w:ascii="仿宋" w:hAnsi="仿宋" w:eastAsia="仿宋" w:cstheme="minorBidi"/>
          <w:sz w:val="24"/>
        </w:rPr>
      </w:pPr>
      <w:r>
        <w:rPr>
          <w:rStyle w:val="15"/>
          <w:rFonts w:hint="eastAsia" w:asciiTheme="minorEastAsia" w:hAnsiTheme="minorEastAsia" w:eastAsiaTheme="minorEastAsia"/>
          <w:color w:val="000000" w:themeColor="text1"/>
          <w:sz w:val="24"/>
          <w:u w:val="none"/>
        </w:rPr>
        <w:t>十、</w:t>
      </w:r>
      <w:r>
        <w:rPr>
          <w:rFonts w:hint="eastAsia"/>
          <w:sz w:val="24"/>
        </w:rPr>
        <w:t>其他重要事项的情况说明…………………………………………………9</w:t>
      </w:r>
      <w:r>
        <w:rPr>
          <w:rFonts w:hint="eastAsia" w:ascii="仿宋" w:hAnsi="仿宋" w:eastAsia="仿宋" w:cs="仿宋"/>
          <w:b/>
          <w:bCs/>
          <w:sz w:val="24"/>
        </w:rPr>
        <w:t xml:space="preserve">第三部分 名词解释  </w:t>
      </w:r>
      <w:r>
        <w:rPr>
          <w:rFonts w:hint="eastAsia"/>
          <w:sz w:val="24"/>
        </w:rPr>
        <w:t>…………………………………………………………10</w:t>
      </w:r>
    </w:p>
    <w:p>
      <w:pPr>
        <w:pStyle w:val="11"/>
        <w:adjustRightInd w:val="0"/>
        <w:snapToGrid w:val="0"/>
        <w:spacing w:line="300" w:lineRule="auto"/>
        <w:ind w:leftChars="0"/>
        <w:jc w:val="left"/>
        <w:rPr>
          <w:rFonts w:ascii="仿宋" w:hAnsi="仿宋" w:eastAsia="仿宋" w:cstheme="minorBidi"/>
          <w:sz w:val="24"/>
        </w:rPr>
      </w:pPr>
      <w:r>
        <w:rPr>
          <w:rFonts w:hint="eastAsia" w:ascii="仿宋" w:hAnsi="仿宋" w:eastAsia="仿宋" w:cs="仿宋"/>
          <w:b/>
          <w:bCs/>
          <w:sz w:val="24"/>
        </w:rPr>
        <w:t xml:space="preserve">第四部分 附件 </w:t>
      </w:r>
      <w:r>
        <w:rPr>
          <w:rFonts w:hint="eastAsia"/>
          <w:sz w:val="24"/>
        </w:rPr>
        <w:t xml:space="preserve"> ………………………………………………………………12</w:t>
      </w:r>
    </w:p>
    <w:p>
      <w:pPr>
        <w:pStyle w:val="11"/>
        <w:adjustRightInd w:val="0"/>
        <w:snapToGrid w:val="0"/>
        <w:spacing w:line="300" w:lineRule="auto"/>
        <w:ind w:firstLine="120" w:firstLineChars="50"/>
        <w:jc w:val="left"/>
        <w:rPr>
          <w:rFonts w:ascii="仿宋" w:hAnsi="仿宋" w:eastAsia="仿宋" w:cstheme="minorBidi"/>
          <w:sz w:val="24"/>
        </w:rPr>
      </w:pPr>
      <w:r>
        <w:rPr>
          <w:rFonts w:hint="eastAsia"/>
          <w:sz w:val="24"/>
        </w:rPr>
        <w:t>附件</w:t>
      </w:r>
      <w:r>
        <w:rPr>
          <w:sz w:val="24"/>
        </w:rPr>
        <w:t>1</w:t>
      </w:r>
      <w:r>
        <w:rPr>
          <w:rFonts w:hint="eastAsia"/>
          <w:sz w:val="24"/>
        </w:rPr>
        <w:t>…………………………………………………………………………12</w:t>
      </w:r>
    </w:p>
    <w:p>
      <w:pPr>
        <w:pStyle w:val="10"/>
        <w:adjustRightInd w:val="0"/>
        <w:snapToGrid w:val="0"/>
        <w:spacing w:before="0" w:line="300" w:lineRule="auto"/>
        <w:ind w:firstLine="482" w:firstLineChars="200"/>
        <w:jc w:val="left"/>
        <w:rPr>
          <w:rFonts w:cstheme="minorBidi"/>
          <w:b/>
          <w:sz w:val="24"/>
          <w:szCs w:val="24"/>
        </w:rPr>
      </w:pPr>
      <w:r>
        <w:rPr>
          <w:rFonts w:hint="eastAsia"/>
          <w:b/>
          <w:sz w:val="24"/>
          <w:szCs w:val="24"/>
        </w:rPr>
        <w:t>第五部分</w:t>
      </w:r>
      <w:r>
        <w:rPr>
          <w:b/>
          <w:sz w:val="24"/>
          <w:szCs w:val="24"/>
        </w:rPr>
        <w:t xml:space="preserve"> </w:t>
      </w:r>
      <w:r>
        <w:rPr>
          <w:rFonts w:hint="eastAsia"/>
          <w:b/>
          <w:sz w:val="24"/>
          <w:szCs w:val="24"/>
        </w:rPr>
        <w:t>附表</w:t>
      </w:r>
      <w:r>
        <w:rPr>
          <w:rFonts w:hint="eastAsia"/>
          <w:sz w:val="24"/>
          <w:szCs w:val="24"/>
        </w:rPr>
        <w:t>………………………</w:t>
      </w:r>
      <w:r>
        <w:rPr>
          <w:rFonts w:hint="eastAsia"/>
          <w:sz w:val="24"/>
        </w:rPr>
        <w:t>………</w:t>
      </w:r>
      <w:r>
        <w:rPr>
          <w:rFonts w:hint="eastAsia"/>
          <w:sz w:val="24"/>
          <w:szCs w:val="24"/>
        </w:rPr>
        <w:t xml:space="preserve">……………………………… </w:t>
      </w:r>
      <w:r>
        <w:rPr>
          <w:rFonts w:ascii="Times New Roman" w:hAnsi="Times New Roman"/>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一、收入支出决算总表 </w:t>
      </w:r>
      <w:r>
        <w:rPr>
          <w:rFonts w:hint="eastAsia"/>
          <w:sz w:val="24"/>
        </w:rPr>
        <w:t>……………………………………………………</w:t>
      </w:r>
      <w:r>
        <w:rPr>
          <w:rFonts w:hint="eastAsia"/>
          <w:szCs w:val="21"/>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二、收入决算表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三、支出决算表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四、财政拨款收入支出决算总表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五、财政拨款支出决算明细表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六、一般公共预算财政拨款支出决算表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七、一般公共预算财政拨款支出决算明细表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八、一般公共预算财政拨款基本支出决算表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九、一般公共预算财政拨款项目支出决算表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十、一般公共预算财政拨款“三公”经费支出决算表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十一、政府性基金预算财政拨款收入支出决算表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十二、政府性基金预算财政拨款“三公”经费支出决算表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hint="eastAsia" w:asciiTheme="minorEastAsia" w:hAnsiTheme="minorEastAsia" w:eastAsiaTheme="minorEastAsia"/>
          <w:sz w:val="24"/>
        </w:rPr>
      </w:pPr>
      <w:r>
        <w:rPr>
          <w:rFonts w:hint="eastAsia" w:asciiTheme="minorEastAsia" w:hAnsiTheme="minorEastAsia" w:eastAsiaTheme="minorEastAsia"/>
          <w:sz w:val="24"/>
        </w:rPr>
        <w:t xml:space="preserve">十三、国有资本经营预算支出决算表 </w:t>
      </w:r>
      <w:r>
        <w:rPr>
          <w:rFonts w:hint="eastAsia"/>
          <w:sz w:val="24"/>
        </w:rPr>
        <w:t xml:space="preserve">…………………………………… </w:t>
      </w:r>
      <w:r>
        <w:rPr>
          <w:sz w:val="24"/>
        </w:rPr>
        <w:t>20</w:t>
      </w:r>
    </w:p>
    <w:p>
      <w:pPr>
        <w:pStyle w:val="11"/>
        <w:adjustRightInd w:val="0"/>
        <w:snapToGrid w:val="0"/>
        <w:spacing w:line="300" w:lineRule="auto"/>
        <w:ind w:firstLine="120" w:firstLineChars="50"/>
        <w:jc w:val="left"/>
        <w:rPr>
          <w:rFonts w:asciiTheme="minorEastAsia" w:hAnsiTheme="minorEastAsia" w:eastAsiaTheme="minorEastAsia"/>
          <w:sz w:val="24"/>
        </w:rPr>
      </w:pPr>
      <w:r>
        <w:rPr>
          <w:rFonts w:hint="eastAsia" w:asciiTheme="minorEastAsia" w:hAnsiTheme="minorEastAsia" w:eastAsiaTheme="minorEastAsia"/>
          <w:sz w:val="24"/>
        </w:rPr>
        <w:t xml:space="preserve">  </w:t>
      </w:r>
      <w:bookmarkStart w:id="12" w:name="_Toc15377196"/>
      <w:bookmarkStart w:id="13" w:name="_Toc15396599"/>
    </w:p>
    <w:p>
      <w:pPr>
        <w:pStyle w:val="2"/>
        <w:adjustRightInd w:val="0"/>
        <w:snapToGrid w:val="0"/>
        <w:spacing w:before="0" w:after="0" w:line="360" w:lineRule="auto"/>
        <w:jc w:val="center"/>
        <w:rPr>
          <w:rFonts w:ascii="黑体" w:hAnsi="黑体" w:eastAsia="黑体"/>
          <w:b w:val="0"/>
          <w:bCs w:val="0"/>
          <w:sz w:val="36"/>
          <w:szCs w:val="36"/>
        </w:rPr>
      </w:pPr>
      <w:r>
        <w:rPr>
          <w:rFonts w:hint="eastAsia" w:ascii="黑体" w:hAnsi="黑体" w:eastAsia="黑体"/>
          <w:sz w:val="36"/>
          <w:szCs w:val="36"/>
        </w:rPr>
        <w:t xml:space="preserve">第一部分 </w:t>
      </w:r>
      <w:r>
        <w:rPr>
          <w:rStyle w:val="19"/>
          <w:rFonts w:hint="eastAsia" w:ascii="黑体" w:hAnsi="黑体" w:eastAsia="黑体"/>
          <w:b/>
          <w:bCs w:val="0"/>
          <w:sz w:val="36"/>
          <w:szCs w:val="36"/>
        </w:rPr>
        <w:t>部门概况</w:t>
      </w:r>
      <w:bookmarkEnd w:id="12"/>
      <w:bookmarkEnd w:id="13"/>
    </w:p>
    <w:p>
      <w:pPr>
        <w:pStyle w:val="3"/>
        <w:adjustRightInd w:val="0"/>
        <w:snapToGrid w:val="0"/>
        <w:spacing w:before="0" w:after="0" w:line="360" w:lineRule="auto"/>
        <w:ind w:firstLine="560" w:firstLineChars="200"/>
        <w:rPr>
          <w:rFonts w:ascii="仿宋" w:hAnsi="仿宋" w:eastAsia="仿宋"/>
          <w:b/>
          <w:bCs w:val="0"/>
          <w:sz w:val="28"/>
          <w:szCs w:val="28"/>
        </w:rPr>
      </w:pPr>
      <w:bookmarkStart w:id="14" w:name="_Toc15377197"/>
      <w:bookmarkStart w:id="15" w:name="_Toc15396600"/>
      <w:r>
        <w:rPr>
          <w:rFonts w:hint="eastAsia" w:ascii="黑体" w:hAnsi="黑体" w:eastAsia="黑体"/>
          <w:b w:val="0"/>
          <w:color w:val="000000"/>
          <w:sz w:val="28"/>
          <w:szCs w:val="28"/>
        </w:rPr>
        <w:t>一、基</w:t>
      </w:r>
      <w:r>
        <w:rPr>
          <w:rStyle w:val="20"/>
          <w:rFonts w:hint="eastAsia" w:ascii="黑体" w:hAnsi="黑体" w:eastAsia="黑体"/>
          <w:b/>
          <w:bCs w:val="0"/>
          <w:sz w:val="28"/>
          <w:szCs w:val="28"/>
        </w:rPr>
        <w:t>本职能及主要工作</w:t>
      </w:r>
      <w:bookmarkEnd w:id="14"/>
      <w:bookmarkEnd w:id="15"/>
    </w:p>
    <w:p>
      <w:pPr>
        <w:pStyle w:val="5"/>
        <w:adjustRightInd w:val="0"/>
        <w:snapToGrid w:val="0"/>
        <w:spacing w:beforeLines="0" w:line="360" w:lineRule="auto"/>
        <w:ind w:firstLine="480" w:firstLineChars="200"/>
        <w:rPr>
          <w:rFonts w:asciiTheme="minorEastAsia" w:hAnsiTheme="minorEastAsia" w:eastAsiaTheme="minorEastAsia"/>
          <w:bCs/>
          <w:color w:val="000000"/>
          <w:sz w:val="24"/>
        </w:rPr>
      </w:pPr>
      <w:bookmarkStart w:id="16" w:name="_Toc15378445"/>
      <w:bookmarkStart w:id="17" w:name="_Toc15377198"/>
      <w:r>
        <w:rPr>
          <w:rFonts w:hint="eastAsia" w:asciiTheme="minorEastAsia" w:hAnsiTheme="minorEastAsia" w:eastAsiaTheme="minorEastAsia"/>
          <w:bCs/>
          <w:color w:val="000000"/>
          <w:sz w:val="24"/>
        </w:rPr>
        <w:t>（一）主要职能</w:t>
      </w:r>
      <w:bookmarkEnd w:id="16"/>
      <w:bookmarkEnd w:id="17"/>
    </w:p>
    <w:p>
      <w:pPr>
        <w:adjustRightInd w:val="0"/>
        <w:snapToGrid w:val="0"/>
        <w:spacing w:line="360" w:lineRule="auto"/>
        <w:ind w:firstLine="480" w:firstLineChars="200"/>
        <w:rPr>
          <w:rFonts w:asciiTheme="minorEastAsia" w:hAnsiTheme="minorEastAsia" w:eastAsiaTheme="minorEastAsia"/>
          <w:sz w:val="24"/>
        </w:rPr>
      </w:pPr>
      <w:bookmarkStart w:id="18" w:name="_Toc15377199"/>
      <w:bookmarkStart w:id="19" w:name="_Toc15378446"/>
      <w:r>
        <w:rPr>
          <w:rFonts w:hint="eastAsia" w:asciiTheme="minorEastAsia" w:hAnsiTheme="minorEastAsia" w:eastAsiaTheme="minorEastAsia"/>
          <w:sz w:val="24"/>
        </w:rPr>
        <w:t>小学教育，附设学前教育。依法实施义务教育，按照规定标准完成教育教学任务，保证教育教学质量。按计划确定教学内容和课程设置开展教育活动。</w:t>
      </w:r>
    </w:p>
    <w:p>
      <w:pPr>
        <w:pStyle w:val="5"/>
        <w:adjustRightInd w:val="0"/>
        <w:snapToGrid w:val="0"/>
        <w:spacing w:beforeLines="0" w:line="360" w:lineRule="auto"/>
        <w:ind w:firstLine="480" w:firstLineChars="200"/>
        <w:rPr>
          <w:rFonts w:asciiTheme="minorEastAsia" w:hAnsiTheme="minorEastAsia" w:eastAsiaTheme="minorEastAsia"/>
          <w:bCs/>
          <w:color w:val="000000"/>
          <w:sz w:val="24"/>
        </w:rPr>
      </w:pPr>
      <w:r>
        <w:rPr>
          <w:rFonts w:hint="eastAsia" w:asciiTheme="minorEastAsia" w:hAnsiTheme="minorEastAsia" w:eastAsiaTheme="minorEastAsia"/>
          <w:bCs/>
          <w:color w:val="000000"/>
          <w:sz w:val="24"/>
        </w:rPr>
        <w:t>（二）</w:t>
      </w:r>
      <w:r>
        <w:rPr>
          <w:rFonts w:asciiTheme="minorEastAsia" w:hAnsiTheme="minorEastAsia" w:eastAsiaTheme="minorEastAsia"/>
          <w:bCs/>
          <w:color w:val="000000"/>
          <w:sz w:val="24"/>
        </w:rPr>
        <w:t>201</w:t>
      </w:r>
      <w:r>
        <w:rPr>
          <w:rFonts w:hint="eastAsia" w:asciiTheme="minorEastAsia" w:hAnsiTheme="minorEastAsia" w:eastAsiaTheme="minorEastAsia"/>
          <w:bCs/>
          <w:color w:val="000000"/>
          <w:sz w:val="24"/>
        </w:rPr>
        <w:t>9年重点工作完成情况</w:t>
      </w:r>
      <w:bookmarkEnd w:id="18"/>
      <w:bookmarkEnd w:id="19"/>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2019年，我校紧紧围绕“三满意”，均衡义务教育，深入推进素质教育的总体目标，圆满完成了各项任务。</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1、以品德为首位，立德树人养正气</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做好“七个一”，在日常行为习惯中抓实德育常规；结合重大主题日开展活动，形式多样展示德育系列活动；树立榜样、弘扬先进；办好家长学校，做好《家校连心桥》教材，培养成熟家长。</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2、以质量为生命，精细管理出成绩</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精细化管理，为质量护航；教师培训，为教学质量提升加油；电化教学，助力课堂教学质量提升；以科研为龙头，引领课堂教学促高效。</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3、以服务为主线，环境育人陶性情 </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积极争取尽快实施教学楼改造建设；校园文化建设化设计全面完成，准备施工；后勤管理务实高效，绿化维护效果好；</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4、以平安为核心，安全管理见实效</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加强组织领导，落实安全责任制；完善安全制度，加强安全管理；强化责任意识，加强防范管理；强化安全教育，树立安全意识；落实《安全管理考核奖励方案》，提高教师安全积极性；依法治校，积极开展普法教育。</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5、党建工作在精准扶贫中见实效</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定期走访，密切了党员和群众之间的关系；发挥党员的示范作用；增强党员干部的责任感和使命感。</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6、以工会为平台，民主管理聚人心</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落实教职工大会制度，促进民主建设；做好校务公开工作，推进民主管理；开展丰富多彩活动，活跃校园文化生活。</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 xml:space="preserve">7、协调发展，各项工作创一流    </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在各级领导支持下，师生成才，学校发展。</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（1）学生全面发展。</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学生全面发展。2019年7月，研培中心发布各项3—6年级全市统考统阅成绩，我校捷报频传，16项主要质量数据指标中有12项我校占第一，两个第二，两个第三，综合质量全市第一，持续创造我校教学质量历史。学生参加省市县比赛获得161个奖励，综合素质广汉领先。学生健康体质持续优化。体检报告显示，学生的肺活量不断提高，沙眼率和肥胖率持续下降。</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（2）教师幸福成长。</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教师表现优秀。学校教师师德高尚、业务精湛、团结互助，积极向上，学校有省市县各级名师、学科带头人、骨干教师32人，每个学科都有广汉顶尖的教师，教师参加省市县比赛获得154个奖励。</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（3）学校持续发展</w:t>
      </w:r>
    </w:p>
    <w:p>
      <w:pPr>
        <w:pStyle w:val="5"/>
        <w:adjustRightInd w:val="0"/>
        <w:snapToGrid w:val="0"/>
        <w:spacing w:before="93" w:line="360" w:lineRule="auto"/>
        <w:ind w:firstLine="480" w:firstLineChars="200"/>
        <w:rPr>
          <w:rFonts w:ascii="宋体" w:hAnsi="宋体" w:eastAsia="宋体" w:cs="宋体"/>
          <w:sz w:val="24"/>
        </w:rPr>
      </w:pPr>
      <w:r>
        <w:rPr>
          <w:rFonts w:hint="eastAsia" w:ascii="宋体" w:hAnsi="宋体" w:eastAsia="宋体" w:cs="宋体"/>
          <w:sz w:val="24"/>
        </w:rPr>
        <w:t>学校获得多项荣誉。学校获得全国规范化家长学校实践基地、四川省首届小学生诗词大会线上初选活动优秀组织奖、“十三五”规划课题“基于大规模推广群文阅读理论与实践深化研究首批子课题”省级示范单位等33项国家、省、市、县表彰奖励。学校联盟，携手共进。学校联盟南丰小学、新平小学、高坪小学、金鱼小学、新丰小学、和兴小学等农村小学，对口帮扶金阳县天台小学共同发展。对口帮扶天台小学经验在四川省会议交流发言，联盟各校进部大。</w:t>
      </w:r>
    </w:p>
    <w:p>
      <w:pPr>
        <w:pStyle w:val="5"/>
        <w:adjustRightInd w:val="0"/>
        <w:snapToGrid w:val="0"/>
        <w:spacing w:before="93" w:line="360" w:lineRule="auto"/>
        <w:ind w:firstLine="480" w:firstLineChars="200"/>
        <w:rPr>
          <w:rFonts w:ascii="仿宋" w:hAnsi="仿宋" w:eastAsia="仿宋"/>
          <w:bCs/>
          <w:color w:val="000000"/>
          <w:sz w:val="32"/>
          <w:szCs w:val="32"/>
        </w:rPr>
      </w:pPr>
      <w:r>
        <w:rPr>
          <w:rFonts w:hint="eastAsia" w:ascii="宋体" w:hAnsi="宋体" w:eastAsia="宋体" w:cs="宋体"/>
          <w:sz w:val="24"/>
        </w:rPr>
        <w:t>2019年我校各项工作取得优异成绩，上级综合考核名列全市小学前列，在全市发挥了窗口示范和引领作用。</w:t>
      </w:r>
    </w:p>
    <w:p>
      <w:pPr>
        <w:pStyle w:val="3"/>
        <w:adjustRightInd w:val="0"/>
        <w:snapToGrid w:val="0"/>
        <w:spacing w:before="0" w:after="0" w:line="360" w:lineRule="auto"/>
        <w:ind w:firstLine="560" w:firstLineChars="200"/>
        <w:rPr>
          <w:b w:val="0"/>
          <w:bCs w:val="0"/>
          <w:sz w:val="28"/>
          <w:szCs w:val="28"/>
        </w:rPr>
      </w:pPr>
      <w:bookmarkStart w:id="20" w:name="_Toc15396601"/>
      <w:bookmarkStart w:id="21" w:name="_Toc15377200"/>
      <w:r>
        <w:rPr>
          <w:rFonts w:hint="eastAsia" w:ascii="黑体" w:eastAsia="黑体"/>
          <w:b w:val="0"/>
          <w:color w:val="000000"/>
          <w:sz w:val="28"/>
          <w:szCs w:val="28"/>
        </w:rPr>
        <w:t>二、</w:t>
      </w:r>
      <w:r>
        <w:rPr>
          <w:rFonts w:hint="eastAsia" w:ascii="黑体" w:hAnsi="黑体" w:eastAsia="黑体"/>
          <w:b w:val="0"/>
          <w:color w:val="000000"/>
          <w:sz w:val="28"/>
          <w:szCs w:val="28"/>
        </w:rPr>
        <w:t>机</w:t>
      </w:r>
      <w:r>
        <w:rPr>
          <w:rStyle w:val="20"/>
          <w:rFonts w:hint="eastAsia" w:ascii="黑体" w:hAnsi="黑体" w:eastAsia="黑体"/>
          <w:b w:val="0"/>
          <w:bCs w:val="0"/>
          <w:sz w:val="28"/>
          <w:szCs w:val="28"/>
        </w:rPr>
        <w:t>构设置</w:t>
      </w:r>
      <w:bookmarkEnd w:id="20"/>
      <w:bookmarkEnd w:id="21"/>
    </w:p>
    <w:p>
      <w:pPr>
        <w:pStyle w:val="5"/>
        <w:adjustRightInd w:val="0"/>
        <w:snapToGrid w:val="0"/>
        <w:spacing w:beforeLines="0"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sz w:val="24"/>
        </w:rPr>
        <w:t>广汉市雒城镇第一小学校是广汉市教育局下属的二级预算单位。无下属单位。学校内设机构有：教导处、政教处、总务处、行政办公室、安全办公室，党支部和教工会。</w:t>
      </w:r>
    </w:p>
    <w:p>
      <w:pPr>
        <w:widowControl/>
        <w:adjustRightInd w:val="0"/>
        <w:snapToGrid w:val="0"/>
        <w:spacing w:line="360" w:lineRule="auto"/>
        <w:ind w:firstLine="640" w:firstLineChars="200"/>
        <w:rPr>
          <w:rFonts w:ascii="仿宋" w:hAnsi="仿宋" w:eastAsia="仿宋"/>
          <w:color w:val="000000"/>
          <w:kern w:val="0"/>
          <w:sz w:val="32"/>
          <w:szCs w:val="32"/>
        </w:rPr>
      </w:pPr>
      <w:r>
        <w:rPr>
          <w:rFonts w:ascii="仿宋" w:hAnsi="仿宋" w:eastAsia="仿宋"/>
          <w:color w:val="000000"/>
          <w:sz w:val="32"/>
          <w:szCs w:val="32"/>
        </w:rPr>
        <w:br w:type="page"/>
      </w:r>
    </w:p>
    <w:p>
      <w:pPr>
        <w:pStyle w:val="2"/>
        <w:adjustRightInd w:val="0"/>
        <w:snapToGrid w:val="0"/>
        <w:spacing w:before="0" w:after="0" w:line="360" w:lineRule="auto"/>
        <w:jc w:val="center"/>
        <w:rPr>
          <w:rFonts w:ascii="黑体" w:hAnsi="黑体" w:eastAsia="黑体"/>
          <w:b w:val="0"/>
          <w:bCs w:val="0"/>
          <w:sz w:val="36"/>
          <w:szCs w:val="36"/>
        </w:rPr>
      </w:pPr>
      <w:bookmarkStart w:id="22" w:name="_Toc15377204"/>
      <w:bookmarkStart w:id="23" w:name="_Toc15396602"/>
      <w:r>
        <w:rPr>
          <w:rFonts w:hint="eastAsia" w:ascii="黑体" w:hAnsi="黑体" w:eastAsia="黑体"/>
          <w:color w:val="000000"/>
          <w:sz w:val="36"/>
          <w:szCs w:val="36"/>
        </w:rPr>
        <w:t xml:space="preserve">第二部分 </w:t>
      </w:r>
      <w:r>
        <w:rPr>
          <w:rStyle w:val="19"/>
          <w:rFonts w:hint="eastAsia" w:ascii="黑体" w:hAnsi="黑体" w:eastAsia="黑体"/>
          <w:b/>
          <w:bCs w:val="0"/>
          <w:sz w:val="36"/>
          <w:szCs w:val="36"/>
        </w:rPr>
        <w:t>2019年度部门决算情况说明</w:t>
      </w:r>
      <w:bookmarkEnd w:id="22"/>
      <w:bookmarkEnd w:id="23"/>
    </w:p>
    <w:p>
      <w:pPr>
        <w:pStyle w:val="21"/>
        <w:adjustRightInd w:val="0"/>
        <w:snapToGrid w:val="0"/>
        <w:spacing w:line="360" w:lineRule="auto"/>
        <w:ind w:left="640" w:firstLine="0" w:firstLineChars="0"/>
        <w:rPr>
          <w:rFonts w:ascii="黑体" w:hAnsi="黑体" w:eastAsia="黑体"/>
          <w:color w:val="000000"/>
          <w:szCs w:val="21"/>
        </w:rPr>
      </w:pPr>
      <w:bookmarkStart w:id="24" w:name="_Toc15377205"/>
      <w:bookmarkStart w:id="25" w:name="_Toc15396603"/>
    </w:p>
    <w:p>
      <w:pPr>
        <w:pStyle w:val="21"/>
        <w:adjustRightInd w:val="0"/>
        <w:snapToGrid w:val="0"/>
        <w:spacing w:line="360" w:lineRule="auto"/>
        <w:ind w:left="640" w:firstLine="0" w:firstLineChars="0"/>
        <w:rPr>
          <w:rFonts w:ascii="黑体" w:hAnsi="黑体" w:eastAsia="黑体"/>
          <w:sz w:val="28"/>
          <w:szCs w:val="28"/>
        </w:rPr>
      </w:pPr>
      <w:r>
        <w:rPr>
          <w:rFonts w:hint="eastAsia" w:ascii="黑体" w:hAnsi="黑体" w:eastAsia="黑体"/>
          <w:b/>
          <w:color w:val="000000"/>
          <w:sz w:val="28"/>
          <w:szCs w:val="28"/>
        </w:rPr>
        <w:t>一、收</w:t>
      </w:r>
      <w:r>
        <w:rPr>
          <w:rStyle w:val="20"/>
          <w:rFonts w:hint="eastAsia" w:ascii="黑体" w:hAnsi="黑体" w:eastAsia="黑体"/>
          <w:sz w:val="28"/>
          <w:szCs w:val="28"/>
        </w:rPr>
        <w:t>入支出决算总体情况说明</w:t>
      </w:r>
      <w:bookmarkEnd w:id="24"/>
      <w:bookmarkEnd w:id="25"/>
    </w:p>
    <w:p>
      <w:pPr>
        <w:adjustRightInd w:val="0"/>
        <w:snapToGrid w:val="0"/>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2019年收入合计1461.68万元，2019年支出合计1315.76万元。与2018年相比，收入增加80.75万元，增长5.85%；支出增加122.41万元，增长10.26%。主要变动原因是其他收入（课后延时服务费）收支增加及工资调整变动。</w:t>
      </w:r>
    </w:p>
    <w:p>
      <w:pPr>
        <w:adjustRightInd w:val="0"/>
        <w:snapToGrid w:val="0"/>
        <w:spacing w:line="360" w:lineRule="auto"/>
        <w:ind w:firstLine="480" w:firstLineChars="200"/>
        <w:jc w:val="center"/>
        <w:rPr>
          <w:rFonts w:asciiTheme="minorEastAsia" w:hAnsiTheme="minorEastAsia" w:eastAsiaTheme="minorEastAsia"/>
          <w:color w:val="000000" w:themeColor="text1"/>
          <w:sz w:val="24"/>
        </w:rPr>
      </w:pPr>
    </w:p>
    <w:p>
      <w:pPr>
        <w:adjustRightInd w:val="0"/>
        <w:snapToGrid w:val="0"/>
        <w:spacing w:line="360" w:lineRule="auto"/>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w:t>
      </w:r>
      <w:r>
        <w:rPr>
          <w:rFonts w:asciiTheme="minorEastAsia" w:hAnsiTheme="minorEastAsia" w:eastAsiaTheme="minorEastAsia"/>
          <w:color w:val="000000" w:themeColor="text1"/>
          <w:sz w:val="24"/>
        </w:rPr>
        <w:t>1</w:t>
      </w:r>
      <w:r>
        <w:rPr>
          <w:rFonts w:hint="eastAsia" w:asciiTheme="minorEastAsia" w:hAnsiTheme="minorEastAsia" w:eastAsiaTheme="minorEastAsia"/>
          <w:color w:val="000000" w:themeColor="text1"/>
          <w:sz w:val="24"/>
        </w:rPr>
        <w:t>：收、支决算总计变动情况图）（柱状图）</w:t>
      </w:r>
    </w:p>
    <w:p>
      <w:pPr>
        <w:spacing w:line="600" w:lineRule="exact"/>
        <w:ind w:firstLine="561" w:firstLineChars="200"/>
        <w:rPr>
          <w:rFonts w:ascii="黑体" w:hAnsi="黑体" w:eastAsia="黑体"/>
          <w:sz w:val="28"/>
          <w:szCs w:val="28"/>
        </w:rPr>
      </w:pPr>
      <w:bookmarkStart w:id="26" w:name="_Toc15377206"/>
      <w:bookmarkStart w:id="27" w:name="_Toc15396604"/>
      <w:r>
        <w:rPr>
          <w:rFonts w:hint="eastAsia" w:ascii="黑体" w:hAnsi="黑体" w:eastAsia="黑体" w:cs="黑体"/>
          <w:b/>
          <w:bCs/>
          <w:color w:val="000000" w:themeColor="text1"/>
          <w:sz w:val="28"/>
          <w:szCs w:val="28"/>
        </w:rPr>
        <w:t>二、</w:t>
      </w:r>
      <w:r>
        <w:rPr>
          <w:rFonts w:hint="eastAsia" w:ascii="黑体" w:hAnsi="黑体" w:eastAsia="黑体"/>
          <w:b/>
          <w:color w:val="000000"/>
          <w:sz w:val="28"/>
          <w:szCs w:val="28"/>
        </w:rPr>
        <w:t>收</w:t>
      </w:r>
      <w:r>
        <w:rPr>
          <w:rStyle w:val="20"/>
          <w:rFonts w:hint="eastAsia" w:ascii="黑体" w:hAnsi="黑体" w:eastAsia="黑体"/>
          <w:sz w:val="28"/>
          <w:szCs w:val="28"/>
        </w:rPr>
        <w:t>入决算情况说明</w:t>
      </w:r>
      <w:bookmarkEnd w:id="26"/>
      <w:bookmarkEnd w:id="27"/>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9年收入合计1461.68万元，其中：一般公共预算财政拨款收入1356.69万元，占92.82</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；事业收入17.88万元，占1.22</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；其他收入87.11万元，占5.96</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w:t>
      </w:r>
    </w:p>
    <w:p>
      <w:pPr>
        <w:adjustRightInd w:val="0"/>
        <w:snapToGrid w:val="0"/>
        <w:spacing w:line="360" w:lineRule="auto"/>
        <w:rPr>
          <w:rFonts w:asciiTheme="minorEastAsia" w:hAnsiTheme="minorEastAsia" w:eastAsiaTheme="minorEastAsia"/>
          <w:color w:val="000000" w:themeColor="text1"/>
          <w:sz w:val="24"/>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jc w:val="center"/>
        <w:rPr>
          <w:rFonts w:asciiTheme="minorEastAsia" w:hAnsiTheme="minorEastAsia" w:eastAsiaTheme="minorEastAsia"/>
          <w:color w:val="000000" w:themeColor="text1"/>
          <w:sz w:val="24"/>
        </w:rPr>
      </w:pPr>
    </w:p>
    <w:p>
      <w:pPr>
        <w:spacing w:line="600" w:lineRule="exact"/>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（图2：收入决算结构图）（饼状图）</w:t>
      </w:r>
      <w:bookmarkStart w:id="28" w:name="_Toc15396605"/>
      <w:bookmarkStart w:id="29" w:name="_Toc15377207"/>
    </w:p>
    <w:p>
      <w:pPr>
        <w:spacing w:line="600" w:lineRule="exact"/>
        <w:ind w:firstLine="561" w:firstLineChars="200"/>
        <w:outlineLvl w:val="1"/>
        <w:rPr>
          <w:rFonts w:ascii="黑体" w:hAnsi="黑体" w:eastAsia="黑体"/>
          <w:sz w:val="28"/>
          <w:szCs w:val="28"/>
        </w:rPr>
      </w:pPr>
      <w:r>
        <w:rPr>
          <w:rFonts w:hint="eastAsia" w:ascii="黑体" w:hAnsi="黑体" w:eastAsia="黑体"/>
          <w:b/>
          <w:color w:val="000000"/>
          <w:sz w:val="28"/>
          <w:szCs w:val="28"/>
        </w:rPr>
        <w:t>三、支</w:t>
      </w:r>
      <w:r>
        <w:rPr>
          <w:rStyle w:val="20"/>
          <w:rFonts w:hint="eastAsia" w:ascii="黑体" w:hAnsi="黑体" w:eastAsia="黑体"/>
          <w:sz w:val="28"/>
          <w:szCs w:val="28"/>
        </w:rPr>
        <w:t>出决算情况说明</w:t>
      </w:r>
      <w:bookmarkEnd w:id="28"/>
      <w:bookmarkEnd w:id="29"/>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9年支出合计1315.76万元，其中：基本支出1315.76万元，占100</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w:t>
      </w:r>
    </w:p>
    <w:p>
      <w:pPr>
        <w:adjustRightInd w:val="0"/>
        <w:snapToGrid w:val="0"/>
        <w:spacing w:line="360" w:lineRule="auto"/>
        <w:ind w:firstLine="640" w:firstLineChars="200"/>
        <w:rPr>
          <w:rFonts w:ascii="仿宋" w:hAnsi="仿宋" w:eastAsia="仿宋"/>
          <w:color w:val="000000" w:themeColor="text1"/>
          <w:sz w:val="32"/>
          <w:szCs w:val="32"/>
        </w:rPr>
      </w:pPr>
    </w:p>
    <w:p>
      <w:pPr>
        <w:adjustRightInd w:val="0"/>
        <w:snapToGrid w:val="0"/>
        <w:spacing w:line="360" w:lineRule="auto"/>
        <w:ind w:firstLine="640" w:firstLineChars="200"/>
        <w:rPr>
          <w:rFonts w:ascii="仿宋" w:hAnsi="仿宋" w:eastAsia="仿宋"/>
          <w:color w:val="000000" w:themeColor="text1"/>
          <w:sz w:val="32"/>
          <w:szCs w:val="32"/>
        </w:rPr>
      </w:pPr>
    </w:p>
    <w:p>
      <w:pPr>
        <w:adjustRightInd w:val="0"/>
        <w:snapToGrid w:val="0"/>
        <w:spacing w:line="360" w:lineRule="auto"/>
        <w:ind w:firstLine="640" w:firstLineChars="200"/>
        <w:rPr>
          <w:rFonts w:ascii="仿宋_GB2312" w:eastAsia="仿宋_GB2312"/>
          <w:color w:val="FF0000"/>
          <w:sz w:val="32"/>
          <w:szCs w:val="32"/>
        </w:rPr>
      </w:pPr>
      <w:bookmarkStart w:id="30" w:name="_Toc15377208"/>
      <w:bookmarkStart w:id="31" w:name="_Toc15396606"/>
    </w:p>
    <w:p>
      <w:pPr>
        <w:adjustRightInd w:val="0"/>
        <w:snapToGrid w:val="0"/>
        <w:spacing w:line="360" w:lineRule="auto"/>
        <w:ind w:firstLine="640" w:firstLineChars="200"/>
        <w:outlineLvl w:val="1"/>
        <w:rPr>
          <w:rFonts w:ascii="黑体" w:hAnsi="黑体" w:eastAsia="黑体"/>
          <w:color w:val="000000"/>
          <w:sz w:val="32"/>
          <w:szCs w:val="32"/>
        </w:rPr>
      </w:pPr>
    </w:p>
    <w:p>
      <w:pPr>
        <w:adjustRightInd w:val="0"/>
        <w:snapToGrid w:val="0"/>
        <w:spacing w:line="360" w:lineRule="auto"/>
        <w:ind w:firstLine="640" w:firstLineChars="200"/>
        <w:outlineLvl w:val="1"/>
        <w:rPr>
          <w:rFonts w:ascii="黑体" w:hAnsi="黑体" w:eastAsia="黑体"/>
          <w:color w:val="000000"/>
          <w:sz w:val="32"/>
          <w:szCs w:val="32"/>
        </w:rPr>
      </w:pPr>
    </w:p>
    <w:p>
      <w:pPr>
        <w:adjustRightInd w:val="0"/>
        <w:snapToGrid w:val="0"/>
        <w:spacing w:line="360" w:lineRule="auto"/>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（图3：支出决算结构图）（饼状图）</w:t>
      </w:r>
    </w:p>
    <w:p>
      <w:pPr>
        <w:adjustRightInd w:val="0"/>
        <w:snapToGrid w:val="0"/>
        <w:spacing w:line="360" w:lineRule="auto"/>
        <w:jc w:val="center"/>
        <w:rPr>
          <w:rFonts w:asciiTheme="minorEastAsia" w:hAnsiTheme="minorEastAsia" w:eastAsiaTheme="minorEastAsia"/>
          <w:color w:val="000000" w:themeColor="text1"/>
          <w:sz w:val="24"/>
        </w:rPr>
      </w:pPr>
    </w:p>
    <w:p>
      <w:pPr>
        <w:adjustRightInd w:val="0"/>
        <w:snapToGrid w:val="0"/>
        <w:spacing w:line="360" w:lineRule="auto"/>
        <w:ind w:firstLine="561" w:firstLineChars="200"/>
        <w:rPr>
          <w:rFonts w:ascii="黑体" w:hAnsi="黑体" w:eastAsia="黑体"/>
          <w:b w:val="0"/>
          <w:sz w:val="28"/>
          <w:szCs w:val="28"/>
        </w:rPr>
      </w:pPr>
      <w:r>
        <w:rPr>
          <w:rFonts w:hint="eastAsia" w:ascii="黑体" w:hAnsi="黑体" w:eastAsia="黑体"/>
          <w:b/>
          <w:color w:val="000000"/>
          <w:sz w:val="28"/>
          <w:szCs w:val="28"/>
        </w:rPr>
        <w:t>四、财</w:t>
      </w:r>
      <w:r>
        <w:rPr>
          <w:rStyle w:val="20"/>
          <w:rFonts w:hint="eastAsia" w:ascii="黑体" w:hAnsi="黑体" w:eastAsia="黑体"/>
          <w:sz w:val="28"/>
          <w:szCs w:val="28"/>
        </w:rPr>
        <w:t>政拨款收入支出决算总体情况说明</w:t>
      </w:r>
      <w:bookmarkEnd w:id="30"/>
      <w:bookmarkEnd w:id="31"/>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9年财政拨款收入合计1356.69万元，支出合计</w:t>
      </w:r>
      <w:r>
        <w:rPr>
          <w:rFonts w:hint="eastAsia" w:cs="宋体" w:asciiTheme="minorEastAsia" w:hAnsiTheme="minorEastAsia" w:eastAsiaTheme="minorEastAsia"/>
          <w:sz w:val="24"/>
        </w:rPr>
        <w:t>1266.66</w:t>
      </w:r>
      <w:r>
        <w:rPr>
          <w:rFonts w:hint="eastAsia" w:asciiTheme="minorEastAsia" w:hAnsiTheme="minorEastAsia" w:eastAsiaTheme="minorEastAsia"/>
          <w:color w:val="000000"/>
          <w:sz w:val="24"/>
        </w:rPr>
        <w:t>万元。与</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8年相比，财政拨款收入减少6.14万元，下降0.45%；支出增加73.31万元，增长6.14</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。主要变动原因是正常的薪级晋升及工资标准变动。</w:t>
      </w:r>
    </w:p>
    <w:p>
      <w:pPr>
        <w:adjustRightInd w:val="0"/>
        <w:snapToGrid w:val="0"/>
        <w:spacing w:line="360" w:lineRule="auto"/>
        <w:jc w:val="center"/>
        <w:rPr>
          <w:rFonts w:asciiTheme="minorEastAsia" w:hAnsiTheme="minorEastAsia" w:eastAsiaTheme="minorEastAsia"/>
          <w:color w:val="000000" w:themeColor="text1"/>
          <w:sz w:val="24"/>
        </w:rPr>
      </w:pPr>
    </w:p>
    <w:p>
      <w:pPr>
        <w:adjustRightInd w:val="0"/>
        <w:snapToGrid w:val="0"/>
        <w:spacing w:line="360" w:lineRule="auto"/>
        <w:jc w:val="center"/>
        <w:rPr>
          <w:rFonts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（图4：财政拨款收、支决算总计变动情况）（柱状图）</w:t>
      </w:r>
    </w:p>
    <w:p>
      <w:pPr>
        <w:adjustRightInd w:val="0"/>
        <w:snapToGrid w:val="0"/>
        <w:spacing w:line="360" w:lineRule="auto"/>
        <w:ind w:firstLine="560" w:firstLineChars="200"/>
        <w:rPr>
          <w:rFonts w:ascii="黑体" w:hAnsi="黑体" w:eastAsia="黑体"/>
          <w:color w:val="000000"/>
          <w:sz w:val="28"/>
          <w:szCs w:val="28"/>
        </w:rPr>
      </w:pPr>
      <w:bookmarkStart w:id="32" w:name="_Toc15396607"/>
      <w:bookmarkStart w:id="33" w:name="_Toc15377209"/>
    </w:p>
    <w:p>
      <w:pPr>
        <w:adjustRightInd w:val="0"/>
        <w:snapToGrid w:val="0"/>
        <w:spacing w:line="360" w:lineRule="auto"/>
        <w:ind w:firstLine="561" w:firstLineChars="200"/>
        <w:rPr>
          <w:rFonts w:ascii="黑体" w:hAnsi="黑体" w:eastAsia="黑体"/>
          <w:sz w:val="28"/>
          <w:szCs w:val="28"/>
        </w:rPr>
      </w:pPr>
      <w:r>
        <w:rPr>
          <w:rFonts w:hint="eastAsia" w:ascii="黑体" w:hAnsi="黑体" w:eastAsia="黑体"/>
          <w:b/>
          <w:sz w:val="28"/>
          <w:szCs w:val="28"/>
        </w:rPr>
        <w:t>五、</w:t>
      </w:r>
      <w:r>
        <w:rPr>
          <w:rFonts w:hint="eastAsia" w:ascii="黑体" w:hAnsi="黑体" w:eastAsia="黑体"/>
          <w:sz w:val="28"/>
          <w:szCs w:val="28"/>
        </w:rPr>
        <w:t>一</w:t>
      </w:r>
      <w:r>
        <w:rPr>
          <w:rStyle w:val="20"/>
          <w:rFonts w:hint="eastAsia" w:ascii="黑体" w:hAnsi="黑体" w:eastAsia="黑体"/>
          <w:sz w:val="28"/>
          <w:szCs w:val="28"/>
        </w:rPr>
        <w:t>般公共预算财政拨款支出决算情况说明</w:t>
      </w:r>
      <w:bookmarkEnd w:id="32"/>
      <w:bookmarkEnd w:id="33"/>
    </w:p>
    <w:p>
      <w:pPr>
        <w:adjustRightInd w:val="0"/>
        <w:snapToGrid w:val="0"/>
        <w:spacing w:line="360" w:lineRule="auto"/>
        <w:ind w:firstLine="480" w:firstLineChars="200"/>
        <w:rPr>
          <w:rFonts w:asciiTheme="minorEastAsia" w:hAnsiTheme="minorEastAsia" w:eastAsiaTheme="minorEastAsia"/>
          <w:b/>
          <w:color w:val="000000"/>
          <w:sz w:val="24"/>
        </w:rPr>
      </w:pPr>
      <w:bookmarkStart w:id="34" w:name="_Toc15377210"/>
      <w:r>
        <w:rPr>
          <w:rFonts w:hint="eastAsia" w:asciiTheme="minorEastAsia" w:hAnsiTheme="minorEastAsia" w:eastAsiaTheme="minorEastAsia"/>
          <w:b/>
          <w:color w:val="000000"/>
          <w:sz w:val="24"/>
        </w:rPr>
        <w:t>（一）一般公共预算财政拨款支出决算总体情况</w:t>
      </w:r>
      <w:bookmarkEnd w:id="34"/>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9年一般公共预算财政拨款支出1266.66万元，占本年支出合计的100</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。与</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8年相比，一般公共预算财政拨款增加73.31万元，增长6.14</w:t>
      </w:r>
      <w:r>
        <w:rPr>
          <w:rFonts w:asciiTheme="minorEastAsia" w:hAnsiTheme="minorEastAsia" w:eastAsiaTheme="minorEastAsia"/>
          <w:color w:val="000000"/>
          <w:sz w:val="24"/>
        </w:rPr>
        <w:t>%</w:t>
      </w:r>
      <w:r>
        <w:rPr>
          <w:rFonts w:hint="eastAsia" w:asciiTheme="minorEastAsia" w:hAnsiTheme="minorEastAsia" w:eastAsiaTheme="minorEastAsia"/>
          <w:color w:val="000000"/>
          <w:sz w:val="24"/>
        </w:rPr>
        <w:t>。主要变动原因是正常的薪级晋升及工资标准变动。</w:t>
      </w:r>
    </w:p>
    <w:p>
      <w:pPr>
        <w:adjustRightInd w:val="0"/>
        <w:snapToGrid w:val="0"/>
        <w:spacing w:line="36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themeColor="text1"/>
          <w:sz w:val="24"/>
        </w:rPr>
        <w:t>（图5：一般公共预算财政拨款支出决算变动情况）（柱状图）</w:t>
      </w:r>
      <w:bookmarkStart w:id="35" w:name="_Toc15377211"/>
    </w:p>
    <w:p>
      <w:pPr>
        <w:adjustRightInd w:val="0"/>
        <w:snapToGrid w:val="0"/>
        <w:spacing w:line="360" w:lineRule="auto"/>
        <w:ind w:firstLine="480" w:firstLineChars="200"/>
        <w:rPr>
          <w:rFonts w:asciiTheme="minorEastAsia" w:hAnsiTheme="minorEastAsia" w:eastAsiaTheme="minorEastAsia"/>
          <w:b/>
          <w:color w:val="000000"/>
          <w:sz w:val="24"/>
        </w:rPr>
      </w:pPr>
    </w:p>
    <w:p>
      <w:pPr>
        <w:adjustRightInd w:val="0"/>
        <w:snapToGrid w:val="0"/>
        <w:spacing w:line="360" w:lineRule="auto"/>
        <w:ind w:firstLine="480"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（二）一般公共预算财政拨款支出决算结构情况</w:t>
      </w:r>
      <w:bookmarkEnd w:id="35"/>
    </w:p>
    <w:p>
      <w:pPr>
        <w:adjustRightInd w:val="0"/>
        <w:snapToGrid w:val="0"/>
        <w:spacing w:line="360" w:lineRule="auto"/>
        <w:ind w:firstLine="480" w:firstLineChars="200"/>
        <w:rPr>
          <w:rFonts w:asciiTheme="minorEastAsia" w:hAnsiTheme="minorEastAsia" w:eastAsiaTheme="minorEastAsia"/>
          <w:color w:val="000000" w:themeColor="text1"/>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w:t>
      </w:r>
      <w:r>
        <w:rPr>
          <w:rFonts w:hint="eastAsia" w:asciiTheme="minorEastAsia" w:hAnsiTheme="minorEastAsia" w:eastAsiaTheme="minorEastAsia"/>
          <w:color w:val="000000" w:themeColor="text1"/>
          <w:sz w:val="24"/>
        </w:rPr>
        <w:t>政拨款支出</w:t>
      </w:r>
      <w:r>
        <w:rPr>
          <w:rFonts w:hint="eastAsia" w:asciiTheme="minorEastAsia" w:hAnsiTheme="minorEastAsia" w:eastAsiaTheme="minorEastAsia"/>
          <w:color w:val="000000"/>
          <w:sz w:val="24"/>
        </w:rPr>
        <w:t>1266.66</w:t>
      </w:r>
      <w:r>
        <w:rPr>
          <w:rFonts w:hint="eastAsia" w:asciiTheme="minorEastAsia" w:hAnsiTheme="minorEastAsia" w:eastAsiaTheme="minorEastAsia"/>
          <w:color w:val="000000" w:themeColor="text1"/>
          <w:sz w:val="24"/>
        </w:rPr>
        <w:t>万元，主要用于以下方面</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教育支出（类）925.45万元，占73.06</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；社会保障和就业（类）支出194.01万元，占15.32</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w:t>
      </w:r>
      <w:r>
        <w:rPr>
          <w:rFonts w:hint="eastAsia" w:asciiTheme="minorEastAsia" w:hAnsiTheme="minorEastAsia" w:eastAsiaTheme="minorEastAsia"/>
          <w:bCs/>
          <w:color w:val="000000" w:themeColor="text1"/>
          <w:sz w:val="24"/>
        </w:rPr>
        <w:t>卫生健康支出61.14</w:t>
      </w:r>
      <w:r>
        <w:rPr>
          <w:rFonts w:hint="eastAsia" w:asciiTheme="minorEastAsia" w:hAnsiTheme="minorEastAsia" w:eastAsiaTheme="minorEastAsia"/>
          <w:color w:val="000000" w:themeColor="text1"/>
          <w:sz w:val="24"/>
        </w:rPr>
        <w:t>万元，占4.83</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；住房保障支出86.06万元，占6.79</w:t>
      </w:r>
      <w:r>
        <w:rPr>
          <w:rFonts w:asciiTheme="minorEastAsia" w:hAnsiTheme="minorEastAsia" w:eastAsiaTheme="minorEastAsia"/>
          <w:color w:val="000000" w:themeColor="text1"/>
          <w:sz w:val="24"/>
        </w:rPr>
        <w:t>%</w:t>
      </w:r>
      <w:r>
        <w:rPr>
          <w:rFonts w:hint="eastAsia" w:asciiTheme="minorEastAsia" w:hAnsiTheme="minorEastAsia" w:eastAsiaTheme="minorEastAsia"/>
          <w:color w:val="000000" w:themeColor="text1"/>
          <w:sz w:val="24"/>
        </w:rPr>
        <w:t>。</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bookmarkStart w:id="36" w:name="_Toc15377212"/>
    </w:p>
    <w:p>
      <w:pPr>
        <w:spacing w:line="600" w:lineRule="exact"/>
        <w:ind w:firstLine="643" w:firstLineChars="200"/>
        <w:outlineLvl w:val="2"/>
        <w:rPr>
          <w:rFonts w:ascii="仿宋" w:hAnsi="仿宋" w:eastAsia="仿宋"/>
          <w:b/>
          <w:color w:val="000000"/>
          <w:sz w:val="32"/>
          <w:szCs w:val="32"/>
        </w:rPr>
      </w:pPr>
    </w:p>
    <w:p>
      <w:pPr>
        <w:spacing w:line="600" w:lineRule="exact"/>
        <w:ind w:firstLine="643" w:firstLineChars="200"/>
        <w:outlineLvl w:val="2"/>
        <w:rPr>
          <w:rFonts w:ascii="仿宋" w:hAnsi="仿宋" w:eastAsia="仿宋"/>
          <w:b/>
          <w:color w:val="000000"/>
          <w:sz w:val="32"/>
          <w:szCs w:val="32"/>
        </w:rPr>
      </w:pPr>
    </w:p>
    <w:p>
      <w:pPr>
        <w:adjustRightInd w:val="0"/>
        <w:snapToGrid w:val="0"/>
        <w:spacing w:line="36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（图6：一般公共预算财政拨款支出决算结构）（饼状图）</w:t>
      </w:r>
    </w:p>
    <w:p>
      <w:pPr>
        <w:adjustRightInd w:val="0"/>
        <w:snapToGrid w:val="0"/>
        <w:spacing w:line="360" w:lineRule="auto"/>
        <w:ind w:firstLine="480"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（三）一般公共预算财政拨款支出决算具体情况</w:t>
      </w:r>
      <w:bookmarkEnd w:id="36"/>
    </w:p>
    <w:p>
      <w:pPr>
        <w:adjustRightInd w:val="0"/>
        <w:snapToGrid w:val="0"/>
        <w:spacing w:line="360" w:lineRule="auto"/>
        <w:ind w:firstLine="480" w:firstLineChars="200"/>
        <w:rPr>
          <w:rFonts w:asciiTheme="minorEastAsia" w:hAnsiTheme="minorEastAsia" w:eastAsiaTheme="minorEastAsia"/>
          <w:color w:val="FF0000"/>
          <w:sz w:val="24"/>
        </w:rPr>
      </w:pPr>
      <w:bookmarkStart w:id="37" w:name="_Toc15377213"/>
      <w:bookmarkStart w:id="38" w:name="_Toc15378460"/>
      <w:bookmarkStart w:id="39" w:name="_Toc15377444"/>
      <w:r>
        <w:rPr>
          <w:rFonts w:hint="eastAsia" w:asciiTheme="minorEastAsia" w:hAnsiTheme="minorEastAsia" w:eastAsiaTheme="minorEastAsia"/>
          <w:color w:val="000000" w:themeColor="text1"/>
          <w:sz w:val="24"/>
        </w:rPr>
        <w:t>2019年般公共预算支出决算数为1266.66万元</w:t>
      </w:r>
      <w:r>
        <w:rPr>
          <w:rStyle w:val="14"/>
          <w:rFonts w:hint="eastAsia" w:asciiTheme="minorEastAsia" w:hAnsiTheme="minorEastAsia" w:eastAsiaTheme="minorEastAsia"/>
          <w:b w:val="0"/>
          <w:bCs/>
          <w:color w:val="000000"/>
          <w:sz w:val="24"/>
        </w:rPr>
        <w:t>。其中：</w:t>
      </w:r>
      <w:bookmarkEnd w:id="37"/>
      <w:bookmarkEnd w:id="38"/>
      <w:bookmarkEnd w:id="39"/>
    </w:p>
    <w:p>
      <w:pPr>
        <w:adjustRightInd w:val="0"/>
        <w:snapToGrid w:val="0"/>
        <w:spacing w:line="360" w:lineRule="auto"/>
        <w:ind w:firstLine="480" w:firstLineChars="200"/>
        <w:rPr>
          <w:rFonts w:hint="eastAsia" w:asciiTheme="minorEastAsia" w:hAnsiTheme="minorEastAsia" w:eastAsiaTheme="minorEastAsia"/>
          <w:b w:val="0"/>
          <w:bCs/>
          <w:color w:val="000000"/>
          <w:sz w:val="24"/>
        </w:rPr>
      </w:pPr>
      <w:r>
        <w:rPr>
          <w:rStyle w:val="14"/>
          <w:rFonts w:asciiTheme="minorEastAsia" w:hAnsiTheme="minorEastAsia" w:eastAsiaTheme="minorEastAsia"/>
          <w:b w:val="0"/>
          <w:bCs/>
          <w:color w:val="000000"/>
          <w:sz w:val="24"/>
        </w:rPr>
        <w:t>1.</w:t>
      </w:r>
      <w:r>
        <w:rPr>
          <w:rStyle w:val="14"/>
          <w:rFonts w:hint="eastAsia" w:asciiTheme="minorEastAsia" w:hAnsiTheme="minorEastAsia" w:eastAsiaTheme="minorEastAsia"/>
          <w:b w:val="0"/>
          <w:bCs/>
          <w:color w:val="000000"/>
          <w:sz w:val="24"/>
        </w:rPr>
        <w:t>教育（205类）-普通教育（02款）-学前教育（01项）支出决算为22.80万元，完成预算100%。</w:t>
      </w:r>
    </w:p>
    <w:p>
      <w:pPr>
        <w:adjustRightInd w:val="0"/>
        <w:snapToGrid w:val="0"/>
        <w:spacing w:line="360" w:lineRule="auto"/>
        <w:ind w:firstLine="480" w:firstLineChars="200"/>
        <w:rPr>
          <w:rFonts w:asciiTheme="minorEastAsia" w:hAnsiTheme="minorEastAsia" w:eastAsiaTheme="minorEastAsia"/>
          <w:bCs/>
          <w:color w:val="000000"/>
          <w:sz w:val="24"/>
        </w:rPr>
      </w:pPr>
      <w:r>
        <w:rPr>
          <w:rStyle w:val="14"/>
          <w:rFonts w:hint="eastAsia" w:asciiTheme="minorEastAsia" w:hAnsiTheme="minorEastAsia" w:eastAsiaTheme="minorEastAsia"/>
          <w:b w:val="0"/>
          <w:bCs/>
          <w:color w:val="000000"/>
          <w:sz w:val="24"/>
        </w:rPr>
        <w:t>2.教育（205类）-普通教育（02款）-小学教育（02项）支出决算为902.66万元，完成预算71.88%，决算数小于预算数的主要原因是缩减了日常经费开支（校园环境和校园文化建设预算暂未实施）。</w:t>
      </w:r>
    </w:p>
    <w:p>
      <w:pPr>
        <w:adjustRightInd w:val="0"/>
        <w:snapToGrid w:val="0"/>
        <w:spacing w:line="360" w:lineRule="auto"/>
        <w:ind w:firstLine="480" w:firstLineChars="200"/>
        <w:rPr>
          <w:rFonts w:asciiTheme="minorEastAsia" w:hAnsiTheme="minorEastAsia" w:eastAsiaTheme="minorEastAsia"/>
          <w:b w:val="0"/>
          <w:bCs/>
          <w:color w:val="000000"/>
          <w:sz w:val="24"/>
        </w:rPr>
      </w:pPr>
      <w:r>
        <w:rPr>
          <w:rStyle w:val="14"/>
          <w:rFonts w:hint="eastAsia" w:asciiTheme="minorEastAsia" w:hAnsiTheme="minorEastAsia" w:eastAsiaTheme="minorEastAsia"/>
          <w:b w:val="0"/>
          <w:bCs/>
          <w:color w:val="000000"/>
          <w:sz w:val="24"/>
        </w:rPr>
        <w:t>3.社会保障和就业（208类）-行政事业单位离退休（05款）-事业单位离退休（02项）支出决算为32.40万元，完成预算100%。</w:t>
      </w:r>
    </w:p>
    <w:p>
      <w:pPr>
        <w:adjustRightInd w:val="0"/>
        <w:snapToGrid w:val="0"/>
        <w:spacing w:line="360" w:lineRule="auto"/>
        <w:ind w:firstLine="480" w:firstLineChars="200"/>
        <w:rPr>
          <w:rFonts w:asciiTheme="minorEastAsia" w:hAnsiTheme="minorEastAsia" w:eastAsiaTheme="minorEastAsia"/>
          <w:b w:val="0"/>
          <w:bCs/>
          <w:color w:val="000000"/>
          <w:sz w:val="24"/>
        </w:rPr>
      </w:pPr>
      <w:r>
        <w:rPr>
          <w:rStyle w:val="14"/>
          <w:rFonts w:hint="eastAsia" w:asciiTheme="minorEastAsia" w:hAnsiTheme="minorEastAsia" w:eastAsiaTheme="minorEastAsia"/>
          <w:b w:val="0"/>
          <w:bCs/>
          <w:color w:val="000000"/>
          <w:sz w:val="24"/>
        </w:rPr>
        <w:t>4.社会保障和就业（208类）-行政事业单位离退休（05款）-机关事业单位基本养老保险缴费（05项）支出决算为110.56万元，完成预算100%。</w:t>
      </w:r>
    </w:p>
    <w:p>
      <w:pPr>
        <w:adjustRightInd w:val="0"/>
        <w:snapToGrid w:val="0"/>
        <w:spacing w:line="360" w:lineRule="auto"/>
        <w:ind w:firstLine="480" w:firstLineChars="200"/>
        <w:rPr>
          <w:rFonts w:asciiTheme="minorEastAsia" w:hAnsiTheme="minorEastAsia" w:eastAsiaTheme="minorEastAsia"/>
          <w:b w:val="0"/>
          <w:bCs/>
          <w:color w:val="000000"/>
          <w:sz w:val="24"/>
        </w:rPr>
      </w:pPr>
      <w:r>
        <w:rPr>
          <w:rStyle w:val="14"/>
          <w:rFonts w:hint="eastAsia" w:asciiTheme="minorEastAsia" w:hAnsiTheme="minorEastAsia" w:eastAsiaTheme="minorEastAsia"/>
          <w:b w:val="0"/>
          <w:bCs/>
          <w:color w:val="000000"/>
          <w:sz w:val="24"/>
        </w:rPr>
        <w:t>5.社会保障和就业（208类）-行政事业单位离退休（05款）-机关事业单位职业年金缴费（06项）支出决算为51.05万元，完成预算100%。</w:t>
      </w:r>
    </w:p>
    <w:p>
      <w:pPr>
        <w:adjustRightInd w:val="0"/>
        <w:snapToGrid w:val="0"/>
        <w:spacing w:line="360" w:lineRule="auto"/>
        <w:ind w:firstLine="480" w:firstLineChars="200"/>
        <w:rPr>
          <w:rFonts w:asciiTheme="minorEastAsia" w:hAnsiTheme="minorEastAsia" w:eastAsiaTheme="minorEastAsia"/>
          <w:color w:val="000000"/>
          <w:sz w:val="24"/>
        </w:rPr>
      </w:pPr>
      <w:r>
        <w:rPr>
          <w:rStyle w:val="14"/>
          <w:rFonts w:hint="eastAsia" w:asciiTheme="minorEastAsia" w:hAnsiTheme="minorEastAsia" w:eastAsiaTheme="minorEastAsia"/>
          <w:b w:val="0"/>
          <w:bCs/>
          <w:sz w:val="24"/>
        </w:rPr>
        <w:t>6</w:t>
      </w:r>
      <w:r>
        <w:rPr>
          <w:rStyle w:val="14"/>
          <w:rFonts w:asciiTheme="minorEastAsia" w:hAnsiTheme="minorEastAsia" w:eastAsiaTheme="minorEastAsia"/>
          <w:b w:val="0"/>
          <w:bCs/>
          <w:color w:val="000000"/>
          <w:sz w:val="24"/>
        </w:rPr>
        <w:t>.</w:t>
      </w:r>
      <w:r>
        <w:rPr>
          <w:rFonts w:hint="eastAsia" w:asciiTheme="minorEastAsia" w:hAnsiTheme="minorEastAsia" w:eastAsiaTheme="minorEastAsia"/>
          <w:bCs/>
          <w:color w:val="000000" w:themeColor="text1"/>
          <w:sz w:val="24"/>
        </w:rPr>
        <w:t>卫生健康</w:t>
      </w:r>
      <w:r>
        <w:rPr>
          <w:rStyle w:val="14"/>
          <w:rFonts w:hint="eastAsia" w:asciiTheme="minorEastAsia" w:hAnsiTheme="minorEastAsia" w:eastAsiaTheme="minorEastAsia"/>
          <w:b w:val="0"/>
          <w:bCs/>
          <w:color w:val="000000"/>
          <w:sz w:val="24"/>
        </w:rPr>
        <w:t>（210类）-行政事业单位医疗（11款）-事业单位医疗（02项）支出决算为39.35万元，完成预算100</w:t>
      </w:r>
      <w:r>
        <w:rPr>
          <w:rStyle w:val="14"/>
          <w:rFonts w:asciiTheme="minorEastAsia" w:hAnsiTheme="minorEastAsia" w:eastAsiaTheme="minorEastAsia"/>
          <w:b w:val="0"/>
          <w:bCs/>
          <w:color w:val="000000"/>
          <w:sz w:val="24"/>
        </w:rPr>
        <w:t>%</w:t>
      </w:r>
      <w:r>
        <w:rPr>
          <w:rStyle w:val="14"/>
          <w:rFonts w:hint="eastAsia" w:asciiTheme="minorEastAsia" w:hAnsiTheme="minorEastAsia" w:eastAsiaTheme="minorEastAsia"/>
          <w:b w:val="0"/>
          <w:bCs/>
          <w:color w:val="000000"/>
          <w:sz w:val="24"/>
        </w:rPr>
        <w:t>。</w:t>
      </w:r>
    </w:p>
    <w:p>
      <w:pPr>
        <w:adjustRightInd w:val="0"/>
        <w:snapToGrid w:val="0"/>
        <w:spacing w:line="360" w:lineRule="auto"/>
        <w:ind w:firstLine="480" w:firstLineChars="200"/>
        <w:rPr>
          <w:rFonts w:hint="eastAsia" w:asciiTheme="minorEastAsia" w:hAnsiTheme="minorEastAsia" w:eastAsiaTheme="minorEastAsia"/>
          <w:b w:val="0"/>
          <w:bCs/>
          <w:color w:val="000000"/>
          <w:sz w:val="24"/>
        </w:rPr>
      </w:pPr>
      <w:r>
        <w:rPr>
          <w:rStyle w:val="14"/>
          <w:rFonts w:hint="eastAsia" w:asciiTheme="minorEastAsia" w:hAnsiTheme="minorEastAsia" w:eastAsiaTheme="minorEastAsia"/>
          <w:b w:val="0"/>
          <w:bCs/>
          <w:sz w:val="24"/>
        </w:rPr>
        <w:t>7</w:t>
      </w:r>
      <w:r>
        <w:rPr>
          <w:rStyle w:val="14"/>
          <w:rFonts w:asciiTheme="minorEastAsia" w:hAnsiTheme="minorEastAsia" w:eastAsiaTheme="minorEastAsia"/>
          <w:b w:val="0"/>
          <w:bCs/>
          <w:color w:val="000000"/>
          <w:sz w:val="24"/>
        </w:rPr>
        <w:t>.</w:t>
      </w:r>
      <w:r>
        <w:rPr>
          <w:rFonts w:hint="eastAsia" w:asciiTheme="minorEastAsia" w:hAnsiTheme="minorEastAsia" w:eastAsiaTheme="minorEastAsia"/>
          <w:bCs/>
          <w:color w:val="000000" w:themeColor="text1"/>
          <w:sz w:val="24"/>
        </w:rPr>
        <w:t>卫生健康</w:t>
      </w:r>
      <w:r>
        <w:rPr>
          <w:rStyle w:val="14"/>
          <w:rFonts w:hint="eastAsia" w:asciiTheme="minorEastAsia" w:hAnsiTheme="minorEastAsia" w:eastAsiaTheme="minorEastAsia"/>
          <w:b w:val="0"/>
          <w:bCs/>
          <w:color w:val="000000"/>
          <w:sz w:val="24"/>
        </w:rPr>
        <w:t>（210类）-行政事业单位医疗（11款）-公务员医疗补助（03项）支出决算为18.6万元，完成预算100</w:t>
      </w:r>
      <w:r>
        <w:rPr>
          <w:rStyle w:val="14"/>
          <w:rFonts w:asciiTheme="minorEastAsia" w:hAnsiTheme="minorEastAsia" w:eastAsiaTheme="minorEastAsia"/>
          <w:b w:val="0"/>
          <w:bCs/>
          <w:color w:val="000000"/>
          <w:sz w:val="24"/>
        </w:rPr>
        <w:t>%</w:t>
      </w:r>
      <w:r>
        <w:rPr>
          <w:rStyle w:val="14"/>
          <w:rFonts w:hint="eastAsia" w:asciiTheme="minorEastAsia" w:hAnsiTheme="minorEastAsia" w:eastAsiaTheme="minorEastAsia"/>
          <w:b w:val="0"/>
          <w:bCs/>
          <w:color w:val="000000"/>
          <w:sz w:val="24"/>
        </w:rPr>
        <w:t>。</w:t>
      </w:r>
    </w:p>
    <w:p>
      <w:pPr>
        <w:adjustRightInd w:val="0"/>
        <w:snapToGrid w:val="0"/>
        <w:spacing w:line="360" w:lineRule="auto"/>
        <w:ind w:firstLine="480" w:firstLineChars="200"/>
        <w:rPr>
          <w:rFonts w:asciiTheme="minorEastAsia" w:hAnsiTheme="minorEastAsia" w:eastAsiaTheme="minorEastAsia"/>
          <w:color w:val="000000"/>
          <w:sz w:val="24"/>
        </w:rPr>
      </w:pPr>
      <w:r>
        <w:rPr>
          <w:rStyle w:val="14"/>
          <w:rFonts w:hint="eastAsia" w:asciiTheme="minorEastAsia" w:hAnsiTheme="minorEastAsia" w:eastAsiaTheme="minorEastAsia"/>
          <w:b w:val="0"/>
          <w:bCs/>
          <w:sz w:val="24"/>
        </w:rPr>
        <w:t>8</w:t>
      </w:r>
      <w:r>
        <w:rPr>
          <w:rStyle w:val="14"/>
          <w:rFonts w:asciiTheme="minorEastAsia" w:hAnsiTheme="minorEastAsia" w:eastAsiaTheme="minorEastAsia"/>
          <w:b w:val="0"/>
          <w:bCs/>
          <w:color w:val="000000"/>
          <w:sz w:val="24"/>
        </w:rPr>
        <w:t>.</w:t>
      </w:r>
      <w:r>
        <w:rPr>
          <w:rFonts w:hint="eastAsia" w:asciiTheme="minorEastAsia" w:hAnsiTheme="minorEastAsia" w:eastAsiaTheme="minorEastAsia"/>
          <w:bCs/>
          <w:color w:val="000000" w:themeColor="text1"/>
          <w:sz w:val="24"/>
        </w:rPr>
        <w:t>卫生健康</w:t>
      </w:r>
      <w:r>
        <w:rPr>
          <w:rStyle w:val="14"/>
          <w:rFonts w:hint="eastAsia" w:asciiTheme="minorEastAsia" w:hAnsiTheme="minorEastAsia" w:eastAsiaTheme="minorEastAsia"/>
          <w:b w:val="0"/>
          <w:bCs/>
          <w:color w:val="000000"/>
          <w:sz w:val="24"/>
        </w:rPr>
        <w:t>（210类）-其他卫生健康（99款）-其他卫生健康（01项）支出决算为3.19万元，完成预算100</w:t>
      </w:r>
      <w:r>
        <w:rPr>
          <w:rStyle w:val="14"/>
          <w:rFonts w:asciiTheme="minorEastAsia" w:hAnsiTheme="minorEastAsia" w:eastAsiaTheme="minorEastAsia"/>
          <w:b w:val="0"/>
          <w:bCs/>
          <w:color w:val="000000"/>
          <w:sz w:val="24"/>
        </w:rPr>
        <w:t>%</w:t>
      </w:r>
      <w:r>
        <w:rPr>
          <w:rStyle w:val="14"/>
          <w:rFonts w:hint="eastAsia" w:asciiTheme="minorEastAsia" w:hAnsiTheme="minorEastAsia" w:eastAsiaTheme="minorEastAsia"/>
          <w:b w:val="0"/>
          <w:bCs/>
          <w:color w:val="000000"/>
          <w:sz w:val="24"/>
        </w:rPr>
        <w:t>。</w:t>
      </w:r>
    </w:p>
    <w:p>
      <w:pPr>
        <w:adjustRightInd w:val="0"/>
        <w:snapToGrid w:val="0"/>
        <w:spacing w:line="360" w:lineRule="auto"/>
        <w:ind w:firstLine="480" w:firstLineChars="200"/>
        <w:rPr>
          <w:rFonts w:hint="eastAsia" w:asciiTheme="minorEastAsia" w:hAnsiTheme="minorEastAsia" w:eastAsiaTheme="minorEastAsia"/>
          <w:b w:val="0"/>
          <w:bCs/>
          <w:color w:val="000000"/>
          <w:sz w:val="24"/>
        </w:rPr>
      </w:pPr>
      <w:r>
        <w:rPr>
          <w:rStyle w:val="14"/>
          <w:rFonts w:hint="eastAsia" w:asciiTheme="minorEastAsia" w:hAnsiTheme="minorEastAsia" w:eastAsiaTheme="minorEastAsia"/>
          <w:b w:val="0"/>
          <w:bCs/>
          <w:color w:val="000000"/>
          <w:sz w:val="24"/>
        </w:rPr>
        <w:t>9</w:t>
      </w:r>
      <w:r>
        <w:rPr>
          <w:rStyle w:val="14"/>
          <w:rFonts w:asciiTheme="minorEastAsia" w:hAnsiTheme="minorEastAsia" w:eastAsiaTheme="minorEastAsia"/>
          <w:b w:val="0"/>
          <w:bCs/>
          <w:color w:val="000000"/>
          <w:sz w:val="24"/>
        </w:rPr>
        <w:t>.</w:t>
      </w:r>
      <w:r>
        <w:rPr>
          <w:rFonts w:hint="eastAsia" w:asciiTheme="minorEastAsia" w:hAnsiTheme="minorEastAsia" w:eastAsiaTheme="minorEastAsia"/>
          <w:bCs/>
          <w:color w:val="000000" w:themeColor="text1"/>
          <w:sz w:val="24"/>
        </w:rPr>
        <w:t>住房保障支出</w:t>
      </w:r>
      <w:r>
        <w:rPr>
          <w:rStyle w:val="14"/>
          <w:rFonts w:hint="eastAsia" w:asciiTheme="minorEastAsia" w:hAnsiTheme="minorEastAsia" w:eastAsiaTheme="minorEastAsia"/>
          <w:b w:val="0"/>
          <w:bCs/>
          <w:color w:val="000000"/>
          <w:sz w:val="24"/>
        </w:rPr>
        <w:t>（221类）-住房改革支出（02款）-住房公积金（01项）支出决算为86.06万元，完成预算100</w:t>
      </w:r>
      <w:r>
        <w:rPr>
          <w:rStyle w:val="14"/>
          <w:rFonts w:asciiTheme="minorEastAsia" w:hAnsiTheme="minorEastAsia" w:eastAsiaTheme="minorEastAsia"/>
          <w:b w:val="0"/>
          <w:bCs/>
          <w:color w:val="000000"/>
          <w:sz w:val="24"/>
        </w:rPr>
        <w:t>%</w:t>
      </w:r>
      <w:r>
        <w:rPr>
          <w:rStyle w:val="14"/>
          <w:rFonts w:hint="eastAsia" w:asciiTheme="minorEastAsia" w:hAnsiTheme="minorEastAsia" w:eastAsiaTheme="minorEastAsia"/>
          <w:b w:val="0"/>
          <w:bCs/>
          <w:color w:val="000000"/>
          <w:sz w:val="24"/>
        </w:rPr>
        <w:t>。</w:t>
      </w:r>
    </w:p>
    <w:p>
      <w:pPr>
        <w:adjustRightInd w:val="0"/>
        <w:snapToGrid w:val="0"/>
        <w:spacing w:line="360" w:lineRule="auto"/>
        <w:ind w:firstLine="480" w:firstLineChars="200"/>
        <w:rPr>
          <w:rFonts w:asciiTheme="minorEastAsia" w:hAnsiTheme="minorEastAsia" w:eastAsiaTheme="minorEastAsia"/>
          <w:b w:val="0"/>
          <w:bCs/>
          <w:color w:val="000000"/>
          <w:sz w:val="24"/>
        </w:rPr>
      </w:pPr>
      <w:bookmarkStart w:id="40" w:name="_Toc15377214"/>
      <w:bookmarkStart w:id="41" w:name="_Toc15396608"/>
    </w:p>
    <w:p>
      <w:pPr>
        <w:tabs>
          <w:tab w:val="right" w:pos="8306"/>
        </w:tabs>
        <w:adjustRightInd w:val="0"/>
        <w:snapToGrid w:val="0"/>
        <w:spacing w:line="360" w:lineRule="auto"/>
        <w:ind w:firstLine="561" w:firstLineChars="200"/>
        <w:rPr>
          <w:b w:val="0"/>
          <w:sz w:val="28"/>
          <w:szCs w:val="28"/>
        </w:rPr>
      </w:pPr>
      <w:r>
        <w:rPr>
          <w:rFonts w:hint="eastAsia" w:ascii="黑体" w:eastAsia="黑体"/>
          <w:b/>
          <w:color w:val="000000"/>
          <w:sz w:val="28"/>
          <w:szCs w:val="28"/>
        </w:rPr>
        <w:t>六、</w:t>
      </w:r>
      <w:r>
        <w:rPr>
          <w:rFonts w:hint="eastAsia" w:ascii="黑体" w:hAnsi="黑体" w:eastAsia="黑体"/>
          <w:color w:val="000000"/>
          <w:sz w:val="28"/>
          <w:szCs w:val="28"/>
        </w:rPr>
        <w:t>一</w:t>
      </w:r>
      <w:r>
        <w:rPr>
          <w:rStyle w:val="20"/>
          <w:rFonts w:hint="eastAsia" w:ascii="黑体" w:hAnsi="黑体" w:eastAsia="黑体"/>
          <w:sz w:val="28"/>
          <w:szCs w:val="28"/>
        </w:rPr>
        <w:t>般公共预算财政拨款基本支出决算情况说明</w:t>
      </w:r>
      <w:bookmarkEnd w:id="40"/>
      <w:bookmarkEnd w:id="41"/>
      <w:r>
        <w:rPr>
          <w:rStyle w:val="20"/>
          <w:rFonts w:ascii="黑体" w:hAnsi="黑体" w:eastAsia="黑体"/>
          <w:b w:val="0"/>
          <w:sz w:val="28"/>
          <w:szCs w:val="28"/>
        </w:rPr>
        <w:tab/>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9年一般公共预算财政拨款基本支出1266.66万元，其中：</w:t>
      </w:r>
    </w:p>
    <w:p>
      <w:pPr>
        <w:adjustRightInd w:val="0"/>
        <w:snapToGrid w:val="0"/>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1.人员经费支出1033.15万元，主要包括：基本工资、津贴补贴、绩效工资、机关事业单位基本养老保险缴费、职业年金缴费、职工基本医疗保险缴费、公务员医疗补助缴费、其他社会保障缴费、住房公积金、其他工资福利支出、退休费、生活补助、医疗费补助、奖励金。</w:t>
      </w:r>
      <w:r>
        <w:rPr>
          <w:rFonts w:asciiTheme="minorEastAsia" w:hAnsiTheme="minorEastAsia" w:eastAsiaTheme="minorEastAsia"/>
          <w:color w:val="000000"/>
          <w:sz w:val="24"/>
        </w:rPr>
        <w:br w:type="textWrapping"/>
      </w:r>
      <w:r>
        <w:rPr>
          <w:rFonts w:hint="eastAsia" w:asciiTheme="minorEastAsia" w:hAnsiTheme="minorEastAsia" w:eastAsiaTheme="minorEastAsia"/>
          <w:color w:val="000000"/>
          <w:sz w:val="24"/>
        </w:rPr>
        <w:t>　　2.日常公用经费233.51万元，主要包括：办公费、手续费、水费、电费、邮电费、物业管理费、差旅费、维修（护）费、租赁费、培训费、专用材料费、劳务费、工会经费、福利费、其他交通费、其他商品和服务支出和专用设备购置。</w:t>
      </w:r>
    </w:p>
    <w:p>
      <w:pPr>
        <w:adjustRightInd w:val="0"/>
        <w:snapToGrid w:val="0"/>
        <w:spacing w:line="360" w:lineRule="auto"/>
        <w:ind w:firstLine="560" w:firstLineChars="200"/>
        <w:rPr>
          <w:rFonts w:hint="eastAsia" w:ascii="黑体" w:eastAsia="黑体"/>
          <w:color w:val="000000"/>
          <w:sz w:val="28"/>
          <w:szCs w:val="28"/>
        </w:rPr>
      </w:pPr>
      <w:bookmarkStart w:id="42" w:name="_Toc15396609"/>
      <w:bookmarkStart w:id="43" w:name="_Toc15377215"/>
    </w:p>
    <w:p>
      <w:pPr>
        <w:adjustRightInd w:val="0"/>
        <w:snapToGrid w:val="0"/>
        <w:spacing w:line="360" w:lineRule="auto"/>
        <w:ind w:firstLine="561" w:firstLineChars="200"/>
        <w:rPr>
          <w:rFonts w:ascii="黑体" w:hAnsi="黑体" w:eastAsia="黑体"/>
          <w:b w:val="0"/>
          <w:sz w:val="28"/>
          <w:szCs w:val="28"/>
        </w:rPr>
      </w:pPr>
      <w:r>
        <w:rPr>
          <w:rFonts w:hint="eastAsia" w:ascii="黑体" w:eastAsia="黑体"/>
          <w:b/>
          <w:color w:val="000000"/>
          <w:sz w:val="28"/>
          <w:szCs w:val="28"/>
        </w:rPr>
        <w:t>七、</w:t>
      </w:r>
      <w:r>
        <w:rPr>
          <w:rStyle w:val="20"/>
          <w:rFonts w:hint="eastAsia" w:ascii="黑体" w:hAnsi="黑体" w:eastAsia="黑体"/>
          <w:sz w:val="28"/>
          <w:szCs w:val="28"/>
        </w:rPr>
        <w:t>“三公”经费财政拨款支出决算情况说明</w:t>
      </w:r>
      <w:bookmarkEnd w:id="42"/>
      <w:bookmarkEnd w:id="43"/>
    </w:p>
    <w:p>
      <w:pPr>
        <w:adjustRightInd w:val="0"/>
        <w:snapToGrid w:val="0"/>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9年“三公”经费财政拨款支出决算为0万元。</w:t>
      </w:r>
    </w:p>
    <w:p>
      <w:pPr>
        <w:adjustRightInd w:val="0"/>
        <w:snapToGrid w:val="0"/>
        <w:spacing w:line="360" w:lineRule="auto"/>
        <w:ind w:firstLine="560" w:firstLineChars="200"/>
        <w:rPr>
          <w:rFonts w:hint="eastAsia" w:ascii="黑体" w:eastAsia="黑体"/>
          <w:color w:val="000000"/>
          <w:sz w:val="28"/>
          <w:szCs w:val="28"/>
        </w:rPr>
      </w:pPr>
      <w:bookmarkStart w:id="44" w:name="_Toc15396610"/>
      <w:bookmarkStart w:id="45" w:name="_Toc15377218"/>
    </w:p>
    <w:p>
      <w:pPr>
        <w:adjustRightInd w:val="0"/>
        <w:snapToGrid w:val="0"/>
        <w:spacing w:line="360" w:lineRule="auto"/>
        <w:ind w:firstLine="561" w:firstLineChars="200"/>
        <w:rPr>
          <w:rFonts w:ascii="黑体" w:hAnsi="黑体" w:eastAsia="黑体"/>
          <w:b w:val="0"/>
        </w:rPr>
      </w:pPr>
      <w:r>
        <w:rPr>
          <w:rFonts w:hint="eastAsia" w:ascii="黑体" w:eastAsia="黑体"/>
          <w:b/>
          <w:color w:val="000000"/>
          <w:sz w:val="28"/>
          <w:szCs w:val="28"/>
        </w:rPr>
        <w:t>八、</w:t>
      </w:r>
      <w:r>
        <w:rPr>
          <w:rStyle w:val="20"/>
          <w:rFonts w:hint="eastAsia" w:ascii="黑体" w:hAnsi="黑体" w:eastAsia="黑体"/>
          <w:sz w:val="28"/>
          <w:szCs w:val="28"/>
        </w:rPr>
        <w:t>政府性基金预算支出决算情况说明</w:t>
      </w:r>
      <w:bookmarkEnd w:id="44"/>
      <w:bookmarkEnd w:id="45"/>
    </w:p>
    <w:p>
      <w:pPr>
        <w:adjustRightInd w:val="0"/>
        <w:snapToGrid w:val="0"/>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9年政府性基金预算拨款支出0万元。</w:t>
      </w:r>
    </w:p>
    <w:p>
      <w:pPr>
        <w:adjustRightInd w:val="0"/>
        <w:snapToGrid w:val="0"/>
        <w:spacing w:line="360" w:lineRule="auto"/>
        <w:ind w:firstLine="560" w:firstLineChars="200"/>
        <w:rPr>
          <w:rFonts w:hint="eastAsia" w:ascii="黑体" w:hAnsi="黑体" w:eastAsia="黑体"/>
          <w:b w:val="0"/>
          <w:sz w:val="28"/>
          <w:szCs w:val="28"/>
        </w:rPr>
      </w:pPr>
      <w:bookmarkStart w:id="46" w:name="_Toc15377219"/>
      <w:bookmarkStart w:id="47" w:name="_Toc15396611"/>
    </w:p>
    <w:p>
      <w:pPr>
        <w:adjustRightInd w:val="0"/>
        <w:snapToGrid w:val="0"/>
        <w:spacing w:line="360" w:lineRule="auto"/>
        <w:ind w:firstLine="561" w:firstLineChars="200"/>
        <w:rPr>
          <w:rFonts w:hint="eastAsia" w:ascii="仿宋_GB2312" w:hAnsi="Times New Roman" w:eastAsia="仿宋_GB2312" w:cs="Times New Roman"/>
          <w:bCs w:val="0"/>
          <w:color w:val="000000"/>
          <w:sz w:val="28"/>
          <w:szCs w:val="28"/>
        </w:rPr>
      </w:pPr>
      <w:r>
        <w:rPr>
          <w:rStyle w:val="20"/>
          <w:rFonts w:hint="eastAsia" w:ascii="黑体" w:hAnsi="黑体" w:eastAsia="黑体"/>
          <w:sz w:val="28"/>
          <w:szCs w:val="28"/>
        </w:rPr>
        <w:t>九、国有资本经营预算支出决算情况说明</w:t>
      </w:r>
      <w:bookmarkEnd w:id="46"/>
      <w:bookmarkEnd w:id="47"/>
    </w:p>
    <w:p>
      <w:pPr>
        <w:adjustRightInd w:val="0"/>
        <w:snapToGrid w:val="0"/>
        <w:spacing w:line="360" w:lineRule="auto"/>
        <w:ind w:firstLine="600" w:firstLineChars="25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bookmarkStart w:id="48" w:name="_Toc15396612"/>
      <w:bookmarkStart w:id="49" w:name="_Toc15377221"/>
    </w:p>
    <w:p>
      <w:pPr>
        <w:adjustRightInd w:val="0"/>
        <w:snapToGrid w:val="0"/>
        <w:spacing w:line="360" w:lineRule="auto"/>
        <w:ind w:firstLine="561" w:firstLineChars="200"/>
        <w:rPr>
          <w:rFonts w:ascii="黑体" w:hAnsi="黑体" w:eastAsia="黑体"/>
          <w:b w:val="0"/>
          <w:sz w:val="28"/>
          <w:szCs w:val="28"/>
        </w:rPr>
      </w:pPr>
      <w:r>
        <w:rPr>
          <w:rFonts w:hint="eastAsia" w:ascii="黑体" w:hAnsi="黑体" w:eastAsia="黑体"/>
          <w:b/>
          <w:color w:val="000000"/>
          <w:sz w:val="28"/>
          <w:szCs w:val="28"/>
        </w:rPr>
        <w:t>十</w:t>
      </w:r>
      <w:r>
        <w:rPr>
          <w:rStyle w:val="20"/>
          <w:rFonts w:hint="eastAsia" w:ascii="黑体" w:hAnsi="黑体" w:eastAsia="黑体"/>
          <w:b w:val="0"/>
          <w:sz w:val="28"/>
          <w:szCs w:val="28"/>
        </w:rPr>
        <w:t>、</w:t>
      </w:r>
      <w:r>
        <w:rPr>
          <w:rStyle w:val="20"/>
          <w:rFonts w:hint="eastAsia" w:ascii="黑体" w:hAnsi="黑体" w:eastAsia="黑体"/>
          <w:sz w:val="28"/>
          <w:szCs w:val="28"/>
        </w:rPr>
        <w:t>其他重要事项的情况说明</w:t>
      </w:r>
      <w:bookmarkEnd w:id="48"/>
      <w:bookmarkEnd w:id="49"/>
    </w:p>
    <w:p>
      <w:pPr>
        <w:adjustRightInd w:val="0"/>
        <w:snapToGrid w:val="0"/>
        <w:spacing w:line="360" w:lineRule="auto"/>
        <w:ind w:firstLine="480" w:firstLineChars="200"/>
        <w:rPr>
          <w:rFonts w:asciiTheme="minorEastAsia" w:hAnsiTheme="minorEastAsia" w:eastAsiaTheme="minorEastAsia"/>
          <w:color w:val="000000"/>
          <w:sz w:val="24"/>
        </w:rPr>
      </w:pPr>
      <w:bookmarkStart w:id="50" w:name="_Toc15377222"/>
      <w:r>
        <w:rPr>
          <w:rFonts w:hint="eastAsia" w:asciiTheme="minorEastAsia" w:hAnsiTheme="minorEastAsia" w:eastAsiaTheme="minorEastAsia"/>
          <w:b/>
          <w:color w:val="000000"/>
          <w:sz w:val="24"/>
        </w:rPr>
        <w:t>（一）机关运行经费支出情况</w:t>
      </w:r>
      <w:bookmarkEnd w:id="50"/>
    </w:p>
    <w:p>
      <w:pPr>
        <w:adjustRightInd w:val="0"/>
        <w:snapToGrid w:val="0"/>
        <w:spacing w:line="360" w:lineRule="auto"/>
        <w:ind w:firstLine="480" w:firstLineChars="200"/>
        <w:rPr>
          <w:rFonts w:asciiTheme="minorEastAsia" w:hAnsiTheme="minorEastAsia" w:eastAsiaTheme="minorEastAsia"/>
          <w:b/>
          <w:color w:val="FF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9年，广汉市雒城镇第一小学校机关运行经费支出0万元。</w:t>
      </w:r>
    </w:p>
    <w:p>
      <w:pPr>
        <w:autoSpaceDE w:val="0"/>
        <w:autoSpaceDN w:val="0"/>
        <w:adjustRightInd w:val="0"/>
        <w:snapToGrid w:val="0"/>
        <w:spacing w:line="360" w:lineRule="auto"/>
        <w:ind w:firstLine="480" w:firstLineChars="200"/>
        <w:rPr>
          <w:rFonts w:asciiTheme="minorEastAsia" w:hAnsiTheme="minorEastAsia" w:eastAsiaTheme="minorEastAsia"/>
          <w:b/>
          <w:color w:val="000000"/>
          <w:sz w:val="24"/>
        </w:rPr>
      </w:pPr>
      <w:bookmarkStart w:id="51" w:name="_Toc15377223"/>
      <w:r>
        <w:rPr>
          <w:rFonts w:hint="eastAsia" w:asciiTheme="minorEastAsia" w:hAnsiTheme="minorEastAsia" w:eastAsiaTheme="minorEastAsia"/>
          <w:b/>
          <w:color w:val="000000"/>
          <w:sz w:val="24"/>
        </w:rPr>
        <w:t>（二）政府采购支出情况</w:t>
      </w:r>
      <w:bookmarkEnd w:id="51"/>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w:t>
      </w:r>
      <w:r>
        <w:rPr>
          <w:rFonts w:asciiTheme="minorEastAsia" w:hAnsiTheme="minorEastAsia" w:eastAsiaTheme="minorEastAsia"/>
          <w:color w:val="000000"/>
          <w:sz w:val="24"/>
        </w:rPr>
        <w:t>201</w:t>
      </w:r>
      <w:r>
        <w:rPr>
          <w:rFonts w:hint="eastAsia" w:asciiTheme="minorEastAsia" w:hAnsiTheme="minorEastAsia" w:eastAsiaTheme="minorEastAsia"/>
          <w:color w:val="000000"/>
          <w:sz w:val="24"/>
        </w:rPr>
        <w:t>9年，广汉市雒城镇第一小学校政府采购支出总额0万元。</w:t>
      </w:r>
    </w:p>
    <w:p>
      <w:pPr>
        <w:autoSpaceDE w:val="0"/>
        <w:autoSpaceDN w:val="0"/>
        <w:adjustRightInd w:val="0"/>
        <w:snapToGrid w:val="0"/>
        <w:spacing w:line="360" w:lineRule="auto"/>
        <w:ind w:firstLine="480" w:firstLineChars="200"/>
        <w:rPr>
          <w:rFonts w:asciiTheme="minorEastAsia" w:hAnsiTheme="minorEastAsia" w:eastAsiaTheme="minorEastAsia"/>
          <w:b/>
          <w:color w:val="000000"/>
          <w:sz w:val="24"/>
        </w:rPr>
      </w:pPr>
      <w:bookmarkStart w:id="52" w:name="_Toc15377224"/>
      <w:r>
        <w:rPr>
          <w:rFonts w:hint="eastAsia" w:asciiTheme="minorEastAsia" w:hAnsiTheme="minorEastAsia" w:eastAsiaTheme="minorEastAsia"/>
          <w:b/>
          <w:color w:val="000000"/>
          <w:sz w:val="24"/>
        </w:rPr>
        <w:t>（三）国有资产占有使用情况</w:t>
      </w:r>
      <w:bookmarkEnd w:id="52"/>
    </w:p>
    <w:p>
      <w:pPr>
        <w:autoSpaceDE w:val="0"/>
        <w:autoSpaceDN w:val="0"/>
        <w:adjustRightInd w:val="0"/>
        <w:snapToGrid w:val="0"/>
        <w:spacing w:line="360" w:lineRule="auto"/>
        <w:ind w:firstLine="480" w:firstLineChars="200"/>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截至2019年12月31日，广汉市雒城镇第一小学校共有车辆0辆，其中：主要领导干部用车0辆、机要通信用车0辆、应急保障用车0辆、其他用车0辆，单价50万元以上通用设备0台（套），单价100万元以上专用设备0台（套）。</w:t>
      </w:r>
    </w:p>
    <w:p>
      <w:pPr>
        <w:autoSpaceDE w:val="0"/>
        <w:autoSpaceDN w:val="0"/>
        <w:adjustRightInd w:val="0"/>
        <w:snapToGrid w:val="0"/>
        <w:spacing w:line="360" w:lineRule="auto"/>
        <w:ind w:firstLine="480" w:firstLineChars="20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（四）预算绩效管理情况。</w:t>
      </w:r>
    </w:p>
    <w:p>
      <w:pPr>
        <w:adjustRightInd w:val="0"/>
        <w:snapToGrid w:val="0"/>
        <w:spacing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根据预算绩效管理要求，本单位在年初预算编制阶段，组织开展了预算事前绩效评估。2019年本单位无对</w:t>
      </w:r>
      <w:r>
        <w:rPr>
          <w:rFonts w:hint="eastAsia" w:cs="楷体_GB2312" w:asciiTheme="minorEastAsia" w:hAnsiTheme="minorEastAsia" w:eastAsiaTheme="minorEastAsia"/>
          <w:sz w:val="24"/>
        </w:rPr>
        <w:t>项目绩效目标。</w:t>
      </w:r>
      <w:r>
        <w:rPr>
          <w:rFonts w:hint="eastAsia" w:cs="仿宋_GB2312" w:asciiTheme="minorEastAsia" w:hAnsiTheme="minorEastAsia" w:eastAsiaTheme="minorEastAsia"/>
          <w:sz w:val="24"/>
        </w:rPr>
        <w:t>重点按要求对2019年部门整体支出开展了绩效自评，从评价情况来看，在2019年的整体绩效和预算追加中，按照上级和财政部门的要求，研究和设立绩效指标，并在实施中进行跟踪分析，在决算报告中体现。2019年度我校履职效能情况良好。经费的使用认真遵守各项财务规章制度，严格执行各项支出审批程序，确保教育教学工作有效正常运转，无截留、挤占或挪用。“三公”经费响应零开支号召、厉行勤俭节约，切实提高资金效益。下一步，将进一步完善制度，优化流程，逐步实现绩效管理的全方位、全过程、全覆盖。</w:t>
      </w:r>
    </w:p>
    <w:p>
      <w:pPr>
        <w:adjustRightInd w:val="0"/>
        <w:snapToGrid w:val="0"/>
        <w:spacing w:line="360" w:lineRule="auto"/>
        <w:ind w:firstLine="480" w:firstLineChars="200"/>
        <w:rPr>
          <w:rFonts w:hint="eastAsia" w:cs="楷体_GB2312" w:asciiTheme="minorEastAsia" w:hAnsiTheme="minorEastAsia" w:eastAsiaTheme="minorEastAsia"/>
          <w:sz w:val="24"/>
        </w:rPr>
      </w:pPr>
      <w:r>
        <w:rPr>
          <w:rFonts w:hint="eastAsia" w:cs="楷体_GB2312" w:asciiTheme="minorEastAsia" w:hAnsiTheme="minorEastAsia" w:eastAsiaTheme="minorEastAsia"/>
          <w:sz w:val="24"/>
        </w:rPr>
        <w:t>1.项目绩效目标完成情况。</w:t>
      </w:r>
    </w:p>
    <w:p>
      <w:pPr>
        <w:adjustRightInd w:val="0"/>
        <w:snapToGrid w:val="0"/>
        <w:spacing w:line="360" w:lineRule="auto"/>
        <w:ind w:firstLine="480" w:firstLineChars="200"/>
        <w:rPr>
          <w:rFonts w:hint="eastAsia" w:cs="楷体_GB2312" w:asciiTheme="minorEastAsia" w:hAnsiTheme="minorEastAsia" w:eastAsiaTheme="minorEastAsia"/>
          <w:sz w:val="24"/>
        </w:rPr>
      </w:pPr>
      <w:r>
        <w:rPr>
          <w:rFonts w:hint="eastAsia" w:cs="仿宋_GB2312" w:asciiTheme="minorEastAsia" w:hAnsiTheme="minorEastAsia" w:eastAsiaTheme="minorEastAsia"/>
          <w:sz w:val="24"/>
        </w:rPr>
        <w:t>2019年本单位无对</w:t>
      </w:r>
      <w:r>
        <w:rPr>
          <w:rFonts w:hint="eastAsia" w:cs="楷体_GB2312" w:asciiTheme="minorEastAsia" w:hAnsiTheme="minorEastAsia" w:eastAsiaTheme="minorEastAsia"/>
          <w:sz w:val="24"/>
        </w:rPr>
        <w:t>项目绩效目标。</w:t>
      </w:r>
    </w:p>
    <w:p>
      <w:pPr>
        <w:adjustRightInd w:val="0"/>
        <w:snapToGrid w:val="0"/>
        <w:spacing w:line="360" w:lineRule="auto"/>
        <w:ind w:firstLine="480" w:firstLineChars="200"/>
        <w:rPr>
          <w:rFonts w:cs="仿宋_GB2312" w:asciiTheme="minorEastAsia" w:hAnsiTheme="minorEastAsia" w:eastAsiaTheme="minorEastAsia"/>
          <w:sz w:val="24"/>
        </w:rPr>
      </w:pPr>
      <w:r>
        <w:rPr>
          <w:rFonts w:hint="eastAsia" w:cs="楷体_GB2312" w:asciiTheme="minorEastAsia" w:hAnsiTheme="minorEastAsia" w:eastAsiaTheme="minorEastAsia"/>
          <w:sz w:val="24"/>
        </w:rPr>
        <w:t>2.部门绩效评价结果。</w:t>
      </w:r>
    </w:p>
    <w:p>
      <w:pPr>
        <w:adjustRightInd w:val="0"/>
        <w:snapToGrid w:val="0"/>
        <w:spacing w:line="360" w:lineRule="auto"/>
        <w:ind w:left="105" w:leftChars="50" w:firstLine="360" w:firstLineChars="150"/>
        <w:rPr>
          <w:rFonts w:hint="eastAsia" w:cs="仿宋_GB2312" w:asciiTheme="minorEastAsia" w:hAnsiTheme="minorEastAsia" w:eastAsiaTheme="minorEastAsia"/>
          <w:sz w:val="24"/>
        </w:rPr>
      </w:pPr>
      <w:r>
        <w:rPr>
          <w:rFonts w:hint="eastAsia" w:cs="仿宋_GB2312" w:asciiTheme="minorEastAsia" w:hAnsiTheme="minorEastAsia" w:eastAsiaTheme="minorEastAsia"/>
          <w:sz w:val="24"/>
        </w:rPr>
        <w:t>本单位按要求对2019年部门整体支出绩效评价情况开展自评，《广汉市雒城镇第一小学校2019年整体支出绩效评价报告》见附件（附件1）。</w:t>
      </w:r>
    </w:p>
    <w:p>
      <w:pPr>
        <w:adjustRightInd w:val="0"/>
        <w:snapToGrid w:val="0"/>
        <w:spacing w:line="360" w:lineRule="auto"/>
        <w:ind w:left="105" w:leftChars="50" w:firstLine="360" w:firstLineChars="150"/>
        <w:rPr>
          <w:rFonts w:cs="仿宋_GB2312" w:asciiTheme="minorEastAsia" w:hAnsiTheme="minorEastAsia" w:eastAsiaTheme="minorEastAsia"/>
          <w:sz w:val="24"/>
        </w:rPr>
      </w:pPr>
      <w:bookmarkStart w:id="53" w:name="_Toc15396613"/>
      <w:bookmarkStart w:id="54" w:name="_Toc15377225"/>
    </w:p>
    <w:p>
      <w:pPr>
        <w:spacing w:line="600" w:lineRule="exact"/>
        <w:jc w:val="center"/>
        <w:outlineLvl w:val="0"/>
        <w:rPr>
          <w:rFonts w:ascii="黑体" w:hAnsi="黑体" w:eastAsia="黑体"/>
          <w:b w:val="0"/>
          <w:sz w:val="36"/>
          <w:szCs w:val="36"/>
        </w:rPr>
      </w:pPr>
      <w:r>
        <w:rPr>
          <w:rFonts w:hint="eastAsia" w:ascii="黑体" w:hAnsi="黑体" w:eastAsia="黑体"/>
          <w:b/>
          <w:color w:val="000000"/>
          <w:sz w:val="36"/>
          <w:szCs w:val="36"/>
        </w:rPr>
        <w:t>第三部分 名</w:t>
      </w:r>
      <w:r>
        <w:rPr>
          <w:rStyle w:val="19"/>
          <w:rFonts w:hint="eastAsia" w:ascii="黑体" w:hAnsi="黑体" w:eastAsia="黑体"/>
          <w:b w:val="0"/>
          <w:sz w:val="36"/>
          <w:szCs w:val="36"/>
        </w:rPr>
        <w:t>词解释</w:t>
      </w:r>
      <w:bookmarkEnd w:id="53"/>
      <w:bookmarkEnd w:id="54"/>
    </w:p>
    <w:p>
      <w:pPr>
        <w:spacing w:line="600" w:lineRule="exact"/>
        <w:jc w:val="left"/>
        <w:rPr>
          <w:rFonts w:ascii="宋体"/>
          <w:b/>
          <w:color w:val="000000"/>
          <w:sz w:val="44"/>
          <w:szCs w:val="44"/>
        </w:rPr>
      </w:pP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财政拨款收入：指单位从同级财政部门取得的财政预算资金。</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事业收入：指事业单位开展专业业务活动及辅助活动取得的收入。如…（二级预算单位事业收入情况）等。</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经营收入：指事业单位在专业业务活动及其辅助活动之外开展非独立核算经营活动取得的收入。如…（二级预算单位经营收入情况）等。</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其他收入：指单位取得的除上述收入以外的各项收入。主要是…（收入类型）等。</w:t>
      </w:r>
      <w:r>
        <w:rPr>
          <w:rFonts w:asciiTheme="minorEastAsia" w:hAnsiTheme="minorEastAsia" w:eastAsiaTheme="minorEastAsia"/>
        </w:rPr>
        <w:t xml:space="preserve"> </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Theme="minorEastAsia" w:hAnsiTheme="minorEastAsia" w:eastAsiaTheme="minorEastAsia"/>
        </w:rPr>
        <w:t xml:space="preserve"> </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6.</w:t>
      </w:r>
      <w:r>
        <w:rPr>
          <w:rFonts w:hint="eastAsia" w:asciiTheme="minorEastAsia" w:hAnsiTheme="minorEastAsia" w:eastAsiaTheme="minorEastAsia"/>
        </w:rPr>
        <w:t>年初结转和结余：指以前年度尚未完成、结转到本年按有关规定继续使用的资金。</w:t>
      </w:r>
      <w:r>
        <w:rPr>
          <w:rFonts w:asciiTheme="minorEastAsia" w:hAnsiTheme="minorEastAsia" w:eastAsiaTheme="minorEastAsia"/>
        </w:rPr>
        <w:t xml:space="preserve"> </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7.</w:t>
      </w:r>
      <w:r>
        <w:rPr>
          <w:rFonts w:hint="eastAsia" w:asciiTheme="minorEastAsia" w:hAnsiTheme="minorEastAsia" w:eastAsiaTheme="minorEastAsia"/>
        </w:rPr>
        <w:t>结余分配：指事业单位按照事业单位会计制度的规定从非财政补助结余中分配的事业基金和职工福利基金等。</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8</w:t>
      </w:r>
      <w:r>
        <w:rPr>
          <w:rFonts w:hint="eastAsia" w:asciiTheme="minorEastAsia" w:hAnsiTheme="minorEastAsia" w:eastAsiaTheme="minorEastAsia"/>
        </w:rPr>
        <w:t>、年末结转和结余：指单位按有关规定结转到下年或以后年度继续使用的资金。</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9.</w:t>
      </w:r>
      <w:r>
        <w:rPr>
          <w:rFonts w:hint="eastAsia" w:asciiTheme="minorEastAsia" w:hAnsiTheme="minorEastAsia" w:eastAsiaTheme="minorEastAsia"/>
          <w:color w:val="000000"/>
          <w:sz w:val="24"/>
        </w:rPr>
        <w:t>一般公共服务（类）…（款）…（项）：指……。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10.</w:t>
      </w:r>
      <w:r>
        <w:rPr>
          <w:rFonts w:hint="eastAsia" w:asciiTheme="minorEastAsia" w:hAnsiTheme="minorEastAsia" w:eastAsiaTheme="minorEastAsia"/>
          <w:color w:val="000000"/>
          <w:sz w:val="24"/>
        </w:rPr>
        <w:t>外交（类）…（款）…（项）：指……。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11.</w:t>
      </w:r>
      <w:r>
        <w:rPr>
          <w:rFonts w:hint="eastAsia" w:asciiTheme="minorEastAsia" w:hAnsiTheme="minorEastAsia" w:eastAsiaTheme="minorEastAsia"/>
          <w:color w:val="000000"/>
          <w:sz w:val="24"/>
        </w:rPr>
        <w:t>公共安全（类）…（款）…（项）：指……。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12.</w:t>
      </w:r>
      <w:r>
        <w:rPr>
          <w:rFonts w:hint="eastAsia" w:asciiTheme="minorEastAsia" w:hAnsiTheme="minorEastAsia" w:eastAsiaTheme="minorEastAsia"/>
          <w:color w:val="000000"/>
          <w:sz w:val="24"/>
        </w:rPr>
        <w:t>教育（类）…（款）…（项）：指……。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13.</w:t>
      </w:r>
      <w:r>
        <w:rPr>
          <w:rFonts w:hint="eastAsia" w:asciiTheme="minorEastAsia" w:hAnsiTheme="minorEastAsia" w:eastAsiaTheme="minorEastAsia"/>
          <w:color w:val="000000"/>
          <w:sz w:val="24"/>
        </w:rPr>
        <w:t>科学技术（类）…（款）…（项）：指……。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14.</w:t>
      </w:r>
      <w:r>
        <w:rPr>
          <w:rFonts w:hint="eastAsia" w:asciiTheme="minorEastAsia" w:hAnsiTheme="minorEastAsia" w:eastAsiaTheme="minorEastAsia"/>
          <w:color w:val="000000"/>
          <w:sz w:val="24"/>
        </w:rPr>
        <w:t>文化体育与传媒（类）…（款）…（项）：指……。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15.</w:t>
      </w:r>
      <w:r>
        <w:rPr>
          <w:rFonts w:hint="eastAsia" w:asciiTheme="minorEastAsia" w:hAnsiTheme="minorEastAsia" w:eastAsiaTheme="minorEastAsia"/>
          <w:color w:val="000000"/>
          <w:sz w:val="24"/>
        </w:rPr>
        <w:t>社会保障和就业（类）…（款）…（项）：指……。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16.</w:t>
      </w:r>
      <w:r>
        <w:rPr>
          <w:rFonts w:hint="eastAsia" w:asciiTheme="minorEastAsia" w:hAnsiTheme="minorEastAsia" w:eastAsiaTheme="minorEastAsia"/>
          <w:color w:val="000000"/>
          <w:sz w:val="24"/>
        </w:rPr>
        <w:t>医疗卫生与计划生育（类）…（款）…（项）：指……。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17.</w:t>
      </w:r>
      <w:r>
        <w:rPr>
          <w:rFonts w:hint="eastAsia" w:asciiTheme="minorEastAsia" w:hAnsiTheme="minorEastAsia" w:eastAsiaTheme="minorEastAsia"/>
          <w:color w:val="000000"/>
          <w:sz w:val="24"/>
        </w:rPr>
        <w:t>节能环保（类）…（款）…（项）：指……。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18.</w:t>
      </w:r>
      <w:r>
        <w:rPr>
          <w:rFonts w:hint="eastAsia" w:asciiTheme="minorEastAsia" w:hAnsiTheme="minorEastAsia" w:eastAsiaTheme="minorEastAsia"/>
          <w:color w:val="000000"/>
          <w:sz w:val="24"/>
        </w:rPr>
        <w:t>城乡社区（类）…（款）…（项）：指……。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19.</w:t>
      </w:r>
      <w:r>
        <w:rPr>
          <w:rFonts w:hint="eastAsia" w:asciiTheme="minorEastAsia" w:hAnsiTheme="minorEastAsia" w:eastAsiaTheme="minorEastAsia"/>
          <w:color w:val="000000"/>
          <w:sz w:val="24"/>
        </w:rPr>
        <w:t>农林水（类）…（款）…（项）：指……。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20.</w:t>
      </w:r>
      <w:r>
        <w:rPr>
          <w:rFonts w:hint="eastAsia" w:asciiTheme="minorEastAsia" w:hAnsiTheme="minorEastAsia" w:eastAsiaTheme="minorEastAsia"/>
          <w:color w:val="000000"/>
          <w:sz w:val="24"/>
        </w:rPr>
        <w:t>交通运输（类）…（款）…（项）：指……。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21.</w:t>
      </w:r>
      <w:r>
        <w:rPr>
          <w:rFonts w:hint="eastAsia" w:asciiTheme="minorEastAsia" w:hAnsiTheme="minorEastAsia" w:eastAsiaTheme="minorEastAsia"/>
          <w:color w:val="000000"/>
          <w:sz w:val="24"/>
        </w:rPr>
        <w:t>资源勘探信息等（类）…（款）…（项）：指……。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22.</w:t>
      </w:r>
      <w:r>
        <w:rPr>
          <w:rFonts w:hint="eastAsia" w:asciiTheme="minorEastAsia" w:hAnsiTheme="minorEastAsia" w:eastAsiaTheme="minorEastAsia"/>
          <w:color w:val="000000"/>
          <w:sz w:val="24"/>
        </w:rPr>
        <w:t>商业服务业（类）…（款）…（项）：指……。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23.</w:t>
      </w:r>
      <w:r>
        <w:rPr>
          <w:rFonts w:hint="eastAsia" w:asciiTheme="minorEastAsia" w:hAnsiTheme="minorEastAsia" w:eastAsiaTheme="minorEastAsia"/>
          <w:color w:val="000000"/>
          <w:sz w:val="24"/>
        </w:rPr>
        <w:t>金融（类）…（款）…（项）：指……。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24.</w:t>
      </w:r>
      <w:r>
        <w:rPr>
          <w:rFonts w:hint="eastAsia" w:asciiTheme="minorEastAsia" w:hAnsiTheme="minorEastAsia" w:eastAsiaTheme="minorEastAsia"/>
          <w:color w:val="000000"/>
          <w:sz w:val="24"/>
        </w:rPr>
        <w:t>国土海洋气象等（类）…（款）…（项）：指……。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25.</w:t>
      </w:r>
      <w:r>
        <w:rPr>
          <w:rFonts w:hint="eastAsia" w:asciiTheme="minorEastAsia" w:hAnsiTheme="minorEastAsia" w:eastAsiaTheme="minorEastAsia"/>
          <w:color w:val="000000"/>
          <w:sz w:val="24"/>
        </w:rPr>
        <w:t>住房保障（类）…（款）…（项）：指……。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26.</w:t>
      </w:r>
      <w:r>
        <w:rPr>
          <w:rFonts w:hint="eastAsia" w:asciiTheme="minorEastAsia" w:hAnsiTheme="minorEastAsia" w:eastAsiaTheme="minorEastAsia"/>
          <w:color w:val="000000"/>
          <w:sz w:val="24"/>
        </w:rPr>
        <w:t>粮油物资储备（类）…（款）…（项）：指……。</w:t>
      </w:r>
    </w:p>
    <w:p>
      <w:pPr>
        <w:adjustRightInd w:val="0"/>
        <w:snapToGrid w:val="0"/>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27.</w:t>
      </w:r>
      <w:r>
        <w:rPr>
          <w:rFonts w:hint="eastAsia" w:asciiTheme="minorEastAsia" w:hAnsiTheme="minorEastAsia" w:eastAsiaTheme="minorEastAsia"/>
          <w:color w:val="000000"/>
          <w:sz w:val="24"/>
        </w:rPr>
        <w:t>基本支出：指为保障机构正常运转、完成日常工作任务而发生的人员支出和公用支出。</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28.</w:t>
      </w:r>
      <w:r>
        <w:rPr>
          <w:rFonts w:hint="eastAsia" w:asciiTheme="minorEastAsia" w:hAnsiTheme="minorEastAsia" w:eastAsiaTheme="minorEastAsia"/>
          <w:color w:val="000000"/>
          <w:sz w:val="24"/>
        </w:rPr>
        <w:t>项目支出：指在基本支出之外为完成特定行政任务和事业发展目标所发生的支出。</w:t>
      </w:r>
      <w:r>
        <w:rPr>
          <w:rFonts w:asciiTheme="minorEastAsia" w:hAnsiTheme="minorEastAsia" w:eastAsiaTheme="minorEastAsia"/>
          <w:color w:val="000000"/>
          <w:sz w:val="24"/>
        </w:rPr>
        <w:t xml:space="preserve"> </w:t>
      </w:r>
    </w:p>
    <w:p>
      <w:pPr>
        <w:adjustRightInd w:val="0"/>
        <w:snapToGrid w:val="0"/>
        <w:spacing w:line="360" w:lineRule="auto"/>
        <w:ind w:firstLine="480" w:firstLineChars="200"/>
        <w:rPr>
          <w:rFonts w:asciiTheme="minorEastAsia" w:hAnsiTheme="minorEastAsia" w:eastAsiaTheme="minorEastAsia"/>
          <w:color w:val="000000"/>
          <w:sz w:val="24"/>
        </w:rPr>
      </w:pPr>
      <w:r>
        <w:rPr>
          <w:rFonts w:asciiTheme="minorEastAsia" w:hAnsiTheme="minorEastAsia" w:eastAsiaTheme="minorEastAsia"/>
          <w:color w:val="000000"/>
          <w:sz w:val="24"/>
        </w:rPr>
        <w:t>29.</w:t>
      </w:r>
      <w:r>
        <w:rPr>
          <w:rFonts w:hint="eastAsia" w:asciiTheme="minorEastAsia" w:hAnsiTheme="minorEastAsia" w:eastAsiaTheme="minorEastAsia"/>
          <w:color w:val="000000"/>
          <w:sz w:val="24"/>
        </w:rPr>
        <w:t>经营支出：指事业单位在专业业务活动及其辅助活动之外开展非独立核算经营活动发生的支出。</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30.</w:t>
      </w:r>
      <w:r>
        <w:rPr>
          <w:rFonts w:hint="eastAsia" w:asciiTheme="minorEastAsia" w:hAnsiTheme="minorEastAsia" w:eastAsiaTheme="minorEastAsi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napToGrid w:val="0"/>
        <w:spacing w:line="360" w:lineRule="auto"/>
        <w:ind w:firstLine="480" w:firstLineChars="200"/>
        <w:jc w:val="both"/>
        <w:rPr>
          <w:rFonts w:asciiTheme="minorEastAsia" w:hAnsiTheme="minorEastAsia" w:eastAsiaTheme="minorEastAsia"/>
        </w:rPr>
      </w:pPr>
      <w:r>
        <w:rPr>
          <w:rFonts w:asciiTheme="minorEastAsia" w:hAnsiTheme="minorEastAsia" w:eastAsiaTheme="minorEastAsia"/>
        </w:rPr>
        <w:t>31.</w:t>
      </w:r>
      <w:r>
        <w:rPr>
          <w:rFonts w:hint="eastAsia" w:asciiTheme="minorEastAsia" w:hAnsiTheme="minorEastAsia" w:eastAsiaTheme="minorEastAsi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7"/>
        <w:snapToGrid w:val="0"/>
        <w:spacing w:line="360" w:lineRule="auto"/>
        <w:ind w:firstLine="480" w:firstLineChars="200"/>
        <w:jc w:val="both"/>
        <w:rPr>
          <w:rFonts w:asciiTheme="minorEastAsia" w:hAnsiTheme="minorEastAsia" w:eastAsiaTheme="minorEastAsia"/>
        </w:rPr>
      </w:pPr>
      <w:r>
        <w:rPr>
          <w:rFonts w:hint="eastAsia" w:asciiTheme="minorEastAsia" w:hAnsiTheme="minorEastAsia" w:eastAsiaTheme="minorEastAsia"/>
        </w:rPr>
        <w:t>……</w:t>
      </w:r>
    </w:p>
    <w:p>
      <w:pPr>
        <w:spacing w:line="600" w:lineRule="exact"/>
        <w:jc w:val="center"/>
        <w:outlineLvl w:val="0"/>
        <w:rPr>
          <w:rFonts w:ascii="黑体" w:hAnsi="黑体" w:eastAsia="黑体"/>
          <w:sz w:val="36"/>
          <w:szCs w:val="36"/>
        </w:rPr>
      </w:pPr>
      <w:r>
        <w:rPr>
          <w:rFonts w:ascii="宋体"/>
          <w:b/>
          <w:color w:val="000000"/>
          <w:sz w:val="44"/>
          <w:szCs w:val="44"/>
        </w:rPr>
        <w:br w:type="page"/>
      </w:r>
      <w:bookmarkStart w:id="55" w:name="_Toc15396614"/>
      <w:r>
        <w:rPr>
          <w:rFonts w:hint="eastAsia" w:ascii="黑体" w:hAnsi="黑体" w:eastAsia="黑体"/>
          <w:color w:val="000000"/>
          <w:sz w:val="36"/>
          <w:szCs w:val="36"/>
        </w:rPr>
        <w:t>第</w:t>
      </w:r>
      <w:r>
        <w:rPr>
          <w:rStyle w:val="19"/>
          <w:rFonts w:hint="eastAsia" w:ascii="黑体" w:hAnsi="黑体" w:eastAsia="黑体"/>
          <w:sz w:val="36"/>
          <w:szCs w:val="36"/>
        </w:rPr>
        <w:t>四部分 附件</w:t>
      </w:r>
      <w:bookmarkEnd w:id="55"/>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adjustRightInd w:val="0"/>
        <w:snapToGrid w:val="0"/>
        <w:jc w:val="center"/>
        <w:rPr>
          <w:rFonts w:ascii="黑体" w:hAnsi="黑体" w:eastAsia="黑体"/>
          <w:b/>
          <w:bCs/>
          <w:kern w:val="0"/>
          <w:sz w:val="32"/>
          <w:szCs w:val="32"/>
        </w:rPr>
      </w:pPr>
      <w:r>
        <w:rPr>
          <w:rFonts w:hint="eastAsia" w:ascii="黑体" w:hAnsi="黑体" w:eastAsia="黑体"/>
          <w:b/>
          <w:bCs/>
          <w:kern w:val="0"/>
          <w:sz w:val="32"/>
          <w:szCs w:val="32"/>
        </w:rPr>
        <w:t>广汉市雒城镇第一小学校</w:t>
      </w:r>
    </w:p>
    <w:p>
      <w:pPr>
        <w:adjustRightInd w:val="0"/>
        <w:snapToGrid w:val="0"/>
        <w:jc w:val="center"/>
        <w:rPr>
          <w:rFonts w:hint="eastAsia" w:ascii="黑体" w:hAnsi="黑体" w:eastAsia="黑体"/>
          <w:b/>
          <w:bCs/>
          <w:kern w:val="0"/>
          <w:sz w:val="32"/>
          <w:szCs w:val="32"/>
        </w:rPr>
      </w:pPr>
      <w:r>
        <w:rPr>
          <w:rFonts w:hint="eastAsia" w:ascii="黑体" w:hAnsi="黑体" w:eastAsia="黑体"/>
          <w:b/>
          <w:bCs/>
          <w:kern w:val="0"/>
          <w:sz w:val="32"/>
          <w:szCs w:val="32"/>
        </w:rPr>
        <w:t>2019年整体支出绩效评价报告</w:t>
      </w:r>
    </w:p>
    <w:p>
      <w:pPr>
        <w:autoSpaceDE w:val="0"/>
        <w:autoSpaceDN w:val="0"/>
        <w:adjustRightInd w:val="0"/>
        <w:snapToGrid w:val="0"/>
        <w:spacing w:line="360" w:lineRule="auto"/>
        <w:ind w:firstLine="480" w:firstLineChars="200"/>
        <w:rPr>
          <w:rFonts w:hint="eastAsia" w:ascii="仿宋_GB2312" w:eastAsia="仿宋_GB2312"/>
          <w:kern w:val="0"/>
          <w:sz w:val="24"/>
        </w:rPr>
      </w:pPr>
      <w:r>
        <w:rPr>
          <w:rFonts w:hint="eastAsia" w:ascii="仿宋_GB2312" w:eastAsia="仿宋_GB2312"/>
          <w:kern w:val="0"/>
          <w:sz w:val="24"/>
        </w:rPr>
        <w:t xml:space="preserve"> </w:t>
      </w:r>
    </w:p>
    <w:p>
      <w:pPr>
        <w:autoSpaceDE w:val="0"/>
        <w:autoSpaceDN w:val="0"/>
        <w:adjustRightInd w:val="0"/>
        <w:snapToGrid w:val="0"/>
        <w:spacing w:line="360" w:lineRule="auto"/>
        <w:ind w:firstLine="480" w:firstLineChars="200"/>
        <w:rPr>
          <w:rFonts w:hint="eastAsia" w:ascii="宋体" w:hAnsi="宋体"/>
          <w:b/>
          <w:bCs/>
          <w:kern w:val="0"/>
          <w:sz w:val="24"/>
        </w:rPr>
      </w:pPr>
      <w:r>
        <w:rPr>
          <w:rFonts w:hint="eastAsia" w:ascii="宋体" w:hAnsi="宋体"/>
          <w:b/>
          <w:bCs/>
          <w:kern w:val="0"/>
          <w:sz w:val="24"/>
        </w:rPr>
        <w:t>一、单位概况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（一）基本情况。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广汉市雒城镇第一小学校是广汉市教育局所属的一所全日制小学。学校内设机构有：教导处、政教处、总务处、行政办公室、安全办公室，党支部和教工会。2020年3月27日更名为“广汉市第一小学”（广汉是委编办【2020】-13号文）</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校园占地面积8380平方米，建筑面积5604平方米。学校教育教学设施设备齐全，宽敞明亮的教室、功能室、办公室，优美的校园环境、幽雅的校园文化。2019年在编教职工89人，退休教职工48人，学校临聘人员8人。有小学教育班34个，附设学前教育班4个，在校学生1583人（其中小学生1483人，学前班学生145人）。学校认真贯彻执行党的教育方针。积极稳妥地推进课堂教学改革，认真组织教育教学、学科研究活动，不断提高教育教学质量，学校特色和学生的个性得到了发展。根据学校规模，设置学校管理机构，建立健全各项规章制度和岗位责任制。坚持教书育人，服务育人，环境育人方针，维护教职工利益，保障教职工合法权益，以养成学生良好习惯为重点，为教职工和学生的幸福人生奠基。</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（二）2019年度主要工作目标及重点工作。</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2019年学校的工作思路是：树教改先锋，办书香校园，育儒雅师生。</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主要工作目标及重点工作是：围绕办品牌学校一个中心，抓好教育质量和校园特色两条主线；培养三支只队伍（富有创造力的领导班子、德艺双馨的教师队伍、成熟合作的家长队伍），促师生和家长幸福成长；打造四个校园（平安校园、数码校园、书香校园、“儒雅”校园），营造学生快乐成长环境。</w:t>
      </w:r>
    </w:p>
    <w:p>
      <w:pPr>
        <w:autoSpaceDE w:val="0"/>
        <w:autoSpaceDN w:val="0"/>
        <w:adjustRightInd w:val="0"/>
        <w:snapToGrid w:val="0"/>
        <w:spacing w:line="360" w:lineRule="auto"/>
        <w:ind w:firstLine="480" w:firstLineChars="200"/>
        <w:rPr>
          <w:rFonts w:hint="eastAsia" w:ascii="宋体" w:hAnsi="宋体"/>
          <w:b/>
          <w:bCs/>
          <w:kern w:val="0"/>
          <w:sz w:val="24"/>
        </w:rPr>
      </w:pPr>
      <w:r>
        <w:rPr>
          <w:rFonts w:hint="eastAsia" w:ascii="宋体" w:hAnsi="宋体"/>
          <w:b/>
          <w:bCs/>
          <w:kern w:val="0"/>
          <w:sz w:val="24"/>
        </w:rPr>
        <w:t>二、预算管理情况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（一）预算编制情况。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根据广财预【2018】19号文件要求和学校办班的规模，及其有关规定，对学校2019年度经费收支进行预算编制调整。</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1、年初预算收入情况：合计1124.58万元，其中：一般公共预算财政拨款收入1106.58万元，教育收费（学前班保教费）18万元。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2、调整预算收入情况：合计1461.68万元，其中：一般公共预算财政拨款收入1356.69万元，教育收费（学前班保教费）17.88万元，其他收入（课后延时服务收费）87.11万元。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3、年初预算支出（基本支出）情况：合计1387.63万元（包括本年预算的1124.58万元和上年结转结余的263.05万元）。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（1）人员经费：991.66万元；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（2）日常公用经费：395.97万元。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其中：教育支出1050.33万元，社会保障和就业支出184.42万元，卫生健康支出66.64万元，住房保障支出86.24万元。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4、调整预算支出（基本支出）情况：合计1724.73万元（包括本年调整预算的1461.68万元和上年累计结转结余的263.05万元）。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（1）人员经费：1033.16万元；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（2）日常公用经费：691.57万元。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其中：教育支出1383.52万元，社会保障和就业支出194.01万元，卫生健康支出61.14万元，住房保障支出86.06万元。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（二）预算执行情况。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学校严格按照预算执行。在收到财政下达的各类款项后，按照资金的用途使用，支出总额控制在预算总额以内，按照预算执行进度，及时支付。本年度收入合计1461.68万元，其中财政拨款收入1356.69万元，事业收入（教育收费—学前班保教费）17.88万元，其他收入（课后延时服务收费）87.11万元。本年支出（基本支出）合计1315.76万元，其中工资福利支出993.09万元，商品和服务支出278.71万元，对个人和家庭的补助40.06万元，资本性支出3.90万元。2019年年末累计结转结余资金为391.08万元（包括上年累计结转结余263.05万元和本年结转结余128.03万元）。</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2019年我校无预算项目收支。</w:t>
      </w:r>
    </w:p>
    <w:p>
      <w:pPr>
        <w:autoSpaceDE w:val="0"/>
        <w:autoSpaceDN w:val="0"/>
        <w:adjustRightInd w:val="0"/>
        <w:snapToGrid w:val="0"/>
        <w:spacing w:line="360" w:lineRule="auto"/>
        <w:ind w:firstLine="480" w:firstLineChars="200"/>
        <w:rPr>
          <w:rFonts w:hint="eastAsia" w:ascii="宋体" w:hAnsi="宋体"/>
          <w:b/>
          <w:bCs/>
          <w:kern w:val="0"/>
          <w:sz w:val="24"/>
        </w:rPr>
      </w:pPr>
      <w:r>
        <w:rPr>
          <w:rFonts w:hint="eastAsia" w:ascii="宋体" w:hAnsi="宋体"/>
          <w:b/>
          <w:bCs/>
          <w:kern w:val="0"/>
          <w:sz w:val="24"/>
        </w:rPr>
        <w:t>三、部门管理情况</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2019年度，我校在财务管理上坚持依法管理，严格执行国家的相关财经法规。学前教育严格按照收费许可证收费，没有乱收费现象。在实际工作中，严格按照 “财务收支两条线”的管理，我校的所有行政事业性收入（幼儿教育收费），其他收入，所有收取款项不截留、不转移、不隐匿也不以现金形式存放。在进行支付时，严格按照《关于加强预算单位现金使用管理的通知》的要求，500元以上使用转账支付，相关转账尽可能在大平台进行支付。在本年度学校杜绝了“小金库”的存在。在财产管理方面，加强了财产管理，做到了责任到人。 </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我校严格按照《中小学会计制度》《中小学财务管理制度》《中小学公用经费管理办法》进行相关财务的管理和核算工作。年初预算做到坚持依法合规原则、综合预算原则、真实准确原则、优先保障原则、定员定额管理原则；平时财务做到财务监督与财务公开并重，让职工了解学校相关财务工作。年终决算前，做到（1）认真清理各项资金、资产；（2）核对账务。认真对往来款项进行清理。（3）核定收支。首先核定收入：财政补助收入、事业收入、其他收入等款项同财政局国库科、大平台的各项指标核对，确保准确无误。其次，核定本年度支出。并严格按照财政局最新的决算要求进行相关会计核算。</w:t>
      </w:r>
    </w:p>
    <w:p>
      <w:pPr>
        <w:autoSpaceDE w:val="0"/>
        <w:autoSpaceDN w:val="0"/>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2019年我校严格贯彻落实中央八项规定，学校多次对“三公</w:t>
      </w:r>
      <w:r>
        <w:rPr>
          <w:rFonts w:hint="eastAsia" w:ascii="宋体" w:hAnsi="宋体"/>
          <w:kern w:val="0"/>
          <w:sz w:val="24"/>
          <w:lang w:eastAsia="zh-CN"/>
        </w:rPr>
        <w:t>”</w:t>
      </w:r>
      <w:bookmarkStart w:id="70" w:name="_GoBack"/>
      <w:bookmarkEnd w:id="70"/>
      <w:r>
        <w:rPr>
          <w:rFonts w:hint="eastAsia" w:ascii="宋体" w:hAnsi="宋体"/>
          <w:kern w:val="0"/>
          <w:sz w:val="24"/>
        </w:rPr>
        <w:t>经费使用情况进行，严控，自查，完善了“三公”经费各项使用制度，有效控制了“三公”经费开支。年初“三公”经费只预算了公务接待费0.5万元，决算支出“三公”经费为0元。</w:t>
      </w:r>
    </w:p>
    <w:p>
      <w:pPr>
        <w:autoSpaceDE w:val="0"/>
        <w:autoSpaceDN w:val="0"/>
        <w:adjustRightInd w:val="0"/>
        <w:snapToGrid w:val="0"/>
        <w:spacing w:line="360" w:lineRule="auto"/>
        <w:ind w:firstLine="480" w:firstLineChars="200"/>
        <w:rPr>
          <w:rFonts w:hint="eastAsia" w:ascii="宋体" w:hAnsi="宋体"/>
          <w:b/>
          <w:bCs/>
          <w:kern w:val="0"/>
          <w:sz w:val="24"/>
        </w:rPr>
      </w:pPr>
      <w:r>
        <w:rPr>
          <w:rFonts w:hint="eastAsia" w:ascii="宋体" w:hAnsi="宋体"/>
          <w:b/>
          <w:bCs/>
          <w:kern w:val="0"/>
          <w:sz w:val="24"/>
        </w:rPr>
        <w:t>四、部门履职效能</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2019年，我校紧紧围绕“三满意”，均衡义务教育，深入推进素质教育的总体目标，圆满完成了各项任务。</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1、以品德为首位，立德树人养正气</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做好“七个一”，在日常行为习惯中抓实德育常规；结合重大主题日开展活动，形式多样展示德育系列活动；树立榜样、弘扬先进；办好家长学校，做好《家校连心桥》教材，培养成熟家长。</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2、以质量为生命，精细管理出成绩</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精细化管理，为质量护航；教师培训，为教学质量提升加油；电化教学，助力课堂教学质量提升；以科研为龙头，引领课堂教学促高效。</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 3、以服务为主线，环境育人陶性情 </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积极争取尽快实施教学楼改造建设；校园文化建设化设计全面完成，准备施工；后勤管理务实高效，绿化维护效果好；</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4、以平安为核心，安全管理见实效</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加强组织领导，落实安全责任制；完善安全制度，加强安全管理；强化责任意识，加强防范管理；强化安全教育，树立安全意识；落实《安全管理考核奖励方案》，提高教师安全积极性；依法治校，积极开展普法教育。</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5、党建工作在精准扶贫中见实效</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定期走访，密切了党员和群众之间的关系；发挥党员的示范作用；增强党员干部的责任感和使命感。</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6、以工会为平台，民主管理聚人心</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落实教职工大会制度，促进民主建设；做好校务公开工作，推进民主管理；开展丰富多彩活动，活跃校园文化生活。</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7、协调发展，各项工作创一流    </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在各级领导支持下，师生成才，学校发展。</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（1）学生全面发展。</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学生全面发展。2019年7月，研培中心发布各项3—6年级全市统考统阅成绩，我校捷报频传，16项主要质量数据指标中有12项我校占第一，两个第二，两个第三，综合质量全市第一，持续创造我校教学质量历史。学生参加省市县比赛获得161个奖励，综合素质广汉领先。学生健康体质持续优化。体检报告显示，学生的肺活量不断提高，沙眼率和肥胖率持续下降。</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（2）教师幸福成长。</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教师表现优秀。学校教师师德高尚、业务精湛、团结互助，积极向上，学校有省市县各级名师、学科带头人、骨干教师32人，每个学科都有广汉顶尖的教师，教师参加省市县比赛获得154个奖励。</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（3）学校持续发展</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学校获得多项荣誉。学校获得全国规范化家长学校实践基地、四川省首届小学生诗词大会线上初选活动优秀组织奖、“十三五”规划课题“基于大规模推广群文阅读理论与实践深化研究首批子课题”省级示范单位等33项国家、省、市、县表彰奖励。学校联盟，携手共进。学校联盟南丰小学、新平小学、高坪小学、金鱼小学、新丰小学、和兴小学等农村小学，对口帮扶金阳县天台小学共同发展。对口帮扶天台小学经验在四川省会议交流发言，联盟各校进部大。</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2019年我校各项工作取得优异成绩，上级综合考核名列全市小学前列，在全市发挥了窗口示范和引领作用。</w:t>
      </w:r>
    </w:p>
    <w:p>
      <w:pPr>
        <w:autoSpaceDE w:val="0"/>
        <w:autoSpaceDN w:val="0"/>
        <w:adjustRightInd w:val="0"/>
        <w:snapToGrid w:val="0"/>
        <w:spacing w:line="360" w:lineRule="auto"/>
        <w:ind w:firstLine="480" w:firstLineChars="200"/>
        <w:rPr>
          <w:rFonts w:hint="eastAsia" w:ascii="宋体" w:hAnsi="宋体"/>
          <w:b/>
          <w:bCs/>
          <w:kern w:val="0"/>
          <w:sz w:val="24"/>
        </w:rPr>
      </w:pPr>
      <w:r>
        <w:rPr>
          <w:rFonts w:hint="eastAsia" w:ascii="宋体" w:hAnsi="宋体"/>
          <w:b/>
          <w:bCs/>
          <w:kern w:val="0"/>
          <w:sz w:val="24"/>
        </w:rPr>
        <w:t>五、评价结论及措施</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（一）评价结论</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度我校履职效能情况良好。经费的使用认真遵守各项财务规章制度，严格执行各项支出审批程序，确保教育教学工作有效正常运转，无截留、挤占或挪用。“三公”经费响应零开支号召、厉行勤俭节约，切实提高资金效益。部门整体支出绩效情况如下：</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1.经济性分析</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2019年依据部门预算，严格控制日常开支，确保日常开支在厉行节约指标数内。本年无“三公”经费开支。</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2.效率性分析</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认真贯彻执行国家教育方针，加强资金管理，贯彻落实中央八项规定和省、市规定，切实提高资金使用效益，保障学校可持续运转。关爱学生，引领学生的综合素质发展，做到让学生得到各方面成长、让家长对教育成果满意。</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3.可持续性分析</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2019年学校坚持以人为本，科研兴校，特色办学，全面推进素质教育。引导和培养学生德智体美等方面全面发展，为中学输送优秀人才。</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绩效评价总体结论：自评优良。（指标体系及评分表如下）。</w:t>
      </w:r>
    </w:p>
    <w:tbl>
      <w:tblPr>
        <w:tblStyle w:val="12"/>
        <w:tblW w:w="0" w:type="auto"/>
        <w:tblInd w:w="0" w:type="dxa"/>
        <w:tblLayout w:type="fixed"/>
        <w:tblCellMar>
          <w:top w:w="0" w:type="dxa"/>
          <w:left w:w="108" w:type="dxa"/>
          <w:bottom w:w="0" w:type="dxa"/>
          <w:right w:w="108" w:type="dxa"/>
        </w:tblCellMar>
      </w:tblPr>
      <w:tblGrid>
        <w:gridCol w:w="525"/>
        <w:gridCol w:w="854"/>
        <w:gridCol w:w="1352"/>
        <w:gridCol w:w="441"/>
        <w:gridCol w:w="591"/>
        <w:gridCol w:w="1606"/>
        <w:gridCol w:w="2354"/>
        <w:gridCol w:w="799"/>
      </w:tblGrid>
      <w:tr>
        <w:trPr>
          <w:trHeight w:val="600" w:hRule="atLeast"/>
        </w:trPr>
        <w:tc>
          <w:tcPr>
            <w:tcW w:w="8522" w:type="dxa"/>
            <w:gridSpan w:val="8"/>
            <w:tcBorders>
              <w:top w:val="nil"/>
              <w:left w:val="nil"/>
              <w:bottom w:val="single" w:color="auto" w:sz="4" w:space="0"/>
              <w:right w:val="nil"/>
            </w:tcBorders>
            <w:noWrap/>
            <w:vAlign w:val="center"/>
          </w:tcPr>
          <w:p>
            <w:pPr>
              <w:widowControl/>
              <w:jc w:val="center"/>
              <w:rPr>
                <w:rFonts w:ascii="黑体" w:hAnsi="黑体" w:eastAsia="黑体" w:cs="宋体"/>
                <w:kern w:val="0"/>
                <w:szCs w:val="21"/>
              </w:rPr>
            </w:pPr>
            <w:r>
              <w:rPr>
                <w:rFonts w:hint="eastAsia" w:ascii="黑体" w:hAnsi="黑体" w:eastAsia="黑体" w:cs="宋体"/>
                <w:kern w:val="0"/>
                <w:szCs w:val="21"/>
              </w:rPr>
              <w:t>广汉市雒城镇第一小学校2019年部门整体支出绩效评价指标体系及评分表</w:t>
            </w:r>
          </w:p>
        </w:tc>
      </w:tr>
      <w:tr>
        <w:trPr>
          <w:trHeight w:val="420" w:hRule="atLeast"/>
        </w:trPr>
        <w:tc>
          <w:tcPr>
            <w:tcW w:w="525" w:type="dxa"/>
            <w:tcBorders>
              <w:top w:val="nil"/>
              <w:left w:val="single" w:color="auto" w:sz="4" w:space="0"/>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一级指标</w:t>
            </w:r>
          </w:p>
        </w:tc>
        <w:tc>
          <w:tcPr>
            <w:tcW w:w="854"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二级指标</w:t>
            </w:r>
          </w:p>
        </w:tc>
        <w:tc>
          <w:tcPr>
            <w:tcW w:w="1352"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三级指标</w:t>
            </w:r>
          </w:p>
        </w:tc>
        <w:tc>
          <w:tcPr>
            <w:tcW w:w="441"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分值</w:t>
            </w:r>
          </w:p>
        </w:tc>
        <w:tc>
          <w:tcPr>
            <w:tcW w:w="591"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自评得分</w:t>
            </w:r>
          </w:p>
        </w:tc>
        <w:tc>
          <w:tcPr>
            <w:tcW w:w="1606"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指标解释</w:t>
            </w:r>
          </w:p>
        </w:tc>
        <w:tc>
          <w:tcPr>
            <w:tcW w:w="2354" w:type="dxa"/>
            <w:tcBorders>
              <w:top w:val="nil"/>
              <w:left w:val="nil"/>
              <w:bottom w:val="single" w:color="auto" w:sz="4" w:space="0"/>
              <w:right w:val="single" w:color="auto" w:sz="4" w:space="0"/>
            </w:tcBorders>
            <w:vAlign w:val="center"/>
          </w:tcPr>
          <w:p>
            <w:pPr>
              <w:widowControl/>
              <w:jc w:val="center"/>
              <w:rPr>
                <w:rFonts w:ascii="宋体" w:hAnsi="宋体"/>
                <w:b/>
                <w:bCs/>
                <w:kern w:val="0"/>
                <w:sz w:val="15"/>
                <w:szCs w:val="15"/>
              </w:rPr>
            </w:pPr>
            <w:r>
              <w:rPr>
                <w:rFonts w:hint="eastAsia" w:ascii="宋体" w:hAnsi="宋体"/>
                <w:b/>
                <w:bCs/>
                <w:kern w:val="0"/>
                <w:sz w:val="15"/>
                <w:szCs w:val="15"/>
              </w:rPr>
              <w:t>评分标准</w:t>
            </w:r>
          </w:p>
        </w:tc>
        <w:tc>
          <w:tcPr>
            <w:tcW w:w="799" w:type="dxa"/>
            <w:tcBorders>
              <w:top w:val="nil"/>
              <w:left w:val="nil"/>
              <w:bottom w:val="single" w:color="auto" w:sz="4" w:space="0"/>
              <w:right w:val="single" w:color="auto" w:sz="4" w:space="0"/>
            </w:tcBorders>
            <w:vAlign w:val="center"/>
          </w:tcPr>
          <w:p>
            <w:pPr>
              <w:widowControl/>
              <w:jc w:val="center"/>
              <w:rPr>
                <w:rFonts w:ascii="等线" w:hAnsi="宋体" w:cs="宋体"/>
                <w:b/>
                <w:bCs/>
                <w:color w:val="000000"/>
                <w:kern w:val="0"/>
                <w:sz w:val="15"/>
                <w:szCs w:val="15"/>
              </w:rPr>
            </w:pPr>
            <w:r>
              <w:rPr>
                <w:rFonts w:ascii="等线" w:hAnsi="宋体" w:cs="宋体"/>
                <w:b/>
                <w:bCs/>
                <w:color w:val="000000"/>
                <w:kern w:val="0"/>
                <w:sz w:val="15"/>
                <w:szCs w:val="15"/>
              </w:rPr>
              <w:t>备注</w:t>
            </w:r>
          </w:p>
        </w:tc>
      </w:tr>
      <w:tr>
        <w:trPr>
          <w:trHeight w:val="975"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预算管理</w:t>
            </w: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预算编制（5分）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预算安排准确性</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4.5</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反映部门（单位）年初预算安排的准确性</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指标得分=（预算资金总来源-中期评估调整取消资金-预算结余注销资金）/预算资金总来源*指标分值，预算资金总来源是指年初预算与执行中追加预算（不含当年中央、省专款）总和</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211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执行进度（5分）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部门总体执行进度</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部门（单位）按要求严格预算管理</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部门总体执行进度达96%以上，不扣分；达92%以上，按80%打分；达88%以上，按60%打分；未达到88%，不得分。</w:t>
            </w:r>
            <w:r>
              <w:rPr>
                <w:rFonts w:hint="eastAsia" w:ascii="宋体" w:hAnsi="宋体"/>
                <w:kern w:val="0"/>
                <w:sz w:val="15"/>
                <w:szCs w:val="15"/>
              </w:rPr>
              <w:br w:type="textWrapping"/>
            </w:r>
            <w:r>
              <w:rPr>
                <w:rFonts w:hint="eastAsia" w:ascii="宋体" w:hAnsi="宋体"/>
                <w:kern w:val="0"/>
                <w:sz w:val="15"/>
                <w:szCs w:val="15"/>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720"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目标管理</w:t>
            </w:r>
          </w:p>
        </w:tc>
        <w:tc>
          <w:tcPr>
            <w:tcW w:w="854" w:type="dxa"/>
            <w:vMerge w:val="restart"/>
            <w:tcBorders>
              <w:top w:val="nil"/>
              <w:left w:val="nil"/>
              <w:bottom w:val="single" w:color="000000"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绩效目标（10分）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目标填报</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考核部门是否按要求编制专项资金、部门专项类项目绩效目标</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应编制绩效目标的专项类项目、专项资金未按要求申报绩效目标，发现1个项目扣0.5分；填报内容不规范，发现1处扣0.5分。直至扣完</w:t>
            </w: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本年度无专项类项目指标内容</w:t>
            </w:r>
          </w:p>
        </w:tc>
      </w:tr>
      <w:tr>
        <w:trPr>
          <w:trHeight w:val="61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目标量化</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3</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考核部门申报绩效目标的量化程度</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专项类项目、专项资金设定的产出指标均应量化，效果指标中应至少50%以上量化指标。发现1个项目未达到要求扣0.5分，直至扣完。</w:t>
            </w: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本年度无专项类项目指标内容</w:t>
            </w:r>
          </w:p>
        </w:tc>
      </w:tr>
      <w:tr>
        <w:trPr>
          <w:trHeight w:val="555"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目标匹配</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考核部门申报的绩效目标是否与部门职能职责相关</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专项类项目、专项资金设定的绩效目标与部门职能职责不一致的，发现一个项目扣1分，直至扣完。</w:t>
            </w: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本年度无专项类项目指标内容</w:t>
            </w:r>
          </w:p>
        </w:tc>
      </w:tr>
      <w:tr>
        <w:trPr>
          <w:trHeight w:val="870" w:hRule="atLeast"/>
        </w:trPr>
        <w:tc>
          <w:tcPr>
            <w:tcW w:w="52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（10分）</w:t>
            </w:r>
            <w:r>
              <w:rPr>
                <w:rFonts w:hint="eastAsia" w:ascii="宋体" w:hAnsi="宋体"/>
                <w:kern w:val="0"/>
                <w:sz w:val="15"/>
                <w:szCs w:val="15"/>
              </w:rPr>
              <w:br w:type="textWrapping"/>
            </w:r>
            <w:r>
              <w:rPr>
                <w:rFonts w:hint="eastAsia" w:ascii="宋体" w:hAnsi="宋体"/>
                <w:kern w:val="0"/>
                <w:sz w:val="15"/>
                <w:szCs w:val="15"/>
              </w:rPr>
              <w:t>部门管理</w:t>
            </w:r>
          </w:p>
        </w:tc>
        <w:tc>
          <w:tcPr>
            <w:tcW w:w="854" w:type="dxa"/>
            <w:vMerge w:val="restart"/>
            <w:tcBorders>
              <w:top w:val="nil"/>
              <w:left w:val="nil"/>
              <w:bottom w:val="single" w:color="000000"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基础管理（4分）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管理制度健全性</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部门（单位）为加强预算管理、推进厉行节约、规范财务行为而制定的管理制度是否健全完整</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是否已制定或具有预算资金管理办法、厉行节约管理措施、内部财务管理制度、会计核算制度等管理制度；相关管理制度是否合法、合规、完整；相关管理制度是否得到有效执行。定性评价。</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126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资金使用合规性</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部门（单位）使用预算资金是否符合相关的预算财务管理制度的规定</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69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single" w:color="000000" w:sz="4" w:space="0"/>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财务监控有效性</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考察部门是否对部门内部、各所属单位，专项资金分配的区（市）县或项目实施主体进行工作监督和定期考核。</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对部门内部、下属单位、分配的专项资金①制定明确的财务监控监督措施，得1分；②监控、监督措施执行有效，得1分。</w:t>
            </w: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r>
      <w:tr>
        <w:trPr>
          <w:trHeight w:val="63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行政成本（1分）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“三公”经费控制</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当年“三公”经费预算与当年决算比，反映“三公”经费控制情况</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部门“三公”经费决算数一项超预算扣0.5分，两项扣1分。</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42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政府采购（1分）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采购规范性</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考察政府采购项目的采购程序、 采购方式的规范性</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采购方式、程序中每一点不规范，扣 0.5 分，直至扣完。</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90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资产管理（2分）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固定资产在用率</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部门实际在用固定资产总额与所有固定资产总额的比率， 用以反映和考核部门固定资产使用效率及程度。</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固定资产在用率=（实际在用固定资产总额/所有固定资产总额）×100%。 固定资产在用率达到 95%以上得满分。 相较95%，每降低 5个百分点扣1分，直至扣完。</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840" w:hRule="atLeast"/>
        </w:trPr>
        <w:tc>
          <w:tcPr>
            <w:tcW w:w="5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kern w:val="0"/>
                <w:sz w:val="15"/>
                <w:szCs w:val="15"/>
              </w:rPr>
            </w:pPr>
          </w:p>
        </w:tc>
        <w:tc>
          <w:tcPr>
            <w:tcW w:w="854"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信息公开（2分）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信息公开</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2</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除涉密单位和信息外，考核部门（单位）是否按财政要求及时完成预算、决算、绩效等信息公开工作</w:t>
            </w:r>
          </w:p>
        </w:tc>
        <w:tc>
          <w:tcPr>
            <w:tcW w:w="2354"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一项公开工作未完成的扣1分，直至扣完。</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840" w:hRule="atLeast"/>
        </w:trPr>
        <w:tc>
          <w:tcPr>
            <w:tcW w:w="52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（70分）</w:t>
            </w:r>
            <w:r>
              <w:rPr>
                <w:rFonts w:hint="eastAsia" w:ascii="宋体" w:hAnsi="宋体"/>
                <w:kern w:val="0"/>
                <w:sz w:val="15"/>
                <w:szCs w:val="15"/>
              </w:rPr>
              <w:br w:type="textWrapping"/>
            </w:r>
            <w:r>
              <w:rPr>
                <w:rFonts w:hint="eastAsia" w:ascii="宋体" w:hAnsi="宋体"/>
                <w:kern w:val="0"/>
                <w:sz w:val="15"/>
                <w:szCs w:val="15"/>
              </w:rPr>
              <w:t>履职效能</w:t>
            </w:r>
          </w:p>
        </w:tc>
        <w:tc>
          <w:tcPr>
            <w:tcW w:w="854" w:type="dxa"/>
            <w:vMerge w:val="restart"/>
            <w:tcBorders>
              <w:top w:val="nil"/>
              <w:left w:val="nil"/>
              <w:bottom w:val="nil"/>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重点任务一（围绕办品牌学校一个中心，抓好教育质量和校园特色两条主线）              （30分）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得分=分值×实际完成任务量/绩效目标设定任务量×100%。实际完成任务量大于绩效目标设定任务量得满分。</w:t>
            </w:r>
          </w:p>
        </w:tc>
        <w:tc>
          <w:tcPr>
            <w:tcW w:w="2354" w:type="dxa"/>
            <w:vMerge w:val="restart"/>
            <w:tcBorders>
              <w:top w:val="nil"/>
              <w:left w:val="nil"/>
              <w:bottom w:val="nil"/>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kern w:val="0"/>
                <w:sz w:val="15"/>
                <w:szCs w:val="15"/>
              </w:rPr>
              <w:br w:type="textWrapping"/>
            </w:r>
            <w:r>
              <w:rPr>
                <w:rFonts w:hint="eastAsia" w:ascii="宋体" w:hAnsi="宋体"/>
                <w:kern w:val="0"/>
                <w:sz w:val="15"/>
                <w:szCs w:val="15"/>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校园特色需进一步强化</w:t>
            </w:r>
          </w:p>
        </w:tc>
      </w:tr>
      <w:tr>
        <w:trPr>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服务对象(受益)对象满意度</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5.88</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根据满意度调查评分</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满意度98%</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关键绩效指标一（以品德为首位，立德树人养正气）</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9</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8</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学生综合素质广汉领先</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关键绩效指标二（以质量为生命，精细管理出成绩）</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9</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9</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质量全市前茅</w:t>
            </w:r>
          </w:p>
        </w:tc>
      </w:tr>
      <w:tr>
        <w:trPr>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restart"/>
            <w:tcBorders>
              <w:top w:val="single" w:color="auto" w:sz="4" w:space="0"/>
              <w:left w:val="nil"/>
              <w:bottom w:val="nil"/>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重点任务二（培养三支只队伍，促师生和家长幸福成长）                 （20分）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285"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服务对象或受益对象满意度</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3.8</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满意度95%</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关键绩效指标一（党建工作在精准扶贫中见实效）</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3.5</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关键绩效指标二（以工会为平台，民主管理聚人心）</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3.5</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关键绩效指标三（挖掘资源，协调发展创一流）</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4</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3</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84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restart"/>
            <w:tcBorders>
              <w:top w:val="single" w:color="auto" w:sz="4" w:space="0"/>
              <w:left w:val="nil"/>
              <w:bottom w:val="nil"/>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重点任务三（打造四个校园，营造学生快乐成长环境）                （20分）</w:t>
            </w: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任务完成率</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8</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7</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得分=分值×实际完成任务量/绩效目标设定任务量×100%。实际完成任务量大于绩效目标设定任务量得满分。</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关键绩效指标一（以服务为主线，环境育人陶性情）</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5</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420" w:hRule="atLeast"/>
        </w:trPr>
        <w:tc>
          <w:tcPr>
            <w:tcW w:w="5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15"/>
                <w:szCs w:val="15"/>
              </w:rPr>
            </w:pPr>
          </w:p>
        </w:tc>
        <w:tc>
          <w:tcPr>
            <w:tcW w:w="854" w:type="dxa"/>
            <w:vMerge w:val="continue"/>
            <w:tcBorders>
              <w:top w:val="single" w:color="auto" w:sz="4" w:space="0"/>
              <w:left w:val="nil"/>
              <w:bottom w:val="nil"/>
              <w:right w:val="single" w:color="auto" w:sz="4" w:space="0"/>
            </w:tcBorders>
            <w:vAlign w:val="center"/>
          </w:tcPr>
          <w:p>
            <w:pPr>
              <w:widowControl/>
              <w:jc w:val="left"/>
              <w:rPr>
                <w:rFonts w:ascii="宋体" w:hAnsi="宋体"/>
                <w:kern w:val="0"/>
                <w:sz w:val="15"/>
                <w:szCs w:val="15"/>
              </w:rPr>
            </w:pPr>
          </w:p>
        </w:tc>
        <w:tc>
          <w:tcPr>
            <w:tcW w:w="1352"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关键绩效指标二（以平安为核心，安全管理见实效）</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59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6</w:t>
            </w:r>
          </w:p>
        </w:tc>
        <w:tc>
          <w:tcPr>
            <w:tcW w:w="1606"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c>
          <w:tcPr>
            <w:tcW w:w="2354" w:type="dxa"/>
            <w:vMerge w:val="continue"/>
            <w:tcBorders>
              <w:top w:val="nil"/>
              <w:left w:val="nil"/>
              <w:bottom w:val="nil"/>
              <w:right w:val="single" w:color="auto" w:sz="4" w:space="0"/>
            </w:tcBorders>
            <w:vAlign w:val="center"/>
          </w:tcPr>
          <w:p>
            <w:pPr>
              <w:widowControl/>
              <w:jc w:val="left"/>
              <w:rPr>
                <w:rFonts w:ascii="宋体" w:hAnsi="宋体"/>
                <w:kern w:val="0"/>
                <w:sz w:val="15"/>
                <w:szCs w:val="15"/>
              </w:rPr>
            </w:pP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285" w:hRule="atLeast"/>
        </w:trPr>
        <w:tc>
          <w:tcPr>
            <w:tcW w:w="2731"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kern w:val="0"/>
                <w:sz w:val="15"/>
                <w:szCs w:val="15"/>
              </w:rPr>
            </w:pPr>
            <w:r>
              <w:rPr>
                <w:rFonts w:hint="eastAsia" w:ascii="宋体" w:hAnsi="宋体"/>
                <w:kern w:val="0"/>
                <w:sz w:val="15"/>
                <w:szCs w:val="15"/>
              </w:rPr>
              <w:t>合计</w:t>
            </w:r>
          </w:p>
        </w:tc>
        <w:tc>
          <w:tcPr>
            <w:tcW w:w="441" w:type="dxa"/>
            <w:tcBorders>
              <w:top w:val="nil"/>
              <w:left w:val="nil"/>
              <w:bottom w:val="single" w:color="auto" w:sz="4" w:space="0"/>
              <w:right w:val="single" w:color="auto" w:sz="4" w:space="0"/>
            </w:tcBorders>
            <w:vAlign w:val="center"/>
          </w:tcPr>
          <w:p>
            <w:pPr>
              <w:widowControl/>
              <w:jc w:val="center"/>
              <w:rPr>
                <w:rFonts w:ascii="宋体" w:hAnsi="宋体"/>
                <w:kern w:val="0"/>
                <w:sz w:val="15"/>
                <w:szCs w:val="15"/>
              </w:rPr>
            </w:pPr>
            <w:r>
              <w:rPr>
                <w:rFonts w:hint="eastAsia" w:ascii="宋体" w:hAnsi="宋体"/>
                <w:kern w:val="0"/>
                <w:sz w:val="15"/>
                <w:szCs w:val="15"/>
              </w:rPr>
              <w:t>100</w:t>
            </w:r>
          </w:p>
        </w:tc>
        <w:tc>
          <w:tcPr>
            <w:tcW w:w="591" w:type="dxa"/>
            <w:tcBorders>
              <w:top w:val="nil"/>
              <w:left w:val="nil"/>
              <w:bottom w:val="single" w:color="auto" w:sz="4" w:space="0"/>
              <w:right w:val="nil"/>
            </w:tcBorders>
            <w:vAlign w:val="center"/>
          </w:tcPr>
          <w:p>
            <w:pPr>
              <w:widowControl/>
              <w:jc w:val="center"/>
              <w:rPr>
                <w:rFonts w:ascii="宋体" w:hAnsi="宋体"/>
                <w:kern w:val="0"/>
                <w:sz w:val="15"/>
                <w:szCs w:val="15"/>
              </w:rPr>
            </w:pPr>
            <w:r>
              <w:rPr>
                <w:rFonts w:hint="eastAsia" w:ascii="宋体" w:hAnsi="宋体"/>
                <w:kern w:val="0"/>
                <w:sz w:val="15"/>
                <w:szCs w:val="15"/>
              </w:rPr>
              <w:t>93.55</w:t>
            </w:r>
          </w:p>
        </w:tc>
        <w:tc>
          <w:tcPr>
            <w:tcW w:w="396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kern w:val="0"/>
                <w:sz w:val="15"/>
                <w:szCs w:val="15"/>
              </w:rPr>
            </w:pPr>
            <w:r>
              <w:rPr>
                <w:rFonts w:hint="eastAsia" w:ascii="宋体" w:hAnsi="宋体"/>
                <w:kern w:val="0"/>
                <w:sz w:val="15"/>
                <w:szCs w:val="15"/>
              </w:rPr>
              <w:t>　</w:t>
            </w:r>
          </w:p>
        </w:tc>
        <w:tc>
          <w:tcPr>
            <w:tcW w:w="799" w:type="dxa"/>
            <w:tcBorders>
              <w:top w:val="nil"/>
              <w:left w:val="nil"/>
              <w:bottom w:val="single" w:color="auto" w:sz="4" w:space="0"/>
              <w:right w:val="single" w:color="auto" w:sz="4" w:space="0"/>
            </w:tcBorders>
            <w:vAlign w:val="center"/>
          </w:tcPr>
          <w:p>
            <w:pPr>
              <w:widowControl/>
              <w:jc w:val="left"/>
              <w:rPr>
                <w:rFonts w:ascii="宋体" w:hAnsi="宋体"/>
                <w:kern w:val="0"/>
                <w:sz w:val="15"/>
                <w:szCs w:val="15"/>
              </w:rPr>
            </w:pPr>
            <w:r>
              <w:rPr>
                <w:rFonts w:hint="eastAsia" w:ascii="宋体" w:hAnsi="宋体"/>
                <w:kern w:val="0"/>
                <w:sz w:val="15"/>
                <w:szCs w:val="15"/>
              </w:rPr>
              <w:t>　</w:t>
            </w:r>
          </w:p>
        </w:tc>
      </w:tr>
      <w:tr>
        <w:trPr>
          <w:trHeight w:val="285" w:hRule="atLeast"/>
        </w:trPr>
        <w:tc>
          <w:tcPr>
            <w:tcW w:w="525" w:type="dxa"/>
            <w:tcBorders>
              <w:top w:val="nil"/>
              <w:left w:val="nil"/>
              <w:bottom w:val="nil"/>
              <w:right w:val="nil"/>
            </w:tcBorders>
            <w:vAlign w:val="bottom"/>
          </w:tcPr>
          <w:p>
            <w:pPr>
              <w:widowControl/>
              <w:jc w:val="left"/>
              <w:rPr>
                <w:rFonts w:ascii="等线" w:hAnsi="宋体" w:cs="宋体"/>
                <w:color w:val="000000"/>
                <w:kern w:val="0"/>
                <w:sz w:val="15"/>
                <w:szCs w:val="15"/>
              </w:rPr>
            </w:pPr>
          </w:p>
        </w:tc>
        <w:tc>
          <w:tcPr>
            <w:tcW w:w="854" w:type="dxa"/>
            <w:tcBorders>
              <w:top w:val="nil"/>
              <w:left w:val="nil"/>
              <w:bottom w:val="nil"/>
              <w:right w:val="nil"/>
            </w:tcBorders>
            <w:vAlign w:val="bottom"/>
          </w:tcPr>
          <w:p>
            <w:pPr>
              <w:widowControl/>
              <w:jc w:val="left"/>
              <w:rPr>
                <w:rFonts w:ascii="等线" w:hAnsi="宋体" w:cs="宋体"/>
                <w:color w:val="000000"/>
                <w:kern w:val="0"/>
                <w:sz w:val="15"/>
                <w:szCs w:val="15"/>
              </w:rPr>
            </w:pPr>
          </w:p>
        </w:tc>
        <w:tc>
          <w:tcPr>
            <w:tcW w:w="1352" w:type="dxa"/>
            <w:tcBorders>
              <w:top w:val="nil"/>
              <w:left w:val="nil"/>
              <w:bottom w:val="nil"/>
              <w:right w:val="nil"/>
            </w:tcBorders>
            <w:vAlign w:val="bottom"/>
          </w:tcPr>
          <w:p>
            <w:pPr>
              <w:widowControl/>
              <w:jc w:val="left"/>
              <w:rPr>
                <w:rFonts w:ascii="等线" w:hAnsi="宋体" w:cs="宋体"/>
                <w:color w:val="000000"/>
                <w:kern w:val="0"/>
                <w:sz w:val="15"/>
                <w:szCs w:val="15"/>
              </w:rPr>
            </w:pPr>
          </w:p>
        </w:tc>
        <w:tc>
          <w:tcPr>
            <w:tcW w:w="441" w:type="dxa"/>
            <w:tcBorders>
              <w:top w:val="nil"/>
              <w:left w:val="nil"/>
              <w:bottom w:val="nil"/>
              <w:right w:val="nil"/>
            </w:tcBorders>
            <w:vAlign w:val="bottom"/>
          </w:tcPr>
          <w:p>
            <w:pPr>
              <w:widowControl/>
              <w:jc w:val="center"/>
              <w:rPr>
                <w:rFonts w:ascii="等线" w:hAnsi="宋体" w:cs="宋体"/>
                <w:color w:val="000000"/>
                <w:kern w:val="0"/>
                <w:sz w:val="15"/>
                <w:szCs w:val="15"/>
              </w:rPr>
            </w:pPr>
          </w:p>
        </w:tc>
        <w:tc>
          <w:tcPr>
            <w:tcW w:w="591" w:type="dxa"/>
            <w:tcBorders>
              <w:top w:val="nil"/>
              <w:left w:val="nil"/>
              <w:bottom w:val="nil"/>
              <w:right w:val="nil"/>
            </w:tcBorders>
            <w:vAlign w:val="bottom"/>
          </w:tcPr>
          <w:p>
            <w:pPr>
              <w:widowControl/>
              <w:jc w:val="center"/>
              <w:rPr>
                <w:rFonts w:ascii="等线" w:hAnsi="宋体" w:cs="宋体"/>
                <w:color w:val="000000"/>
                <w:kern w:val="0"/>
                <w:sz w:val="15"/>
                <w:szCs w:val="15"/>
              </w:rPr>
            </w:pPr>
          </w:p>
        </w:tc>
        <w:tc>
          <w:tcPr>
            <w:tcW w:w="1606" w:type="dxa"/>
            <w:tcBorders>
              <w:top w:val="nil"/>
              <w:left w:val="nil"/>
              <w:bottom w:val="nil"/>
              <w:right w:val="nil"/>
            </w:tcBorders>
            <w:vAlign w:val="bottom"/>
          </w:tcPr>
          <w:p>
            <w:pPr>
              <w:widowControl/>
              <w:jc w:val="left"/>
              <w:rPr>
                <w:rFonts w:ascii="等线" w:hAnsi="宋体" w:cs="宋体"/>
                <w:color w:val="000000"/>
                <w:kern w:val="0"/>
                <w:sz w:val="15"/>
                <w:szCs w:val="15"/>
              </w:rPr>
            </w:pPr>
          </w:p>
        </w:tc>
        <w:tc>
          <w:tcPr>
            <w:tcW w:w="2354" w:type="dxa"/>
            <w:tcBorders>
              <w:top w:val="nil"/>
              <w:left w:val="nil"/>
              <w:bottom w:val="nil"/>
              <w:right w:val="nil"/>
            </w:tcBorders>
            <w:vAlign w:val="bottom"/>
          </w:tcPr>
          <w:p>
            <w:pPr>
              <w:widowControl/>
              <w:jc w:val="left"/>
              <w:rPr>
                <w:rFonts w:ascii="等线" w:hAnsi="宋体" w:cs="宋体"/>
                <w:color w:val="000000"/>
                <w:kern w:val="0"/>
                <w:sz w:val="15"/>
                <w:szCs w:val="15"/>
              </w:rPr>
            </w:pPr>
          </w:p>
        </w:tc>
        <w:tc>
          <w:tcPr>
            <w:tcW w:w="799" w:type="dxa"/>
            <w:tcBorders>
              <w:top w:val="nil"/>
              <w:left w:val="nil"/>
              <w:bottom w:val="nil"/>
              <w:right w:val="nil"/>
            </w:tcBorders>
            <w:vAlign w:val="bottom"/>
          </w:tcPr>
          <w:p>
            <w:pPr>
              <w:widowControl/>
              <w:jc w:val="left"/>
              <w:rPr>
                <w:rFonts w:ascii="宋体" w:hAnsi="宋体"/>
                <w:kern w:val="0"/>
                <w:sz w:val="15"/>
                <w:szCs w:val="15"/>
              </w:rPr>
            </w:pPr>
          </w:p>
        </w:tc>
      </w:tr>
      <w:tr>
        <w:trPr>
          <w:trHeight w:val="499" w:hRule="atLeast"/>
        </w:trPr>
        <w:tc>
          <w:tcPr>
            <w:tcW w:w="8522" w:type="dxa"/>
            <w:gridSpan w:val="8"/>
            <w:tcBorders>
              <w:top w:val="nil"/>
              <w:left w:val="nil"/>
              <w:bottom w:val="nil"/>
              <w:right w:val="nil"/>
            </w:tcBorders>
            <w:vAlign w:val="center"/>
          </w:tcPr>
          <w:p>
            <w:pPr>
              <w:widowControl/>
              <w:jc w:val="left"/>
              <w:rPr>
                <w:rFonts w:ascii="宋体" w:hAnsi="宋体"/>
                <w:kern w:val="0"/>
                <w:sz w:val="15"/>
                <w:szCs w:val="15"/>
              </w:rPr>
            </w:pPr>
            <w:r>
              <w:rPr>
                <w:rFonts w:hint="eastAsia" w:ascii="宋体" w:hAnsi="宋体"/>
                <w:kern w:val="0"/>
                <w:sz w:val="15"/>
                <w:szCs w:val="15"/>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 xml:space="preserve"> </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（二）存在的问题及原因</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2019年我校各项工作落实有力、成效显著，综合绩效考核取得了一定的成绩，实现了预期目标，但从执行情况来看，还存在着以下问题：</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1、年初设置绩效目标不够科学，目标设立不够明确、细化和量化；</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2、固定资产管理工作有待进一步加强；</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3、预算执行有待进一步严格，预算编制与实际支出项目有的仍存在一定差异。</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（三）改进措施</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针对在预算绩效工作中出现的问题，在今后的工作中主要做到以下改进：</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1、加强绩效评价相关文件和知识的学习，提升绩效自评能力，结合单位实际和项目资金实际科学合理设置绩效目标，尽可能细化、量化。</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2、严格执行固定资产管理办法，从资产采购、使用以及报废各环节规范固定资产的管理，提高固定资产使用效率，减少资金浪费。</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3、加强预算编制的合理性，细化预算编制，严格预算执行。进一步加强单位内部机构各单位各处室的预算管理意识，严格按照预算编制的相关制度和要求进行预算编制。按照预算规定的项目和用途严格财务审核，经费支出严格按预算规定项目的财务支出内容进行财务核算，在预算金额内严格控制费用的支出。同时进一步加强新政府会计制度和预算法等的学习，切实提高部门预算收支管理水平。</w:t>
      </w:r>
    </w:p>
    <w:p>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4、进一步建立健全财务制度，规范财务管理，加强绩效评价管理评价的可操作性，对相关业务人员进行相关培训，以提高业务知识水平。</w:t>
      </w:r>
    </w:p>
    <w:p>
      <w:pPr>
        <w:spacing w:line="600" w:lineRule="exact"/>
        <w:jc w:val="center"/>
        <w:outlineLvl w:val="0"/>
        <w:rPr>
          <w:rFonts w:ascii="黑体" w:hAnsi="黑体" w:eastAsia="黑体"/>
          <w:b w:val="0"/>
        </w:rPr>
      </w:pPr>
      <w:bookmarkStart w:id="56" w:name="_Toc15396618"/>
    </w:p>
    <w:p>
      <w:pPr>
        <w:adjustRightInd w:val="0"/>
        <w:snapToGrid w:val="0"/>
        <w:spacing w:line="360" w:lineRule="auto"/>
        <w:jc w:val="center"/>
        <w:rPr>
          <w:rFonts w:hint="eastAsia" w:ascii="黑体" w:hAnsi="黑体" w:eastAsia="黑体"/>
          <w:sz w:val="36"/>
          <w:szCs w:val="36"/>
        </w:rPr>
      </w:pPr>
      <w:r>
        <w:rPr>
          <w:rFonts w:hint="eastAsia" w:ascii="黑体" w:hAnsi="黑体" w:eastAsia="黑体"/>
          <w:color w:val="000000"/>
          <w:sz w:val="36"/>
          <w:szCs w:val="36"/>
        </w:rPr>
        <w:t>第</w:t>
      </w:r>
      <w:r>
        <w:rPr>
          <w:rStyle w:val="19"/>
          <w:rFonts w:hint="eastAsia" w:ascii="黑体" w:hAnsi="黑体" w:eastAsia="黑体"/>
          <w:sz w:val="36"/>
          <w:szCs w:val="36"/>
        </w:rPr>
        <w:t>五部分 附表</w:t>
      </w:r>
      <w:bookmarkEnd w:id="56"/>
    </w:p>
    <w:p>
      <w:pPr>
        <w:pStyle w:val="3"/>
        <w:adjustRightInd w:val="0"/>
        <w:snapToGrid w:val="0"/>
        <w:spacing w:before="0" w:after="0" w:line="360" w:lineRule="auto"/>
        <w:ind w:firstLine="480" w:firstLineChars="200"/>
        <w:rPr>
          <w:rFonts w:hint="eastAsia" w:asciiTheme="minorEastAsia" w:hAnsiTheme="minorEastAsia" w:eastAsiaTheme="minorEastAsia"/>
          <w:b w:val="0"/>
          <w:color w:val="000000"/>
          <w:sz w:val="24"/>
          <w:szCs w:val="24"/>
        </w:rPr>
      </w:pPr>
      <w:bookmarkStart w:id="57" w:name="_Toc15396619"/>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b w:val="0"/>
          <w:color w:val="000000"/>
          <w:sz w:val="24"/>
          <w:szCs w:val="24"/>
        </w:rPr>
        <w:t>一、收</w:t>
      </w:r>
      <w:r>
        <w:rPr>
          <w:rStyle w:val="20"/>
          <w:rFonts w:hint="eastAsia" w:asciiTheme="minorEastAsia" w:hAnsiTheme="minorEastAsia" w:eastAsiaTheme="minorEastAsia"/>
          <w:b w:val="0"/>
          <w:bCs w:val="0"/>
          <w:sz w:val="24"/>
          <w:szCs w:val="24"/>
        </w:rPr>
        <w:t>入支出决算总表</w:t>
      </w:r>
      <w:bookmarkEnd w:id="57"/>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58" w:name="_Toc15396620"/>
      <w:r>
        <w:rPr>
          <w:rFonts w:hint="eastAsia" w:asciiTheme="minorEastAsia" w:hAnsiTheme="minorEastAsia" w:eastAsiaTheme="minorEastAsia"/>
          <w:b w:val="0"/>
          <w:color w:val="000000"/>
          <w:sz w:val="24"/>
          <w:szCs w:val="24"/>
        </w:rPr>
        <w:t>二、收</w:t>
      </w:r>
      <w:r>
        <w:rPr>
          <w:rStyle w:val="20"/>
          <w:rFonts w:hint="eastAsia" w:asciiTheme="minorEastAsia" w:hAnsiTheme="minorEastAsia" w:eastAsiaTheme="minorEastAsia"/>
          <w:b w:val="0"/>
          <w:bCs w:val="0"/>
          <w:sz w:val="24"/>
          <w:szCs w:val="24"/>
        </w:rPr>
        <w:t>入决算表</w:t>
      </w:r>
      <w:bookmarkEnd w:id="58"/>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59" w:name="_Toc15396621"/>
      <w:r>
        <w:rPr>
          <w:rStyle w:val="20"/>
          <w:rFonts w:hint="eastAsia" w:asciiTheme="minorEastAsia" w:hAnsiTheme="minorEastAsia" w:eastAsiaTheme="minorEastAsia"/>
          <w:b w:val="0"/>
          <w:bCs w:val="0"/>
          <w:sz w:val="24"/>
          <w:szCs w:val="24"/>
        </w:rPr>
        <w:t>三、</w:t>
      </w:r>
      <w:r>
        <w:rPr>
          <w:rFonts w:hint="eastAsia" w:asciiTheme="minorEastAsia" w:hAnsiTheme="minorEastAsia" w:eastAsiaTheme="minorEastAsia"/>
          <w:b w:val="0"/>
          <w:color w:val="000000"/>
          <w:sz w:val="24"/>
          <w:szCs w:val="24"/>
        </w:rPr>
        <w:t>支</w:t>
      </w:r>
      <w:r>
        <w:rPr>
          <w:rStyle w:val="20"/>
          <w:rFonts w:hint="eastAsia" w:asciiTheme="minorEastAsia" w:hAnsiTheme="minorEastAsia" w:eastAsiaTheme="minorEastAsia"/>
          <w:b w:val="0"/>
          <w:bCs w:val="0"/>
          <w:sz w:val="24"/>
          <w:szCs w:val="24"/>
        </w:rPr>
        <w:t>出决算表</w:t>
      </w:r>
      <w:bookmarkEnd w:id="59"/>
    </w:p>
    <w:p>
      <w:pPr>
        <w:pStyle w:val="3"/>
        <w:adjustRightInd w:val="0"/>
        <w:snapToGrid w:val="0"/>
        <w:spacing w:before="0" w:after="0" w:line="360" w:lineRule="auto"/>
        <w:ind w:firstLine="480" w:firstLineChars="200"/>
        <w:rPr>
          <w:rFonts w:asciiTheme="minorEastAsia" w:hAnsiTheme="minorEastAsia" w:eastAsiaTheme="minorEastAsia"/>
          <w:b w:val="0"/>
          <w:color w:val="000000"/>
          <w:sz w:val="24"/>
          <w:szCs w:val="24"/>
        </w:rPr>
      </w:pPr>
      <w:bookmarkStart w:id="60" w:name="_Toc15396622"/>
      <w:r>
        <w:rPr>
          <w:rStyle w:val="20"/>
          <w:rFonts w:hint="eastAsia" w:asciiTheme="minorEastAsia" w:hAnsiTheme="minorEastAsia" w:eastAsiaTheme="minorEastAsia"/>
          <w:b w:val="0"/>
          <w:bCs w:val="0"/>
          <w:sz w:val="24"/>
          <w:szCs w:val="24"/>
        </w:rPr>
        <w:t>四、</w:t>
      </w:r>
      <w:r>
        <w:rPr>
          <w:rFonts w:hint="eastAsia" w:asciiTheme="minorEastAsia" w:hAnsiTheme="minorEastAsia" w:eastAsiaTheme="minorEastAsia"/>
          <w:b w:val="0"/>
          <w:color w:val="000000"/>
          <w:sz w:val="24"/>
          <w:szCs w:val="24"/>
        </w:rPr>
        <w:t>财</w:t>
      </w:r>
      <w:r>
        <w:rPr>
          <w:rStyle w:val="20"/>
          <w:rFonts w:hint="eastAsia" w:asciiTheme="minorEastAsia" w:hAnsiTheme="minorEastAsia" w:eastAsiaTheme="minorEastAsia"/>
          <w:b w:val="0"/>
          <w:bCs w:val="0"/>
          <w:sz w:val="24"/>
          <w:szCs w:val="24"/>
        </w:rPr>
        <w:t>政拨款收入支出决算总表</w:t>
      </w:r>
      <w:bookmarkEnd w:id="60"/>
    </w:p>
    <w:p>
      <w:pPr>
        <w:pStyle w:val="3"/>
        <w:adjustRightInd w:val="0"/>
        <w:snapToGrid w:val="0"/>
        <w:spacing w:before="0" w:after="0" w:line="360" w:lineRule="auto"/>
        <w:ind w:firstLine="480" w:firstLineChars="200"/>
        <w:rPr>
          <w:rFonts w:asciiTheme="minorEastAsia" w:hAnsiTheme="minorEastAsia" w:eastAsiaTheme="minorEastAsia"/>
          <w:b w:val="0"/>
          <w:bCs w:val="0"/>
          <w:sz w:val="24"/>
          <w:szCs w:val="24"/>
        </w:rPr>
      </w:pPr>
      <w:bookmarkStart w:id="61" w:name="_Toc15396623"/>
      <w:r>
        <w:rPr>
          <w:rStyle w:val="20"/>
          <w:rFonts w:hint="eastAsia" w:asciiTheme="minorEastAsia" w:hAnsiTheme="minorEastAsia" w:eastAsiaTheme="minorEastAsia"/>
          <w:b w:val="0"/>
          <w:bCs w:val="0"/>
          <w:sz w:val="24"/>
          <w:szCs w:val="24"/>
        </w:rPr>
        <w:t>五、</w:t>
      </w:r>
      <w:r>
        <w:rPr>
          <w:rFonts w:hint="eastAsia" w:asciiTheme="minorEastAsia" w:hAnsiTheme="minorEastAsia" w:eastAsiaTheme="minorEastAsia"/>
          <w:b w:val="0"/>
          <w:color w:val="000000"/>
          <w:sz w:val="24"/>
          <w:szCs w:val="24"/>
        </w:rPr>
        <w:t>财</w:t>
      </w:r>
      <w:r>
        <w:rPr>
          <w:rStyle w:val="20"/>
          <w:rFonts w:hint="eastAsia" w:asciiTheme="minorEastAsia" w:hAnsiTheme="minorEastAsia" w:eastAsiaTheme="minorEastAsia"/>
          <w:b w:val="0"/>
          <w:bCs w:val="0"/>
          <w:sz w:val="24"/>
          <w:szCs w:val="24"/>
        </w:rPr>
        <w:t>政拨款支出决算明细表</w:t>
      </w:r>
      <w:bookmarkEnd w:id="61"/>
      <w:bookmarkStart w:id="62" w:name="_Toc15396624"/>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r>
        <w:rPr>
          <w:rStyle w:val="20"/>
          <w:rFonts w:hint="eastAsia" w:asciiTheme="minorEastAsia" w:hAnsiTheme="minorEastAsia" w:eastAsiaTheme="minorEastAsia"/>
          <w:b w:val="0"/>
          <w:bCs w:val="0"/>
          <w:sz w:val="24"/>
          <w:szCs w:val="24"/>
        </w:rPr>
        <w:t>六、</w:t>
      </w:r>
      <w:r>
        <w:rPr>
          <w:rFonts w:hint="eastAsia" w:asciiTheme="minorEastAsia" w:hAnsiTheme="minorEastAsia" w:eastAsiaTheme="minorEastAsia"/>
          <w:b w:val="0"/>
          <w:color w:val="000000"/>
          <w:sz w:val="24"/>
          <w:szCs w:val="24"/>
        </w:rPr>
        <w:t>一</w:t>
      </w:r>
      <w:r>
        <w:rPr>
          <w:rStyle w:val="20"/>
          <w:rFonts w:hint="eastAsia" w:asciiTheme="minorEastAsia" w:hAnsiTheme="minorEastAsia" w:eastAsiaTheme="minorEastAsia"/>
          <w:b w:val="0"/>
          <w:bCs w:val="0"/>
          <w:sz w:val="24"/>
          <w:szCs w:val="24"/>
        </w:rPr>
        <w:t>般公共预算财政拨款支出决算表</w:t>
      </w:r>
      <w:bookmarkEnd w:id="62"/>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3" w:name="_Toc15396625"/>
      <w:r>
        <w:rPr>
          <w:rStyle w:val="20"/>
          <w:rFonts w:hint="eastAsia" w:asciiTheme="minorEastAsia" w:hAnsiTheme="minorEastAsia" w:eastAsiaTheme="minorEastAsia"/>
          <w:b w:val="0"/>
          <w:bCs w:val="0"/>
          <w:sz w:val="24"/>
          <w:szCs w:val="24"/>
        </w:rPr>
        <w:t>七、</w:t>
      </w:r>
      <w:r>
        <w:rPr>
          <w:rFonts w:hint="eastAsia" w:asciiTheme="minorEastAsia" w:hAnsiTheme="minorEastAsia" w:eastAsiaTheme="minorEastAsia"/>
          <w:b w:val="0"/>
          <w:color w:val="000000"/>
          <w:sz w:val="24"/>
          <w:szCs w:val="24"/>
        </w:rPr>
        <w:t>一</w:t>
      </w:r>
      <w:r>
        <w:rPr>
          <w:rStyle w:val="20"/>
          <w:rFonts w:hint="eastAsia" w:asciiTheme="minorEastAsia" w:hAnsiTheme="minorEastAsia" w:eastAsiaTheme="minorEastAsia"/>
          <w:b w:val="0"/>
          <w:bCs w:val="0"/>
          <w:sz w:val="24"/>
          <w:szCs w:val="24"/>
        </w:rPr>
        <w:t>般公共预算财政拨款支出决算明细表</w:t>
      </w:r>
      <w:bookmarkEnd w:id="63"/>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4" w:name="_Toc15396626"/>
      <w:r>
        <w:rPr>
          <w:rStyle w:val="20"/>
          <w:rFonts w:hint="eastAsia" w:asciiTheme="minorEastAsia" w:hAnsiTheme="minorEastAsia" w:eastAsiaTheme="minorEastAsia"/>
          <w:b w:val="0"/>
          <w:bCs w:val="0"/>
          <w:sz w:val="24"/>
          <w:szCs w:val="24"/>
        </w:rPr>
        <w:t>八、</w:t>
      </w:r>
      <w:r>
        <w:rPr>
          <w:rFonts w:hint="eastAsia" w:asciiTheme="minorEastAsia" w:hAnsiTheme="minorEastAsia" w:eastAsiaTheme="minorEastAsia"/>
          <w:b w:val="0"/>
          <w:color w:val="000000"/>
          <w:sz w:val="24"/>
          <w:szCs w:val="24"/>
        </w:rPr>
        <w:t>一</w:t>
      </w:r>
      <w:r>
        <w:rPr>
          <w:rStyle w:val="20"/>
          <w:rFonts w:hint="eastAsia" w:asciiTheme="minorEastAsia" w:hAnsiTheme="minorEastAsia" w:eastAsiaTheme="minorEastAsia"/>
          <w:b w:val="0"/>
          <w:bCs w:val="0"/>
          <w:sz w:val="24"/>
          <w:szCs w:val="24"/>
        </w:rPr>
        <w:t>般公共预算财政拨款基本支出决算表</w:t>
      </w:r>
      <w:bookmarkEnd w:id="64"/>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5" w:name="_Toc15396627"/>
      <w:r>
        <w:rPr>
          <w:rStyle w:val="20"/>
          <w:rFonts w:hint="eastAsia" w:asciiTheme="minorEastAsia" w:hAnsiTheme="minorEastAsia" w:eastAsiaTheme="minorEastAsia"/>
          <w:b w:val="0"/>
          <w:bCs w:val="0"/>
          <w:sz w:val="24"/>
          <w:szCs w:val="24"/>
        </w:rPr>
        <w:t>九、</w:t>
      </w:r>
      <w:r>
        <w:rPr>
          <w:rFonts w:hint="eastAsia" w:asciiTheme="minorEastAsia" w:hAnsiTheme="minorEastAsia" w:eastAsiaTheme="minorEastAsia"/>
          <w:b w:val="0"/>
          <w:color w:val="000000"/>
          <w:sz w:val="24"/>
          <w:szCs w:val="24"/>
        </w:rPr>
        <w:t>一</w:t>
      </w:r>
      <w:r>
        <w:rPr>
          <w:rStyle w:val="20"/>
          <w:rFonts w:hint="eastAsia" w:asciiTheme="minorEastAsia" w:hAnsiTheme="minorEastAsia" w:eastAsiaTheme="minorEastAsia"/>
          <w:b w:val="0"/>
          <w:bCs w:val="0"/>
          <w:sz w:val="24"/>
          <w:szCs w:val="24"/>
        </w:rPr>
        <w:t>般公共预算财政拨款项目支出决算表</w:t>
      </w:r>
      <w:bookmarkEnd w:id="65"/>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6" w:name="_Toc15396628"/>
      <w:r>
        <w:rPr>
          <w:rStyle w:val="20"/>
          <w:rFonts w:hint="eastAsia" w:asciiTheme="minorEastAsia" w:hAnsiTheme="minorEastAsia" w:eastAsiaTheme="minorEastAsia"/>
          <w:b w:val="0"/>
          <w:bCs w:val="0"/>
          <w:sz w:val="24"/>
          <w:szCs w:val="24"/>
        </w:rPr>
        <w:t>十、</w:t>
      </w:r>
      <w:r>
        <w:rPr>
          <w:rFonts w:hint="eastAsia" w:asciiTheme="minorEastAsia" w:hAnsiTheme="minorEastAsia" w:eastAsiaTheme="minorEastAsia"/>
          <w:b w:val="0"/>
          <w:color w:val="000000"/>
          <w:sz w:val="24"/>
          <w:szCs w:val="24"/>
        </w:rPr>
        <w:t>一</w:t>
      </w:r>
      <w:r>
        <w:rPr>
          <w:rStyle w:val="20"/>
          <w:rFonts w:hint="eastAsia" w:asciiTheme="minorEastAsia" w:hAnsiTheme="minorEastAsia" w:eastAsiaTheme="minorEastAsia"/>
          <w:b w:val="0"/>
          <w:bCs w:val="0"/>
          <w:sz w:val="24"/>
          <w:szCs w:val="24"/>
        </w:rPr>
        <w:t>般公共预算财政拨款“三公”经费支出决算表</w:t>
      </w:r>
      <w:bookmarkEnd w:id="66"/>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7" w:name="_Toc15396629"/>
      <w:r>
        <w:rPr>
          <w:rStyle w:val="20"/>
          <w:rFonts w:hint="eastAsia" w:asciiTheme="minorEastAsia" w:hAnsiTheme="minorEastAsia" w:eastAsiaTheme="minorEastAsia"/>
          <w:b w:val="0"/>
          <w:bCs w:val="0"/>
          <w:sz w:val="24"/>
          <w:szCs w:val="24"/>
        </w:rPr>
        <w:t>十一、</w:t>
      </w:r>
      <w:r>
        <w:rPr>
          <w:rFonts w:hint="eastAsia" w:asciiTheme="minorEastAsia" w:hAnsiTheme="minorEastAsia" w:eastAsiaTheme="minorEastAsia"/>
          <w:b w:val="0"/>
          <w:color w:val="000000"/>
          <w:sz w:val="24"/>
          <w:szCs w:val="24"/>
        </w:rPr>
        <w:t>政</w:t>
      </w:r>
      <w:r>
        <w:rPr>
          <w:rStyle w:val="20"/>
          <w:rFonts w:hint="eastAsia" w:asciiTheme="minorEastAsia" w:hAnsiTheme="minorEastAsia" w:eastAsiaTheme="minorEastAsia"/>
          <w:b w:val="0"/>
          <w:bCs w:val="0"/>
          <w:sz w:val="24"/>
          <w:szCs w:val="24"/>
        </w:rPr>
        <w:t>府性基金预算财政拨款收入支出决算表</w:t>
      </w:r>
      <w:bookmarkEnd w:id="67"/>
    </w:p>
    <w:p>
      <w:pPr>
        <w:pStyle w:val="3"/>
        <w:adjustRightInd w:val="0"/>
        <w:snapToGrid w:val="0"/>
        <w:spacing w:before="0" w:after="0" w:line="360" w:lineRule="auto"/>
        <w:ind w:firstLine="480" w:firstLineChars="200"/>
        <w:rPr>
          <w:rFonts w:asciiTheme="minorEastAsia" w:hAnsiTheme="minorEastAsia" w:eastAsiaTheme="minorEastAsia"/>
          <w:color w:val="000000"/>
          <w:sz w:val="24"/>
          <w:szCs w:val="24"/>
        </w:rPr>
      </w:pPr>
      <w:bookmarkStart w:id="68" w:name="_Toc15396630"/>
      <w:r>
        <w:rPr>
          <w:rStyle w:val="20"/>
          <w:rFonts w:hint="eastAsia" w:asciiTheme="minorEastAsia" w:hAnsiTheme="minorEastAsia" w:eastAsiaTheme="minorEastAsia"/>
          <w:b w:val="0"/>
          <w:bCs w:val="0"/>
          <w:sz w:val="24"/>
          <w:szCs w:val="24"/>
        </w:rPr>
        <w:t>十二、</w:t>
      </w:r>
      <w:r>
        <w:rPr>
          <w:rFonts w:hint="eastAsia" w:asciiTheme="minorEastAsia" w:hAnsiTheme="minorEastAsia" w:eastAsiaTheme="minorEastAsia"/>
          <w:b w:val="0"/>
          <w:color w:val="000000"/>
          <w:sz w:val="24"/>
          <w:szCs w:val="24"/>
        </w:rPr>
        <w:t>政</w:t>
      </w:r>
      <w:r>
        <w:rPr>
          <w:rStyle w:val="20"/>
          <w:rFonts w:hint="eastAsia" w:asciiTheme="minorEastAsia" w:hAnsiTheme="minorEastAsia" w:eastAsiaTheme="minorEastAsia"/>
          <w:b w:val="0"/>
          <w:bCs w:val="0"/>
          <w:sz w:val="24"/>
          <w:szCs w:val="24"/>
        </w:rPr>
        <w:t>府性基金预算财政拨款“三公”经费支出决算表</w:t>
      </w:r>
      <w:bookmarkEnd w:id="68"/>
    </w:p>
    <w:p>
      <w:pPr>
        <w:pStyle w:val="3"/>
        <w:adjustRightInd w:val="0"/>
        <w:snapToGrid w:val="0"/>
        <w:spacing w:before="0" w:after="0" w:line="360" w:lineRule="auto"/>
        <w:ind w:firstLine="480" w:firstLineChars="200"/>
        <w:rPr>
          <w:rFonts w:asciiTheme="minorEastAsia" w:hAnsiTheme="minorEastAsia" w:eastAsiaTheme="minorEastAsia"/>
          <w:color w:val="000000" w:themeColor="text1"/>
          <w:sz w:val="24"/>
          <w:szCs w:val="24"/>
        </w:rPr>
      </w:pPr>
      <w:bookmarkStart w:id="69" w:name="_Toc15396631"/>
      <w:r>
        <w:rPr>
          <w:rStyle w:val="20"/>
          <w:rFonts w:hint="eastAsia" w:asciiTheme="minorEastAsia" w:hAnsiTheme="minorEastAsia" w:eastAsiaTheme="minorEastAsia"/>
          <w:b w:val="0"/>
          <w:bCs w:val="0"/>
          <w:sz w:val="24"/>
          <w:szCs w:val="24"/>
        </w:rPr>
        <w:t>十三、</w:t>
      </w:r>
      <w:r>
        <w:rPr>
          <w:rFonts w:hint="eastAsia" w:asciiTheme="minorEastAsia" w:hAnsiTheme="minorEastAsia" w:eastAsiaTheme="minorEastAsia"/>
          <w:b w:val="0"/>
          <w:color w:val="000000"/>
          <w:sz w:val="24"/>
          <w:szCs w:val="24"/>
        </w:rPr>
        <w:t>国</w:t>
      </w:r>
      <w:r>
        <w:rPr>
          <w:rStyle w:val="20"/>
          <w:rFonts w:hint="eastAsia" w:asciiTheme="minorEastAsia" w:hAnsiTheme="minorEastAsia" w:eastAsiaTheme="minorEastAsia"/>
          <w:b w:val="0"/>
          <w:bCs w:val="0"/>
          <w:sz w:val="24"/>
          <w:szCs w:val="24"/>
        </w:rPr>
        <w:t>有资本经营预算支出决算表</w:t>
      </w:r>
      <w:bookmarkEnd w:id="69"/>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楷体_GB2312">
    <w:altName w:val="汉仪楷体简"/>
    <w:panose1 w:val="00000000000000000000"/>
    <w:charset w:val="86"/>
    <w:family w:val="modern"/>
    <w:pitch w:val="default"/>
    <w:sig w:usb0="00000000" w:usb1="00000000" w:usb2="00000010" w:usb3="00000000" w:csb0="0004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儷宋 Pro">
    <w:panose1 w:val="02020300000000000000"/>
    <w:charset w:val="88"/>
    <w:family w:val="auto"/>
    <w:pitch w:val="default"/>
    <w:sig w:usb0="80000001" w:usb1="28091800" w:usb2="00000016" w:usb3="00000000" w:csb0="00100000" w:csb1="00000000"/>
  </w:font>
  <w:font w:name="苹方-简">
    <w:panose1 w:val="020B0400000000000000"/>
    <w:charset w:val="86"/>
    <w:family w:val="auto"/>
    <w:pitch w:val="default"/>
    <w:sig w:usb0="A00002FF" w:usb1="7ACFFCFB"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61C"/>
    <w:rsid w:val="00002CF2"/>
    <w:rsid w:val="000222C6"/>
    <w:rsid w:val="0002549F"/>
    <w:rsid w:val="000468DB"/>
    <w:rsid w:val="0006487A"/>
    <w:rsid w:val="00065F8F"/>
    <w:rsid w:val="00070A43"/>
    <w:rsid w:val="000768F2"/>
    <w:rsid w:val="0009184B"/>
    <w:rsid w:val="00094236"/>
    <w:rsid w:val="0009593C"/>
    <w:rsid w:val="00095DCF"/>
    <w:rsid w:val="00097322"/>
    <w:rsid w:val="000A6A92"/>
    <w:rsid w:val="000B047F"/>
    <w:rsid w:val="000B5923"/>
    <w:rsid w:val="000B5A48"/>
    <w:rsid w:val="000B6FF3"/>
    <w:rsid w:val="000C3467"/>
    <w:rsid w:val="000C3CA6"/>
    <w:rsid w:val="000D1267"/>
    <w:rsid w:val="000D1D50"/>
    <w:rsid w:val="000D5782"/>
    <w:rsid w:val="000E6613"/>
    <w:rsid w:val="000E7119"/>
    <w:rsid w:val="000F1707"/>
    <w:rsid w:val="000F430A"/>
    <w:rsid w:val="00114E9B"/>
    <w:rsid w:val="00130893"/>
    <w:rsid w:val="00137832"/>
    <w:rsid w:val="00142216"/>
    <w:rsid w:val="00144D6A"/>
    <w:rsid w:val="0014729F"/>
    <w:rsid w:val="00147927"/>
    <w:rsid w:val="00157BAB"/>
    <w:rsid w:val="001654D1"/>
    <w:rsid w:val="00174518"/>
    <w:rsid w:val="0018106D"/>
    <w:rsid w:val="00184390"/>
    <w:rsid w:val="001877A7"/>
    <w:rsid w:val="00191536"/>
    <w:rsid w:val="00196687"/>
    <w:rsid w:val="001B158B"/>
    <w:rsid w:val="001B7686"/>
    <w:rsid w:val="001C0962"/>
    <w:rsid w:val="001C4BA5"/>
    <w:rsid w:val="001D7531"/>
    <w:rsid w:val="001E737D"/>
    <w:rsid w:val="001F0592"/>
    <w:rsid w:val="001F0CBD"/>
    <w:rsid w:val="001F7506"/>
    <w:rsid w:val="002006CD"/>
    <w:rsid w:val="00202B36"/>
    <w:rsid w:val="00204B7A"/>
    <w:rsid w:val="00204CDE"/>
    <w:rsid w:val="0021101A"/>
    <w:rsid w:val="00217E63"/>
    <w:rsid w:val="00220536"/>
    <w:rsid w:val="00235629"/>
    <w:rsid w:val="00260C38"/>
    <w:rsid w:val="002616C0"/>
    <w:rsid w:val="00265372"/>
    <w:rsid w:val="002662AA"/>
    <w:rsid w:val="00280496"/>
    <w:rsid w:val="00294DC9"/>
    <w:rsid w:val="00295495"/>
    <w:rsid w:val="002A31DE"/>
    <w:rsid w:val="002B2613"/>
    <w:rsid w:val="002D19B0"/>
    <w:rsid w:val="002D38D5"/>
    <w:rsid w:val="002D6D05"/>
    <w:rsid w:val="002F1818"/>
    <w:rsid w:val="002F567B"/>
    <w:rsid w:val="002F639D"/>
    <w:rsid w:val="003216A9"/>
    <w:rsid w:val="0032341E"/>
    <w:rsid w:val="00335A74"/>
    <w:rsid w:val="00346CF6"/>
    <w:rsid w:val="0036561B"/>
    <w:rsid w:val="0037013F"/>
    <w:rsid w:val="00380C92"/>
    <w:rsid w:val="003811DC"/>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953C4"/>
    <w:rsid w:val="005B5C64"/>
    <w:rsid w:val="005C1DD1"/>
    <w:rsid w:val="005C6BD0"/>
    <w:rsid w:val="005C6C4C"/>
    <w:rsid w:val="005D1C8B"/>
    <w:rsid w:val="005D468D"/>
    <w:rsid w:val="005D5CED"/>
    <w:rsid w:val="005D6709"/>
    <w:rsid w:val="005F1A4C"/>
    <w:rsid w:val="00605688"/>
    <w:rsid w:val="006070AF"/>
    <w:rsid w:val="00607E6C"/>
    <w:rsid w:val="006101B1"/>
    <w:rsid w:val="00614E44"/>
    <w:rsid w:val="0062270A"/>
    <w:rsid w:val="00622830"/>
    <w:rsid w:val="00623DA0"/>
    <w:rsid w:val="00630AEF"/>
    <w:rsid w:val="006325F8"/>
    <w:rsid w:val="00633463"/>
    <w:rsid w:val="00634C9A"/>
    <w:rsid w:val="006370C7"/>
    <w:rsid w:val="006440E4"/>
    <w:rsid w:val="0066343B"/>
    <w:rsid w:val="00664777"/>
    <w:rsid w:val="006748A4"/>
    <w:rsid w:val="006754B5"/>
    <w:rsid w:val="00681A31"/>
    <w:rsid w:val="00683E73"/>
    <w:rsid w:val="00686455"/>
    <w:rsid w:val="006A3141"/>
    <w:rsid w:val="006A5E34"/>
    <w:rsid w:val="006B2422"/>
    <w:rsid w:val="006B2B9A"/>
    <w:rsid w:val="006C1937"/>
    <w:rsid w:val="006F020C"/>
    <w:rsid w:val="006F74E3"/>
    <w:rsid w:val="00706F17"/>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C20A3"/>
    <w:rsid w:val="007D09E9"/>
    <w:rsid w:val="007D1682"/>
    <w:rsid w:val="007D2ABB"/>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0965"/>
    <w:rsid w:val="008B768C"/>
    <w:rsid w:val="008C4DB1"/>
    <w:rsid w:val="008C4EAF"/>
    <w:rsid w:val="008C5176"/>
    <w:rsid w:val="008C7FD0"/>
    <w:rsid w:val="008E1DE7"/>
    <w:rsid w:val="008E707C"/>
    <w:rsid w:val="00900B08"/>
    <w:rsid w:val="00902155"/>
    <w:rsid w:val="009022E7"/>
    <w:rsid w:val="00902FA3"/>
    <w:rsid w:val="00911364"/>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3AA7"/>
    <w:rsid w:val="009D4711"/>
    <w:rsid w:val="009F1185"/>
    <w:rsid w:val="009F18CD"/>
    <w:rsid w:val="009F2A13"/>
    <w:rsid w:val="009F7527"/>
    <w:rsid w:val="00A039ED"/>
    <w:rsid w:val="00A04EB0"/>
    <w:rsid w:val="00A10FEF"/>
    <w:rsid w:val="00A13CC1"/>
    <w:rsid w:val="00A16847"/>
    <w:rsid w:val="00A237D8"/>
    <w:rsid w:val="00A256A4"/>
    <w:rsid w:val="00A268C4"/>
    <w:rsid w:val="00A307CD"/>
    <w:rsid w:val="00A331C8"/>
    <w:rsid w:val="00A35117"/>
    <w:rsid w:val="00A40A00"/>
    <w:rsid w:val="00A4142F"/>
    <w:rsid w:val="00A422EB"/>
    <w:rsid w:val="00A45261"/>
    <w:rsid w:val="00A45BB7"/>
    <w:rsid w:val="00A56DF2"/>
    <w:rsid w:val="00A56E6E"/>
    <w:rsid w:val="00A65AEC"/>
    <w:rsid w:val="00A67AB5"/>
    <w:rsid w:val="00A733B2"/>
    <w:rsid w:val="00A741C2"/>
    <w:rsid w:val="00A91760"/>
    <w:rsid w:val="00A93B00"/>
    <w:rsid w:val="00A93C21"/>
    <w:rsid w:val="00AB64C9"/>
    <w:rsid w:val="00AC3C6A"/>
    <w:rsid w:val="00AD0F83"/>
    <w:rsid w:val="00AD5620"/>
    <w:rsid w:val="00AD656B"/>
    <w:rsid w:val="00AD7C1B"/>
    <w:rsid w:val="00AD7D99"/>
    <w:rsid w:val="00AE16BA"/>
    <w:rsid w:val="00AE1EBE"/>
    <w:rsid w:val="00B03C9D"/>
    <w:rsid w:val="00B060AE"/>
    <w:rsid w:val="00B10517"/>
    <w:rsid w:val="00B14E76"/>
    <w:rsid w:val="00B161B8"/>
    <w:rsid w:val="00B2048C"/>
    <w:rsid w:val="00B310B9"/>
    <w:rsid w:val="00B34DB2"/>
    <w:rsid w:val="00B35F3F"/>
    <w:rsid w:val="00B36CBB"/>
    <w:rsid w:val="00B425E0"/>
    <w:rsid w:val="00B440AA"/>
    <w:rsid w:val="00B44B70"/>
    <w:rsid w:val="00B53C56"/>
    <w:rsid w:val="00B57DAF"/>
    <w:rsid w:val="00B77EA6"/>
    <w:rsid w:val="00B81598"/>
    <w:rsid w:val="00B841F1"/>
    <w:rsid w:val="00B944D6"/>
    <w:rsid w:val="00BA6EB8"/>
    <w:rsid w:val="00BB4DF0"/>
    <w:rsid w:val="00BC289F"/>
    <w:rsid w:val="00BC2D50"/>
    <w:rsid w:val="00BC5361"/>
    <w:rsid w:val="00BC5460"/>
    <w:rsid w:val="00BC6B50"/>
    <w:rsid w:val="00BD0E25"/>
    <w:rsid w:val="00BF5BD6"/>
    <w:rsid w:val="00C03E31"/>
    <w:rsid w:val="00C30E69"/>
    <w:rsid w:val="00C33E72"/>
    <w:rsid w:val="00C354B2"/>
    <w:rsid w:val="00C35554"/>
    <w:rsid w:val="00C412DB"/>
    <w:rsid w:val="00C42709"/>
    <w:rsid w:val="00C533CC"/>
    <w:rsid w:val="00C56938"/>
    <w:rsid w:val="00C5751C"/>
    <w:rsid w:val="00C61BFC"/>
    <w:rsid w:val="00C62B85"/>
    <w:rsid w:val="00C65438"/>
    <w:rsid w:val="00C85280"/>
    <w:rsid w:val="00C85782"/>
    <w:rsid w:val="00C91CBB"/>
    <w:rsid w:val="00CB4E70"/>
    <w:rsid w:val="00CC09B6"/>
    <w:rsid w:val="00CC666F"/>
    <w:rsid w:val="00CD1E3F"/>
    <w:rsid w:val="00CE44F6"/>
    <w:rsid w:val="00CE49DA"/>
    <w:rsid w:val="00CE7B61"/>
    <w:rsid w:val="00CF3002"/>
    <w:rsid w:val="00D00095"/>
    <w:rsid w:val="00D114F0"/>
    <w:rsid w:val="00D15C7E"/>
    <w:rsid w:val="00D20620"/>
    <w:rsid w:val="00D2232A"/>
    <w:rsid w:val="00D254F7"/>
    <w:rsid w:val="00D26091"/>
    <w:rsid w:val="00D2685C"/>
    <w:rsid w:val="00D34E7C"/>
    <w:rsid w:val="00D35489"/>
    <w:rsid w:val="00D36AFE"/>
    <w:rsid w:val="00D51276"/>
    <w:rsid w:val="00D7035F"/>
    <w:rsid w:val="00D779B4"/>
    <w:rsid w:val="00D92945"/>
    <w:rsid w:val="00DA634F"/>
    <w:rsid w:val="00DA65AC"/>
    <w:rsid w:val="00DB1913"/>
    <w:rsid w:val="00DC410D"/>
    <w:rsid w:val="00DC5A81"/>
    <w:rsid w:val="00DC68CA"/>
    <w:rsid w:val="00DC7CBA"/>
    <w:rsid w:val="00DD73B7"/>
    <w:rsid w:val="00DF28BC"/>
    <w:rsid w:val="00DF34B9"/>
    <w:rsid w:val="00E01053"/>
    <w:rsid w:val="00E06249"/>
    <w:rsid w:val="00E07ACF"/>
    <w:rsid w:val="00E31CAB"/>
    <w:rsid w:val="00E331A1"/>
    <w:rsid w:val="00E33202"/>
    <w:rsid w:val="00E336A9"/>
    <w:rsid w:val="00E472B1"/>
    <w:rsid w:val="00E50624"/>
    <w:rsid w:val="00E568DF"/>
    <w:rsid w:val="00E64269"/>
    <w:rsid w:val="00E66797"/>
    <w:rsid w:val="00E66A72"/>
    <w:rsid w:val="00E82267"/>
    <w:rsid w:val="00E853CE"/>
    <w:rsid w:val="00E867B6"/>
    <w:rsid w:val="00E87F08"/>
    <w:rsid w:val="00E90C97"/>
    <w:rsid w:val="00E9251E"/>
    <w:rsid w:val="00EA010F"/>
    <w:rsid w:val="00ED1B63"/>
    <w:rsid w:val="00ED3C1F"/>
    <w:rsid w:val="00ED3CB7"/>
    <w:rsid w:val="00ED4085"/>
    <w:rsid w:val="00ED420E"/>
    <w:rsid w:val="00ED6FBE"/>
    <w:rsid w:val="00EE2F57"/>
    <w:rsid w:val="00EE520C"/>
    <w:rsid w:val="00EE7164"/>
    <w:rsid w:val="00EF4C34"/>
    <w:rsid w:val="00EF77C6"/>
    <w:rsid w:val="00F05438"/>
    <w:rsid w:val="00F1361C"/>
    <w:rsid w:val="00F156F0"/>
    <w:rsid w:val="00F160C7"/>
    <w:rsid w:val="00F2408F"/>
    <w:rsid w:val="00F240E9"/>
    <w:rsid w:val="00F24BFA"/>
    <w:rsid w:val="00F26BA6"/>
    <w:rsid w:val="00F36D8F"/>
    <w:rsid w:val="00F3783A"/>
    <w:rsid w:val="00F417B1"/>
    <w:rsid w:val="00F45853"/>
    <w:rsid w:val="00F602DF"/>
    <w:rsid w:val="00F754A1"/>
    <w:rsid w:val="00F81FD9"/>
    <w:rsid w:val="00F841AA"/>
    <w:rsid w:val="00F84A94"/>
    <w:rsid w:val="00F87E96"/>
    <w:rsid w:val="00FA23E8"/>
    <w:rsid w:val="00FD3CC1"/>
    <w:rsid w:val="00FF1E02"/>
    <w:rsid w:val="00FF30B4"/>
    <w:rsid w:val="0A042B3A"/>
    <w:rsid w:val="0A4C1D81"/>
    <w:rsid w:val="0A560D30"/>
    <w:rsid w:val="0A961678"/>
    <w:rsid w:val="0BDC14D5"/>
    <w:rsid w:val="0C1749E7"/>
    <w:rsid w:val="0F50024C"/>
    <w:rsid w:val="0F873FCD"/>
    <w:rsid w:val="0FE914D1"/>
    <w:rsid w:val="1028043C"/>
    <w:rsid w:val="109C64B9"/>
    <w:rsid w:val="10C055FF"/>
    <w:rsid w:val="124428EE"/>
    <w:rsid w:val="131F0FCE"/>
    <w:rsid w:val="145A7297"/>
    <w:rsid w:val="163D691E"/>
    <w:rsid w:val="16BB723D"/>
    <w:rsid w:val="193B4C81"/>
    <w:rsid w:val="1ABF0EE6"/>
    <w:rsid w:val="1D25789A"/>
    <w:rsid w:val="1E47247F"/>
    <w:rsid w:val="1F025F23"/>
    <w:rsid w:val="21907007"/>
    <w:rsid w:val="223164E7"/>
    <w:rsid w:val="23685D34"/>
    <w:rsid w:val="240371BF"/>
    <w:rsid w:val="25184066"/>
    <w:rsid w:val="25B77BF8"/>
    <w:rsid w:val="26BD08B3"/>
    <w:rsid w:val="29FD04D3"/>
    <w:rsid w:val="2B1A189F"/>
    <w:rsid w:val="2B3A74E4"/>
    <w:rsid w:val="2BCB4CCF"/>
    <w:rsid w:val="2C534479"/>
    <w:rsid w:val="319F7F4E"/>
    <w:rsid w:val="377818EF"/>
    <w:rsid w:val="3B516F8E"/>
    <w:rsid w:val="43872192"/>
    <w:rsid w:val="48716834"/>
    <w:rsid w:val="4ECE2238"/>
    <w:rsid w:val="51286410"/>
    <w:rsid w:val="5A760B79"/>
    <w:rsid w:val="5E3D571D"/>
    <w:rsid w:val="5E790C07"/>
    <w:rsid w:val="5E946D9A"/>
    <w:rsid w:val="63C95992"/>
    <w:rsid w:val="672F012C"/>
    <w:rsid w:val="6974532E"/>
    <w:rsid w:val="6F5D6D19"/>
    <w:rsid w:val="6FAA6C77"/>
    <w:rsid w:val="70D03849"/>
    <w:rsid w:val="71BF1426"/>
    <w:rsid w:val="72734D90"/>
    <w:rsid w:val="72F32027"/>
    <w:rsid w:val="782626A2"/>
    <w:rsid w:val="78E6482C"/>
    <w:rsid w:val="78F76168"/>
    <w:rsid w:val="B593D0F9"/>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autoSpaceDN/>
      <w:snapToGrid/>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7"/>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6"/>
    <w:semiHidden/>
    <w:unhideWhenUsed/>
    <w:qFormat/>
    <w:uiPriority w:val="99"/>
    <w:rPr>
      <w:sz w:val="18"/>
      <w:szCs w:val="18"/>
    </w:rPr>
  </w:style>
  <w:style w:type="paragraph" w:styleId="8">
    <w:name w:val="footer"/>
    <w:basedOn w:val="1"/>
    <w:link w:val="3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Footer Char"/>
    <w:basedOn w:val="13"/>
    <w:semiHidden/>
    <w:qFormat/>
    <w:uiPriority w:val="99"/>
    <w:rPr>
      <w:rFonts w:ascii="Times New Roman" w:hAnsi="Times New Roman"/>
      <w:sz w:val="18"/>
      <w:szCs w:val="18"/>
    </w:rPr>
  </w:style>
  <w:style w:type="paragraph" w:customStyle="1" w:styleId="17">
    <w:name w:val="Default"/>
    <w:qFormat/>
    <w:uiPriority w:val="99"/>
    <w:pPr>
      <w:widowControl w:val="0"/>
      <w:autoSpaceDE w:val="0"/>
      <w:autoSpaceDN w:val="0"/>
      <w:adjustRightInd w:val="0"/>
      <w:snapToGrid/>
    </w:pPr>
    <w:rPr>
      <w:rFonts w:ascii="仿宋" w:hAnsi="Calibri" w:eastAsia="仿宋" w:cs="仿宋"/>
      <w:color w:val="000000"/>
      <w:kern w:val="2"/>
      <w:sz w:val="24"/>
      <w:szCs w:val="24"/>
      <w:lang w:val="en-US" w:eastAsia="zh-CN" w:bidi="ar-SA"/>
    </w:rPr>
  </w:style>
  <w:style w:type="character" w:customStyle="1" w:styleId="18">
    <w:name w:val="Body Text Char"/>
    <w:basedOn w:val="13"/>
    <w:semiHidden/>
    <w:qFormat/>
    <w:uiPriority w:val="99"/>
    <w:rPr>
      <w:rFonts w:ascii="Times New Roman" w:hAnsi="Times New Roman"/>
      <w:szCs w:val="24"/>
    </w:rPr>
  </w:style>
  <w:style w:type="character" w:customStyle="1" w:styleId="19">
    <w:name w:val="标题 1 Char"/>
    <w:basedOn w:val="13"/>
    <w:link w:val="2"/>
    <w:qFormat/>
    <w:uiPriority w:val="9"/>
    <w:rPr>
      <w:rFonts w:ascii="Times New Roman" w:hAnsi="Times New Roman"/>
      <w:b/>
      <w:bCs/>
      <w:kern w:val="44"/>
      <w:sz w:val="44"/>
      <w:szCs w:val="44"/>
    </w:rPr>
  </w:style>
  <w:style w:type="character" w:customStyle="1" w:styleId="20">
    <w:name w:val="标题 2 Char"/>
    <w:basedOn w:val="13"/>
    <w:link w:val="3"/>
    <w:qFormat/>
    <w:uiPriority w:val="9"/>
    <w:rPr>
      <w:rFonts w:asciiTheme="majorHAnsi" w:hAnsiTheme="majorHAnsi" w:eastAsiaTheme="majorEastAsia" w:cstheme="majorBidi"/>
      <w:b/>
      <w:bCs/>
      <w:kern w:val="2"/>
      <w:sz w:val="32"/>
      <w:szCs w:val="32"/>
    </w:rPr>
  </w:style>
  <w:style w:type="paragraph" w:styleId="21">
    <w:name w:val="List Paragraph"/>
    <w:basedOn w:val="1"/>
    <w:qFormat/>
    <w:uiPriority w:val="34"/>
    <w:pPr>
      <w:ind w:firstLine="420" w:firstLineChars="200"/>
    </w:pPr>
  </w:style>
  <w:style w:type="character" w:customStyle="1" w:styleId="22">
    <w:name w:val="页眉 Char"/>
    <w:link w:val="9"/>
    <w:semiHidden/>
    <w:qFormat/>
    <w:locked/>
    <w:uiPriority w:val="99"/>
    <w:rPr>
      <w:sz w:val="18"/>
    </w:rPr>
  </w:style>
  <w:style w:type="paragraph" w:customStyle="1" w:styleId="23">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4">
    <w:name w:val="21"/>
    <w:basedOn w:val="13"/>
    <w:qFormat/>
    <w:uiPriority w:val="0"/>
    <w:rPr>
      <w:rFonts w:hint="default" w:ascii="Times New Roman" w:eastAsia="楷体_GB2312" w:cs="楷体_GB2312"/>
      <w:sz w:val="28"/>
      <w:szCs w:val="28"/>
    </w:rPr>
  </w:style>
  <w:style w:type="character" w:customStyle="1" w:styleId="25">
    <w:name w:val="Header Char"/>
    <w:basedOn w:val="13"/>
    <w:semiHidden/>
    <w:qFormat/>
    <w:uiPriority w:val="99"/>
    <w:rPr>
      <w:rFonts w:ascii="Times New Roman" w:hAnsi="Times New Roman"/>
      <w:sz w:val="18"/>
      <w:szCs w:val="18"/>
    </w:rPr>
  </w:style>
  <w:style w:type="character" w:customStyle="1" w:styleId="26">
    <w:name w:val="批注框文本 Char"/>
    <w:basedOn w:val="13"/>
    <w:link w:val="7"/>
    <w:semiHidden/>
    <w:qFormat/>
    <w:uiPriority w:val="99"/>
    <w:rPr>
      <w:rFonts w:ascii="Times New Roman" w:hAnsi="Times New Roman"/>
      <w:kern w:val="2"/>
      <w:sz w:val="18"/>
      <w:szCs w:val="18"/>
    </w:rPr>
  </w:style>
  <w:style w:type="character" w:customStyle="1" w:styleId="27">
    <w:name w:val="正文文本 Char"/>
    <w:link w:val="5"/>
    <w:qFormat/>
    <w:locked/>
    <w:uiPriority w:val="99"/>
    <w:rPr>
      <w:rFonts w:ascii="仿宋_GB2312" w:hAnsi="Times New Roman" w:eastAsia="仿宋_GB2312"/>
      <w:sz w:val="24"/>
    </w:rPr>
  </w:style>
  <w:style w:type="paragraph" w:customStyle="1" w:styleId="28">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9">
    <w:name w:val="标题 3 Char"/>
    <w:basedOn w:val="13"/>
    <w:link w:val="4"/>
    <w:qFormat/>
    <w:uiPriority w:val="9"/>
    <w:rPr>
      <w:rFonts w:ascii="Times New Roman" w:hAnsi="Times New Roman"/>
      <w:b/>
      <w:bCs/>
      <w:kern w:val="2"/>
      <w:sz w:val="32"/>
      <w:szCs w:val="32"/>
    </w:rPr>
  </w:style>
  <w:style w:type="character" w:customStyle="1" w:styleId="30">
    <w:name w:val="页脚 Char"/>
    <w:link w:val="8"/>
    <w:qFormat/>
    <w:locked/>
    <w:uiPriority w:val="99"/>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TotalTime>0</TotalTime>
  <ScaleCrop>false</ScaleCrop>
  <LinksUpToDate>false</LinksUpToDate>
  <Application>WPS Office_6.7.1.8828_F1E327BC-269C-435d-A152-05C5408002CA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2024-03-22T18:51:00Z</dcterms:created>
  <dc:creator>Data</dc:creator>
  <cp:lastModifiedBy>nemoya</cp:lastModifiedBy>
  <dcterms:modified xsi:type="dcterms:W3CDTF">2025-03-03T14:44:46Z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74D69DD8D7351699DE4FC567BB99EE9B_42</vt:lpwstr>
  </property>
</Properties>
</file>