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597"/>
      <w:bookmarkStart w:id="2" w:name="_Toc15377425"/>
      <w:bookmarkStart w:id="3" w:name="_Toc15396475"/>
      <w:bookmarkStart w:id="4" w:name="_Toc15378441"/>
      <w:bookmarkStart w:id="5" w:name="_Toc15377193"/>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78442"/>
      <w:bookmarkStart w:id="8" w:name="_Toc15377426"/>
      <w:bookmarkStart w:id="9" w:name="_Toc15377194"/>
      <w:bookmarkStart w:id="10" w:name="_Toc15396598"/>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eastAsia="zh-CN"/>
        </w:rPr>
        <w:t>广汉市南丰第一小学</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ascii="仿宋" w:hAnsi="仿宋" w:eastAsia="仿宋"/>
          <w:sz w:val="24"/>
        </w:rPr>
      </w:pPr>
      <w:r>
        <w:rPr>
          <w:rFonts w:hint="eastAsia"/>
          <w:sz w:val="24"/>
        </w:rPr>
        <w:t>一、基本职能及主要工作</w:t>
      </w:r>
    </w:p>
    <w:p>
      <w:pPr>
        <w:pStyle w:val="11"/>
        <w:adjustRightInd w:val="0"/>
        <w:snapToGrid w:val="0"/>
        <w:spacing w:line="440" w:lineRule="exact"/>
        <w:jc w:val="left"/>
        <w:rPr>
          <w:rFonts w:ascii="仿宋" w:hAnsi="仿宋" w:eastAsia="仿宋" w:cstheme="minorBidi"/>
          <w:sz w:val="24"/>
        </w:rPr>
      </w:pPr>
      <w:r>
        <w:rPr>
          <w:rFonts w:hint="eastAsia"/>
          <w:sz w:val="24"/>
        </w:rPr>
        <w:t>二、机构设置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二、收入决算情况说明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七、</w:t>
      </w:r>
      <w:r>
        <w:rPr>
          <w:sz w:val="24"/>
        </w:rPr>
        <w:t>“</w:t>
      </w:r>
      <w:r>
        <w:rPr>
          <w:rFonts w:hint="eastAsia"/>
          <w:sz w:val="24"/>
        </w:rPr>
        <w:t>三公”经费财政拨款支出决算情况说明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14:textFill>
            <w14:solidFill>
              <w14:schemeClr w14:val="tx1"/>
            </w14:solidFill>
          </w14:textFill>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（一）主要职能。（职能参照省政府批准的三定方案）</w:t>
      </w:r>
      <w:bookmarkEnd w:id="16"/>
      <w:bookmarkEnd w:id="17"/>
    </w:p>
    <w:p>
      <w:pPr>
        <w:pStyle w:val="5"/>
        <w:adjustRightInd w:val="0"/>
        <w:snapToGrid w:val="0"/>
        <w:spacing w:before="93" w:line="600" w:lineRule="exact"/>
        <w:ind w:firstLine="588" w:firstLineChars="210"/>
        <w:outlineLvl w:val="2"/>
        <w:rPr>
          <w:rFonts w:hint="eastAsia" w:ascii="仿宋" w:hAnsi="仿宋" w:eastAsia="仿宋"/>
          <w:bCs/>
          <w:color w:val="000000"/>
          <w:sz w:val="32"/>
          <w:szCs w:val="32"/>
        </w:rPr>
      </w:pPr>
      <w:r>
        <w:rPr>
          <w:rStyle w:val="32"/>
          <w:rFonts w:hint="eastAsia" w:ascii="Times New Roman" w:eastAsia="楷体_GB2312" w:cs="楷体_GB2312"/>
          <w:sz w:val="28"/>
          <w:szCs w:val="24"/>
        </w:rPr>
        <w:t>小学教育</w:t>
      </w:r>
      <w:r>
        <w:rPr>
          <w:rStyle w:val="30"/>
          <w:rFonts w:hint="default" w:ascii="Times New Roman" w:eastAsia="楷体_GB2312" w:cs="楷体_GB2312"/>
          <w:sz w:val="28"/>
          <w:szCs w:val="28"/>
        </w:rPr>
        <w:t>。</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8" w:name="_Toc15378446"/>
      <w:bookmarkStart w:id="19" w:name="_Toc15377199"/>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Style w:val="31"/>
          <w:sz w:val="32"/>
          <w:szCs w:val="24"/>
          <w:lang w:val="en-US"/>
        </w:rPr>
        <w:t>2019</w:t>
      </w:r>
      <w:r>
        <w:rPr>
          <w:rStyle w:val="31"/>
          <w:rFonts w:hint="eastAsia" w:ascii="Times New Roman" w:eastAsia="楷体_GB2312" w:cs="楷体_GB2312"/>
          <w:sz w:val="32"/>
          <w:szCs w:val="24"/>
        </w:rPr>
        <w:t>年度，我校在市教育局党委的关心、支持和正确领导下，紧紧围绕市教育局</w:t>
      </w:r>
      <w:r>
        <w:rPr>
          <w:rStyle w:val="31"/>
          <w:sz w:val="32"/>
          <w:szCs w:val="24"/>
          <w:lang w:val="en-US"/>
        </w:rPr>
        <w:t>“</w:t>
      </w:r>
      <w:r>
        <w:rPr>
          <w:rStyle w:val="31"/>
          <w:rFonts w:hint="eastAsia" w:ascii="Times New Roman" w:eastAsia="楷体_GB2312" w:cs="楷体_GB2312"/>
          <w:sz w:val="32"/>
          <w:szCs w:val="24"/>
        </w:rPr>
        <w:t>一二三四五六</w:t>
      </w:r>
      <w:r>
        <w:rPr>
          <w:rStyle w:val="31"/>
          <w:sz w:val="32"/>
          <w:szCs w:val="24"/>
          <w:lang w:val="en-US"/>
        </w:rPr>
        <w:t>”</w:t>
      </w:r>
      <w:r>
        <w:rPr>
          <w:rStyle w:val="31"/>
          <w:rFonts w:hint="eastAsia" w:ascii="Times New Roman" w:eastAsia="楷体_GB2312" w:cs="楷体_GB2312"/>
          <w:sz w:val="32"/>
          <w:szCs w:val="24"/>
        </w:rPr>
        <w:t>工作思路，团结带领行政班子及全体教师发扬</w:t>
      </w:r>
      <w:r>
        <w:rPr>
          <w:rStyle w:val="31"/>
          <w:sz w:val="32"/>
          <w:szCs w:val="24"/>
          <w:lang w:val="en-US"/>
        </w:rPr>
        <w:t>“</w:t>
      </w:r>
      <w:r>
        <w:rPr>
          <w:rStyle w:val="31"/>
          <w:rFonts w:hint="eastAsia" w:ascii="Times New Roman" w:eastAsia="楷体_GB2312" w:cs="楷体_GB2312"/>
          <w:sz w:val="32"/>
          <w:szCs w:val="24"/>
        </w:rPr>
        <w:t>爱岗敬业、务实创新</w:t>
      </w:r>
      <w:r>
        <w:rPr>
          <w:rStyle w:val="31"/>
          <w:sz w:val="32"/>
          <w:szCs w:val="24"/>
          <w:lang w:val="en-US"/>
        </w:rPr>
        <w:t>”</w:t>
      </w:r>
      <w:r>
        <w:rPr>
          <w:rStyle w:val="31"/>
          <w:rFonts w:hint="eastAsia" w:ascii="Times New Roman" w:eastAsia="楷体_GB2312" w:cs="楷体_GB2312"/>
          <w:sz w:val="32"/>
          <w:szCs w:val="24"/>
        </w:rPr>
        <w:t>精神，凝聚各方力量知难而进开拓进取，圆满完成各项目标任务。</w:t>
      </w:r>
      <w:r>
        <w:rPr>
          <w:rStyle w:val="31"/>
          <w:sz w:val="32"/>
          <w:szCs w:val="24"/>
        </w:rPr>
        <w:t xml:space="preserve"> </w:t>
      </w:r>
      <w:r>
        <w:rPr>
          <w:rStyle w:val="31"/>
          <w:rFonts w:hint="eastAsia" w:ascii="Times New Roman" w:eastAsia="楷体_GB2312" w:cs="楷体_GB2312"/>
          <w:sz w:val="32"/>
          <w:szCs w:val="24"/>
        </w:rPr>
        <w:t>（一）、教师队伍建设方面</w:t>
      </w:r>
      <w:r>
        <w:rPr>
          <w:rStyle w:val="31"/>
          <w:sz w:val="32"/>
          <w:szCs w:val="24"/>
        </w:rPr>
        <w:t xml:space="preserve"> </w:t>
      </w:r>
      <w:r>
        <w:rPr>
          <w:rStyle w:val="31"/>
          <w:rFonts w:hint="eastAsia" w:ascii="Times New Roman" w:eastAsia="楷体_GB2312" w:cs="楷体_GB2312"/>
          <w:sz w:val="32"/>
          <w:szCs w:val="24"/>
        </w:rPr>
        <w:t>着力加强师德师风建设，全力推进依法治校。全面落实四川省中小学减负</w:t>
      </w:r>
      <w:r>
        <w:rPr>
          <w:rStyle w:val="31"/>
          <w:sz w:val="32"/>
          <w:szCs w:val="24"/>
          <w:lang w:val="en-US"/>
        </w:rPr>
        <w:t>“</w:t>
      </w:r>
      <w:r>
        <w:rPr>
          <w:rStyle w:val="31"/>
          <w:rFonts w:hint="eastAsia" w:ascii="Times New Roman" w:eastAsia="楷体_GB2312" w:cs="楷体_GB2312"/>
          <w:sz w:val="32"/>
          <w:szCs w:val="24"/>
        </w:rPr>
        <w:t>十严十不准</w:t>
      </w:r>
      <w:r>
        <w:rPr>
          <w:rStyle w:val="31"/>
          <w:sz w:val="32"/>
          <w:szCs w:val="24"/>
          <w:lang w:val="en-US"/>
        </w:rPr>
        <w:t>”</w:t>
      </w:r>
      <w:r>
        <w:rPr>
          <w:rStyle w:val="31"/>
          <w:rFonts w:hint="eastAsia" w:ascii="Times New Roman" w:eastAsia="楷体_GB2312" w:cs="楷体_GB2312"/>
          <w:sz w:val="32"/>
          <w:szCs w:val="24"/>
        </w:rPr>
        <w:t>。坚决杜绝</w:t>
      </w:r>
      <w:r>
        <w:rPr>
          <w:rStyle w:val="31"/>
          <w:sz w:val="32"/>
          <w:szCs w:val="24"/>
          <w:lang w:val="en-US"/>
        </w:rPr>
        <w:t>“</w:t>
      </w:r>
      <w:r>
        <w:rPr>
          <w:rStyle w:val="31"/>
          <w:rFonts w:hint="eastAsia" w:ascii="Times New Roman" w:eastAsia="楷体_GB2312" w:cs="楷体_GB2312"/>
          <w:sz w:val="32"/>
          <w:szCs w:val="24"/>
        </w:rPr>
        <w:t>三违</w:t>
      </w:r>
      <w:r>
        <w:rPr>
          <w:rStyle w:val="31"/>
          <w:sz w:val="32"/>
          <w:szCs w:val="24"/>
          <w:lang w:val="en-US"/>
        </w:rPr>
        <w:t>”</w:t>
      </w:r>
      <w:r>
        <w:rPr>
          <w:rStyle w:val="31"/>
          <w:rFonts w:hint="eastAsia" w:ascii="Times New Roman" w:eastAsia="楷体_GB2312" w:cs="楷体_GB2312"/>
          <w:sz w:val="32"/>
          <w:szCs w:val="24"/>
        </w:rPr>
        <w:t>现像。初步形成</w:t>
      </w:r>
      <w:r>
        <w:rPr>
          <w:rStyle w:val="31"/>
          <w:sz w:val="32"/>
          <w:szCs w:val="24"/>
          <w:lang w:val="en-US"/>
        </w:rPr>
        <w:t>“</w:t>
      </w:r>
      <w:r>
        <w:rPr>
          <w:rStyle w:val="31"/>
          <w:rFonts w:hint="eastAsia" w:ascii="Times New Roman" w:eastAsia="楷体_GB2312" w:cs="楷体_GB2312"/>
          <w:sz w:val="32"/>
          <w:szCs w:val="24"/>
        </w:rPr>
        <w:t>依法执教、廉洁从教、文明施教</w:t>
      </w:r>
      <w:r>
        <w:rPr>
          <w:rStyle w:val="31"/>
          <w:sz w:val="32"/>
          <w:szCs w:val="24"/>
          <w:lang w:val="en-US"/>
        </w:rPr>
        <w:t>”</w:t>
      </w:r>
      <w:r>
        <w:rPr>
          <w:rStyle w:val="31"/>
          <w:rFonts w:hint="eastAsia" w:ascii="Times New Roman" w:eastAsia="楷体_GB2312" w:cs="楷体_GB2312"/>
          <w:sz w:val="32"/>
          <w:szCs w:val="24"/>
        </w:rPr>
        <w:t>良好氛围，</w:t>
      </w:r>
      <w:r>
        <w:rPr>
          <w:rStyle w:val="31"/>
          <w:sz w:val="32"/>
          <w:szCs w:val="24"/>
          <w:lang w:val="en-US"/>
        </w:rPr>
        <w:t>2019</w:t>
      </w:r>
      <w:r>
        <w:rPr>
          <w:rStyle w:val="31"/>
          <w:rFonts w:hint="eastAsia" w:ascii="Times New Roman" w:eastAsia="楷体_GB2312" w:cs="楷体_GB2312"/>
          <w:sz w:val="32"/>
          <w:szCs w:val="24"/>
        </w:rPr>
        <w:t>年</w:t>
      </w:r>
      <w:r>
        <w:rPr>
          <w:rStyle w:val="31"/>
          <w:sz w:val="32"/>
          <w:szCs w:val="24"/>
          <w:lang w:val="en-US"/>
        </w:rPr>
        <w:t>6</w:t>
      </w:r>
      <w:r>
        <w:rPr>
          <w:rStyle w:val="31"/>
          <w:rFonts w:hint="eastAsia" w:ascii="Times New Roman" w:eastAsia="楷体_GB2312" w:cs="楷体_GB2312"/>
          <w:sz w:val="32"/>
          <w:szCs w:val="24"/>
        </w:rPr>
        <w:t>月，迎接广汉市纪委</w:t>
      </w:r>
      <w:r>
        <w:rPr>
          <w:rStyle w:val="31"/>
          <w:sz w:val="32"/>
          <w:szCs w:val="24"/>
          <w:lang w:val="en-US"/>
        </w:rPr>
        <w:t>“</w:t>
      </w:r>
      <w:r>
        <w:rPr>
          <w:rStyle w:val="31"/>
          <w:rFonts w:hint="eastAsia" w:ascii="Times New Roman" w:eastAsia="楷体_GB2312" w:cs="楷体_GB2312"/>
          <w:sz w:val="32"/>
          <w:szCs w:val="24"/>
        </w:rPr>
        <w:t>清风行动</w:t>
      </w:r>
      <w:r>
        <w:rPr>
          <w:rStyle w:val="31"/>
          <w:sz w:val="32"/>
          <w:szCs w:val="24"/>
          <w:lang w:val="en-US"/>
        </w:rPr>
        <w:t>”</w:t>
      </w:r>
      <w:r>
        <w:rPr>
          <w:rStyle w:val="31"/>
          <w:rFonts w:hint="eastAsia" w:ascii="Times New Roman" w:eastAsia="楷体_GB2312" w:cs="楷体_GB2312"/>
          <w:sz w:val="32"/>
          <w:szCs w:val="24"/>
        </w:rPr>
        <w:t>督查，家长、社会反映情况良好。学校全年保持零违纪。</w:t>
      </w:r>
      <w:r>
        <w:rPr>
          <w:rStyle w:val="31"/>
          <w:sz w:val="32"/>
          <w:szCs w:val="24"/>
        </w:rPr>
        <w:t xml:space="preserve"> </w:t>
      </w:r>
      <w:r>
        <w:rPr>
          <w:rStyle w:val="31"/>
          <w:rFonts w:hint="eastAsia" w:ascii="Times New Roman" w:eastAsia="楷体_GB2312" w:cs="楷体_GB2312"/>
          <w:sz w:val="32"/>
          <w:szCs w:val="24"/>
        </w:rPr>
        <w:t>（二）、教学管理方面</w:t>
      </w:r>
      <w:r>
        <w:rPr>
          <w:rStyle w:val="31"/>
          <w:sz w:val="32"/>
          <w:szCs w:val="24"/>
          <w:lang w:val="en-US"/>
        </w:rPr>
        <w:t xml:space="preserve"> 1</w:t>
      </w:r>
      <w:r>
        <w:rPr>
          <w:rStyle w:val="31"/>
          <w:rFonts w:hint="eastAsia" w:ascii="Times New Roman" w:eastAsia="楷体_GB2312" w:cs="楷体_GB2312"/>
          <w:sz w:val="32"/>
          <w:szCs w:val="24"/>
        </w:rPr>
        <w:t>、牢固树立</w:t>
      </w:r>
      <w:r>
        <w:rPr>
          <w:rStyle w:val="31"/>
          <w:sz w:val="32"/>
          <w:szCs w:val="24"/>
          <w:lang w:val="en-US"/>
        </w:rPr>
        <w:t>“</w:t>
      </w:r>
      <w:r>
        <w:rPr>
          <w:rStyle w:val="31"/>
          <w:rFonts w:hint="eastAsia" w:ascii="Times New Roman" w:eastAsia="楷体_GB2312" w:cs="楷体_GB2312"/>
          <w:sz w:val="32"/>
          <w:szCs w:val="24"/>
        </w:rPr>
        <w:t>教学中心、质量生命</w:t>
      </w:r>
      <w:r>
        <w:rPr>
          <w:rStyle w:val="31"/>
          <w:sz w:val="32"/>
          <w:szCs w:val="24"/>
          <w:lang w:val="en-US"/>
        </w:rPr>
        <w:t>”</w:t>
      </w:r>
      <w:r>
        <w:rPr>
          <w:rStyle w:val="31"/>
          <w:rFonts w:hint="eastAsia" w:ascii="Times New Roman" w:eastAsia="楷体_GB2312" w:cs="楷体_GB2312"/>
          <w:sz w:val="32"/>
          <w:szCs w:val="24"/>
        </w:rPr>
        <w:t>的管理意识。以高效课堂的建设为抓手，强化教学常规管理，</w:t>
      </w:r>
      <w:r>
        <w:rPr>
          <w:rStyle w:val="31"/>
          <w:sz w:val="32"/>
          <w:szCs w:val="24"/>
        </w:rPr>
        <w:t xml:space="preserve"> </w:t>
      </w:r>
      <w:r>
        <w:rPr>
          <w:rStyle w:val="31"/>
          <w:rFonts w:hint="eastAsia" w:ascii="Times New Roman" w:eastAsia="楷体_GB2312" w:cs="楷体_GB2312"/>
          <w:sz w:val="32"/>
          <w:szCs w:val="24"/>
        </w:rPr>
        <w:t>严格落实教学常规</w:t>
      </w:r>
      <w:r>
        <w:rPr>
          <w:rStyle w:val="31"/>
          <w:sz w:val="32"/>
          <w:szCs w:val="24"/>
          <w:lang w:val="en-US"/>
        </w:rPr>
        <w:t>“</w:t>
      </w:r>
      <w:r>
        <w:rPr>
          <w:rStyle w:val="31"/>
          <w:rFonts w:hint="eastAsia" w:ascii="Times New Roman" w:eastAsia="楷体_GB2312" w:cs="楷体_GB2312"/>
          <w:sz w:val="32"/>
          <w:szCs w:val="24"/>
        </w:rPr>
        <w:t>六认真</w:t>
      </w:r>
      <w:r>
        <w:rPr>
          <w:rStyle w:val="31"/>
          <w:sz w:val="32"/>
          <w:szCs w:val="24"/>
          <w:lang w:val="en-US"/>
        </w:rPr>
        <w:t>”</w:t>
      </w:r>
      <w:r>
        <w:rPr>
          <w:rStyle w:val="31"/>
          <w:rFonts w:hint="eastAsia" w:ascii="Times New Roman" w:eastAsia="楷体_GB2312" w:cs="楷体_GB2312"/>
          <w:sz w:val="32"/>
          <w:szCs w:val="24"/>
        </w:rPr>
        <w:t>。</w:t>
      </w:r>
      <w:r>
        <w:rPr>
          <w:rStyle w:val="31"/>
          <w:sz w:val="32"/>
          <w:szCs w:val="24"/>
        </w:rPr>
        <w:t xml:space="preserve"> </w:t>
      </w:r>
      <w:r>
        <w:rPr>
          <w:rStyle w:val="31"/>
          <w:rFonts w:hint="eastAsia" w:ascii="Times New Roman" w:eastAsia="楷体_GB2312" w:cs="楷体_GB2312"/>
          <w:sz w:val="32"/>
          <w:szCs w:val="24"/>
        </w:rPr>
        <w:t>过程管理做到精细化、常态化。</w:t>
      </w:r>
      <w:r>
        <w:rPr>
          <w:rStyle w:val="31"/>
          <w:sz w:val="32"/>
          <w:szCs w:val="24"/>
          <w:lang w:val="en-US"/>
        </w:rPr>
        <w:t xml:space="preserve"> 2</w:t>
      </w:r>
      <w:r>
        <w:rPr>
          <w:rStyle w:val="31"/>
          <w:rFonts w:hint="eastAsia" w:ascii="Times New Roman" w:eastAsia="楷体_GB2312" w:cs="楷体_GB2312"/>
          <w:sz w:val="32"/>
          <w:szCs w:val="24"/>
        </w:rPr>
        <w:t>、做实教研培训工作，以实施新课程标准为重点，开展有效课堂、高效课堂实践研究，转变教学理念、创新教学模式。</w:t>
      </w:r>
      <w:r>
        <w:rPr>
          <w:rStyle w:val="31"/>
          <w:sz w:val="32"/>
          <w:szCs w:val="24"/>
          <w:lang w:val="en-US"/>
        </w:rPr>
        <w:t>3</w:t>
      </w:r>
      <w:r>
        <w:rPr>
          <w:rStyle w:val="31"/>
          <w:rFonts w:hint="eastAsia" w:ascii="Times New Roman" w:eastAsia="楷体_GB2312" w:cs="楷体_GB2312"/>
          <w:sz w:val="32"/>
          <w:szCs w:val="24"/>
        </w:rPr>
        <w:t>、是积极参与德阳市</w:t>
      </w:r>
      <w:r>
        <w:rPr>
          <w:rStyle w:val="31"/>
          <w:sz w:val="32"/>
          <w:szCs w:val="24"/>
          <w:lang w:val="en-US"/>
        </w:rPr>
        <w:t>2019</w:t>
      </w:r>
      <w:r>
        <w:rPr>
          <w:rStyle w:val="31"/>
          <w:rFonts w:hint="eastAsia" w:ascii="Times New Roman" w:eastAsia="楷体_GB2312" w:cs="楷体_GB2312"/>
          <w:sz w:val="32"/>
          <w:szCs w:val="24"/>
        </w:rPr>
        <w:t>年中小学教师能力素质提升全员培训，参培率达</w:t>
      </w:r>
      <w:r>
        <w:rPr>
          <w:rStyle w:val="31"/>
          <w:sz w:val="32"/>
          <w:szCs w:val="24"/>
          <w:lang w:val="en-US"/>
        </w:rPr>
        <w:t>100%</w:t>
      </w:r>
      <w:r>
        <w:rPr>
          <w:rStyle w:val="31"/>
          <w:rFonts w:hint="eastAsia" w:ascii="Times New Roman" w:eastAsia="楷体_GB2312" w:cs="楷体_GB2312"/>
          <w:sz w:val="32"/>
          <w:szCs w:val="24"/>
        </w:rPr>
        <w:t>、合格率达</w:t>
      </w:r>
      <w:r>
        <w:rPr>
          <w:rStyle w:val="31"/>
          <w:sz w:val="32"/>
          <w:szCs w:val="24"/>
          <w:lang w:val="en-US"/>
        </w:rPr>
        <w:t>100%</w:t>
      </w:r>
      <w:r>
        <w:rPr>
          <w:rStyle w:val="31"/>
          <w:rFonts w:hint="eastAsia" w:ascii="Times New Roman" w:eastAsia="楷体_GB2312" w:cs="楷体_GB2312"/>
          <w:sz w:val="32"/>
          <w:szCs w:val="24"/>
        </w:rPr>
        <w:t>。</w:t>
      </w:r>
      <w:r>
        <w:rPr>
          <w:rStyle w:val="31"/>
          <w:sz w:val="32"/>
          <w:szCs w:val="24"/>
        </w:rPr>
        <w:t xml:space="preserve"> </w:t>
      </w:r>
      <w:r>
        <w:rPr>
          <w:rStyle w:val="31"/>
          <w:rFonts w:hint="eastAsia" w:ascii="Times New Roman" w:eastAsia="楷体_GB2312" w:cs="楷体_GB2312"/>
          <w:sz w:val="32"/>
          <w:szCs w:val="24"/>
        </w:rPr>
        <w:t>（三）、学校德育工作</w:t>
      </w:r>
      <w:r>
        <w:rPr>
          <w:rStyle w:val="31"/>
          <w:sz w:val="32"/>
          <w:szCs w:val="24"/>
          <w:lang w:val="en-US"/>
        </w:rPr>
        <w:t xml:space="preserve"> 1</w:t>
      </w:r>
      <w:r>
        <w:rPr>
          <w:rStyle w:val="31"/>
          <w:rFonts w:hint="eastAsia" w:ascii="Times New Roman" w:eastAsia="楷体_GB2312" w:cs="楷体_GB2312"/>
          <w:sz w:val="32"/>
          <w:szCs w:val="24"/>
        </w:rPr>
        <w:t>、强化专题教育，强化阵地建设，强化少先队组织建设，强化活动开展。</w:t>
      </w:r>
      <w:r>
        <w:rPr>
          <w:rStyle w:val="31"/>
          <w:sz w:val="32"/>
          <w:szCs w:val="24"/>
          <w:lang w:val="en-US"/>
        </w:rPr>
        <w:t xml:space="preserve"> 2</w:t>
      </w:r>
      <w:r>
        <w:rPr>
          <w:rStyle w:val="31"/>
          <w:rFonts w:hint="eastAsia" w:ascii="Times New Roman" w:eastAsia="楷体_GB2312" w:cs="楷体_GB2312"/>
          <w:sz w:val="32"/>
          <w:szCs w:val="24"/>
        </w:rPr>
        <w:t>、以课堂作为德育主渠道、活动作为德育主载体、文化作为德育软实力，积极渗透爱国主义、民主法制、道德品质、生命安全、心理健康、文明礼仪、传统美德的教育。</w:t>
      </w:r>
      <w:r>
        <w:rPr>
          <w:rStyle w:val="31"/>
          <w:sz w:val="32"/>
          <w:szCs w:val="24"/>
          <w:lang w:val="en-US"/>
        </w:rPr>
        <w:t>3</w:t>
      </w:r>
      <w:r>
        <w:rPr>
          <w:rStyle w:val="31"/>
          <w:rFonts w:hint="eastAsia" w:ascii="Times New Roman" w:eastAsia="楷体_GB2312" w:cs="楷体_GB2312"/>
          <w:sz w:val="32"/>
          <w:szCs w:val="24"/>
        </w:rPr>
        <w:t>、充分运用好</w:t>
      </w:r>
      <w:r>
        <w:rPr>
          <w:rStyle w:val="31"/>
          <w:sz w:val="32"/>
          <w:szCs w:val="24"/>
          <w:lang w:val="en-US"/>
        </w:rPr>
        <w:t>“</w:t>
      </w:r>
      <w:r>
        <w:rPr>
          <w:rStyle w:val="31"/>
          <w:rFonts w:hint="eastAsia" w:ascii="Times New Roman" w:eastAsia="楷体_GB2312" w:cs="楷体_GB2312"/>
          <w:sz w:val="32"/>
          <w:szCs w:val="24"/>
        </w:rPr>
        <w:t>乡村学校少年宫活动</w:t>
      </w:r>
      <w:r>
        <w:rPr>
          <w:rStyle w:val="31"/>
          <w:sz w:val="32"/>
          <w:szCs w:val="24"/>
          <w:lang w:val="en-US"/>
        </w:rPr>
        <w:t xml:space="preserve">” </w:t>
      </w:r>
      <w:r>
        <w:rPr>
          <w:rStyle w:val="31"/>
          <w:rFonts w:hint="eastAsia" w:ascii="Times New Roman" w:eastAsia="楷体_GB2312" w:cs="楷体_GB2312"/>
          <w:sz w:val="32"/>
          <w:szCs w:val="24"/>
        </w:rPr>
        <w:t>平台，丰富学生艺体教育形式内容。</w:t>
      </w:r>
      <w:r>
        <w:rPr>
          <w:rStyle w:val="31"/>
          <w:sz w:val="32"/>
          <w:szCs w:val="24"/>
        </w:rPr>
        <w:t xml:space="preserve"> </w:t>
      </w:r>
      <w:r>
        <w:rPr>
          <w:rStyle w:val="31"/>
          <w:rFonts w:hint="eastAsia" w:ascii="Times New Roman" w:eastAsia="楷体_GB2312" w:cs="楷体_GB2312"/>
          <w:sz w:val="32"/>
          <w:szCs w:val="24"/>
        </w:rPr>
        <w:t>（四）、安全管理方面</w:t>
      </w:r>
      <w:r>
        <w:rPr>
          <w:rStyle w:val="31"/>
          <w:sz w:val="32"/>
          <w:szCs w:val="24"/>
        </w:rPr>
        <w:t xml:space="preserve"> </w:t>
      </w:r>
      <w:r>
        <w:rPr>
          <w:rStyle w:val="31"/>
          <w:rFonts w:hint="eastAsia" w:ascii="Times New Roman" w:eastAsia="楷体_GB2312" w:cs="楷体_GB2312"/>
          <w:sz w:val="32"/>
          <w:szCs w:val="24"/>
        </w:rPr>
        <w:t>安全稳定是学校发展的基础。学校始终绷紧</w:t>
      </w:r>
      <w:r>
        <w:rPr>
          <w:rStyle w:val="31"/>
          <w:sz w:val="32"/>
          <w:szCs w:val="24"/>
          <w:lang w:val="en-US"/>
        </w:rPr>
        <w:t>“</w:t>
      </w:r>
      <w:r>
        <w:rPr>
          <w:rStyle w:val="31"/>
          <w:rFonts w:hint="eastAsia" w:ascii="Times New Roman" w:eastAsia="楷体_GB2312" w:cs="楷体_GB2312"/>
          <w:sz w:val="32"/>
          <w:szCs w:val="24"/>
        </w:rPr>
        <w:t>安全</w:t>
      </w:r>
      <w:r>
        <w:rPr>
          <w:rStyle w:val="31"/>
          <w:sz w:val="32"/>
          <w:szCs w:val="24"/>
          <w:lang w:val="en-US"/>
        </w:rPr>
        <w:t>”</w:t>
      </w:r>
      <w:r>
        <w:rPr>
          <w:rStyle w:val="31"/>
          <w:rFonts w:hint="eastAsia" w:ascii="Times New Roman" w:eastAsia="楷体_GB2312" w:cs="楷体_GB2312"/>
          <w:sz w:val="32"/>
          <w:szCs w:val="24"/>
        </w:rPr>
        <w:t>这根弦，时时强化安全意识。努力营造</w:t>
      </w:r>
      <w:r>
        <w:rPr>
          <w:rStyle w:val="31"/>
          <w:sz w:val="32"/>
          <w:szCs w:val="24"/>
          <w:lang w:val="en-US"/>
        </w:rPr>
        <w:t>“</w:t>
      </w:r>
      <w:r>
        <w:rPr>
          <w:rStyle w:val="31"/>
          <w:rFonts w:hint="eastAsia" w:ascii="Times New Roman" w:eastAsia="楷体_GB2312" w:cs="楷体_GB2312"/>
          <w:sz w:val="32"/>
          <w:szCs w:val="24"/>
        </w:rPr>
        <w:t>人人讲安全，事事为安全；时时想安全，处处要安全</w:t>
      </w:r>
      <w:r>
        <w:rPr>
          <w:rStyle w:val="31"/>
          <w:sz w:val="32"/>
          <w:szCs w:val="24"/>
          <w:lang w:val="en-US"/>
        </w:rPr>
        <w:t>”</w:t>
      </w:r>
      <w:r>
        <w:rPr>
          <w:rStyle w:val="31"/>
          <w:rFonts w:hint="eastAsia" w:ascii="Times New Roman" w:eastAsia="楷体_GB2312" w:cs="楷体_GB2312"/>
          <w:sz w:val="32"/>
          <w:szCs w:val="24"/>
        </w:rPr>
        <w:t>的良好氛围。</w:t>
      </w:r>
      <w:r>
        <w:rPr>
          <w:rStyle w:val="31"/>
          <w:sz w:val="32"/>
          <w:szCs w:val="24"/>
        </w:rPr>
        <w:t xml:space="preserve"> </w:t>
      </w:r>
      <w:r>
        <w:rPr>
          <w:rStyle w:val="31"/>
          <w:rFonts w:hint="eastAsia" w:ascii="Times New Roman" w:eastAsia="楷体_GB2312" w:cs="楷体_GB2312"/>
          <w:sz w:val="32"/>
          <w:szCs w:val="24"/>
        </w:rPr>
        <w:t>（五）、后勤管理工作</w:t>
      </w:r>
      <w:r>
        <w:rPr>
          <w:rStyle w:val="31"/>
          <w:sz w:val="32"/>
          <w:szCs w:val="24"/>
        </w:rPr>
        <w:t xml:space="preserve"> </w:t>
      </w:r>
      <w:r>
        <w:rPr>
          <w:rStyle w:val="31"/>
          <w:rFonts w:hint="eastAsia" w:ascii="Times New Roman" w:eastAsia="楷体_GB2312" w:cs="楷体_GB2312"/>
          <w:sz w:val="32"/>
          <w:szCs w:val="24"/>
        </w:rPr>
        <w:t>后勤管理坚定</w:t>
      </w:r>
      <w:r>
        <w:rPr>
          <w:rStyle w:val="31"/>
          <w:sz w:val="32"/>
          <w:szCs w:val="24"/>
          <w:lang w:val="en-US"/>
        </w:rPr>
        <w:t>“</w:t>
      </w:r>
      <w:r>
        <w:rPr>
          <w:rStyle w:val="31"/>
          <w:rFonts w:hint="eastAsia" w:ascii="Times New Roman" w:eastAsia="楷体_GB2312" w:cs="楷体_GB2312"/>
          <w:sz w:val="32"/>
          <w:szCs w:val="24"/>
        </w:rPr>
        <w:t>以生为本</w:t>
      </w:r>
      <w:r>
        <w:rPr>
          <w:rStyle w:val="31"/>
          <w:sz w:val="32"/>
          <w:szCs w:val="24"/>
          <w:lang w:val="en-US"/>
        </w:rPr>
        <w:t>”</w:t>
      </w:r>
      <w:r>
        <w:rPr>
          <w:rStyle w:val="31"/>
          <w:rFonts w:hint="eastAsia" w:ascii="Times New Roman" w:eastAsia="楷体_GB2312" w:cs="楷体_GB2312"/>
          <w:sz w:val="32"/>
          <w:szCs w:val="24"/>
        </w:rPr>
        <w:t>的理念。着力提高</w:t>
      </w:r>
      <w:r>
        <w:rPr>
          <w:rStyle w:val="31"/>
          <w:sz w:val="32"/>
          <w:szCs w:val="24"/>
          <w:lang w:val="en-US"/>
        </w:rPr>
        <w:t>“</w:t>
      </w:r>
      <w:r>
        <w:rPr>
          <w:rStyle w:val="31"/>
          <w:rFonts w:hint="eastAsia" w:ascii="Times New Roman" w:eastAsia="楷体_GB2312" w:cs="楷体_GB2312"/>
          <w:sz w:val="32"/>
          <w:szCs w:val="24"/>
        </w:rPr>
        <w:t>保障、服务、育人</w:t>
      </w:r>
      <w:r>
        <w:rPr>
          <w:rStyle w:val="31"/>
          <w:sz w:val="32"/>
          <w:szCs w:val="24"/>
          <w:lang w:val="en-US"/>
        </w:rPr>
        <w:t>”</w:t>
      </w:r>
      <w:r>
        <w:rPr>
          <w:rStyle w:val="31"/>
          <w:rFonts w:hint="eastAsia" w:ascii="Times New Roman" w:eastAsia="楷体_GB2312" w:cs="楷体_GB2312"/>
          <w:sz w:val="32"/>
          <w:szCs w:val="24"/>
        </w:rPr>
        <w:t>的质量。</w:t>
      </w:r>
      <w:r>
        <w:rPr>
          <w:rStyle w:val="31"/>
          <w:sz w:val="32"/>
          <w:szCs w:val="24"/>
          <w:lang w:val="en-US"/>
        </w:rPr>
        <w:t xml:space="preserve"> 1</w:t>
      </w:r>
      <w:r>
        <w:rPr>
          <w:rStyle w:val="31"/>
          <w:rFonts w:hint="eastAsia" w:ascii="Times New Roman" w:eastAsia="楷体_GB2312" w:cs="楷体_GB2312"/>
          <w:sz w:val="32"/>
          <w:szCs w:val="24"/>
        </w:rPr>
        <w:t>、加强学生健康教育和疾病防控工作，定期开展师生健康体检，坚持做好晨午检等日常工作。</w:t>
      </w:r>
      <w:r>
        <w:rPr>
          <w:rStyle w:val="31"/>
          <w:sz w:val="32"/>
          <w:szCs w:val="24"/>
          <w:lang w:val="en-US"/>
        </w:rPr>
        <w:t>2</w:t>
      </w:r>
      <w:r>
        <w:rPr>
          <w:rStyle w:val="31"/>
          <w:rFonts w:hint="eastAsia" w:ascii="Times New Roman" w:eastAsia="楷体_GB2312" w:cs="楷体_GB2312"/>
          <w:sz w:val="32"/>
          <w:szCs w:val="24"/>
        </w:rPr>
        <w:t>、严把食品和饮用水安全关。</w:t>
      </w:r>
      <w:r>
        <w:rPr>
          <w:rStyle w:val="31"/>
          <w:sz w:val="32"/>
          <w:szCs w:val="24"/>
          <w:lang w:val="en-US"/>
        </w:rPr>
        <w:t>3</w:t>
      </w:r>
      <w:r>
        <w:rPr>
          <w:rStyle w:val="31"/>
          <w:rFonts w:hint="eastAsia" w:ascii="Times New Roman" w:eastAsia="楷体_GB2312" w:cs="楷体_GB2312"/>
          <w:sz w:val="32"/>
          <w:szCs w:val="24"/>
        </w:rPr>
        <w:t>、以中心幼儿园建设项目的实施为契机，抢抓机遇，精心设计并监督实施附属配套改造项目。</w:t>
      </w:r>
    </w:p>
    <w:p>
      <w:pPr>
        <w:pStyle w:val="3"/>
        <w:rPr>
          <w:rStyle w:val="25"/>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pStyle w:val="5"/>
        <w:adjustRightInd w:val="0"/>
        <w:snapToGrid w:val="0"/>
        <w:spacing w:before="93" w:line="600" w:lineRule="exact"/>
        <w:ind w:firstLine="640" w:firstLineChars="200"/>
        <w:rPr>
          <w:rFonts w:ascii="仿宋" w:hAnsi="仿宋" w:eastAsia="仿宋"/>
          <w:color w:val="000000"/>
          <w:sz w:val="32"/>
          <w:szCs w:val="32"/>
        </w:rPr>
      </w:pPr>
      <w:r>
        <w:rPr>
          <w:rFonts w:hint="eastAsia" w:ascii="仿宋" w:hAnsi="仿宋" w:eastAsia="仿宋"/>
          <w:sz w:val="32"/>
          <w:szCs w:val="32"/>
          <w:lang w:eastAsia="zh-CN"/>
        </w:rPr>
        <w:t>广汉市南丰第一小学是教育局下属的二级预算单位。其无下属单位。</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1"/>
        </w:numPr>
        <w:spacing w:line="600" w:lineRule="exact"/>
        <w:ind w:firstLineChars="0"/>
        <w:outlineLvl w:val="1"/>
        <w:rPr>
          <w:rStyle w:val="25"/>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2019年度收</w:t>
      </w:r>
      <w:r>
        <w:rPr>
          <w:rFonts w:hint="eastAsia" w:ascii="仿宋" w:hAnsi="仿宋" w:eastAsia="仿宋"/>
          <w:color w:val="000000"/>
          <w:sz w:val="32"/>
          <w:szCs w:val="32"/>
          <w:lang w:eastAsia="zh-CN"/>
        </w:rPr>
        <w:t>入总计</w:t>
      </w:r>
      <w:r>
        <w:rPr>
          <w:rFonts w:hint="eastAsia" w:ascii="仿宋" w:hAnsi="仿宋" w:eastAsia="仿宋"/>
          <w:color w:val="000000"/>
          <w:sz w:val="32"/>
          <w:szCs w:val="32"/>
          <w:lang w:val="en-US" w:eastAsia="zh-CN"/>
        </w:rPr>
        <w:t>566.78</w:t>
      </w:r>
      <w:r>
        <w:rPr>
          <w:rFonts w:hint="eastAsia" w:ascii="仿宋" w:hAnsi="仿宋" w:eastAsia="仿宋"/>
          <w:color w:val="000000"/>
          <w:sz w:val="32"/>
          <w:szCs w:val="32"/>
        </w:rPr>
        <w:t>万元、支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559.24</w:t>
      </w:r>
      <w:r>
        <w:rPr>
          <w:rFonts w:hint="eastAsia" w:ascii="仿宋" w:hAnsi="仿宋" w:eastAsia="仿宋"/>
          <w:color w:val="000000"/>
          <w:sz w:val="32"/>
          <w:szCs w:val="32"/>
        </w:rPr>
        <w:t>万元。与2018年相比，收总计各增加</w:t>
      </w:r>
      <w:r>
        <w:rPr>
          <w:rFonts w:hint="eastAsia" w:ascii="仿宋" w:hAnsi="仿宋" w:eastAsia="仿宋"/>
          <w:color w:val="000000"/>
          <w:sz w:val="32"/>
          <w:szCs w:val="32"/>
          <w:lang w:val="en-US" w:eastAsia="zh-CN"/>
        </w:rPr>
        <w:t>47.75万元</w:t>
      </w:r>
      <w:r>
        <w:rPr>
          <w:rFonts w:hint="eastAsia" w:ascii="仿宋" w:hAnsi="仿宋" w:eastAsia="仿宋"/>
          <w:color w:val="000000"/>
          <w:sz w:val="32"/>
          <w:szCs w:val="32"/>
        </w:rPr>
        <w:t>、增长</w:t>
      </w:r>
      <w:r>
        <w:rPr>
          <w:rFonts w:hint="eastAsia" w:ascii="仿宋" w:hAnsi="仿宋" w:eastAsia="仿宋"/>
          <w:color w:val="000000"/>
          <w:sz w:val="32"/>
          <w:szCs w:val="32"/>
          <w:lang w:val="en-US" w:eastAsia="zh-CN"/>
        </w:rPr>
        <w:t>9.2</w:t>
      </w:r>
      <w:r>
        <w:rPr>
          <w:rFonts w:ascii="仿宋" w:hAnsi="仿宋" w:eastAsia="仿宋"/>
          <w:color w:val="000000"/>
          <w:sz w:val="32"/>
          <w:szCs w:val="32"/>
        </w:rPr>
        <w:t>%</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支总计各增加</w:t>
      </w:r>
      <w:r>
        <w:rPr>
          <w:rFonts w:hint="eastAsia" w:ascii="仿宋" w:hAnsi="仿宋" w:eastAsia="仿宋"/>
          <w:color w:val="000000"/>
          <w:sz w:val="32"/>
          <w:szCs w:val="32"/>
          <w:lang w:val="en-US" w:eastAsia="zh-CN"/>
        </w:rPr>
        <w:t>41.85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8.09</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w:t>
      </w:r>
      <w:r>
        <w:rPr>
          <w:rFonts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：收、支决算总计变动情况图）（柱状图）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59264" behindDoc="0" locked="0" layoutInCell="1" allowOverlap="1">
            <wp:simplePos x="0" y="0"/>
            <wp:positionH relativeFrom="column">
              <wp:posOffset>387985</wp:posOffset>
            </wp:positionH>
            <wp:positionV relativeFrom="paragraph">
              <wp:posOffset>165735</wp:posOffset>
            </wp:positionV>
            <wp:extent cx="3176270" cy="1364615"/>
            <wp:effectExtent l="4445" t="4445" r="19685" b="2159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bookmarkStart w:id="26" w:name="_Toc15396604"/>
      <w:bookmarkStart w:id="27" w:name="_Toc15377206"/>
      <w:r>
        <w:rPr>
          <w:rFonts w:hint="eastAsia" w:ascii="黑体" w:hAnsi="黑体" w:eastAsia="黑体" w:cs="黑体"/>
          <w:b/>
          <w:bCs/>
          <w:color w:val="000000" w:themeColor="text1"/>
          <w:sz w:val="32"/>
          <w:szCs w:val="32"/>
          <w:lang w:eastAsia="zh-CN"/>
          <w14:textFill>
            <w14:solidFill>
              <w14:schemeClr w14:val="tx1"/>
            </w14:solidFill>
          </w14:textFill>
        </w:rPr>
        <w:t>二、</w:t>
      </w:r>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566.78</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521.43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91</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16.02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26.33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5</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（图2：收入决算结构图）</w:t>
      </w:r>
    </w:p>
    <w:p>
      <w:pPr>
        <w:spacing w:line="600" w:lineRule="exact"/>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58240" behindDoc="0" locked="0" layoutInCell="1" allowOverlap="1">
            <wp:simplePos x="0" y="0"/>
            <wp:positionH relativeFrom="column">
              <wp:posOffset>315595</wp:posOffset>
            </wp:positionH>
            <wp:positionV relativeFrom="paragraph">
              <wp:posOffset>84455</wp:posOffset>
            </wp:positionV>
            <wp:extent cx="4302760" cy="2425065"/>
            <wp:effectExtent l="4445" t="5080" r="17145" b="825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pStyle w:val="23"/>
        <w:numPr>
          <w:ilvl w:val="0"/>
          <w:numId w:val="0"/>
        </w:numPr>
        <w:spacing w:line="600" w:lineRule="exact"/>
        <w:ind w:left="640" w:leftChars="0"/>
        <w:outlineLvl w:val="1"/>
        <w:rPr>
          <w:rFonts w:hint="eastAsia" w:ascii="黑体" w:hAnsi="黑体" w:eastAsia="黑体"/>
          <w:color w:val="000000"/>
          <w:sz w:val="32"/>
          <w:szCs w:val="32"/>
          <w:lang w:eastAsia="zh-CN"/>
        </w:rPr>
      </w:pPr>
      <w:bookmarkStart w:id="28" w:name="_Toc15396605"/>
      <w:bookmarkStart w:id="29" w:name="_Toc15377207"/>
    </w:p>
    <w:p>
      <w:pPr>
        <w:pStyle w:val="23"/>
        <w:numPr>
          <w:ilvl w:val="0"/>
          <w:numId w:val="0"/>
        </w:numPr>
        <w:spacing w:line="600" w:lineRule="exact"/>
        <w:ind w:left="640" w:leftChars="0"/>
        <w:outlineLvl w:val="1"/>
        <w:rPr>
          <w:rFonts w:hint="eastAsia" w:ascii="黑体" w:hAnsi="黑体" w:eastAsia="黑体"/>
          <w:color w:val="000000"/>
          <w:sz w:val="32"/>
          <w:szCs w:val="32"/>
          <w:lang w:eastAsia="zh-CN"/>
        </w:rPr>
      </w:pPr>
    </w:p>
    <w:p>
      <w:pPr>
        <w:pStyle w:val="23"/>
        <w:numPr>
          <w:ilvl w:val="0"/>
          <w:numId w:val="0"/>
        </w:numPr>
        <w:spacing w:line="600" w:lineRule="exact"/>
        <w:ind w:left="640" w:leftChars="0"/>
        <w:outlineLvl w:val="1"/>
        <w:rPr>
          <w:rFonts w:hint="eastAsia" w:ascii="黑体" w:hAnsi="黑体" w:eastAsia="黑体"/>
          <w:color w:val="000000"/>
          <w:sz w:val="32"/>
          <w:szCs w:val="32"/>
          <w:lang w:eastAsia="zh-CN"/>
        </w:rPr>
      </w:pPr>
    </w:p>
    <w:p>
      <w:pPr>
        <w:pStyle w:val="23"/>
        <w:numPr>
          <w:ilvl w:val="0"/>
          <w:numId w:val="0"/>
        </w:numPr>
        <w:spacing w:line="600" w:lineRule="exact"/>
        <w:ind w:left="640" w:leftChars="0"/>
        <w:outlineLvl w:val="1"/>
        <w:rPr>
          <w:rFonts w:hint="eastAsia" w:ascii="黑体" w:hAnsi="黑体" w:eastAsia="黑体"/>
          <w:color w:val="000000"/>
          <w:sz w:val="32"/>
          <w:szCs w:val="32"/>
          <w:lang w:eastAsia="zh-CN"/>
        </w:rPr>
      </w:pPr>
    </w:p>
    <w:p>
      <w:pPr>
        <w:pStyle w:val="23"/>
        <w:numPr>
          <w:ilvl w:val="0"/>
          <w:numId w:val="0"/>
        </w:numPr>
        <w:spacing w:line="600" w:lineRule="exact"/>
        <w:ind w:left="640" w:leftChars="0"/>
        <w:outlineLvl w:val="1"/>
        <w:rPr>
          <w:rStyle w:val="25"/>
          <w:rFonts w:ascii="黑体" w:hAnsi="黑体" w:eastAsia="黑体"/>
          <w:b w:val="0"/>
        </w:rPr>
      </w:pPr>
      <w:r>
        <w:rPr>
          <w:rFonts w:hint="eastAsia" w:ascii="黑体" w:hAnsi="黑体" w:eastAsia="黑体"/>
          <w:color w:val="000000"/>
          <w:sz w:val="32"/>
          <w:szCs w:val="32"/>
          <w:lang w:eastAsia="zh-CN"/>
        </w:rPr>
        <w:t>三、</w:t>
      </w:r>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559.24</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557.46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99.7</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1.78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0.3</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60288" behindDoc="0" locked="0" layoutInCell="1" allowOverlap="1">
            <wp:simplePos x="0" y="0"/>
            <wp:positionH relativeFrom="column">
              <wp:posOffset>627380</wp:posOffset>
            </wp:positionH>
            <wp:positionV relativeFrom="paragraph">
              <wp:posOffset>57150</wp:posOffset>
            </wp:positionV>
            <wp:extent cx="3811905" cy="2185035"/>
            <wp:effectExtent l="4445" t="4445" r="12700" b="20320"/>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Fonts w:hint="eastAsia" w:ascii="黑体" w:hAnsi="黑体" w:eastAsia="黑体"/>
          <w:color w:val="000000"/>
          <w:sz w:val="32"/>
          <w:szCs w:val="32"/>
        </w:rPr>
      </w:pPr>
      <w:bookmarkStart w:id="30" w:name="_Toc15396606"/>
      <w:bookmarkStart w:id="31" w:name="_Toc15377208"/>
    </w:p>
    <w:p>
      <w:pPr>
        <w:spacing w:line="600" w:lineRule="exact"/>
        <w:ind w:firstLine="640" w:firstLineChars="200"/>
        <w:outlineLvl w:val="1"/>
        <w:rPr>
          <w:rFonts w:hint="eastAsia" w:ascii="黑体" w:hAnsi="黑体" w:eastAsia="黑体"/>
          <w:color w:val="000000"/>
          <w:sz w:val="32"/>
          <w:szCs w:val="32"/>
        </w:rPr>
      </w:pPr>
    </w:p>
    <w:p>
      <w:pPr>
        <w:spacing w:line="600" w:lineRule="exact"/>
        <w:ind w:firstLine="640" w:firstLineChars="200"/>
        <w:outlineLvl w:val="1"/>
        <w:rPr>
          <w:rFonts w:hint="eastAsia"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9年财政拨款收</w:t>
      </w:r>
      <w:r>
        <w:rPr>
          <w:rFonts w:hint="eastAsia" w:ascii="仿宋" w:hAnsi="仿宋" w:eastAsia="仿宋"/>
          <w:color w:val="000000"/>
          <w:sz w:val="32"/>
          <w:szCs w:val="32"/>
          <w:lang w:val="en-US" w:eastAsia="zh-CN"/>
        </w:rPr>
        <w:t>524.43万元</w:t>
      </w:r>
      <w:r>
        <w:rPr>
          <w:rFonts w:hint="eastAsia" w:ascii="仿宋" w:hAnsi="仿宋" w:eastAsia="仿宋"/>
          <w:color w:val="000000"/>
          <w:sz w:val="32"/>
          <w:szCs w:val="32"/>
        </w:rPr>
        <w:t>、支总计</w:t>
      </w:r>
      <w:r>
        <w:rPr>
          <w:rFonts w:hint="eastAsia" w:ascii="仿宋" w:hAnsi="仿宋" w:eastAsia="仿宋"/>
          <w:color w:val="000000"/>
          <w:sz w:val="32"/>
          <w:szCs w:val="32"/>
          <w:lang w:val="en-US" w:eastAsia="zh-CN"/>
        </w:rPr>
        <w:t>528.47</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8年相比，财政拨款收增加</w:t>
      </w:r>
      <w:r>
        <w:rPr>
          <w:rFonts w:hint="eastAsia" w:ascii="仿宋" w:hAnsi="仿宋" w:eastAsia="仿宋"/>
          <w:color w:val="000000"/>
          <w:sz w:val="32"/>
          <w:szCs w:val="32"/>
          <w:lang w:val="en-US" w:eastAsia="zh-CN"/>
        </w:rPr>
        <w:t>17.97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3.57%</w:t>
      </w:r>
      <w:r>
        <w:rPr>
          <w:rFonts w:hint="eastAsia" w:ascii="仿宋" w:hAnsi="仿宋" w:eastAsia="仿宋"/>
          <w:color w:val="000000"/>
          <w:sz w:val="32"/>
          <w:szCs w:val="32"/>
        </w:rPr>
        <w:t>、支总计增加</w:t>
      </w:r>
      <w:r>
        <w:rPr>
          <w:rFonts w:hint="eastAsia" w:ascii="仿宋" w:hAnsi="仿宋" w:eastAsia="仿宋"/>
          <w:color w:val="000000"/>
          <w:sz w:val="32"/>
          <w:szCs w:val="32"/>
          <w:lang w:val="en-US" w:eastAsia="zh-CN"/>
        </w:rPr>
        <w:t>41.84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8.85</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（图4：财政拨款收、支决算总计变动情况）（柱状图）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62336" behindDoc="0" locked="0" layoutInCell="1" allowOverlap="1">
            <wp:simplePos x="0" y="0"/>
            <wp:positionH relativeFrom="column">
              <wp:posOffset>370840</wp:posOffset>
            </wp:positionH>
            <wp:positionV relativeFrom="paragraph">
              <wp:posOffset>32385</wp:posOffset>
            </wp:positionV>
            <wp:extent cx="2971800" cy="1144905"/>
            <wp:effectExtent l="4445" t="4445" r="14605" b="1270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528.47</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94.5</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24.79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4.6</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3" w:firstLineChars="200"/>
        <w:rPr>
          <w:rFonts w:hint="eastAsia" w:ascii="仿宋" w:hAnsi="仿宋" w:eastAsia="仿宋"/>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67456" behindDoc="0" locked="0" layoutInCell="1" allowOverlap="1">
            <wp:simplePos x="0" y="0"/>
            <wp:positionH relativeFrom="column">
              <wp:posOffset>1418590</wp:posOffset>
            </wp:positionH>
            <wp:positionV relativeFrom="paragraph">
              <wp:posOffset>754380</wp:posOffset>
            </wp:positionV>
            <wp:extent cx="2136775" cy="1436370"/>
            <wp:effectExtent l="4445" t="4445" r="11430" b="698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 w:hAnsi="仿宋" w:eastAsia="仿宋"/>
          <w:color w:val="000000" w:themeColor="text1"/>
          <w:sz w:val="32"/>
          <w:szCs w:val="32"/>
          <w14:textFill>
            <w14:solidFill>
              <w14:schemeClr w14:val="tx1"/>
            </w14:solidFill>
          </w14:textFill>
        </w:rPr>
        <w:t>（图5：一般公共预算财政拨款支出决算变动情况）（柱状图）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w:t>
      </w:r>
      <w:r>
        <w:rPr>
          <w:rFonts w:hint="eastAsia" w:ascii="仿宋" w:hAnsi="仿宋" w:eastAsia="仿宋"/>
          <w:color w:val="000000" w:themeColor="text1"/>
          <w:sz w:val="32"/>
          <w:szCs w:val="32"/>
          <w:lang w:val="en-US" w:eastAsia="zh-CN"/>
          <w14:textFill>
            <w14:solidFill>
              <w14:schemeClr w14:val="tx1"/>
            </w14:solidFill>
          </w14:textFill>
        </w:rPr>
        <w:t>528.47</w:t>
      </w:r>
      <w:r>
        <w:rPr>
          <w:rFonts w:hint="eastAsia" w:ascii="仿宋" w:hAnsi="仿宋" w:eastAsia="仿宋"/>
          <w:color w:val="000000" w:themeColor="text1"/>
          <w:sz w:val="32"/>
          <w:szCs w:val="32"/>
          <w14:textFill>
            <w14:solidFill>
              <w14:schemeClr w14:val="tx1"/>
            </w14:solidFill>
          </w14:textFill>
        </w:rPr>
        <w:t>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w:t>
      </w:r>
      <w:r>
        <w:rPr>
          <w:rFonts w:hint="eastAsia" w:ascii="仿宋" w:hAnsi="仿宋" w:eastAsia="仿宋"/>
          <w:color w:val="000000" w:themeColor="text1"/>
          <w:sz w:val="32"/>
          <w:szCs w:val="32"/>
          <w:lang w:val="en-US" w:eastAsia="zh-CN"/>
          <w14:textFill>
            <w14:solidFill>
              <w14:schemeClr w14:val="tx1"/>
            </w14:solidFill>
          </w14:textFill>
        </w:rPr>
        <w:t>338.93</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FF"/>
          <w:sz w:val="32"/>
          <w:szCs w:val="32"/>
          <w:lang w:val="en-US" w:eastAsia="zh-CN"/>
        </w:rPr>
        <w:t>64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w:t>
      </w:r>
      <w:r>
        <w:rPr>
          <w:rFonts w:hint="eastAsia" w:ascii="仿宋" w:hAnsi="仿宋" w:eastAsia="仿宋"/>
          <w:b/>
          <w:bCs/>
          <w:color w:val="000000" w:themeColor="text1"/>
          <w:sz w:val="32"/>
          <w:szCs w:val="32"/>
          <w:lang w:val="en-US" w:eastAsia="zh-CN"/>
          <w14:textFill>
            <w14:solidFill>
              <w14:schemeClr w14:val="tx1"/>
            </w14:solidFill>
          </w14:textFill>
        </w:rPr>
        <w:t>0</w:t>
      </w:r>
      <w:r>
        <w:rPr>
          <w:rFonts w:hint="eastAsia" w:ascii="仿宋" w:hAnsi="仿宋" w:eastAsia="仿宋"/>
          <w:b/>
          <w:bCs/>
          <w:color w:val="000000" w:themeColor="text1"/>
          <w:sz w:val="32"/>
          <w:szCs w:val="32"/>
          <w14:textFill>
            <w14:solidFill>
              <w14:schemeClr w14:val="tx1"/>
            </w14:solidFill>
          </w14:textFill>
        </w:rPr>
        <w:t>万元，占</w:t>
      </w:r>
      <w:r>
        <w:rPr>
          <w:rFonts w:hint="eastAsia" w:ascii="仿宋" w:hAnsi="仿宋" w:eastAsia="仿宋"/>
          <w:b/>
          <w:bCs/>
          <w:color w:val="000000" w:themeColor="text1"/>
          <w:sz w:val="32"/>
          <w:szCs w:val="32"/>
          <w:lang w:val="en-US" w:eastAsia="zh-CN"/>
          <w14:textFill>
            <w14:solidFill>
              <w14:schemeClr w14:val="tx1"/>
            </w14:solidFill>
          </w14:textFill>
        </w:rPr>
        <w:t>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122.92</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FF"/>
          <w:sz w:val="32"/>
          <w:szCs w:val="32"/>
          <w:lang w:val="en-US" w:eastAsia="zh-CN"/>
        </w:rPr>
        <w:t>24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w:t>
      </w:r>
      <w:r>
        <w:rPr>
          <w:rFonts w:hint="eastAsia" w:ascii="仿宋" w:hAnsi="仿宋" w:eastAsia="仿宋"/>
          <w:b/>
          <w:bCs/>
          <w:color w:val="000000" w:themeColor="text1"/>
          <w:sz w:val="32"/>
          <w:szCs w:val="32"/>
          <w:lang w:val="en-US" w:eastAsia="zh-CN"/>
          <w14:textFill>
            <w14:solidFill>
              <w14:schemeClr w14:val="tx1"/>
            </w14:solidFill>
          </w14:textFill>
        </w:rPr>
        <w:t>31.24</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w:t>
      </w:r>
      <w:r>
        <w:rPr>
          <w:rFonts w:hint="eastAsia" w:ascii="仿宋" w:hAnsi="仿宋" w:eastAsia="仿宋"/>
          <w:color w:val="000000" w:themeColor="text1"/>
          <w:sz w:val="32"/>
          <w:szCs w:val="32"/>
          <w:lang w:val="en-US" w:eastAsia="zh-CN"/>
          <w14:textFill>
            <w14:solidFill>
              <w14:schemeClr w14:val="tx1"/>
            </w14:solidFill>
          </w14:textFill>
        </w:rPr>
        <w:t>35.39</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7</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70528" behindDoc="0" locked="0" layoutInCell="1" allowOverlap="1">
            <wp:simplePos x="0" y="0"/>
            <wp:positionH relativeFrom="column">
              <wp:posOffset>377825</wp:posOffset>
            </wp:positionH>
            <wp:positionV relativeFrom="paragraph">
              <wp:posOffset>133985</wp:posOffset>
            </wp:positionV>
            <wp:extent cx="5044440" cy="2219325"/>
            <wp:effectExtent l="4445" t="4445" r="18415" b="5080"/>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hint="eastAsia" w:ascii="仿宋" w:hAnsi="仿宋" w:eastAsia="仿宋"/>
          <w:b/>
          <w:color w:val="000000"/>
          <w:sz w:val="32"/>
          <w:szCs w:val="32"/>
        </w:rPr>
      </w:pPr>
      <w:bookmarkStart w:id="36" w:name="_Toc15377212"/>
    </w:p>
    <w:p>
      <w:pPr>
        <w:spacing w:line="600" w:lineRule="exact"/>
        <w:ind w:firstLine="643" w:firstLineChars="200"/>
        <w:outlineLvl w:val="2"/>
        <w:rPr>
          <w:rFonts w:ascii="仿宋" w:hAnsi="仿宋" w:eastAsia="仿宋"/>
          <w:b/>
          <w:color w:val="000000"/>
          <w:sz w:val="32"/>
          <w:szCs w:val="32"/>
        </w:rPr>
      </w:pPr>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444"/>
      <w:bookmarkStart w:id="38" w:name="_Toc15378460"/>
      <w:bookmarkStart w:id="39" w:name="_Toc15377213"/>
      <w:r>
        <w:rPr>
          <w:rFonts w:hint="eastAsia" w:ascii="仿宋" w:hAnsi="仿宋" w:eastAsia="仿宋"/>
          <w:b/>
          <w:color w:val="000000" w:themeColor="text1"/>
          <w:sz w:val="32"/>
          <w:szCs w:val="32"/>
          <w14:textFill>
            <w14:solidFill>
              <w14:schemeClr w14:val="tx1"/>
            </w14:solidFill>
          </w14:textFill>
        </w:rPr>
        <w:t>2019年般公共预算支出决算数为</w:t>
      </w:r>
      <w:r>
        <w:rPr>
          <w:rFonts w:hint="eastAsia" w:ascii="仿宋" w:hAnsi="仿宋" w:eastAsia="仿宋"/>
          <w:color w:val="000000" w:themeColor="text1"/>
          <w:sz w:val="32"/>
          <w:szCs w:val="32"/>
          <w:lang w:val="en-US" w:eastAsia="zh-CN"/>
          <w14:textFill>
            <w14:solidFill>
              <w14:schemeClr w14:val="tx1"/>
            </w14:solidFill>
          </w14:textFill>
        </w:rPr>
        <w:t>528.47</w:t>
      </w:r>
      <w:r>
        <w:rPr>
          <w:rFonts w:hint="eastAsia" w:ascii="仿宋" w:hAnsi="仿宋" w:eastAsia="仿宋"/>
          <w:b/>
          <w:color w:val="000000" w:themeColor="text1"/>
          <w:sz w:val="32"/>
          <w:szCs w:val="32"/>
          <w:lang w:val="en-US" w:eastAsia="zh-CN"/>
          <w14:textFill>
            <w14:solidFill>
              <w14:schemeClr w14:val="tx1"/>
            </w14:solidFill>
          </w14:textFill>
        </w:rPr>
        <w:t>万元</w:t>
      </w:r>
      <w:r>
        <w:rPr>
          <w:rFonts w:hint="eastAsia" w:ascii="仿宋" w:hAnsi="仿宋" w:eastAsia="仿宋"/>
          <w:color w:val="000000" w:themeColor="text1"/>
          <w:sz w:val="32"/>
          <w:szCs w:val="32"/>
          <w14:textFill>
            <w14:solidFill>
              <w14:schemeClr w14:val="tx1"/>
            </w14:solidFill>
          </w14:textFill>
        </w:rPr>
        <w:t>，</w:t>
      </w:r>
      <w:r>
        <w:rPr>
          <w:rStyle w:val="14"/>
          <w:rFonts w:hint="eastAsia" w:ascii="仿宋" w:hAnsi="仿宋" w:eastAsia="仿宋"/>
          <w:bCs/>
          <w:color w:val="000000" w:themeColor="text1"/>
          <w:sz w:val="32"/>
          <w:szCs w:val="32"/>
          <w14:textFill>
            <w14:solidFill>
              <w14:schemeClr w14:val="tx1"/>
            </w14:solidFill>
          </w14:textFill>
        </w:rPr>
        <w:t>完成</w:t>
      </w:r>
      <w:r>
        <w:rPr>
          <w:rStyle w:val="14"/>
          <w:rFonts w:hint="eastAsia" w:ascii="仿宋" w:hAnsi="仿宋" w:eastAsia="仿宋"/>
          <w:bCs/>
          <w:color w:val="000000"/>
          <w:sz w:val="32"/>
          <w:szCs w:val="32"/>
        </w:rPr>
        <w:t>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一般公共服务（类）</w:t>
      </w:r>
      <w:r>
        <w:rPr>
          <w:rStyle w:val="14"/>
          <w:rFonts w:hint="eastAsia" w:ascii="仿宋" w:hAnsi="仿宋" w:eastAsia="仿宋"/>
          <w:bCs/>
          <w:color w:val="000000"/>
          <w:sz w:val="32"/>
          <w:szCs w:val="32"/>
          <w:lang w:val="en-US" w:eastAsia="zh-CN"/>
        </w:rPr>
        <w:t xml:space="preserve">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2.</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eastAsia="zh-CN"/>
        </w:rPr>
        <w:t>普通教育</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学前教育、小学教育、成人教育</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338.93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3.</w:t>
      </w:r>
      <w:r>
        <w:rPr>
          <w:rStyle w:val="14"/>
          <w:rFonts w:hint="eastAsia" w:ascii="仿宋" w:hAnsi="仿宋" w:eastAsia="仿宋"/>
          <w:bCs/>
          <w:color w:val="000000"/>
          <w:sz w:val="32"/>
          <w:szCs w:val="32"/>
        </w:rPr>
        <w:t>科学技术（类）</w:t>
      </w:r>
      <w:r>
        <w:rPr>
          <w:rStyle w:val="14"/>
          <w:rFonts w:hint="eastAsia" w:ascii="仿宋" w:hAnsi="仿宋" w:eastAsia="仿宋"/>
          <w:bCs/>
          <w:color w:val="000000"/>
          <w:sz w:val="32"/>
          <w:szCs w:val="32"/>
          <w:lang w:val="en-US" w:eastAsia="zh-CN"/>
        </w:rPr>
        <w:t xml:space="preserve">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4.</w:t>
      </w:r>
      <w:r>
        <w:rPr>
          <w:rStyle w:val="14"/>
          <w:rFonts w:hint="eastAsia" w:ascii="仿宋" w:hAnsi="仿宋" w:eastAsia="仿宋"/>
          <w:bCs/>
          <w:color w:val="000000"/>
          <w:sz w:val="32"/>
          <w:szCs w:val="32"/>
        </w:rPr>
        <w:t>文化旅游体育与传媒</w:t>
      </w:r>
      <w:r>
        <w:rPr>
          <w:rStyle w:val="14"/>
          <w:rFonts w:hint="eastAsia" w:ascii="仿宋" w:hAnsi="仿宋" w:eastAsia="仿宋"/>
          <w:bCs/>
          <w:color w:val="000000"/>
          <w:sz w:val="32"/>
          <w:szCs w:val="32"/>
          <w:lang w:val="en-US" w:eastAsia="zh-CN"/>
        </w:rPr>
        <w:t xml:space="preserve">  无</w:t>
      </w:r>
      <w:r>
        <w:rPr>
          <w:rStyle w:val="14"/>
          <w:rFonts w:hint="eastAsia" w:ascii="仿宋" w:hAnsi="仿宋" w:eastAsia="仿宋"/>
          <w:bCs/>
          <w:color w:val="000000"/>
          <w:sz w:val="32"/>
          <w:szCs w:val="32"/>
        </w:rPr>
        <w:t>（类）</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5.</w:t>
      </w:r>
      <w:r>
        <w:rPr>
          <w:rStyle w:val="14"/>
          <w:rFonts w:hint="eastAsia" w:ascii="仿宋" w:hAnsi="仿宋" w:eastAsia="仿宋"/>
          <w:bCs/>
          <w:color w:val="000000"/>
          <w:sz w:val="32"/>
          <w:szCs w:val="32"/>
        </w:rPr>
        <w:t>社会保障和就业（类）</w:t>
      </w:r>
      <w:r>
        <w:rPr>
          <w:rStyle w:val="14"/>
          <w:rFonts w:hint="eastAsia" w:ascii="仿宋" w:hAnsi="仿宋" w:eastAsia="仿宋"/>
          <w:bCs/>
          <w:color w:val="000000"/>
          <w:sz w:val="32"/>
          <w:szCs w:val="32"/>
          <w:lang w:eastAsia="zh-CN"/>
        </w:rPr>
        <w:t>行政事业单位养老支出</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事业单位离退休费、机关事业单位基本养老保险缴费支出、机关事业单位职业年金缴费支出、</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122.92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eastAsia="zh-CN"/>
        </w:rPr>
        <w:t>行政事业单位医疗</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事业单位医疗</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31.24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7</w:t>
      </w:r>
      <w:r>
        <w:rPr>
          <w:rStyle w:val="14"/>
          <w:rFonts w:ascii="仿宋" w:hAnsi="仿宋" w:eastAsia="仿宋"/>
          <w:bCs/>
          <w:color w:val="000000"/>
          <w:sz w:val="32"/>
          <w:szCs w:val="32"/>
        </w:rPr>
        <w:t>.</w:t>
      </w:r>
      <w:r>
        <w:rPr>
          <w:rFonts w:hint="eastAsia" w:ascii="仿宋" w:hAnsi="仿宋" w:eastAsia="仿宋"/>
          <w:b/>
          <w:bCs/>
          <w:color w:val="000000" w:themeColor="text1"/>
          <w:sz w:val="32"/>
          <w:szCs w:val="32"/>
          <w:lang w:eastAsia="zh-CN"/>
          <w14:textFill>
            <w14:solidFill>
              <w14:schemeClr w14:val="tx1"/>
            </w14:solidFill>
          </w14:textFill>
        </w:rPr>
        <w:t>住房保障支出</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eastAsia="zh-CN"/>
        </w:rPr>
        <w:t>住房改革支出</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住房公积金</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35.39</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96608"/>
      <w:bookmarkStart w:id="41"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themeColor="text1"/>
          <w:sz w:val="32"/>
          <w:szCs w:val="32"/>
          <w:lang w:val="en-US" w:eastAsia="zh-CN"/>
          <w14:textFill>
            <w14:solidFill>
              <w14:schemeClr w14:val="tx1"/>
            </w14:solidFill>
          </w14:textFill>
        </w:rPr>
        <w:t>527.68</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45.32</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34.36</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hint="eastAsia" w:ascii="黑体" w:hAnsi="黑体" w:eastAsia="黑体"/>
          <w:b w:val="0"/>
          <w:lang w:eastAsia="zh-CN"/>
        </w:rPr>
      </w:pPr>
      <w:bookmarkStart w:id="42" w:name="_Toc15396609"/>
      <w:bookmarkStart w:id="43"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r>
        <w:rPr>
          <w:rStyle w:val="25"/>
          <w:rFonts w:hint="eastAsia" w:ascii="黑体" w:hAnsi="黑体" w:eastAsia="黑体"/>
          <w:b w:val="0"/>
          <w:lang w:eastAsia="zh-CN"/>
        </w:rPr>
        <w:t>（无）</w:t>
      </w:r>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hint="eastAsia" w:ascii="仿宋" w:hAnsi="仿宋" w:eastAsia="仿宋"/>
          <w:b/>
          <w:color w:val="000000"/>
          <w:sz w:val="32"/>
          <w:szCs w:val="32"/>
          <w:lang w:eastAsia="zh-CN"/>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8年减少</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减少了接待人次</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w:t>
      </w:r>
      <w:r>
        <w:rPr>
          <w:rFonts w:hint="eastAsia" w:ascii="仿宋_GB2312" w:eastAsia="仿宋_GB2312"/>
          <w:color w:val="000000"/>
          <w:sz w:val="32"/>
          <w:szCs w:val="32"/>
        </w:rPr>
        <w:t>万元，主要用于执行公务、开展业务活动开支的交通费、住宿费、用餐费等。国内公务接待</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万元，具体内容包括：</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万元</w:t>
      </w:r>
      <w:r>
        <w:rPr>
          <w:rFonts w:hint="eastAsia" w:ascii="仿宋_GB2312" w:eastAsia="仿宋_GB2312"/>
          <w:color w:val="000000"/>
          <w:sz w:val="32"/>
          <w:szCs w:val="32"/>
        </w:rPr>
        <w:t>。</w:t>
      </w:r>
    </w:p>
    <w:p>
      <w:pPr>
        <w:spacing w:line="6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b/>
          <w:color w:val="000000"/>
          <w:sz w:val="32"/>
          <w:szCs w:val="32"/>
          <w:lang w:val="en-US" w:eastAsia="zh-CN"/>
        </w:rPr>
        <w:t xml:space="preserve"> </w:t>
      </w:r>
      <w:r>
        <w:rPr>
          <w:rFonts w:hint="eastAsia" w:ascii="仿宋" w:hAnsi="仿宋" w:eastAsia="仿宋"/>
          <w:b/>
          <w:color w:val="000000"/>
          <w:sz w:val="32"/>
          <w:szCs w:val="32"/>
          <w:lang w:eastAsia="zh-CN"/>
        </w:rPr>
        <w:t>无</w:t>
      </w:r>
      <w:r>
        <w:rPr>
          <w:rFonts w:hint="eastAsia" w:ascii="仿宋" w:hAnsi="仿宋" w:eastAsia="仿宋"/>
          <w:b/>
          <w:color w:val="000000"/>
          <w:sz w:val="32"/>
          <w:szCs w:val="32"/>
          <w:lang w:val="en-US" w:eastAsia="zh-CN"/>
        </w:rPr>
        <w:t xml:space="preserve"> </w:t>
      </w:r>
      <w:r>
        <w:rPr>
          <w:rFonts w:ascii="仿宋" w:hAnsi="仿宋" w:eastAsia="仿宋"/>
          <w:color w:val="000000"/>
          <w:sz w:val="32"/>
          <w:szCs w:val="32"/>
        </w:rPr>
        <w:t>**</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批次，</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人，共计支出</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万元，主要用于接待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（具体项目）</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0.99</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25"/>
          <w:rFonts w:ascii="黑体" w:hAnsi="黑体" w:eastAsia="黑体"/>
          <w:b w:val="0"/>
        </w:rPr>
      </w:pPr>
      <w:bookmarkStart w:id="48" w:name="_Toc15377219"/>
      <w:bookmarkStart w:id="49" w:name="_Toc15396611"/>
      <w:r>
        <w:rPr>
          <w:rStyle w:val="25"/>
          <w:rFonts w:hint="eastAsia" w:ascii="黑体" w:hAnsi="黑体" w:eastAsia="黑体"/>
          <w:b w:val="0"/>
        </w:rPr>
        <w:t>国有资本经营预算支出决算情况说明</w:t>
      </w:r>
      <w:bookmarkEnd w:id="48"/>
      <w:bookmarkEnd w:id="49"/>
      <w:r>
        <w:rPr>
          <w:rStyle w:val="25"/>
          <w:rFonts w:hint="eastAsia" w:ascii="黑体" w:hAnsi="黑体" w:eastAsia="黑体"/>
          <w:b w:val="0"/>
          <w:lang w:eastAsia="zh-CN"/>
        </w:rPr>
        <w:t>（无）</w:t>
      </w:r>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p>
    <w:p>
      <w:pPr>
        <w:spacing w:line="600" w:lineRule="exact"/>
        <w:ind w:firstLine="643" w:firstLineChars="200"/>
        <w:outlineLvl w:val="2"/>
        <w:rPr>
          <w:rFonts w:hint="eastAsia" w:ascii="仿宋" w:hAnsi="仿宋" w:eastAsia="仿宋"/>
          <w:color w:val="000000"/>
          <w:sz w:val="32"/>
          <w:szCs w:val="32"/>
          <w:lang w:eastAsia="zh-CN"/>
        </w:rPr>
      </w:pPr>
      <w:bookmarkStart w:id="52" w:name="_Toc15377222"/>
      <w:r>
        <w:rPr>
          <w:rFonts w:hint="eastAsia" w:ascii="仿宋" w:hAnsi="仿宋" w:eastAsia="仿宋"/>
          <w:b/>
          <w:color w:val="000000"/>
          <w:sz w:val="32"/>
          <w:szCs w:val="32"/>
        </w:rPr>
        <w:t>（一）机关运行经费支出情况</w:t>
      </w:r>
      <w:bookmarkEnd w:id="52"/>
      <w:r>
        <w:rPr>
          <w:rFonts w:hint="eastAsia" w:ascii="仿宋" w:hAnsi="仿宋" w:eastAsia="仿宋"/>
          <w:b/>
          <w:color w:val="000000"/>
          <w:sz w:val="32"/>
          <w:szCs w:val="32"/>
          <w:lang w:eastAsia="zh-CN"/>
        </w:rPr>
        <w:t>（无）</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机关运行经费支出</w:t>
      </w:r>
      <w:r>
        <w:rPr>
          <w:rFonts w:ascii="仿宋_GB2312" w:eastAsia="仿宋_GB2312"/>
          <w:color w:val="000000"/>
          <w:sz w:val="32"/>
          <w:szCs w:val="32"/>
        </w:rPr>
        <w:t>**</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ascii="仿宋_GB2312" w:eastAsia="仿宋_GB2312"/>
          <w:color w:val="000000"/>
          <w:sz w:val="32"/>
          <w:szCs w:val="32"/>
        </w:rPr>
        <w:t>**</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14:textFill>
            <w14:solidFill>
              <w14:schemeClr w14:val="tx1"/>
            </w14:solidFill>
          </w14:textFill>
        </w:rPr>
        <w:t>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lang w:eastAsia="zh-CN"/>
        </w:rPr>
      </w:pPr>
      <w:bookmarkStart w:id="53" w:name="_Toc15377223"/>
      <w:r>
        <w:rPr>
          <w:rFonts w:hint="eastAsia" w:ascii="仿宋" w:hAnsi="仿宋" w:eastAsia="仿宋"/>
          <w:b/>
          <w:color w:val="000000"/>
          <w:sz w:val="32"/>
          <w:szCs w:val="32"/>
        </w:rPr>
        <w:t>（二）政府采购支出情况</w:t>
      </w:r>
      <w:bookmarkEnd w:id="53"/>
      <w:r>
        <w:rPr>
          <w:rFonts w:hint="eastAsia" w:ascii="仿宋" w:hAnsi="仿宋" w:eastAsia="仿宋"/>
          <w:b/>
          <w:color w:val="000000"/>
          <w:sz w:val="32"/>
          <w:szCs w:val="32"/>
          <w:lang w:eastAsia="zh-CN"/>
        </w:rPr>
        <w:t>（无）</w:t>
      </w:r>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政府采购支出总额</w:t>
      </w:r>
      <w:r>
        <w:rPr>
          <w:rFonts w:ascii="仿宋_GB2312" w:eastAsia="仿宋_GB2312"/>
          <w:color w:val="000000"/>
          <w:sz w:val="32"/>
          <w:szCs w:val="32"/>
        </w:rPr>
        <w:t>**</w:t>
      </w:r>
      <w:r>
        <w:rPr>
          <w:rFonts w:hint="eastAsia" w:ascii="仿宋_GB2312" w:eastAsia="仿宋_GB2312"/>
          <w:color w:val="000000"/>
          <w:sz w:val="32"/>
          <w:szCs w:val="32"/>
        </w:rPr>
        <w:t>万元，其中：政府采购货物支出</w:t>
      </w:r>
      <w:r>
        <w:rPr>
          <w:rFonts w:ascii="仿宋_GB2312" w:eastAsia="仿宋_GB2312"/>
          <w:color w:val="000000"/>
          <w:sz w:val="32"/>
          <w:szCs w:val="32"/>
        </w:rPr>
        <w:t>**</w:t>
      </w:r>
      <w:r>
        <w:rPr>
          <w:rFonts w:hint="eastAsia" w:ascii="仿宋_GB2312" w:eastAsia="仿宋_GB2312"/>
          <w:color w:val="000000"/>
          <w:sz w:val="32"/>
          <w:szCs w:val="32"/>
        </w:rPr>
        <w:t>万元、政府采购工程支出</w:t>
      </w:r>
      <w:r>
        <w:rPr>
          <w:rFonts w:ascii="仿宋_GB2312" w:eastAsia="仿宋_GB2312"/>
          <w:color w:val="000000"/>
          <w:sz w:val="32"/>
          <w:szCs w:val="32"/>
        </w:rPr>
        <w:t>**</w:t>
      </w:r>
      <w:r>
        <w:rPr>
          <w:rFonts w:hint="eastAsia" w:ascii="仿宋_GB2312" w:eastAsia="仿宋_GB2312"/>
          <w:color w:val="000000"/>
          <w:sz w:val="32"/>
          <w:szCs w:val="32"/>
        </w:rPr>
        <w:t>万元、政府采购服务支出</w:t>
      </w:r>
      <w:r>
        <w:rPr>
          <w:rFonts w:ascii="仿宋_GB2312" w:eastAsia="仿宋_GB2312"/>
          <w:color w:val="000000"/>
          <w:sz w:val="32"/>
          <w:szCs w:val="32"/>
        </w:rPr>
        <w:t>**</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lang w:eastAsia="zh-CN"/>
        </w:rPr>
      </w:pPr>
      <w:bookmarkStart w:id="54" w:name="_Toc15377224"/>
      <w:r>
        <w:rPr>
          <w:rFonts w:hint="eastAsia" w:ascii="仿宋" w:hAnsi="仿宋" w:eastAsia="仿宋"/>
          <w:b/>
          <w:color w:val="000000"/>
          <w:sz w:val="32"/>
          <w:szCs w:val="32"/>
        </w:rPr>
        <w:t>（三）国有资产占有使用情况</w:t>
      </w:r>
      <w:bookmarkEnd w:id="54"/>
      <w:r>
        <w:rPr>
          <w:rFonts w:hint="eastAsia" w:ascii="仿宋" w:hAnsi="仿宋" w:eastAsia="仿宋"/>
          <w:b/>
          <w:color w:val="000000"/>
          <w:sz w:val="32"/>
          <w:szCs w:val="32"/>
          <w:lang w:eastAsia="zh-CN"/>
        </w:rPr>
        <w:t>（无）</w:t>
      </w:r>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ascii="仿宋_GB2312" w:eastAsia="仿宋_GB2312"/>
          <w:color w:val="000000"/>
          <w:sz w:val="32"/>
          <w:szCs w:val="32"/>
        </w:rPr>
        <w:t>***</w:t>
      </w:r>
      <w:r>
        <w:rPr>
          <w:rFonts w:hint="eastAsia" w:ascii="仿宋_GB2312" w:eastAsia="仿宋_GB2312"/>
          <w:color w:val="000000"/>
          <w:sz w:val="32"/>
          <w:szCs w:val="32"/>
        </w:rPr>
        <w:t>共有车辆</w:t>
      </w:r>
      <w:r>
        <w:rPr>
          <w:rFonts w:ascii="仿宋_GB2312" w:eastAsia="仿宋_GB2312"/>
          <w:color w:val="000000"/>
          <w:sz w:val="32"/>
          <w:szCs w:val="32"/>
        </w:rPr>
        <w:t>**</w:t>
      </w:r>
      <w:r>
        <w:rPr>
          <w:rFonts w:hint="eastAsia" w:ascii="仿宋_GB2312" w:eastAsia="仿宋_GB2312"/>
          <w:color w:val="000000"/>
          <w:sz w:val="32"/>
          <w:szCs w:val="32"/>
        </w:rPr>
        <w:t>辆，其中：主要领导干部用车</w:t>
      </w:r>
      <w:r>
        <w:rPr>
          <w:rFonts w:ascii="仿宋_GB2312" w:eastAsia="仿宋_GB2312"/>
          <w:color w:val="000000"/>
          <w:sz w:val="32"/>
          <w:szCs w:val="32"/>
        </w:rPr>
        <w:t>**</w:t>
      </w:r>
      <w:r>
        <w:rPr>
          <w:rFonts w:hint="eastAsia" w:ascii="仿宋_GB2312" w:eastAsia="仿宋_GB2312"/>
          <w:color w:val="000000"/>
          <w:sz w:val="32"/>
          <w:szCs w:val="32"/>
        </w:rPr>
        <w:t>辆、机要通信用车</w:t>
      </w:r>
      <w:r>
        <w:rPr>
          <w:rFonts w:ascii="仿宋_GB2312" w:eastAsia="仿宋_GB2312"/>
          <w:color w:val="000000"/>
          <w:sz w:val="32"/>
          <w:szCs w:val="32"/>
        </w:rPr>
        <w:t>**</w:t>
      </w:r>
      <w:r>
        <w:rPr>
          <w:rFonts w:hint="eastAsia" w:ascii="仿宋_GB2312" w:eastAsia="仿宋_GB2312"/>
          <w:color w:val="000000"/>
          <w:sz w:val="32"/>
          <w:szCs w:val="32"/>
        </w:rPr>
        <w:t>辆、应急保障用车</w:t>
      </w:r>
      <w:r>
        <w:rPr>
          <w:rFonts w:ascii="仿宋_GB2312" w:eastAsia="仿宋_GB2312"/>
          <w:color w:val="000000"/>
          <w:sz w:val="32"/>
          <w:szCs w:val="32"/>
        </w:rPr>
        <w:t>**</w:t>
      </w:r>
      <w:r>
        <w:rPr>
          <w:rFonts w:hint="eastAsia" w:ascii="仿宋_GB2312" w:eastAsia="仿宋_GB2312"/>
          <w:color w:val="000000"/>
          <w:sz w:val="32"/>
          <w:szCs w:val="32"/>
        </w:rPr>
        <w:t>辆、其他用车</w:t>
      </w:r>
      <w:r>
        <w:rPr>
          <w:rFonts w:ascii="仿宋_GB2312" w:eastAsia="仿宋_GB2312"/>
          <w:color w:val="000000"/>
          <w:sz w:val="32"/>
          <w:szCs w:val="32"/>
        </w:rPr>
        <w:t>**</w:t>
      </w:r>
      <w:r>
        <w:rPr>
          <w:rFonts w:hint="eastAsia" w:ascii="仿宋_GB2312" w:eastAsia="仿宋_GB2312"/>
          <w:color w:val="000000"/>
          <w:sz w:val="32"/>
          <w:szCs w:val="32"/>
        </w:rPr>
        <w:t>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ascii="仿宋_GB2312" w:eastAsia="仿宋_GB2312"/>
          <w:color w:val="000000"/>
          <w:sz w:val="32"/>
          <w:szCs w:val="32"/>
        </w:rPr>
        <w:t>**</w:t>
      </w:r>
      <w:r>
        <w:rPr>
          <w:rFonts w:hint="eastAsia" w:ascii="仿宋_GB2312" w:eastAsia="仿宋_GB2312"/>
          <w:color w:val="000000"/>
          <w:sz w:val="32"/>
          <w:szCs w:val="32"/>
        </w:rPr>
        <w:t>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24"/>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XX</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shd w:val="clear" w:color="auto" w:fill="FFFFFF"/>
        <w:spacing w:line="360" w:lineRule="auto"/>
        <w:ind w:firstLine="560" w:firstLineChars="200"/>
        <w:jc w:val="left"/>
        <w:rPr>
          <w:rFonts w:hint="eastAsia" w:ascii="楷体_GB2312" w:eastAsia="楷体_GB2312"/>
          <w:kern w:val="0"/>
          <w:sz w:val="28"/>
          <w:szCs w:val="28"/>
        </w:rPr>
      </w:pPr>
      <w:r>
        <w:rPr>
          <w:rFonts w:hint="eastAsia" w:ascii="仿宋_GB2312" w:eastAsia="仿宋_GB2312"/>
          <w:kern w:val="0"/>
          <w:sz w:val="28"/>
          <w:szCs w:val="28"/>
        </w:rPr>
        <w:t>广汉市南丰第一小学是独立法人资格的事业单位，人员编制38人。工作上接受广汉市教育局直接领导，业务上接受广汉市研培中心的指导。截止2019年底，有教职工48人，其中专业技术人员39人，临聘人员9人。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tbl>
      <w:tblPr>
        <w:tblW w:w="6735" w:type="dxa"/>
        <w:tblInd w:w="0" w:type="dxa"/>
        <w:shd w:val="clear"/>
        <w:tblLayout w:type="autofit"/>
        <w:tblCellMar>
          <w:top w:w="0" w:type="dxa"/>
          <w:left w:w="0" w:type="dxa"/>
          <w:bottom w:w="0" w:type="dxa"/>
          <w:right w:w="0" w:type="dxa"/>
        </w:tblCellMar>
      </w:tblPr>
      <w:tblGrid>
        <w:gridCol w:w="330"/>
        <w:gridCol w:w="330"/>
        <w:gridCol w:w="330"/>
        <w:gridCol w:w="3930"/>
        <w:gridCol w:w="474"/>
        <w:gridCol w:w="1341"/>
      </w:tblGrid>
      <w:tr>
        <w:tblPrEx>
          <w:shd w:val="clear"/>
          <w:tblCellMar>
            <w:top w:w="0" w:type="dxa"/>
            <w:left w:w="0" w:type="dxa"/>
            <w:bottom w:w="0" w:type="dxa"/>
            <w:right w:w="0" w:type="dxa"/>
          </w:tblCellMar>
        </w:tblPrEx>
        <w:trPr>
          <w:trHeight w:val="308"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科目名称</w:t>
            </w:r>
          </w:p>
        </w:tc>
        <w:tc>
          <w:tcPr>
            <w:tcW w:w="1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本年收入合计</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一般公共预算财政拨款收入</w:t>
            </w: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栏次</w:t>
            </w:r>
          </w:p>
        </w:tc>
        <w:tc>
          <w:tcPr>
            <w:tcW w:w="1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合计</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521.43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教育支出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331.89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普通教育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315.53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学前教育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14.04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小学教育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301.49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20504</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成人教育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2050401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成人初等教育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社会保障和就业支出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122.91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行政事业单位离退休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122.91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56.68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45.69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2080506</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31.24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行政事业单位医疗</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事业单位医疗</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2101103</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公务员医疗补助</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13.52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住房保障支出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住房改革支出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住房公积金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22960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彩票公益金安排的支出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2296004</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用于教育事业的彩票公益金支出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bl>
    <w:p>
      <w:pPr>
        <w:widowControl/>
        <w:numPr>
          <w:ilvl w:val="0"/>
          <w:numId w:val="4"/>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tbl>
      <w:tblPr>
        <w:tblW w:w="6720" w:type="dxa"/>
        <w:tblInd w:w="0" w:type="dxa"/>
        <w:shd w:val="clear"/>
        <w:tblLayout w:type="autofit"/>
        <w:tblCellMar>
          <w:top w:w="0" w:type="dxa"/>
          <w:left w:w="0" w:type="dxa"/>
          <w:bottom w:w="0" w:type="dxa"/>
          <w:right w:w="0" w:type="dxa"/>
        </w:tblCellMar>
      </w:tblPr>
      <w:tblGrid>
        <w:gridCol w:w="330"/>
        <w:gridCol w:w="330"/>
        <w:gridCol w:w="330"/>
        <w:gridCol w:w="3930"/>
        <w:gridCol w:w="1800"/>
      </w:tblGrid>
      <w:tr>
        <w:tblPrEx>
          <w:shd w:val="clear"/>
          <w:tblCellMar>
            <w:top w:w="0" w:type="dxa"/>
            <w:left w:w="0" w:type="dxa"/>
            <w:bottom w:w="0" w:type="dxa"/>
            <w:right w:w="0" w:type="dxa"/>
          </w:tblCellMar>
        </w:tblPrEx>
        <w:trPr>
          <w:trHeight w:val="308"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科目名称</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本年支出合计</w:t>
            </w: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栏次</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合计</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559.24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教育支出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368.70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普通教育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351.55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学前教育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30.06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小学教育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321.49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20504</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成人教育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2050401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成人初等教育</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教育费附加安排的支出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2050999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其他教育费附加安排的支出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社会保障和就业支出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122.91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行政事业单位离退休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122.91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56.68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2080505</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45.69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2080506</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31.24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行政事业单位医疗</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29.91</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事业单位医疗</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2101103</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公务员医疗补助</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13.52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其他卫生健康支出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住房保障支出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住房改革支出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2210201</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住房公积金</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0.99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22960</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彩票公益金安排的支出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0.99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2296004</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用于教育事业的彩票公益金支出</w:t>
            </w:r>
          </w:p>
        </w:tc>
        <w:tc>
          <w:tcPr>
            <w:tcW w:w="0" w:type="auto"/>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0.99</w:t>
            </w:r>
          </w:p>
        </w:tc>
      </w:tr>
    </w:tbl>
    <w:p>
      <w:pPr>
        <w:widowControl/>
        <w:numPr>
          <w:numId w:val="0"/>
        </w:numPr>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strike/>
          <w:dstrike w:val="0"/>
          <w:color w:val="558ED5" w:themeColor="text2" w:themeTint="99"/>
          <w:kern w:val="0"/>
          <w:sz w:val="32"/>
          <w:szCs w:val="32"/>
          <w:shd w:val="clear" w:color="auto" w:fill="FFFFFF"/>
          <w:lang w:val="zh-CN"/>
          <w14:textFill>
            <w14:solidFill>
              <w14:schemeClr w14:val="tx2">
                <w14:lumMod w14:val="60000"/>
                <w14:lumOff w14:val="40000"/>
              </w14:schemeClr>
            </w14:solidFill>
          </w14:textFill>
        </w:rPr>
      </w:pPr>
      <w:r>
        <w:rPr>
          <w:rFonts w:hint="eastAsia" w:ascii="仿宋_GB2312" w:hAnsi="宋体" w:eastAsia="仿宋_GB2312" w:cs="宋体"/>
          <w:strike/>
          <w:dstrike w:val="0"/>
          <w:color w:val="558ED5" w:themeColor="text2" w:themeTint="99"/>
          <w:kern w:val="0"/>
          <w:sz w:val="32"/>
          <w:szCs w:val="32"/>
          <w:shd w:val="clear" w:color="auto" w:fill="FFFFFF"/>
          <w:lang w:val="zh-CN"/>
          <w14:textFill>
            <w14:solidFill>
              <w14:schemeClr w14:val="tx2">
                <w14:lumMod w14:val="60000"/>
                <w14:lumOff w14:val="40000"/>
              </w14:schemeClr>
            </w14:solidFill>
          </w14:textFill>
        </w:rPr>
        <w:t>包括部门绩效目标制定、目标实现、预算编制准确、支出控制、预算动态调整、执行进度、预算完成情况和违规记录等情况。</w:t>
      </w:r>
    </w:p>
    <w:p>
      <w:pPr>
        <w:autoSpaceDE w:val="0"/>
        <w:autoSpaceDN w:val="0"/>
        <w:adjustRightInd w:val="0"/>
        <w:spacing w:line="580" w:lineRule="exact"/>
        <w:ind w:firstLine="560" w:firstLineChars="200"/>
        <w:jc w:val="left"/>
        <w:rPr>
          <w:rFonts w:hint="eastAsia" w:ascii="楷体_GB2312" w:eastAsia="楷体_GB2312"/>
          <w:kern w:val="0"/>
          <w:sz w:val="28"/>
          <w:szCs w:val="28"/>
        </w:rPr>
      </w:pPr>
      <w:r>
        <w:rPr>
          <w:rFonts w:hint="eastAsia" w:ascii="楷体_GB2312" w:eastAsia="楷体_GB2312"/>
          <w:kern w:val="0"/>
          <w:sz w:val="28"/>
          <w:szCs w:val="28"/>
        </w:rPr>
        <w:t>（一）预算编制情况。</w:t>
      </w:r>
    </w:p>
    <w:p>
      <w:pPr>
        <w:widowControl/>
        <w:shd w:val="clear" w:color="auto" w:fill="FFFFFF"/>
        <w:spacing w:line="560" w:lineRule="atLeast"/>
        <w:ind w:firstLine="720"/>
        <w:jc w:val="left"/>
        <w:rPr>
          <w:rFonts w:hint="eastAsia" w:ascii="微软雅黑" w:hAnsi="微软雅黑" w:eastAsia="微软雅黑" w:cs="宋体"/>
          <w:color w:val="555555"/>
          <w:kern w:val="0"/>
          <w:sz w:val="28"/>
          <w:szCs w:val="28"/>
        </w:rPr>
      </w:pPr>
      <w:r>
        <w:rPr>
          <w:rFonts w:hint="eastAsia" w:ascii="仿宋_GB2312" w:eastAsia="仿宋_GB2312"/>
          <w:color w:val="555555"/>
          <w:kern w:val="0"/>
          <w:sz w:val="28"/>
          <w:szCs w:val="28"/>
        </w:rPr>
        <w:t>（一）年度部门预算收入情况。</w:t>
      </w:r>
    </w:p>
    <w:p>
      <w:pPr>
        <w:widowControl/>
        <w:shd w:val="clear" w:color="auto" w:fill="FFFFFF"/>
        <w:spacing w:line="560" w:lineRule="atLeast"/>
        <w:ind w:firstLine="720"/>
        <w:jc w:val="left"/>
        <w:rPr>
          <w:rFonts w:hint="eastAsia" w:ascii="仿宋_GB2312" w:eastAsia="仿宋_GB2312"/>
          <w:color w:val="555555"/>
          <w:kern w:val="0"/>
          <w:sz w:val="28"/>
          <w:szCs w:val="28"/>
        </w:rPr>
      </w:pPr>
      <w:r>
        <w:rPr>
          <w:rFonts w:hint="eastAsia" w:ascii="仿宋" w:hAnsi="仿宋" w:eastAsia="仿宋" w:cs="宋体"/>
          <w:color w:val="555555"/>
          <w:kern w:val="0"/>
          <w:sz w:val="28"/>
          <w:szCs w:val="28"/>
        </w:rPr>
        <w:t>研培中心2019年初结转和结余为</w:t>
      </w:r>
      <w:r>
        <w:rPr>
          <w:rFonts w:hint="eastAsia" w:ascii="仿宋" w:hAnsi="仿宋" w:eastAsia="仿宋" w:cs="宋体"/>
          <w:color w:val="555555"/>
          <w:kern w:val="0"/>
          <w:sz w:val="28"/>
          <w:szCs w:val="28"/>
          <w:lang w:val="en-US" w:eastAsia="zh-CN"/>
        </w:rPr>
        <w:t>11.59</w:t>
      </w:r>
      <w:r>
        <w:rPr>
          <w:rFonts w:hint="eastAsia" w:ascii="仿宋" w:hAnsi="仿宋" w:eastAsia="仿宋" w:cs="宋体"/>
          <w:color w:val="555555"/>
          <w:kern w:val="0"/>
          <w:sz w:val="28"/>
          <w:szCs w:val="28"/>
        </w:rPr>
        <w:t>万元，2019年预算收入总额为</w:t>
      </w:r>
      <w:r>
        <w:rPr>
          <w:rFonts w:hint="eastAsia" w:ascii="仿宋" w:hAnsi="仿宋" w:eastAsia="仿宋" w:cs="宋体"/>
          <w:color w:val="555555"/>
          <w:kern w:val="0"/>
          <w:sz w:val="28"/>
          <w:szCs w:val="28"/>
          <w:lang w:val="en-US" w:eastAsia="zh-CN"/>
        </w:rPr>
        <w:t>430.79</w:t>
      </w:r>
      <w:r>
        <w:rPr>
          <w:rFonts w:hint="eastAsia" w:ascii="仿宋" w:hAnsi="仿宋" w:eastAsia="仿宋" w:cs="宋体"/>
          <w:color w:val="555555"/>
          <w:kern w:val="0"/>
          <w:sz w:val="28"/>
          <w:szCs w:val="28"/>
        </w:rPr>
        <w:t>万元，</w:t>
      </w:r>
      <w:r>
        <w:rPr>
          <w:rFonts w:hint="eastAsia" w:ascii="仿宋_GB2312" w:eastAsia="仿宋_GB2312"/>
          <w:color w:val="555555"/>
          <w:kern w:val="0"/>
          <w:sz w:val="28"/>
          <w:szCs w:val="28"/>
        </w:rPr>
        <w:t>其中：教育支出</w:t>
      </w:r>
      <w:r>
        <w:rPr>
          <w:rFonts w:hint="eastAsia" w:ascii="仿宋_GB2312" w:eastAsia="仿宋_GB2312"/>
          <w:color w:val="555555"/>
          <w:kern w:val="0"/>
          <w:sz w:val="28"/>
          <w:szCs w:val="28"/>
          <w:lang w:val="en-US" w:eastAsia="zh-CN"/>
        </w:rPr>
        <w:t>272.14</w:t>
      </w:r>
      <w:r>
        <w:rPr>
          <w:rFonts w:hint="eastAsia" w:ascii="仿宋_GB2312" w:eastAsia="仿宋_GB2312"/>
          <w:color w:val="555555"/>
          <w:kern w:val="0"/>
          <w:sz w:val="28"/>
          <w:szCs w:val="28"/>
        </w:rPr>
        <w:t>万元，社会保障和就业支出</w:t>
      </w:r>
      <w:r>
        <w:rPr>
          <w:rFonts w:hint="eastAsia" w:ascii="仿宋_GB2312" w:eastAsia="仿宋_GB2312"/>
          <w:color w:val="555555"/>
          <w:kern w:val="0"/>
          <w:sz w:val="28"/>
          <w:szCs w:val="28"/>
          <w:lang w:val="en-US" w:eastAsia="zh-CN"/>
        </w:rPr>
        <w:t>92.16</w:t>
      </w:r>
      <w:r>
        <w:rPr>
          <w:rFonts w:hint="eastAsia" w:ascii="仿宋_GB2312" w:eastAsia="仿宋_GB2312"/>
          <w:color w:val="555555"/>
          <w:kern w:val="0"/>
          <w:sz w:val="28"/>
          <w:szCs w:val="28"/>
        </w:rPr>
        <w:t>万元，医疗卫生与计划生育支出</w:t>
      </w:r>
      <w:r>
        <w:rPr>
          <w:rFonts w:hint="eastAsia" w:ascii="仿宋_GB2312" w:eastAsia="仿宋_GB2312"/>
          <w:color w:val="555555"/>
          <w:kern w:val="0"/>
          <w:sz w:val="28"/>
          <w:szCs w:val="28"/>
          <w:lang w:val="en-US" w:eastAsia="zh-CN"/>
        </w:rPr>
        <w:t>32.46</w:t>
      </w:r>
      <w:r>
        <w:rPr>
          <w:rFonts w:hint="eastAsia" w:ascii="仿宋_GB2312" w:eastAsia="仿宋_GB2312"/>
          <w:color w:val="555555"/>
          <w:kern w:val="0"/>
          <w:sz w:val="28"/>
          <w:szCs w:val="28"/>
        </w:rPr>
        <w:t>万元，住房保障支出</w:t>
      </w:r>
      <w:r>
        <w:rPr>
          <w:rFonts w:hint="eastAsia" w:ascii="仿宋_GB2312" w:eastAsia="仿宋_GB2312"/>
          <w:color w:val="555555"/>
          <w:kern w:val="0"/>
          <w:sz w:val="28"/>
          <w:szCs w:val="28"/>
          <w:lang w:val="en-US" w:eastAsia="zh-CN"/>
        </w:rPr>
        <w:t>34.03</w:t>
      </w:r>
      <w:r>
        <w:rPr>
          <w:rFonts w:hint="eastAsia" w:ascii="仿宋_GB2312" w:eastAsia="仿宋_GB2312"/>
          <w:color w:val="555555"/>
          <w:kern w:val="0"/>
          <w:sz w:val="28"/>
          <w:szCs w:val="28"/>
        </w:rPr>
        <w:t>万元。</w:t>
      </w:r>
    </w:p>
    <w:p>
      <w:pPr>
        <w:numPr>
          <w:ilvl w:val="0"/>
          <w:numId w:val="5"/>
        </w:numPr>
        <w:autoSpaceDE w:val="0"/>
        <w:autoSpaceDN w:val="0"/>
        <w:adjustRightInd w:val="0"/>
        <w:spacing w:line="580" w:lineRule="exact"/>
        <w:ind w:firstLine="560" w:firstLineChars="200"/>
        <w:jc w:val="left"/>
        <w:rPr>
          <w:rFonts w:hint="eastAsia" w:ascii="仿宋_GB2312" w:eastAsia="仿宋_GB2312"/>
          <w:kern w:val="0"/>
          <w:sz w:val="28"/>
          <w:szCs w:val="28"/>
        </w:rPr>
      </w:pPr>
      <w:r>
        <w:rPr>
          <w:rFonts w:hint="eastAsia" w:ascii="楷体_GB2312" w:eastAsia="楷体_GB2312"/>
          <w:kern w:val="0"/>
          <w:sz w:val="28"/>
          <w:szCs w:val="28"/>
        </w:rPr>
        <w:t>预算执行情况。</w:t>
      </w:r>
    </w:p>
    <w:p>
      <w:pPr>
        <w:numPr>
          <w:ilvl w:val="0"/>
          <w:numId w:val="6"/>
        </w:numPr>
        <w:autoSpaceDE w:val="0"/>
        <w:autoSpaceDN w:val="0"/>
        <w:adjustRightInd w:val="0"/>
        <w:spacing w:line="580" w:lineRule="exact"/>
        <w:ind w:firstLine="840" w:firstLineChars="300"/>
        <w:jc w:val="left"/>
        <w:rPr>
          <w:rFonts w:hint="eastAsia" w:ascii="仿宋_GB2312" w:eastAsia="仿宋_GB2312"/>
          <w:kern w:val="0"/>
          <w:sz w:val="28"/>
          <w:szCs w:val="28"/>
        </w:rPr>
      </w:pPr>
      <w:r>
        <w:rPr>
          <w:rFonts w:hint="eastAsia" w:ascii="仿宋_GB2312" w:eastAsia="仿宋_GB2312"/>
          <w:kern w:val="0"/>
          <w:sz w:val="28"/>
          <w:szCs w:val="28"/>
        </w:rPr>
        <w:t>基本支出情况</w:t>
      </w:r>
    </w:p>
    <w:p>
      <w:pPr>
        <w:autoSpaceDE w:val="0"/>
        <w:autoSpaceDN w:val="0"/>
        <w:adjustRightInd w:val="0"/>
        <w:spacing w:line="580" w:lineRule="exact"/>
        <w:ind w:firstLine="1120" w:firstLineChars="400"/>
        <w:jc w:val="left"/>
        <w:rPr>
          <w:rFonts w:hint="eastAsia" w:ascii="仿宋_GB2312" w:eastAsia="仿宋_GB2312"/>
          <w:kern w:val="0"/>
          <w:sz w:val="28"/>
          <w:szCs w:val="28"/>
        </w:rPr>
      </w:pPr>
      <w:r>
        <w:rPr>
          <w:rFonts w:hint="eastAsia" w:ascii="仿宋" w:hAnsi="仿宋" w:eastAsia="仿宋" w:cs="宋体"/>
          <w:color w:val="555555"/>
          <w:kern w:val="0"/>
          <w:sz w:val="28"/>
          <w:szCs w:val="28"/>
        </w:rPr>
        <w:t>研培中心2019年预算支出总额为55</w:t>
      </w:r>
      <w:r>
        <w:rPr>
          <w:rFonts w:hint="eastAsia" w:ascii="仿宋" w:hAnsi="仿宋" w:eastAsia="仿宋" w:cs="宋体"/>
          <w:color w:val="555555"/>
          <w:kern w:val="0"/>
          <w:sz w:val="28"/>
          <w:szCs w:val="28"/>
          <w:lang w:val="en-US" w:eastAsia="zh-CN"/>
        </w:rPr>
        <w:t>8.25</w:t>
      </w:r>
      <w:r>
        <w:rPr>
          <w:rFonts w:hint="eastAsia" w:ascii="仿宋" w:hAnsi="仿宋" w:eastAsia="仿宋" w:cs="宋体"/>
          <w:color w:val="555555"/>
          <w:kern w:val="0"/>
          <w:sz w:val="28"/>
          <w:szCs w:val="28"/>
        </w:rPr>
        <w:t>万元，</w:t>
      </w:r>
      <w:r>
        <w:rPr>
          <w:rFonts w:hint="eastAsia" w:ascii="仿宋_GB2312" w:eastAsia="仿宋_GB2312"/>
          <w:color w:val="555555"/>
          <w:kern w:val="0"/>
          <w:sz w:val="28"/>
          <w:szCs w:val="28"/>
        </w:rPr>
        <w:t>其中：教育支出</w:t>
      </w:r>
      <w:r>
        <w:rPr>
          <w:rFonts w:hint="eastAsia" w:ascii="仿宋_GB2312" w:eastAsia="仿宋_GB2312"/>
          <w:color w:val="555555"/>
          <w:kern w:val="0"/>
          <w:sz w:val="28"/>
          <w:szCs w:val="28"/>
          <w:lang w:val="en-US" w:eastAsia="zh-CN"/>
        </w:rPr>
        <w:t>368.71</w:t>
      </w:r>
      <w:r>
        <w:rPr>
          <w:rFonts w:hint="eastAsia" w:ascii="仿宋_GB2312" w:eastAsia="仿宋_GB2312"/>
          <w:color w:val="555555"/>
          <w:kern w:val="0"/>
          <w:sz w:val="28"/>
          <w:szCs w:val="28"/>
        </w:rPr>
        <w:t>万元，社会保障和就业支出</w:t>
      </w:r>
      <w:r>
        <w:rPr>
          <w:rFonts w:hint="eastAsia" w:ascii="仿宋_GB2312" w:eastAsia="仿宋_GB2312"/>
          <w:color w:val="555555"/>
          <w:kern w:val="0"/>
          <w:sz w:val="28"/>
          <w:szCs w:val="28"/>
          <w:lang w:val="en-US" w:eastAsia="zh-CN"/>
        </w:rPr>
        <w:t>122.92</w:t>
      </w:r>
      <w:r>
        <w:rPr>
          <w:rFonts w:hint="eastAsia" w:ascii="仿宋_GB2312" w:eastAsia="仿宋_GB2312"/>
          <w:color w:val="555555"/>
          <w:kern w:val="0"/>
          <w:sz w:val="28"/>
          <w:szCs w:val="28"/>
        </w:rPr>
        <w:t>万元，医疗卫生与计划生育支出</w:t>
      </w:r>
      <w:r>
        <w:rPr>
          <w:rFonts w:hint="eastAsia" w:ascii="仿宋_GB2312" w:eastAsia="仿宋_GB2312"/>
          <w:color w:val="555555"/>
          <w:kern w:val="0"/>
          <w:sz w:val="28"/>
          <w:szCs w:val="28"/>
          <w:lang w:val="en-US" w:eastAsia="zh-CN"/>
        </w:rPr>
        <w:t>31.24</w:t>
      </w:r>
      <w:r>
        <w:rPr>
          <w:rFonts w:hint="eastAsia" w:ascii="仿宋_GB2312" w:eastAsia="仿宋_GB2312"/>
          <w:color w:val="555555"/>
          <w:kern w:val="0"/>
          <w:sz w:val="28"/>
          <w:szCs w:val="28"/>
        </w:rPr>
        <w:t>万元，住房保障支出</w:t>
      </w:r>
      <w:r>
        <w:rPr>
          <w:rFonts w:hint="eastAsia" w:ascii="仿宋_GB2312" w:eastAsia="仿宋_GB2312"/>
          <w:color w:val="555555"/>
          <w:kern w:val="0"/>
          <w:sz w:val="28"/>
          <w:szCs w:val="28"/>
          <w:lang w:val="en-US" w:eastAsia="zh-CN"/>
        </w:rPr>
        <w:t>35.38</w:t>
      </w:r>
      <w:r>
        <w:rPr>
          <w:rFonts w:hint="eastAsia" w:ascii="仿宋_GB2312" w:eastAsia="仿宋_GB2312"/>
          <w:color w:val="555555"/>
          <w:kern w:val="0"/>
          <w:sz w:val="28"/>
          <w:szCs w:val="28"/>
        </w:rPr>
        <w:t>万元。</w:t>
      </w:r>
    </w:p>
    <w:p>
      <w:pPr>
        <w:autoSpaceDE w:val="0"/>
        <w:autoSpaceDN w:val="0"/>
        <w:adjustRightInd w:val="0"/>
        <w:spacing w:line="580" w:lineRule="exact"/>
        <w:ind w:firstLine="560" w:firstLineChars="200"/>
        <w:jc w:val="left"/>
        <w:rPr>
          <w:rFonts w:hint="default" w:ascii="仿宋_GB2312" w:eastAsia="仿宋_GB2312"/>
          <w:kern w:val="0"/>
          <w:sz w:val="28"/>
          <w:szCs w:val="28"/>
          <w:lang w:val="en-US" w:eastAsia="zh-CN"/>
        </w:rPr>
      </w:pPr>
      <w:r>
        <w:rPr>
          <w:rFonts w:hint="eastAsia" w:ascii="仿宋_GB2312" w:eastAsia="仿宋_GB2312"/>
          <w:kern w:val="0"/>
          <w:sz w:val="28"/>
          <w:szCs w:val="28"/>
        </w:rPr>
        <w:t>2、项目支出：</w:t>
      </w:r>
      <w:r>
        <w:rPr>
          <w:rFonts w:hint="eastAsia" w:ascii="仿宋_GB2312" w:eastAsia="仿宋_GB2312"/>
          <w:kern w:val="0"/>
          <w:sz w:val="28"/>
          <w:szCs w:val="28"/>
          <w:lang w:eastAsia="zh-CN"/>
        </w:rPr>
        <w:t>其他支出</w:t>
      </w:r>
      <w:r>
        <w:rPr>
          <w:rFonts w:hint="eastAsia" w:ascii="仿宋_GB2312" w:eastAsia="仿宋_GB2312"/>
          <w:kern w:val="0"/>
          <w:sz w:val="28"/>
          <w:szCs w:val="28"/>
          <w:lang w:val="en-US" w:eastAsia="zh-CN"/>
        </w:rPr>
        <w:t>0.99万元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strike/>
          <w:dstrike w:val="0"/>
          <w:color w:val="000000"/>
          <w:kern w:val="0"/>
          <w:sz w:val="32"/>
          <w:szCs w:val="32"/>
          <w:shd w:val="clear" w:color="auto" w:fill="FFFFFF"/>
          <w:lang w:val="zh-CN"/>
        </w:rPr>
      </w:pPr>
      <w:r>
        <w:rPr>
          <w:rFonts w:hint="eastAsia" w:ascii="仿宋_GB2312" w:hAnsi="宋体" w:eastAsia="仿宋_GB2312" w:cs="宋体"/>
          <w:strike/>
          <w:dstrike w:val="0"/>
          <w:color w:val="000000"/>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2019年全年度严格按财政局相关预算文件编制预算，根据评估结果单位进行了整改。最终圆满的完成全年的绩效任务。</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tbl>
      <w:tblPr>
        <w:tblStyle w:val="12"/>
        <w:tblW w:w="9232" w:type="dxa"/>
        <w:jc w:val="center"/>
        <w:tblLayout w:type="fixed"/>
        <w:tblCellMar>
          <w:top w:w="0" w:type="dxa"/>
          <w:left w:w="0" w:type="dxa"/>
          <w:bottom w:w="0" w:type="dxa"/>
          <w:right w:w="0" w:type="dxa"/>
        </w:tblCellMar>
      </w:tblPr>
      <w:tblGrid>
        <w:gridCol w:w="533"/>
        <w:gridCol w:w="1495"/>
        <w:gridCol w:w="1696"/>
        <w:gridCol w:w="600"/>
        <w:gridCol w:w="1904"/>
        <w:gridCol w:w="3004"/>
      </w:tblGrid>
      <w:tr>
        <w:tblPrEx>
          <w:tblCellMar>
            <w:top w:w="0" w:type="dxa"/>
            <w:left w:w="0" w:type="dxa"/>
            <w:bottom w:w="0" w:type="dxa"/>
            <w:right w:w="0" w:type="dxa"/>
          </w:tblCellMar>
        </w:tblPrEx>
        <w:trPr>
          <w:trHeight w:val="405" w:hRule="atLeast"/>
          <w:jc w:val="center"/>
        </w:trPr>
        <w:tc>
          <w:tcPr>
            <w:tcW w:w="9232" w:type="dxa"/>
            <w:gridSpan w:val="6"/>
            <w:tcBorders>
              <w:top w:val="nil"/>
              <w:left w:val="nil"/>
              <w:bottom w:val="nil"/>
              <w:right w:val="nil"/>
            </w:tcBorders>
            <w:noWrap/>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default" w:ascii="方正小标宋_GBK" w:hAnsi="方正小标宋_GBK" w:eastAsia="方正小标宋_GBK" w:cs="方正小标宋_GBK"/>
                <w:i w:val="0"/>
                <w:color w:val="000000"/>
                <w:kern w:val="0"/>
                <w:sz w:val="32"/>
                <w:szCs w:val="32"/>
                <w:u w:val="none"/>
                <w:lang w:val="en-US" w:eastAsia="zh-CN" w:bidi="ar"/>
              </w:rPr>
              <w:t>2020年部门整体支出绩效评价指标体系</w:t>
            </w:r>
          </w:p>
        </w:tc>
      </w:tr>
      <w:tr>
        <w:tblPrEx>
          <w:tblCellMar>
            <w:top w:w="0" w:type="dxa"/>
            <w:left w:w="0" w:type="dxa"/>
            <w:bottom w:w="0" w:type="dxa"/>
            <w:right w:w="0" w:type="dxa"/>
          </w:tblCellMar>
        </w:tblPrEx>
        <w:trPr>
          <w:trHeight w:val="450" w:hRule="atLeast"/>
          <w:jc w:val="center"/>
        </w:trPr>
        <w:tc>
          <w:tcPr>
            <w:tcW w:w="5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4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w:t>
            </w:r>
          </w:p>
        </w:tc>
        <w:tc>
          <w:tcPr>
            <w:tcW w:w="19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指标解释</w:t>
            </w:r>
          </w:p>
        </w:tc>
        <w:tc>
          <w:tcPr>
            <w:tcW w:w="30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评分标准</w:t>
            </w:r>
          </w:p>
        </w:tc>
      </w:tr>
      <w:tr>
        <w:tblPrEx>
          <w:tblCellMar>
            <w:top w:w="0" w:type="dxa"/>
            <w:left w:w="0" w:type="dxa"/>
            <w:bottom w:w="0" w:type="dxa"/>
            <w:right w:w="0" w:type="dxa"/>
          </w:tblCellMar>
        </w:tblPrEx>
        <w:trPr>
          <w:trHeight w:val="675" w:hRule="atLeast"/>
          <w:jc w:val="center"/>
        </w:trPr>
        <w:tc>
          <w:tcPr>
            <w:tcW w:w="5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预算管理</w:t>
            </w:r>
          </w:p>
        </w:tc>
        <w:tc>
          <w:tcPr>
            <w:tcW w:w="14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预算编制（5分）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预算安排准确性</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反映部门（单位）年初预算安排的准确性</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指标得分=（预算资金总来源-中期评估调整取消资金-预算结余注销资金）/预算资金总来源*指标分值，预算资金总来源是指年初预算与执行中追加预算（不含当年中央、省专款）总和</w:t>
            </w:r>
          </w:p>
        </w:tc>
      </w:tr>
      <w:tr>
        <w:tblPrEx>
          <w:tblCellMar>
            <w:top w:w="0" w:type="dxa"/>
            <w:left w:w="0" w:type="dxa"/>
            <w:bottom w:w="0" w:type="dxa"/>
            <w:right w:w="0" w:type="dxa"/>
          </w:tblCellMar>
        </w:tblPrEx>
        <w:trPr>
          <w:trHeight w:val="180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执行进度（5分）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部门（单位）按要求严格预算管理</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部门总体执行进度达96%以上，不扣分；达92%以上，按80%打分；达88%以上，按60%打分；未达到88%，不得分。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blPrEx>
          <w:tblCellMar>
            <w:top w:w="0" w:type="dxa"/>
            <w:left w:w="0" w:type="dxa"/>
            <w:bottom w:w="0" w:type="dxa"/>
            <w:right w:w="0" w:type="dxa"/>
          </w:tblCellMar>
        </w:tblPrEx>
        <w:trPr>
          <w:trHeight w:val="675" w:hRule="atLeast"/>
          <w:jc w:val="center"/>
        </w:trPr>
        <w:tc>
          <w:tcPr>
            <w:tcW w:w="5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目标管理</w:t>
            </w:r>
          </w:p>
        </w:tc>
        <w:tc>
          <w:tcPr>
            <w:tcW w:w="149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3"/>
                <w:lang w:val="en-US" w:eastAsia="zh-CN" w:bidi="ar"/>
              </w:rPr>
              <w:t>绩效目标（10分）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目标填报</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考核部门是否按要求编制专项资金、部门专项类项目绩效目标</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应编制绩效目标的专项类项目、专项资金未按要求申报绩效目标，发现1个项目扣0.5分；填报内容不规范，发现1处扣0.5分。直至扣完</w:t>
            </w:r>
          </w:p>
        </w:tc>
      </w:tr>
      <w:tr>
        <w:tblPrEx>
          <w:tblCellMar>
            <w:top w:w="0" w:type="dxa"/>
            <w:left w:w="0" w:type="dxa"/>
            <w:bottom w:w="0" w:type="dxa"/>
            <w:right w:w="0" w:type="dxa"/>
          </w:tblCellMar>
        </w:tblPrEx>
        <w:trPr>
          <w:trHeight w:val="675"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目标量化</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考核部门申报绩效目标的量化程度</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专项类项目、专项资金设定的产出指标均应量化，效果指标中应至少50%以上量化指标。发现1个项目未达到要求扣0.5分，直至扣完。</w:t>
            </w:r>
          </w:p>
        </w:tc>
      </w:tr>
      <w:tr>
        <w:tblPrEx>
          <w:tblCellMar>
            <w:top w:w="0" w:type="dxa"/>
            <w:left w:w="0" w:type="dxa"/>
            <w:bottom w:w="0" w:type="dxa"/>
            <w:right w:w="0" w:type="dxa"/>
          </w:tblCellMar>
        </w:tblPrEx>
        <w:trPr>
          <w:trHeight w:val="45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目标匹配</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考核部门申报的绩效目标是否与部门职能职责相关</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专项类项目、专项资金设定的绩效目标与部门职能职责不一致的，发现一个项目扣1分，直至扣完。</w:t>
            </w:r>
          </w:p>
        </w:tc>
      </w:tr>
      <w:tr>
        <w:tblPrEx>
          <w:tblCellMar>
            <w:top w:w="0" w:type="dxa"/>
            <w:left w:w="0" w:type="dxa"/>
            <w:bottom w:w="0" w:type="dxa"/>
            <w:right w:w="0" w:type="dxa"/>
          </w:tblCellMar>
        </w:tblPrEx>
        <w:trPr>
          <w:trHeight w:val="675" w:hRule="atLeast"/>
          <w:jc w:val="center"/>
        </w:trPr>
        <w:tc>
          <w:tcPr>
            <w:tcW w:w="5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3"/>
                <w:lang w:val="en-US" w:eastAsia="zh-CN" w:bidi="ar"/>
              </w:rPr>
              <w:t>（10分）</w:t>
            </w:r>
            <w:r>
              <w:rPr>
                <w:rStyle w:val="33"/>
                <w:lang w:val="en-US" w:eastAsia="zh-CN" w:bidi="ar"/>
              </w:rPr>
              <w:br w:type="textWrapping"/>
            </w:r>
            <w:r>
              <w:rPr>
                <w:rStyle w:val="33"/>
                <w:lang w:val="en-US" w:eastAsia="zh-CN" w:bidi="ar"/>
              </w:rPr>
              <w:t>部门管理</w:t>
            </w:r>
          </w:p>
        </w:tc>
        <w:tc>
          <w:tcPr>
            <w:tcW w:w="149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基础管理（3分）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管理制度健全性</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部门（单位）为加强预算管理、推进厉行节约、规范财务行为而制定的管理制度是否健全完整</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是否已制定或具有预算资金管理办法、厉行节约管理措施、内部财务管理制度、会计核算制度等管理制度；相关管理制度是否合法、合规、完整；相关管理制度是否得到有效执行。定性评价。</w:t>
            </w:r>
          </w:p>
        </w:tc>
      </w:tr>
      <w:tr>
        <w:tblPrEx>
          <w:tblCellMar>
            <w:top w:w="0" w:type="dxa"/>
            <w:left w:w="0" w:type="dxa"/>
            <w:bottom w:w="0" w:type="dxa"/>
            <w:right w:w="0" w:type="dxa"/>
          </w:tblCellMar>
        </w:tblPrEx>
        <w:trPr>
          <w:trHeight w:val="1125"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资金使用合规性</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部门（单位）使用预算资金是否符合相关的预算财务管理制度的规定</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blPrEx>
          <w:tblCellMar>
            <w:top w:w="0" w:type="dxa"/>
            <w:left w:w="0" w:type="dxa"/>
            <w:bottom w:w="0" w:type="dxa"/>
            <w:right w:w="0" w:type="dxa"/>
          </w:tblCellMar>
        </w:tblPrEx>
        <w:trPr>
          <w:trHeight w:val="675"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财务监控有效性</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考察部门是否对部门内部、各所属单位，专项资金分配的区（市）县或项目实施主体进行工作监督和定期考核。</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对部门内部、下属单位、分配的专项资金①制定明确的财务监控监督措施，得1分；②监控、监督措施执行有效，得1分。</w:t>
            </w:r>
          </w:p>
        </w:tc>
      </w:tr>
      <w:tr>
        <w:tblPrEx>
          <w:tblCellMar>
            <w:top w:w="0" w:type="dxa"/>
            <w:left w:w="0" w:type="dxa"/>
            <w:bottom w:w="0" w:type="dxa"/>
            <w:right w:w="0" w:type="dxa"/>
          </w:tblCellMar>
        </w:tblPrEx>
        <w:trPr>
          <w:trHeight w:val="45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行政成本（1分）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“三公”经费控制</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当年“三公”经费预算与当年决算比，反映“三公”经费控制情况</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部门“三公”经费决算数一项超预算扣0.5分，两项扣1分。</w:t>
            </w: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政府采购（1分）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采购规范性</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考察政府采购项目的采购程序、 采购方式的规范性</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采购方式、程序中每一点不规范，扣 0.5 分，直至扣完。</w:t>
            </w:r>
          </w:p>
        </w:tc>
      </w:tr>
      <w:tr>
        <w:tblPrEx>
          <w:tblCellMar>
            <w:top w:w="0" w:type="dxa"/>
            <w:left w:w="0" w:type="dxa"/>
            <w:bottom w:w="0" w:type="dxa"/>
            <w:right w:w="0" w:type="dxa"/>
          </w:tblCellMar>
        </w:tblPrEx>
        <w:trPr>
          <w:trHeight w:val="675"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资产管理（1.5分）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固定资产在用率</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部门实际在用固定资产总额与所有固定资产总额的比率， 用以反映和考核部门固定资产使用效率及程度。</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固定资产在用率=（实际在用固定资产总额/所有固定资产总额）×100%。 固定资产在用率达到 95%以上得满分。 相较95%，每降低 5个百分点扣1分，直至扣完。</w:t>
            </w:r>
          </w:p>
        </w:tc>
      </w:tr>
      <w:tr>
        <w:tblPrEx>
          <w:tblCellMar>
            <w:top w:w="0" w:type="dxa"/>
            <w:left w:w="0" w:type="dxa"/>
            <w:bottom w:w="0" w:type="dxa"/>
            <w:right w:w="0" w:type="dxa"/>
          </w:tblCellMar>
        </w:tblPrEx>
        <w:trPr>
          <w:trHeight w:val="45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信息公开（1分）</w:t>
            </w: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除涉密单位和信息外，考核部门（单位）是否按财政要求及时完成预算、决算、绩效等信息公开工作</w:t>
            </w:r>
          </w:p>
        </w:tc>
        <w:tc>
          <w:tcPr>
            <w:tcW w:w="30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33"/>
                <w:lang w:val="en-US" w:eastAsia="zh-CN" w:bidi="ar"/>
              </w:rPr>
              <w:t>一项公开工作未完成的扣1分，直至扣完。</w:t>
            </w:r>
          </w:p>
        </w:tc>
      </w:tr>
      <w:tr>
        <w:tblPrEx>
          <w:tblCellMar>
            <w:top w:w="0" w:type="dxa"/>
            <w:left w:w="0" w:type="dxa"/>
            <w:bottom w:w="0" w:type="dxa"/>
            <w:right w:w="0" w:type="dxa"/>
          </w:tblCellMar>
        </w:tblPrEx>
        <w:trPr>
          <w:trHeight w:val="675" w:hRule="atLeast"/>
          <w:jc w:val="center"/>
        </w:trPr>
        <w:tc>
          <w:tcPr>
            <w:tcW w:w="5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履职效能</w:t>
            </w:r>
          </w:p>
        </w:tc>
        <w:tc>
          <w:tcPr>
            <w:tcW w:w="149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重点任务一</w:t>
            </w: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w:t>
            </w:r>
          </w:p>
        </w:tc>
        <w:tc>
          <w:tcPr>
            <w:tcW w:w="60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300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服务对象(受益)对象满意度</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根据满意度调查评分</w:t>
            </w: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重点任务二</w:t>
            </w: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w:t>
            </w:r>
          </w:p>
        </w:tc>
        <w:tc>
          <w:tcPr>
            <w:tcW w:w="60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49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5695"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00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3724"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97.5</w:t>
            </w:r>
          </w:p>
        </w:tc>
        <w:tc>
          <w:tcPr>
            <w:tcW w:w="4908"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jc w:val="center"/>
        </w:trPr>
        <w:tc>
          <w:tcPr>
            <w:tcW w:w="533" w:type="dxa"/>
            <w:tcBorders>
              <w:top w:val="nil"/>
              <w:left w:val="nil"/>
              <w:bottom w:val="nil"/>
              <w:right w:val="nil"/>
            </w:tcBorders>
            <w:noWrap/>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495" w:type="dxa"/>
            <w:tcBorders>
              <w:top w:val="nil"/>
              <w:left w:val="nil"/>
              <w:bottom w:val="nil"/>
              <w:right w:val="nil"/>
            </w:tcBorders>
            <w:noWrap/>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1696" w:type="dxa"/>
            <w:tcBorders>
              <w:top w:val="nil"/>
              <w:left w:val="nil"/>
              <w:bottom w:val="nil"/>
              <w:right w:val="nil"/>
            </w:tcBorders>
            <w:noWrap/>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600" w:type="dxa"/>
            <w:tcBorders>
              <w:top w:val="nil"/>
              <w:left w:val="nil"/>
              <w:bottom w:val="nil"/>
              <w:right w:val="nil"/>
            </w:tcBorders>
            <w:noWrap/>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1904" w:type="dxa"/>
            <w:tcBorders>
              <w:top w:val="nil"/>
              <w:left w:val="nil"/>
              <w:bottom w:val="nil"/>
              <w:right w:val="nil"/>
            </w:tcBorders>
            <w:noWrap/>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3004" w:type="dxa"/>
            <w:tcBorders>
              <w:top w:val="nil"/>
              <w:left w:val="nil"/>
              <w:bottom w:val="nil"/>
              <w:right w:val="nil"/>
            </w:tcBorders>
            <w:noWrap/>
            <w:tcMar>
              <w:top w:w="15" w:type="dxa"/>
              <w:left w:w="15" w:type="dxa"/>
              <w:right w:w="15" w:type="dxa"/>
            </w:tcMar>
            <w:vAlign w:val="bottom"/>
          </w:tcPr>
          <w:p>
            <w:pPr>
              <w:rPr>
                <w:rFonts w:hint="default"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498" w:hRule="atLeast"/>
          <w:jc w:val="center"/>
        </w:trPr>
        <w:tc>
          <w:tcPr>
            <w:tcW w:w="9232" w:type="dxa"/>
            <w:gridSpan w:val="6"/>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p>
    <w:p>
      <w:pPr>
        <w:widowControl/>
        <w:numPr>
          <w:ilvl w:val="0"/>
          <w:numId w:val="5"/>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widowControl/>
        <w:shd w:val="clear" w:color="auto" w:fill="FFFFFF"/>
        <w:spacing w:line="408" w:lineRule="auto"/>
        <w:ind w:firstLine="560" w:firstLineChars="200"/>
        <w:jc w:val="left"/>
        <w:rPr>
          <w:rFonts w:hint="eastAsia" w:ascii="宋体" w:hAnsi="宋体" w:cs="宋体"/>
          <w:kern w:val="0"/>
          <w:sz w:val="28"/>
          <w:szCs w:val="28"/>
        </w:rPr>
      </w:pPr>
      <w:r>
        <w:rPr>
          <w:rFonts w:hint="eastAsia" w:ascii="宋体" w:hAnsi="宋体" w:cs="宋体"/>
          <w:color w:val="000000"/>
          <w:sz w:val="28"/>
          <w:szCs w:val="28"/>
        </w:rPr>
        <w:t>1、</w:t>
      </w:r>
      <w:r>
        <w:rPr>
          <w:rFonts w:hint="eastAsia" w:ascii="宋体" w:hAnsi="宋体" w:cs="宋体"/>
          <w:kern w:val="0"/>
          <w:sz w:val="28"/>
          <w:szCs w:val="28"/>
        </w:rPr>
        <w:t>预算编制工作有待细化。预算编制不够明确和细化，预算编制的合理性需要提高，预算执行力度还要进一步加强。</w:t>
      </w:r>
    </w:p>
    <w:p>
      <w:pPr>
        <w:widowControl/>
        <w:shd w:val="clear" w:color="auto" w:fill="FFFFFF"/>
        <w:spacing w:line="408"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2、</w:t>
      </w:r>
      <w:r>
        <w:rPr>
          <w:rFonts w:hint="eastAsia" w:ascii="宋体" w:hAnsi="宋体" w:cs="宋体"/>
          <w:color w:val="000000"/>
          <w:sz w:val="28"/>
          <w:szCs w:val="28"/>
        </w:rPr>
        <w:t>因单位全额编制少导致经费不足：日常公用经费不足。</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针对上述存在的问题及对外整体支出管理工作的需要，拟实施的改进措施如下：</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3、对相关人员加强培训，特别是针对《预算法》、《行政事业单位会计制度》等学习培训，规范部门预算收支核算，切实提高部门预算收支管理水平。</w:t>
      </w:r>
    </w:p>
    <w:p>
      <w:pPr>
        <w:spacing w:line="580" w:lineRule="exact"/>
        <w:ind w:firstLine="640" w:firstLineChars="200"/>
        <w:rPr>
          <w:rFonts w:ascii="仿宋_GB2312" w:hAnsi="仿宋_GB2312" w:eastAsia="仿宋_GB2312" w:cs="仿宋_GB2312"/>
          <w:sz w:val="32"/>
          <w:szCs w:val="32"/>
        </w:rPr>
      </w:pPr>
      <w:bookmarkStart w:id="73" w:name="_GoBack"/>
      <w:bookmarkEnd w:id="73"/>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widowControl/>
        <w:jc w:val="left"/>
        <w:rPr>
          <w:rStyle w:val="24"/>
          <w:rFonts w:ascii="黑体" w:hAnsi="黑体" w:eastAsia="黑体"/>
          <w:b w:val="0"/>
        </w:rPr>
      </w:pPr>
      <w:r>
        <w:rPr>
          <w:rStyle w:val="24"/>
          <w:rFonts w:ascii="黑体" w:hAnsi="黑体" w:eastAsia="黑体"/>
          <w:b w:val="0"/>
        </w:rPr>
        <w:br w:type="page"/>
      </w: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14:textFill>
            <w14:solidFill>
              <w14:schemeClr w14:val="tx1"/>
            </w14:solidFill>
          </w14:textFill>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swiss"/>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Impact">
    <w:panose1 w:val="020B0806030902050204"/>
    <w:charset w:val="00"/>
    <w:family w:val="auto"/>
    <w:pitch w:val="default"/>
    <w:sig w:usb0="00000287" w:usb1="00000000" w:usb2="00000000" w:usb3="00000000" w:csb0="2000009F" w:csb1="DFD7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Arial Unicode MS"/>
    <w:panose1 w:val="00000000000000000000"/>
    <w:charset w:val="00"/>
    <w:family w:val="auto"/>
    <w:pitch w:val="default"/>
    <w:sig w:usb0="00000000" w:usb1="00000000" w:usb2="00000000" w:usb3="00000000" w:csb0="00040001" w:csb1="00000000"/>
  </w:font>
  <w:font w:name="等线">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4AF7E0"/>
    <w:multiLevelType w:val="singleLevel"/>
    <w:tmpl w:val="C84AF7E0"/>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691E462"/>
    <w:multiLevelType w:val="singleLevel"/>
    <w:tmpl w:val="3691E462"/>
    <w:lvl w:ilvl="0" w:tentative="0">
      <w:start w:val="2"/>
      <w:numFmt w:val="chineseCounting"/>
      <w:suff w:val="nothing"/>
      <w:lvlText w:val="（%1）"/>
      <w:lvlJc w:val="left"/>
      <w:rPr>
        <w:rFonts w:hint="eastAsia"/>
      </w:rPr>
    </w:lvl>
  </w:abstractNum>
  <w:abstractNum w:abstractNumId="5">
    <w:nsid w:val="7F5B2A19"/>
    <w:multiLevelType w:val="singleLevel"/>
    <w:tmpl w:val="7F5B2A19"/>
    <w:lvl w:ilvl="0" w:tentative="0">
      <w:start w:val="1"/>
      <w:numFmt w:val="decimal"/>
      <w:suff w:val="nothing"/>
      <w:lvlText w:val="%1、"/>
      <w:lvlJc w:val="left"/>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18433B"/>
    <w:rsid w:val="02861B3E"/>
    <w:rsid w:val="05665E53"/>
    <w:rsid w:val="0A560D30"/>
    <w:rsid w:val="0A961678"/>
    <w:rsid w:val="0BDC14D5"/>
    <w:rsid w:val="0C1749E7"/>
    <w:rsid w:val="0F673654"/>
    <w:rsid w:val="0F873FCD"/>
    <w:rsid w:val="0FA067EE"/>
    <w:rsid w:val="109C64B9"/>
    <w:rsid w:val="10C055FF"/>
    <w:rsid w:val="124428EE"/>
    <w:rsid w:val="131F0FCE"/>
    <w:rsid w:val="145A7297"/>
    <w:rsid w:val="150C6112"/>
    <w:rsid w:val="16BB723D"/>
    <w:rsid w:val="193B4C81"/>
    <w:rsid w:val="1ABF0EE6"/>
    <w:rsid w:val="1E201176"/>
    <w:rsid w:val="1F025F23"/>
    <w:rsid w:val="207E4F30"/>
    <w:rsid w:val="223164E7"/>
    <w:rsid w:val="23685D34"/>
    <w:rsid w:val="240371BF"/>
    <w:rsid w:val="25184066"/>
    <w:rsid w:val="25855A91"/>
    <w:rsid w:val="265500B9"/>
    <w:rsid w:val="268463E1"/>
    <w:rsid w:val="29FD04D3"/>
    <w:rsid w:val="2B1A189F"/>
    <w:rsid w:val="2C534479"/>
    <w:rsid w:val="319F7F4E"/>
    <w:rsid w:val="3556689D"/>
    <w:rsid w:val="366570CF"/>
    <w:rsid w:val="3F2631C4"/>
    <w:rsid w:val="43872192"/>
    <w:rsid w:val="4B63260A"/>
    <w:rsid w:val="4ECE2238"/>
    <w:rsid w:val="5756212D"/>
    <w:rsid w:val="5A7472D6"/>
    <w:rsid w:val="5B5E4B0C"/>
    <w:rsid w:val="5E3D571D"/>
    <w:rsid w:val="5E790C07"/>
    <w:rsid w:val="5E946D9A"/>
    <w:rsid w:val="61D50392"/>
    <w:rsid w:val="645761D3"/>
    <w:rsid w:val="648B5B3A"/>
    <w:rsid w:val="672F012C"/>
    <w:rsid w:val="6974532E"/>
    <w:rsid w:val="6E24665B"/>
    <w:rsid w:val="70D03849"/>
    <w:rsid w:val="72734D90"/>
    <w:rsid w:val="733C1929"/>
    <w:rsid w:val="77653D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21"/>
    <w:basedOn w:val="13"/>
    <w:qFormat/>
    <w:uiPriority w:val="0"/>
    <w:rPr>
      <w:rFonts w:hint="default" w:ascii="Times New Roman" w:eastAsia="楷体_GB2312" w:cs="楷体_GB2312"/>
      <w:sz w:val="28"/>
      <w:szCs w:val="28"/>
    </w:rPr>
  </w:style>
  <w:style w:type="character" w:customStyle="1" w:styleId="31">
    <w:name w:val="font61"/>
    <w:basedOn w:val="13"/>
    <w:qFormat/>
    <w:uiPriority w:val="0"/>
    <w:rPr>
      <w:rFonts w:hint="default" w:ascii="Times New Roman" w:hAnsi="Times New Roman" w:eastAsia="楷体_GB2312" w:cs="Times New Roman"/>
      <w:sz w:val="32"/>
      <w:szCs w:val="24"/>
    </w:rPr>
  </w:style>
  <w:style w:type="character" w:customStyle="1" w:styleId="32">
    <w:name w:val="font71"/>
    <w:basedOn w:val="13"/>
    <w:qFormat/>
    <w:uiPriority w:val="0"/>
    <w:rPr>
      <w:rFonts w:hint="default" w:ascii="Times New Roman" w:hAnsi="Times New Roman" w:eastAsia="楷体_GB2312" w:cs="Times New Roman"/>
      <w:sz w:val="28"/>
      <w:szCs w:val="24"/>
    </w:rPr>
  </w:style>
  <w:style w:type="character" w:customStyle="1" w:styleId="33">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收入</c:v>
                </c:pt>
                <c:pt idx="2">
                  <c:v>支出</c:v>
                </c:pt>
              </c:strCache>
            </c:strRef>
          </c:cat>
          <c:val>
            <c:numRef>
              <c:f>Sheet1!$B$2:$E$2</c:f>
              <c:numCache>
                <c:formatCode>General</c:formatCode>
                <c:ptCount val="4"/>
                <c:pt idx="0">
                  <c:v>519.03</c:v>
                </c:pt>
                <c:pt idx="2">
                  <c:v>512.34</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收入</c:v>
                </c:pt>
                <c:pt idx="2">
                  <c:v>支出</c:v>
                </c:pt>
              </c:strCache>
            </c:strRef>
          </c:cat>
          <c:val>
            <c:numRef>
              <c:f>Sheet1!$B$3:$E$3</c:f>
              <c:numCache>
                <c:formatCode>General</c:formatCode>
                <c:ptCount val="4"/>
                <c:pt idx="0">
                  <c:v>566.78</c:v>
                </c:pt>
                <c:pt idx="2">
                  <c:v>559.24</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66881217086015"/>
          <c:y val="0.866055045871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决算收入结构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一般公共财政预算拨款</c:v>
                </c:pt>
                <c:pt idx="1">
                  <c:v>政府性基金预算财政拨款</c:v>
                </c:pt>
                <c:pt idx="2">
                  <c:v>事业收入</c:v>
                </c:pt>
                <c:pt idx="3">
                  <c:v>经营收入</c:v>
                </c:pt>
                <c:pt idx="4">
                  <c:v>附属单位上缴收入</c:v>
                </c:pt>
                <c:pt idx="5">
                  <c:v>其他收入</c:v>
                </c:pt>
              </c:strCache>
            </c:strRef>
          </c:cat>
          <c:val>
            <c:numRef>
              <c:f>Sheet1!$B$2:$B$7</c:f>
              <c:numCache>
                <c:formatCode>0%</c:formatCode>
                <c:ptCount val="6"/>
                <c:pt idx="0">
                  <c:v>0.91</c:v>
                </c:pt>
                <c:pt idx="1">
                  <c:v>0.01</c:v>
                </c:pt>
                <c:pt idx="2">
                  <c:v>0.03</c:v>
                </c:pt>
                <c:pt idx="5">
                  <c:v>0.05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决算支出结构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0.0%</c:formatCode>
                <c:ptCount val="5"/>
                <c:pt idx="0">
                  <c:v>0.997</c:v>
                </c:pt>
                <c:pt idx="1">
                  <c:v>0.003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收入</c:v>
                </c:pt>
                <c:pt idx="2">
                  <c:v>支出</c:v>
                </c:pt>
              </c:strCache>
            </c:strRef>
          </c:cat>
          <c:val>
            <c:numRef>
              <c:f>Sheet1!$B$2:$E$2</c:f>
              <c:numCache>
                <c:formatCode>General</c:formatCode>
                <c:ptCount val="4"/>
                <c:pt idx="0">
                  <c:v>506.46</c:v>
                </c:pt>
                <c:pt idx="2">
                  <c:v>514.26</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收入</c:v>
                </c:pt>
                <c:pt idx="2">
                  <c:v>支出</c:v>
                </c:pt>
              </c:strCache>
            </c:strRef>
          </c:cat>
          <c:val>
            <c:numRef>
              <c:f>Sheet1!$B$3:$E$3</c:f>
              <c:numCache>
                <c:formatCode>General</c:formatCode>
                <c:ptCount val="4"/>
                <c:pt idx="0">
                  <c:v>524.43</c:v>
                </c:pt>
                <c:pt idx="2">
                  <c:v>524.43</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66881217086015"/>
          <c:y val="0.866055045871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一般公共预算财政拨款支出决算变动</c:v>
                </c:pt>
              </c:strCache>
            </c:strRef>
          </c:cat>
          <c:val>
            <c:numRef>
              <c:f>Sheet1!$B$2:$E$2</c:f>
              <c:numCache>
                <c:formatCode>General</c:formatCode>
                <c:ptCount val="4"/>
                <c:pt idx="0">
                  <c:v>499.64</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一般公共预算财政拨款支出决算变动</c:v>
                </c:pt>
              </c:strCache>
            </c:strRef>
          </c:cat>
          <c:val>
            <c:numRef>
              <c:f>Sheet1!$B$3:$E$3</c:f>
              <c:numCache>
                <c:formatCode>General</c:formatCode>
                <c:ptCount val="4"/>
                <c:pt idx="0">
                  <c:v>524.43</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1"/>
        <c:axPos val="b"/>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54488054692853"/>
          <c:y val="0.81752634498058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教育支出</c:v>
                </c:pt>
                <c:pt idx="1">
                  <c:v>社会保障和就业</c:v>
                </c:pt>
                <c:pt idx="2">
                  <c:v>卫生健康支出</c:v>
                </c:pt>
                <c:pt idx="3">
                  <c:v>住房保障支出</c:v>
                </c:pt>
              </c:strCache>
            </c:strRef>
          </c:cat>
          <c:val>
            <c:numRef>
              <c:f>Sheet1!$B$2:$B$6</c:f>
              <c:numCache>
                <c:formatCode>0.0%</c:formatCode>
                <c:ptCount val="5"/>
                <c:pt idx="0">
                  <c:v>0.64</c:v>
                </c:pt>
                <c:pt idx="1">
                  <c:v>0.23</c:v>
                </c:pt>
                <c:pt idx="2">
                  <c:v>0.06</c:v>
                </c:pt>
                <c:pt idx="3">
                  <c:v>0.07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60310111881606"/>
          <c:y val="0.76891031559100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0</TotalTime>
  <ScaleCrop>false</ScaleCrop>
  <LinksUpToDate>false</LinksUpToDate>
  <CharactersWithSpaces>8536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QIU</cp:lastModifiedBy>
  <cp:lastPrinted>2020-07-23T02:58:00Z</cp:lastPrinted>
  <dcterms:modified xsi:type="dcterms:W3CDTF">2020-10-28T09:10:39Z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