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outlineLvl w:val="0"/>
        <w:rPr>
          <w:rFonts w:ascii="方正小标宋简体" w:hAnsi="宋体" w:eastAsia="方正小标宋简体"/>
          <w:color w:val="000000"/>
          <w:sz w:val="72"/>
          <w:szCs w:val="72"/>
        </w:rPr>
      </w:pPr>
      <w:bookmarkStart w:id="0" w:name="_Toc15306267"/>
    </w:p>
    <w:p>
      <w:pPr>
        <w:spacing w:line="600" w:lineRule="exact"/>
        <w:jc w:val="center"/>
        <w:outlineLvl w:val="0"/>
        <w:rPr>
          <w:rFonts w:ascii="方正小标宋简体" w:hAnsi="宋体" w:eastAsia="方正小标宋简体"/>
          <w:color w:val="000000"/>
          <w:sz w:val="72"/>
          <w:szCs w:val="72"/>
        </w:rPr>
      </w:pPr>
    </w:p>
    <w:p>
      <w:pPr>
        <w:spacing w:line="600" w:lineRule="exact"/>
        <w:jc w:val="center"/>
        <w:outlineLvl w:val="0"/>
        <w:rPr>
          <w:rFonts w:ascii="方正小标宋简体" w:hAnsi="宋体" w:eastAsia="方正小标宋简体"/>
          <w:color w:val="000000"/>
          <w:sz w:val="72"/>
          <w:szCs w:val="72"/>
        </w:rPr>
      </w:pPr>
    </w:p>
    <w:p>
      <w:pPr>
        <w:spacing w:line="600" w:lineRule="exact"/>
        <w:jc w:val="center"/>
        <w:outlineLvl w:val="0"/>
        <w:rPr>
          <w:rFonts w:ascii="方正小标宋简体" w:hAnsi="宋体" w:eastAsia="方正小标宋简体"/>
          <w:color w:val="000000"/>
          <w:sz w:val="72"/>
          <w:szCs w:val="72"/>
        </w:rPr>
      </w:pPr>
    </w:p>
    <w:p>
      <w:pPr>
        <w:adjustRightInd w:val="0"/>
        <w:snapToGrid w:val="0"/>
        <w:spacing w:line="360" w:lineRule="auto"/>
        <w:jc w:val="center"/>
        <w:outlineLvl w:val="0"/>
        <w:rPr>
          <w:rFonts w:ascii="方正小标宋简体" w:hAnsi="宋体" w:eastAsia="方正小标宋简体"/>
          <w:color w:val="000000"/>
          <w:sz w:val="72"/>
          <w:szCs w:val="72"/>
        </w:rPr>
      </w:pPr>
      <w:bookmarkStart w:id="1" w:name="_Toc15396475"/>
      <w:bookmarkStart w:id="2" w:name="_Toc15377193"/>
      <w:bookmarkStart w:id="3" w:name="_Toc15378441"/>
      <w:bookmarkStart w:id="4" w:name="_Toc15396597"/>
      <w:bookmarkStart w:id="5" w:name="_Toc15377425"/>
      <w:r>
        <w:rPr>
          <w:rFonts w:ascii="黑体" w:hAnsi="黑体" w:eastAsia="黑体"/>
          <w:color w:val="000000"/>
          <w:sz w:val="72"/>
          <w:szCs w:val="72"/>
        </w:rPr>
        <w:t>201</w:t>
      </w:r>
      <w:r>
        <w:rPr>
          <w:rFonts w:hint="eastAsia" w:ascii="黑体" w:hAnsi="黑体" w:eastAsia="黑体"/>
          <w:color w:val="000000"/>
          <w:sz w:val="72"/>
          <w:szCs w:val="72"/>
        </w:rPr>
        <w:t>9</w:t>
      </w:r>
      <w:r>
        <w:rPr>
          <w:rFonts w:hint="eastAsia" w:ascii="方正小标宋简体" w:hAnsi="宋体" w:eastAsia="方正小标宋简体"/>
          <w:color w:val="000000"/>
          <w:sz w:val="72"/>
          <w:szCs w:val="72"/>
        </w:rPr>
        <w:t>年度</w:t>
      </w:r>
      <w:bookmarkEnd w:id="1"/>
      <w:bookmarkEnd w:id="2"/>
      <w:bookmarkEnd w:id="3"/>
      <w:bookmarkEnd w:id="4"/>
      <w:bookmarkEnd w:id="5"/>
    </w:p>
    <w:p>
      <w:pPr>
        <w:adjustRightInd w:val="0"/>
        <w:snapToGrid w:val="0"/>
        <w:spacing w:line="360" w:lineRule="auto"/>
        <w:jc w:val="center"/>
        <w:outlineLvl w:val="0"/>
        <w:rPr>
          <w:rFonts w:ascii="方正小标宋简体" w:hAnsi="宋体" w:eastAsia="方正小标宋简体"/>
          <w:color w:val="000000"/>
          <w:sz w:val="72"/>
          <w:szCs w:val="72"/>
        </w:rPr>
      </w:pPr>
      <w:bookmarkStart w:id="6" w:name="_Toc15396476"/>
      <w:bookmarkStart w:id="7" w:name="_Toc15396598"/>
      <w:bookmarkStart w:id="8" w:name="_Toc15377426"/>
      <w:bookmarkStart w:id="9" w:name="_Toc15378442"/>
      <w:bookmarkStart w:id="10" w:name="_Toc15377194"/>
      <w:r>
        <w:rPr>
          <w:rFonts w:hint="eastAsia" w:ascii="方正小标宋简体" w:hAnsi="宋体" w:eastAsia="方正小标宋简体"/>
          <w:color w:val="000000"/>
          <w:sz w:val="72"/>
          <w:szCs w:val="72"/>
        </w:rPr>
        <w:t>四川省</w:t>
      </w:r>
      <w:bookmarkEnd w:id="0"/>
      <w:bookmarkStart w:id="11" w:name="_Toc15306268"/>
      <w:r>
        <w:rPr>
          <w:rFonts w:hint="eastAsia" w:ascii="方正小标宋简体" w:hAnsi="宋体" w:eastAsia="方正小标宋简体"/>
          <w:color w:val="000000"/>
          <w:sz w:val="72"/>
          <w:szCs w:val="72"/>
        </w:rPr>
        <w:t>广汉市松林镇学校部门决算</w:t>
      </w:r>
      <w:bookmarkEnd w:id="6"/>
      <w:bookmarkEnd w:id="7"/>
      <w:bookmarkEnd w:id="8"/>
      <w:bookmarkEnd w:id="9"/>
      <w:bookmarkEnd w:id="10"/>
      <w:bookmarkEnd w:id="11"/>
    </w:p>
    <w:p>
      <w:pPr>
        <w:widowControl/>
        <w:jc w:val="center"/>
        <w:rPr>
          <w:rFonts w:ascii="黑体" w:hAnsi="黑体" w:eastAsia="黑体"/>
          <w:color w:val="000000"/>
          <w:sz w:val="48"/>
          <w:szCs w:val="48"/>
        </w:rPr>
      </w:pPr>
      <w:r>
        <w:rPr>
          <w:rFonts w:ascii="方正小标宋简体" w:hAnsi="宋体" w:eastAsia="方正小标宋简体"/>
          <w:color w:val="000000"/>
          <w:sz w:val="36"/>
          <w:szCs w:val="36"/>
        </w:rPr>
        <w:br w:type="page"/>
      </w:r>
      <w:r>
        <w:rPr>
          <w:rFonts w:hint="eastAsia" w:ascii="黑体" w:hAnsi="黑体" w:eastAsia="黑体"/>
          <w:color w:val="000000"/>
          <w:sz w:val="48"/>
          <w:szCs w:val="48"/>
        </w:rPr>
        <w:t>目录</w:t>
      </w:r>
    </w:p>
    <w:p>
      <w:pPr>
        <w:widowControl/>
        <w:jc w:val="center"/>
        <w:rPr>
          <w:rFonts w:ascii="黑体" w:hAnsi="黑体" w:eastAsia="黑体" w:cstheme="minorBidi"/>
          <w:sz w:val="28"/>
          <w:szCs w:val="28"/>
        </w:rPr>
      </w:pPr>
    </w:p>
    <w:p>
      <w:pPr>
        <w:pStyle w:val="10"/>
      </w:pPr>
      <w:r>
        <w:rPr>
          <w:rFonts w:hint="eastAsia"/>
        </w:rPr>
        <w:t>公开时间：2020年9月3日</w:t>
      </w:r>
    </w:p>
    <w:p/>
    <w:p>
      <w:pPr>
        <w:pStyle w:val="10"/>
        <w:adjustRightInd w:val="0"/>
        <w:snapToGrid w:val="0"/>
        <w:spacing w:before="0" w:line="440" w:lineRule="exact"/>
        <w:jc w:val="left"/>
        <w:rPr>
          <w:rFonts w:cstheme="minorBidi"/>
          <w:sz w:val="24"/>
          <w:szCs w:val="24"/>
        </w:rPr>
      </w:pPr>
      <w:r>
        <w:rPr>
          <w:rFonts w:hint="eastAsia"/>
          <w:sz w:val="24"/>
        </w:rPr>
        <w:t>第一部分</w:t>
      </w:r>
      <w:r>
        <w:rPr>
          <w:sz w:val="24"/>
        </w:rPr>
        <w:t xml:space="preserve"> </w:t>
      </w:r>
      <w:r>
        <w:rPr>
          <w:rFonts w:hint="eastAsia"/>
          <w:sz w:val="24"/>
        </w:rPr>
        <w:t>部门概况</w:t>
      </w:r>
    </w:p>
    <w:p>
      <w:pPr>
        <w:pStyle w:val="11"/>
        <w:numPr>
          <w:ilvl w:val="0"/>
          <w:numId w:val="1"/>
        </w:numPr>
        <w:adjustRightInd w:val="0"/>
        <w:snapToGrid w:val="0"/>
        <w:spacing w:line="440" w:lineRule="exact"/>
        <w:ind w:leftChars="0"/>
        <w:jc w:val="left"/>
        <w:rPr>
          <w:sz w:val="24"/>
        </w:rPr>
      </w:pPr>
      <w:r>
        <w:rPr>
          <w:rFonts w:hint="eastAsia"/>
          <w:sz w:val="24"/>
        </w:rPr>
        <w:t>基本职能及主要工作</w:t>
      </w:r>
    </w:p>
    <w:p>
      <w:pPr>
        <w:pStyle w:val="11"/>
        <w:numPr>
          <w:ilvl w:val="0"/>
          <w:numId w:val="1"/>
        </w:numPr>
        <w:adjustRightInd w:val="0"/>
        <w:snapToGrid w:val="0"/>
        <w:spacing w:line="440" w:lineRule="exact"/>
        <w:ind w:leftChars="0"/>
        <w:jc w:val="left"/>
        <w:rPr>
          <w:sz w:val="24"/>
        </w:rPr>
      </w:pPr>
      <w:r>
        <w:rPr>
          <w:rFonts w:hint="eastAsia"/>
          <w:sz w:val="24"/>
        </w:rPr>
        <w:t>机构设置</w:t>
      </w:r>
    </w:p>
    <w:p>
      <w:pPr>
        <w:pStyle w:val="10"/>
        <w:adjustRightInd w:val="0"/>
        <w:snapToGrid w:val="0"/>
        <w:spacing w:before="0" w:line="440" w:lineRule="exact"/>
        <w:jc w:val="left"/>
        <w:rPr>
          <w:sz w:val="24"/>
          <w:szCs w:val="24"/>
        </w:rPr>
      </w:pPr>
      <w:r>
        <w:rPr>
          <w:rFonts w:hint="eastAsia"/>
          <w:sz w:val="24"/>
        </w:rPr>
        <w:t>第二部分度部门决算情况说明</w:t>
      </w:r>
    </w:p>
    <w:p>
      <w:pPr>
        <w:pStyle w:val="11"/>
        <w:numPr>
          <w:ilvl w:val="0"/>
          <w:numId w:val="2"/>
        </w:numPr>
        <w:adjustRightInd w:val="0"/>
        <w:snapToGrid w:val="0"/>
        <w:spacing w:line="440" w:lineRule="exact"/>
        <w:ind w:leftChars="0"/>
        <w:jc w:val="left"/>
        <w:rPr>
          <w:sz w:val="24"/>
        </w:rPr>
      </w:pPr>
      <w:r>
        <w:rPr>
          <w:rFonts w:hint="eastAsia"/>
          <w:sz w:val="24"/>
        </w:rPr>
        <w:t>收入支出决算总体情况说明</w:t>
      </w:r>
    </w:p>
    <w:p>
      <w:pPr>
        <w:pStyle w:val="11"/>
        <w:numPr>
          <w:ilvl w:val="0"/>
          <w:numId w:val="1"/>
        </w:numPr>
        <w:adjustRightInd w:val="0"/>
        <w:snapToGrid w:val="0"/>
        <w:spacing w:line="440" w:lineRule="exact"/>
        <w:ind w:leftChars="0"/>
        <w:jc w:val="left"/>
        <w:rPr>
          <w:sz w:val="24"/>
        </w:rPr>
      </w:pPr>
      <w:r>
        <w:rPr>
          <w:rFonts w:hint="eastAsia"/>
          <w:sz w:val="24"/>
        </w:rPr>
        <w:t>收入决算情况说明</w:t>
      </w:r>
    </w:p>
    <w:p>
      <w:pPr>
        <w:pStyle w:val="11"/>
        <w:numPr>
          <w:ilvl w:val="0"/>
          <w:numId w:val="1"/>
        </w:numPr>
        <w:adjustRightInd w:val="0"/>
        <w:snapToGrid w:val="0"/>
        <w:spacing w:line="440" w:lineRule="exact"/>
        <w:ind w:leftChars="0"/>
        <w:jc w:val="left"/>
        <w:rPr>
          <w:sz w:val="24"/>
        </w:rPr>
      </w:pPr>
      <w:r>
        <w:rPr>
          <w:rFonts w:hint="eastAsia"/>
          <w:sz w:val="24"/>
        </w:rPr>
        <w:t>支出决算情况说明</w:t>
      </w:r>
    </w:p>
    <w:p>
      <w:pPr>
        <w:pStyle w:val="11"/>
        <w:numPr>
          <w:ilvl w:val="0"/>
          <w:numId w:val="1"/>
        </w:numPr>
        <w:adjustRightInd w:val="0"/>
        <w:snapToGrid w:val="0"/>
        <w:spacing w:line="440" w:lineRule="exact"/>
        <w:ind w:leftChars="0"/>
        <w:jc w:val="left"/>
        <w:rPr>
          <w:sz w:val="24"/>
        </w:rPr>
      </w:pPr>
      <w:r>
        <w:rPr>
          <w:rFonts w:hint="eastAsia"/>
          <w:sz w:val="24"/>
        </w:rPr>
        <w:t>财政拨款收入支出决算总体情况说明</w:t>
      </w:r>
    </w:p>
    <w:p>
      <w:pPr>
        <w:pStyle w:val="11"/>
        <w:numPr>
          <w:ilvl w:val="0"/>
          <w:numId w:val="1"/>
        </w:numPr>
        <w:adjustRightInd w:val="0"/>
        <w:snapToGrid w:val="0"/>
        <w:spacing w:line="440" w:lineRule="exact"/>
        <w:ind w:leftChars="0"/>
        <w:jc w:val="left"/>
        <w:rPr>
          <w:sz w:val="24"/>
        </w:rPr>
      </w:pPr>
      <w:r>
        <w:rPr>
          <w:rFonts w:hint="eastAsia"/>
          <w:sz w:val="24"/>
        </w:rPr>
        <w:t>一般公共预算财政拨款支出决算情况说明</w:t>
      </w:r>
    </w:p>
    <w:p>
      <w:pPr>
        <w:rPr>
          <w:sz w:val="24"/>
        </w:rPr>
      </w:pPr>
      <w:r>
        <w:rPr>
          <w:rFonts w:hint="eastAsia"/>
        </w:rPr>
        <w:t xml:space="preserve">    </w:t>
      </w:r>
      <w:r>
        <w:rPr>
          <w:rFonts w:hint="eastAsia"/>
          <w:sz w:val="24"/>
        </w:rPr>
        <w:t>七、</w:t>
      </w:r>
      <w:r>
        <w:rPr>
          <w:sz w:val="24"/>
        </w:rPr>
        <w:t>“</w:t>
      </w:r>
      <w:r>
        <w:rPr>
          <w:rFonts w:hint="eastAsia"/>
          <w:sz w:val="24"/>
        </w:rPr>
        <w:t xml:space="preserve">三公”经费财政拨款支出决算情况说明  </w:t>
      </w:r>
    </w:p>
    <w:p>
      <w:pPr>
        <w:pStyle w:val="11"/>
        <w:adjustRightInd w:val="0"/>
        <w:snapToGrid w:val="0"/>
        <w:spacing w:line="440" w:lineRule="exact"/>
        <w:jc w:val="left"/>
        <w:rPr>
          <w:sz w:val="24"/>
        </w:rPr>
      </w:pPr>
      <w:r>
        <w:rPr>
          <w:rFonts w:hint="eastAsia"/>
          <w:sz w:val="24"/>
        </w:rPr>
        <w:t>八、政府性基金预算支出决算情况说明</w:t>
      </w:r>
    </w:p>
    <w:p>
      <w:pPr>
        <w:pStyle w:val="11"/>
        <w:adjustRightInd w:val="0"/>
        <w:snapToGrid w:val="0"/>
        <w:spacing w:line="440" w:lineRule="exact"/>
        <w:ind w:leftChars="0"/>
        <w:jc w:val="left"/>
        <w:rPr>
          <w:rFonts w:ascii="仿宋" w:hAnsi="仿宋" w:eastAsia="仿宋"/>
          <w:sz w:val="24"/>
        </w:rPr>
      </w:pPr>
      <w:r>
        <w:rPr>
          <w:rFonts w:hint="eastAsia" w:ascii="仿宋" w:hAnsi="仿宋" w:eastAsia="仿宋"/>
          <w:sz w:val="24"/>
        </w:rPr>
        <w:t>九、</w:t>
      </w:r>
      <w:r>
        <w:rPr>
          <w:sz w:val="24"/>
        </w:rPr>
        <w:t xml:space="preserve"> 国</w:t>
      </w:r>
      <w:r>
        <w:rPr>
          <w:rFonts w:hint="eastAsia"/>
          <w:sz w:val="24"/>
        </w:rPr>
        <w:t xml:space="preserve">有资本经营预算支出决算情况说明 </w:t>
      </w:r>
    </w:p>
    <w:p>
      <w:pPr>
        <w:adjustRightInd w:val="0"/>
        <w:snapToGrid w:val="0"/>
        <w:spacing w:line="440" w:lineRule="exact"/>
        <w:ind w:firstLine="480" w:firstLineChars="200"/>
        <w:jc w:val="left"/>
        <w:rPr>
          <w:rFonts w:ascii="仿宋" w:hAnsi="仿宋" w:eastAsia="仿宋" w:cstheme="minorBidi"/>
          <w:sz w:val="24"/>
        </w:rPr>
      </w:pPr>
      <w:r>
        <w:rPr>
          <w:rStyle w:val="15"/>
          <w:rFonts w:hint="eastAsia" w:ascii="仿宋" w:hAnsi="仿宋" w:eastAsia="仿宋"/>
          <w:color w:val="000000" w:themeColor="text1"/>
          <w:sz w:val="24"/>
          <w:u w:val="none"/>
          <w14:textFill>
            <w14:solidFill>
              <w14:schemeClr w14:val="tx1"/>
            </w14:solidFill>
          </w14:textFill>
        </w:rPr>
        <w:t>十、</w:t>
      </w:r>
      <w:r>
        <w:rPr>
          <w:rFonts w:hint="eastAsia"/>
          <w:sz w:val="24"/>
        </w:rPr>
        <w:t>其他重要事项的情况说明</w:t>
      </w:r>
      <w:r>
        <w:rPr>
          <w:rFonts w:ascii="仿宋" w:hAnsi="仿宋" w:eastAsia="仿宋"/>
          <w:sz w:val="24"/>
        </w:rPr>
        <w:tab/>
      </w:r>
    </w:p>
    <w:p>
      <w:pPr>
        <w:pStyle w:val="10"/>
        <w:adjustRightInd w:val="0"/>
        <w:snapToGrid w:val="0"/>
        <w:spacing w:before="0" w:line="440" w:lineRule="exact"/>
        <w:jc w:val="left"/>
        <w:rPr>
          <w:rFonts w:cstheme="minorBidi"/>
          <w:sz w:val="24"/>
          <w:szCs w:val="24"/>
        </w:rPr>
      </w:pPr>
      <w:r>
        <w:rPr>
          <w:rFonts w:hint="eastAsia"/>
          <w:sz w:val="24"/>
        </w:rPr>
        <w:t>第三部分</w:t>
      </w:r>
      <w:r>
        <w:rPr>
          <w:sz w:val="24"/>
        </w:rPr>
        <w:t xml:space="preserve"> </w:t>
      </w:r>
      <w:r>
        <w:rPr>
          <w:rFonts w:hint="eastAsia"/>
          <w:sz w:val="24"/>
        </w:rPr>
        <w:t>名词解释</w:t>
      </w:r>
    </w:p>
    <w:p>
      <w:pPr>
        <w:pStyle w:val="10"/>
        <w:adjustRightInd w:val="0"/>
        <w:snapToGrid w:val="0"/>
        <w:spacing w:before="0" w:line="440" w:lineRule="exact"/>
        <w:jc w:val="left"/>
        <w:rPr>
          <w:rFonts w:cstheme="minorBidi"/>
          <w:sz w:val="24"/>
          <w:szCs w:val="24"/>
        </w:rPr>
      </w:pPr>
      <w:r>
        <w:rPr>
          <w:rFonts w:hint="eastAsia"/>
          <w:sz w:val="24"/>
        </w:rPr>
        <w:t>第四部分</w:t>
      </w:r>
      <w:r>
        <w:rPr>
          <w:sz w:val="24"/>
        </w:rPr>
        <w:t xml:space="preserve"> </w:t>
      </w:r>
      <w:r>
        <w:rPr>
          <w:rFonts w:hint="eastAsia"/>
          <w:sz w:val="24"/>
        </w:rPr>
        <w:t>附件</w:t>
      </w:r>
    </w:p>
    <w:p>
      <w:pPr>
        <w:pStyle w:val="11"/>
        <w:adjustRightInd w:val="0"/>
        <w:snapToGrid w:val="0"/>
        <w:spacing w:line="440" w:lineRule="exact"/>
        <w:jc w:val="left"/>
        <w:rPr>
          <w:rFonts w:ascii="仿宋" w:hAnsi="仿宋" w:eastAsia="仿宋" w:cstheme="minorBidi"/>
          <w:sz w:val="24"/>
        </w:rPr>
      </w:pPr>
      <w:r>
        <w:rPr>
          <w:rFonts w:hint="eastAsia"/>
          <w:sz w:val="24"/>
        </w:rPr>
        <w:t>附件</w:t>
      </w:r>
      <w:r>
        <w:rPr>
          <w:sz w:val="24"/>
        </w:rPr>
        <w:t>1</w:t>
      </w:r>
    </w:p>
    <w:p>
      <w:pPr>
        <w:pStyle w:val="11"/>
        <w:adjustRightInd w:val="0"/>
        <w:snapToGrid w:val="0"/>
        <w:spacing w:line="440" w:lineRule="exact"/>
        <w:jc w:val="left"/>
        <w:rPr>
          <w:rFonts w:ascii="仿宋" w:hAnsi="仿宋" w:eastAsia="仿宋" w:cstheme="minorBidi"/>
          <w:sz w:val="24"/>
        </w:rPr>
      </w:pPr>
      <w:r>
        <w:rPr>
          <w:rFonts w:hint="eastAsia"/>
          <w:sz w:val="24"/>
        </w:rPr>
        <w:t>附件</w:t>
      </w:r>
      <w:r>
        <w:rPr>
          <w:sz w:val="24"/>
        </w:rPr>
        <w:t>2</w:t>
      </w:r>
    </w:p>
    <w:p>
      <w:pPr>
        <w:pStyle w:val="10"/>
        <w:adjustRightInd w:val="0"/>
        <w:snapToGrid w:val="0"/>
        <w:spacing w:before="0" w:line="440" w:lineRule="exact"/>
        <w:jc w:val="left"/>
        <w:rPr>
          <w:rFonts w:cstheme="minorBidi"/>
          <w:sz w:val="24"/>
          <w:szCs w:val="24"/>
        </w:rPr>
      </w:pPr>
      <w:r>
        <w:rPr>
          <w:rFonts w:hint="eastAsia"/>
          <w:sz w:val="24"/>
        </w:rPr>
        <w:t>第五部分</w:t>
      </w:r>
      <w:r>
        <w:rPr>
          <w:sz w:val="24"/>
        </w:rPr>
        <w:t xml:space="preserve"> </w:t>
      </w:r>
      <w:r>
        <w:rPr>
          <w:rFonts w:hint="eastAsia"/>
          <w:sz w:val="24"/>
        </w:rPr>
        <w:t>附表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一、</w:t>
      </w:r>
      <w:r>
        <w:rPr>
          <w:rFonts w:hint="eastAsia"/>
          <w:sz w:val="24"/>
        </w:rPr>
        <w:t>收入支出决算总表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二、</w:t>
      </w:r>
      <w:r>
        <w:rPr>
          <w:rFonts w:hint="eastAsia"/>
          <w:sz w:val="24"/>
        </w:rPr>
        <w:t>收入</w:t>
      </w:r>
      <w:r>
        <w:rPr>
          <w:rFonts w:hint="eastAsia" w:ascii="仿宋" w:hAnsi="仿宋" w:eastAsia="仿宋"/>
          <w:sz w:val="24"/>
        </w:rPr>
        <w:t>决算</w:t>
      </w:r>
      <w:r>
        <w:rPr>
          <w:rFonts w:hint="eastAsia"/>
          <w:sz w:val="24"/>
        </w:rPr>
        <w:t>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三、</w:t>
      </w:r>
      <w:r>
        <w:rPr>
          <w:rFonts w:hint="eastAsia"/>
          <w:sz w:val="24"/>
        </w:rPr>
        <w:t>支出</w:t>
      </w:r>
      <w:r>
        <w:rPr>
          <w:rFonts w:hint="eastAsia" w:ascii="仿宋" w:hAnsi="仿宋" w:eastAsia="仿宋"/>
          <w:sz w:val="24"/>
        </w:rPr>
        <w:t>决算</w:t>
      </w:r>
      <w:r>
        <w:rPr>
          <w:rFonts w:hint="eastAsia"/>
          <w:sz w:val="24"/>
        </w:rPr>
        <w:t>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四、</w:t>
      </w:r>
      <w:r>
        <w:rPr>
          <w:rFonts w:hint="eastAsia"/>
          <w:sz w:val="24"/>
        </w:rPr>
        <w:t>财政拨款收入支出决算总表</w:t>
      </w:r>
    </w:p>
    <w:p>
      <w:pPr>
        <w:pStyle w:val="11"/>
        <w:adjustRightInd w:val="0"/>
        <w:snapToGrid w:val="0"/>
        <w:spacing w:line="440" w:lineRule="exact"/>
        <w:jc w:val="left"/>
        <w:rPr>
          <w:rFonts w:ascii="仿宋" w:hAnsi="仿宋" w:eastAsia="仿宋"/>
          <w:sz w:val="24"/>
        </w:rPr>
      </w:pPr>
      <w:r>
        <w:rPr>
          <w:rFonts w:hint="eastAsia" w:ascii="仿宋" w:hAnsi="仿宋" w:eastAsia="仿宋"/>
          <w:sz w:val="24"/>
        </w:rPr>
        <w:t>五、财政拨款支出决算明细表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六、</w:t>
      </w:r>
      <w:r>
        <w:rPr>
          <w:rFonts w:hint="eastAsia"/>
          <w:sz w:val="24"/>
        </w:rPr>
        <w:t>一般公共预算财政拨款支出决算表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七、</w:t>
      </w:r>
      <w:r>
        <w:rPr>
          <w:rFonts w:hint="eastAsia"/>
          <w:sz w:val="24"/>
        </w:rPr>
        <w:t>一般公共预算财政拨款支出决算明细表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八、</w:t>
      </w:r>
      <w:r>
        <w:rPr>
          <w:rFonts w:hint="eastAsia"/>
          <w:sz w:val="24"/>
        </w:rPr>
        <w:t>一般公共预算财政拨款基本支出决算表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九、</w:t>
      </w:r>
      <w:r>
        <w:rPr>
          <w:rFonts w:hint="eastAsia"/>
          <w:sz w:val="24"/>
        </w:rPr>
        <w:t>一般公共预算财政拨款项目支出决算表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十、</w:t>
      </w:r>
      <w:r>
        <w:rPr>
          <w:rFonts w:hint="eastAsia"/>
          <w:sz w:val="24"/>
        </w:rPr>
        <w:t>一般公共预算财政拨款“三公”经费支出决算表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十一、</w:t>
      </w:r>
      <w:r>
        <w:rPr>
          <w:rFonts w:hint="eastAsia"/>
          <w:sz w:val="24"/>
        </w:rPr>
        <w:t>政府性基金预算财政拨款收入支出决算表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十二、</w:t>
      </w:r>
      <w:r>
        <w:rPr>
          <w:rFonts w:hint="eastAsia"/>
          <w:sz w:val="24"/>
        </w:rPr>
        <w:t>政府性基金预算财政拨款“三公”经费支出决算表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十三、</w:t>
      </w:r>
      <w:r>
        <w:rPr>
          <w:rFonts w:hint="eastAsia"/>
          <w:sz w:val="24"/>
        </w:rPr>
        <w:t>国有资本经营预算支出决算表</w:t>
      </w:r>
    </w:p>
    <w:p>
      <w:pPr>
        <w:pStyle w:val="2"/>
        <w:jc w:val="center"/>
        <w:rPr>
          <w:rStyle w:val="24"/>
          <w:rFonts w:ascii="黑体" w:hAnsi="黑体" w:eastAsia="黑体"/>
          <w:b/>
          <w:bCs w:val="0"/>
        </w:rPr>
      </w:pPr>
      <w:bookmarkStart w:id="12" w:name="_Toc15396599"/>
      <w:bookmarkStart w:id="13" w:name="_Toc15377196"/>
      <w:r>
        <w:rPr>
          <w:rFonts w:hint="eastAsia" w:ascii="黑体" w:hAnsi="黑体" w:eastAsia="黑体"/>
          <w:b w:val="0"/>
        </w:rPr>
        <w:t xml:space="preserve">第一部分 </w:t>
      </w:r>
      <w:r>
        <w:rPr>
          <w:rStyle w:val="24"/>
          <w:rFonts w:hint="eastAsia" w:ascii="黑体" w:hAnsi="黑体" w:eastAsia="黑体"/>
          <w:b w:val="0"/>
          <w:bCs w:val="0"/>
        </w:rPr>
        <w:t>部门概况</w:t>
      </w:r>
      <w:bookmarkEnd w:id="12"/>
      <w:bookmarkEnd w:id="13"/>
    </w:p>
    <w:p>
      <w:pPr>
        <w:widowControl/>
        <w:jc w:val="left"/>
        <w:rPr>
          <w:rFonts w:ascii="黑体" w:eastAsia="黑体"/>
          <w:color w:val="000000"/>
          <w:sz w:val="32"/>
          <w:szCs w:val="32"/>
        </w:rPr>
      </w:pPr>
    </w:p>
    <w:p>
      <w:pPr>
        <w:pStyle w:val="3"/>
        <w:rPr>
          <w:rStyle w:val="25"/>
          <w:rFonts w:ascii="仿宋" w:hAnsi="仿宋" w:eastAsia="仿宋"/>
          <w:b w:val="0"/>
          <w:bCs w:val="0"/>
        </w:rPr>
      </w:pPr>
      <w:bookmarkStart w:id="14" w:name="_Toc15396600"/>
      <w:bookmarkStart w:id="15" w:name="_Toc15377197"/>
      <w:r>
        <w:rPr>
          <w:rFonts w:hint="eastAsia" w:ascii="黑体" w:hAnsi="黑体" w:eastAsia="黑体"/>
          <w:b w:val="0"/>
          <w:color w:val="000000"/>
        </w:rPr>
        <w:t>一、基</w:t>
      </w:r>
      <w:r>
        <w:rPr>
          <w:rStyle w:val="25"/>
          <w:rFonts w:hint="eastAsia" w:ascii="黑体" w:hAnsi="黑体" w:eastAsia="黑体"/>
          <w:b w:val="0"/>
          <w:bCs w:val="0"/>
        </w:rPr>
        <w:t>本职能及主要工作</w:t>
      </w:r>
      <w:bookmarkEnd w:id="14"/>
      <w:bookmarkEnd w:id="15"/>
    </w:p>
    <w:p>
      <w:pPr>
        <w:pStyle w:val="5"/>
        <w:adjustRightInd w:val="0"/>
        <w:snapToGrid w:val="0"/>
        <w:spacing w:before="93" w:line="600" w:lineRule="exact"/>
        <w:ind w:firstLine="672" w:firstLineChars="210"/>
        <w:outlineLvl w:val="2"/>
        <w:rPr>
          <w:rFonts w:ascii="仿宋" w:hAnsi="仿宋" w:eastAsia="仿宋"/>
          <w:bCs/>
          <w:color w:val="000000"/>
          <w:sz w:val="32"/>
          <w:szCs w:val="32"/>
        </w:rPr>
      </w:pPr>
      <w:bookmarkStart w:id="16" w:name="_Toc15377198"/>
      <w:bookmarkStart w:id="17" w:name="_Toc15378445"/>
      <w:r>
        <w:rPr>
          <w:rFonts w:hint="eastAsia" w:ascii="仿宋" w:hAnsi="仿宋" w:eastAsia="仿宋"/>
          <w:bCs/>
          <w:color w:val="000000"/>
          <w:sz w:val="32"/>
          <w:szCs w:val="32"/>
        </w:rPr>
        <w:t>（一）主要职能。</w:t>
      </w:r>
      <w:bookmarkEnd w:id="16"/>
      <w:bookmarkEnd w:id="17"/>
      <w:bookmarkStart w:id="18" w:name="_Toc15378446"/>
      <w:bookmarkStart w:id="19" w:name="_Toc15377199"/>
    </w:p>
    <w:p>
      <w:pPr>
        <w:pStyle w:val="5"/>
        <w:adjustRightInd w:val="0"/>
        <w:snapToGrid w:val="0"/>
        <w:spacing w:before="93" w:line="600" w:lineRule="exact"/>
        <w:ind w:firstLine="630" w:firstLineChars="210"/>
        <w:outlineLvl w:val="2"/>
        <w:rPr>
          <w:rFonts w:ascii="仿宋" w:hAnsi="仿宋" w:eastAsia="仿宋"/>
          <w:bCs/>
          <w:color w:val="000000"/>
          <w:sz w:val="32"/>
          <w:szCs w:val="32"/>
        </w:rPr>
      </w:pPr>
      <w:r>
        <w:rPr>
          <w:rFonts w:hint="eastAsia" w:asciiTheme="minorEastAsia" w:hAnsiTheme="minorEastAsia" w:eastAsiaTheme="minorEastAsia"/>
        </w:rPr>
        <w:t>松林镇学校是一所九年一贯制义务教育学校，主要从事小学、初中的义务教育。</w:t>
      </w:r>
    </w:p>
    <w:p>
      <w:pPr>
        <w:pStyle w:val="30"/>
        <w:autoSpaceDN w:val="0"/>
        <w:spacing w:line="480" w:lineRule="atLeast"/>
        <w:ind w:firstLine="800" w:firstLineChars="250"/>
        <w:jc w:val="both"/>
        <w:rPr>
          <w:rFonts w:ascii="仿宋" w:hAnsi="仿宋" w:eastAsia="仿宋"/>
          <w:bCs/>
          <w:color w:val="000000"/>
          <w:sz w:val="32"/>
          <w:szCs w:val="32"/>
        </w:rPr>
      </w:pPr>
      <w:r>
        <w:rPr>
          <w:rFonts w:hint="eastAsia" w:ascii="仿宋" w:hAnsi="仿宋" w:eastAsia="仿宋"/>
          <w:bCs/>
          <w:color w:val="000000"/>
          <w:sz w:val="32"/>
          <w:szCs w:val="32"/>
        </w:rPr>
        <w:t>（二）</w:t>
      </w:r>
      <w:r>
        <w:rPr>
          <w:rFonts w:ascii="仿宋" w:hAnsi="仿宋" w:eastAsia="仿宋"/>
          <w:bCs/>
          <w:color w:val="000000"/>
          <w:sz w:val="32"/>
          <w:szCs w:val="32"/>
        </w:rPr>
        <w:t>201</w:t>
      </w:r>
      <w:r>
        <w:rPr>
          <w:rFonts w:hint="eastAsia" w:ascii="仿宋" w:hAnsi="仿宋" w:eastAsia="仿宋"/>
          <w:bCs/>
          <w:color w:val="000000"/>
          <w:sz w:val="32"/>
          <w:szCs w:val="32"/>
        </w:rPr>
        <w:t>9年重点工作完成情况。</w:t>
      </w:r>
      <w:bookmarkEnd w:id="18"/>
      <w:bookmarkEnd w:id="19"/>
    </w:p>
    <w:p>
      <w:pPr>
        <w:pStyle w:val="30"/>
        <w:autoSpaceDN w:val="0"/>
        <w:spacing w:line="480" w:lineRule="atLeast"/>
        <w:ind w:firstLine="750" w:firstLineChars="250"/>
        <w:jc w:val="both"/>
        <w:rPr>
          <w:rFonts w:asciiTheme="minorEastAsia" w:hAnsiTheme="minorEastAsia" w:eastAsiaTheme="minorEastAsia"/>
          <w:sz w:val="30"/>
          <w:szCs w:val="30"/>
        </w:rPr>
      </w:pPr>
      <w:r>
        <w:rPr>
          <w:rFonts w:hint="eastAsia" w:asciiTheme="minorEastAsia" w:hAnsiTheme="minorEastAsia" w:eastAsiaTheme="minorEastAsia"/>
          <w:sz w:val="30"/>
          <w:szCs w:val="30"/>
        </w:rPr>
        <w:t xml:space="preserve">本年，我校紧紧围绕上级要求，结合学校实际，一、发挥党支部的先锋示范作用，推动学校各项工作全面和谐铺开。  二、抓细节常规，促活动开展，认真落实德育为首的学校管理。  三、推进和谐教师队伍建设，内强素质有方法。四、教学管理重在落实，努力探索教师自觉工作的有效方式。  五、科研兴校，注重实效 六、重学校安全，突出针对性和实效性  七、后勤服务到位，理财有方。  八、工会坚持以教学为中心加强教师队伍建设，以维护职工合法权益为基本职责，以教代会为主要方式推进学校的民主管理，以文体为载体推进学校精神文明建设，以为教职工办实事为己任，努力为大家排忧解难。 九、外塑形象，和谐教育 </w:t>
      </w:r>
    </w:p>
    <w:p/>
    <w:p>
      <w:pPr>
        <w:pStyle w:val="3"/>
        <w:rPr>
          <w:rStyle w:val="25"/>
          <w:b w:val="0"/>
          <w:bCs w:val="0"/>
        </w:rPr>
      </w:pPr>
      <w:bookmarkStart w:id="20" w:name="_Toc15396601"/>
      <w:bookmarkStart w:id="21" w:name="_Toc15377200"/>
      <w:r>
        <w:rPr>
          <w:rFonts w:hint="eastAsia" w:ascii="黑体" w:eastAsia="黑体"/>
          <w:b w:val="0"/>
          <w:color w:val="000000"/>
        </w:rPr>
        <w:t>二、</w:t>
      </w:r>
      <w:r>
        <w:rPr>
          <w:rFonts w:hint="eastAsia" w:ascii="黑体" w:hAnsi="黑体" w:eastAsia="黑体"/>
          <w:b w:val="0"/>
          <w:color w:val="000000"/>
        </w:rPr>
        <w:t>机</w:t>
      </w:r>
      <w:r>
        <w:rPr>
          <w:rStyle w:val="25"/>
          <w:rFonts w:hint="eastAsia" w:ascii="黑体" w:hAnsi="黑体" w:eastAsia="黑体"/>
          <w:b w:val="0"/>
          <w:bCs w:val="0"/>
        </w:rPr>
        <w:t>构设置</w:t>
      </w:r>
      <w:bookmarkEnd w:id="20"/>
      <w:bookmarkEnd w:id="21"/>
    </w:p>
    <w:p>
      <w:pPr>
        <w:ind w:firstLine="567"/>
        <w:rPr>
          <w:rFonts w:asciiTheme="minorEastAsia" w:hAnsiTheme="minorEastAsia" w:eastAsiaTheme="minorEastAsia"/>
          <w:sz w:val="30"/>
          <w:szCs w:val="30"/>
        </w:rPr>
      </w:pPr>
      <w:r>
        <w:rPr>
          <w:rFonts w:hint="eastAsia" w:cs="仿宋" w:asciiTheme="minorEastAsia" w:hAnsiTheme="minorEastAsia" w:eastAsiaTheme="minorEastAsia"/>
          <w:bCs/>
          <w:color w:val="000000"/>
          <w:sz w:val="30"/>
          <w:szCs w:val="30"/>
        </w:rPr>
        <w:t>本单位为广汉市教育局所属二级</w:t>
      </w:r>
      <w:r>
        <w:rPr>
          <w:rFonts w:hint="eastAsia" w:cs="仿宋" w:asciiTheme="minorEastAsia" w:hAnsiTheme="minorEastAsia" w:eastAsiaTheme="minorEastAsia"/>
          <w:bCs/>
          <w:color w:val="000000"/>
          <w:spacing w:val="14"/>
          <w:sz w:val="30"/>
          <w:szCs w:val="30"/>
        </w:rPr>
        <w:t>预算单位，单位性质</w:t>
      </w:r>
      <w:r>
        <w:rPr>
          <w:rFonts w:hint="eastAsia" w:cs="仿宋" w:asciiTheme="minorEastAsia" w:hAnsiTheme="minorEastAsia" w:eastAsiaTheme="minorEastAsia"/>
          <w:bCs/>
          <w:color w:val="000000"/>
          <w:sz w:val="30"/>
          <w:szCs w:val="30"/>
        </w:rPr>
        <w:t>为财政补助事业单位，决算编报类型为单户表，按照事业单位会计制度填报决算数据。</w:t>
      </w:r>
      <w:r>
        <w:rPr>
          <w:rFonts w:hint="eastAsia" w:asciiTheme="minorEastAsia" w:hAnsiTheme="minorEastAsia" w:eastAsiaTheme="minorEastAsia"/>
          <w:sz w:val="30"/>
          <w:szCs w:val="30"/>
        </w:rPr>
        <w:t>年末独立编制机构数1，年末机构人员实有人数82人。</w:t>
      </w:r>
    </w:p>
    <w:p>
      <w:pPr>
        <w:widowControl/>
        <w:jc w:val="left"/>
        <w:rPr>
          <w:rFonts w:asciiTheme="minorEastAsia" w:hAnsiTheme="minorEastAsia" w:eastAsiaTheme="minorEastAsia"/>
          <w:color w:val="000000"/>
          <w:kern w:val="0"/>
          <w:sz w:val="30"/>
          <w:szCs w:val="30"/>
        </w:rPr>
      </w:pPr>
      <w:r>
        <w:rPr>
          <w:rFonts w:asciiTheme="minorEastAsia" w:hAnsiTheme="minorEastAsia" w:eastAsiaTheme="minorEastAsia"/>
          <w:color w:val="000000"/>
          <w:sz w:val="30"/>
          <w:szCs w:val="30"/>
        </w:rPr>
        <w:br w:type="page"/>
      </w:r>
    </w:p>
    <w:p>
      <w:pPr>
        <w:pStyle w:val="2"/>
        <w:ind w:right="440"/>
        <w:jc w:val="right"/>
        <w:rPr>
          <w:rStyle w:val="24"/>
          <w:rFonts w:ascii="黑体" w:hAnsi="黑体" w:eastAsia="黑体"/>
          <w:b w:val="0"/>
          <w:bCs w:val="0"/>
        </w:rPr>
      </w:pPr>
      <w:bookmarkStart w:id="22" w:name="_Toc15377204"/>
      <w:bookmarkStart w:id="23" w:name="_Toc15396602"/>
      <w:r>
        <w:rPr>
          <w:rFonts w:hint="eastAsia" w:ascii="黑体" w:hAnsi="黑体" w:eastAsia="黑体"/>
          <w:b w:val="0"/>
          <w:color w:val="000000"/>
        </w:rPr>
        <w:t>第二部分</w:t>
      </w:r>
      <w:r>
        <w:rPr>
          <w:rFonts w:hint="eastAsia" w:ascii="黑体" w:hAnsi="黑体" w:eastAsia="黑体"/>
          <w:color w:val="000000"/>
        </w:rPr>
        <w:t xml:space="preserve"> </w:t>
      </w:r>
      <w:r>
        <w:rPr>
          <w:rStyle w:val="24"/>
          <w:rFonts w:hint="eastAsia" w:ascii="黑体" w:hAnsi="黑体" w:eastAsia="黑体"/>
          <w:b w:val="0"/>
          <w:bCs w:val="0"/>
        </w:rPr>
        <w:t>2019年度部门决算情况说明</w:t>
      </w:r>
      <w:bookmarkEnd w:id="22"/>
      <w:bookmarkEnd w:id="23"/>
    </w:p>
    <w:p/>
    <w:p>
      <w:pPr>
        <w:pStyle w:val="23"/>
        <w:numPr>
          <w:ilvl w:val="0"/>
          <w:numId w:val="3"/>
        </w:numPr>
        <w:spacing w:line="600" w:lineRule="exact"/>
        <w:ind w:firstLineChars="0"/>
        <w:outlineLvl w:val="1"/>
        <w:rPr>
          <w:rStyle w:val="25"/>
          <w:rFonts w:ascii="黑体" w:hAnsi="黑体" w:eastAsia="黑体"/>
          <w:b w:val="0"/>
        </w:rPr>
      </w:pPr>
      <w:bookmarkStart w:id="24" w:name="_Toc15377205"/>
      <w:bookmarkStart w:id="25" w:name="_Toc15396603"/>
      <w:r>
        <w:rPr>
          <w:rFonts w:hint="eastAsia" w:ascii="黑体" w:hAnsi="黑体" w:eastAsia="黑体"/>
          <w:color w:val="000000"/>
          <w:sz w:val="32"/>
          <w:szCs w:val="32"/>
        </w:rPr>
        <w:t>收</w:t>
      </w:r>
      <w:r>
        <w:rPr>
          <w:rStyle w:val="25"/>
          <w:rFonts w:hint="eastAsia" w:ascii="黑体" w:hAnsi="黑体" w:eastAsia="黑体"/>
          <w:b w:val="0"/>
        </w:rPr>
        <w:t>入支出决算总体情况说明</w:t>
      </w:r>
      <w:bookmarkEnd w:id="24"/>
      <w:bookmarkEnd w:id="25"/>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2019年度收入1250万元、支出1232万元。与2018年相比，收入增加85万、增长9.83</w:t>
      </w:r>
      <w:r>
        <w:rPr>
          <w:rFonts w:ascii="仿宋" w:hAnsi="仿宋" w:eastAsia="仿宋"/>
          <w:color w:val="000000"/>
          <w:sz w:val="32"/>
          <w:szCs w:val="32"/>
        </w:rPr>
        <w:t>%</w:t>
      </w:r>
      <w:r>
        <w:rPr>
          <w:rFonts w:hint="eastAsia" w:ascii="仿宋" w:hAnsi="仿宋" w:eastAsia="仿宋"/>
          <w:color w:val="000000"/>
          <w:sz w:val="32"/>
          <w:szCs w:val="32"/>
        </w:rPr>
        <w:t>。支出增加117万元，支出增长10.5%，主要变动原因是教师工资及学校办公经费增加，学校的维修维护及设备更新。</w:t>
      </w:r>
    </w:p>
    <w:p>
      <w:pPr>
        <w:spacing w:line="60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（图</w:t>
      </w:r>
      <w:r>
        <w:rPr>
          <w:rFonts w:ascii="仿宋" w:hAnsi="仿宋" w:eastAsia="仿宋"/>
          <w:color w:val="000000" w:themeColor="text1"/>
          <w:sz w:val="32"/>
          <w:szCs w:val="32"/>
          <w14:textFill>
            <w14:solidFill>
              <w14:schemeClr w14:val="tx1"/>
            </w14:solidFill>
          </w14:textFill>
        </w:rPr>
        <w:t>1</w:t>
      </w:r>
      <w:r>
        <w:rPr>
          <w:rFonts w:hint="eastAsia" w:ascii="仿宋" w:hAnsi="仿宋" w:eastAsia="仿宋"/>
          <w:color w:val="000000" w:themeColor="text1"/>
          <w:sz w:val="32"/>
          <w:szCs w:val="32"/>
          <w14:textFill>
            <w14:solidFill>
              <w14:schemeClr w14:val="tx1"/>
            </w14:solidFill>
          </w14:textFill>
        </w:rPr>
        <w:t>：收、支决算总计变动情况图）（柱状图）</w:t>
      </w:r>
    </w:p>
    <w:tbl>
      <w:tblPr>
        <w:tblStyle w:val="12"/>
        <w:tblW w:w="21103" w:type="dxa"/>
        <w:tblInd w:w="93" w:type="dxa"/>
        <w:tblLayout w:type="autofit"/>
        <w:tblCellMar>
          <w:top w:w="0" w:type="dxa"/>
          <w:left w:w="108" w:type="dxa"/>
          <w:bottom w:w="0" w:type="dxa"/>
          <w:right w:w="108" w:type="dxa"/>
        </w:tblCellMar>
      </w:tblPr>
      <w:tblGrid>
        <w:gridCol w:w="1480"/>
        <w:gridCol w:w="840"/>
        <w:gridCol w:w="1480"/>
        <w:gridCol w:w="840"/>
        <w:gridCol w:w="1473"/>
        <w:gridCol w:w="7"/>
        <w:gridCol w:w="840"/>
        <w:gridCol w:w="29"/>
        <w:gridCol w:w="1451"/>
        <w:gridCol w:w="22"/>
        <w:gridCol w:w="818"/>
        <w:gridCol w:w="19"/>
        <w:gridCol w:w="1475"/>
        <w:gridCol w:w="837"/>
        <w:gridCol w:w="1475"/>
        <w:gridCol w:w="1096"/>
        <w:gridCol w:w="1474"/>
        <w:gridCol w:w="837"/>
        <w:gridCol w:w="1473"/>
        <w:gridCol w:w="837"/>
        <w:gridCol w:w="1473"/>
        <w:gridCol w:w="837"/>
      </w:tblGrid>
      <w:tr>
        <w:trPr>
          <w:gridAfter w:val="11"/>
          <w:wAfter w:w="11823" w:type="dxa"/>
          <w:trHeight w:val="308" w:hRule="atLeast"/>
        </w:trPr>
        <w:tc>
          <w:tcPr>
            <w:tcW w:w="9280" w:type="dxa"/>
            <w:gridSpan w:val="11"/>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收入</w:t>
            </w:r>
          </w:p>
        </w:tc>
      </w:tr>
      <w:tr>
        <w:trPr>
          <w:gridAfter w:val="11"/>
          <w:wAfter w:w="11823" w:type="dxa"/>
          <w:trHeight w:val="308" w:hRule="atLeast"/>
        </w:trPr>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收入总计</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6960" w:type="dxa"/>
            <w:gridSpan w:val="9"/>
            <w:tcBorders>
              <w:top w:val="nil"/>
              <w:left w:val="nil"/>
              <w:bottom w:val="single" w:color="000000" w:sz="4" w:space="0"/>
              <w:right w:val="single" w:color="000000" w:sz="4" w:space="0"/>
            </w:tcBorders>
            <w:shd w:val="clear" w:color="FFFFFF" w:fill="C0C0C0"/>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其中：本年收入</w:t>
            </w:r>
          </w:p>
        </w:tc>
      </w:tr>
      <w:tr>
        <w:trPr>
          <w:gridAfter w:val="11"/>
          <w:wAfter w:w="11823" w:type="dxa"/>
          <w:trHeight w:val="312" w:hRule="atLeast"/>
        </w:trPr>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财政拨款收入</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事业收入</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其他</w:t>
            </w:r>
          </w:p>
        </w:tc>
        <w:tc>
          <w:tcPr>
            <w:tcW w:w="84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r>
      <w:tr>
        <w:trPr>
          <w:gridAfter w:val="11"/>
          <w:wAfter w:w="11823" w:type="dxa"/>
          <w:trHeight w:val="312" w:hRule="atLeast"/>
        </w:trPr>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r>
      <w:tr>
        <w:trPr>
          <w:gridAfter w:val="11"/>
          <w:wAfter w:w="11823" w:type="dxa"/>
          <w:trHeight w:val="312" w:hRule="atLeast"/>
        </w:trPr>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r>
      <w:tr>
        <w:trPr>
          <w:gridAfter w:val="11"/>
          <w:wAfter w:w="11823" w:type="dxa"/>
          <w:trHeight w:val="308" w:hRule="atLeast"/>
        </w:trPr>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3</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4</w:t>
            </w:r>
          </w:p>
        </w:tc>
        <w:tc>
          <w:tcPr>
            <w:tcW w:w="1480" w:type="dxa"/>
            <w:gridSpan w:val="2"/>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5</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6</w:t>
            </w:r>
          </w:p>
        </w:tc>
        <w:tc>
          <w:tcPr>
            <w:tcW w:w="1480" w:type="dxa"/>
            <w:gridSpan w:val="2"/>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7</w:t>
            </w:r>
          </w:p>
        </w:tc>
        <w:tc>
          <w:tcPr>
            <w:tcW w:w="840" w:type="dxa"/>
            <w:gridSpan w:val="2"/>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8</w:t>
            </w:r>
          </w:p>
        </w:tc>
      </w:tr>
      <w:tr>
        <w:trPr>
          <w:gridAfter w:val="11"/>
          <w:wAfter w:w="11823" w:type="dxa"/>
          <w:trHeight w:val="308" w:hRule="atLeast"/>
        </w:trPr>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1,250.65</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9.83</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1,152.56</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4.13</w:t>
            </w:r>
          </w:p>
        </w:tc>
        <w:tc>
          <w:tcPr>
            <w:tcW w:w="1480"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34.83</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30.40</w:t>
            </w:r>
          </w:p>
        </w:tc>
        <w:tc>
          <w:tcPr>
            <w:tcW w:w="1480"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36.02</w:t>
            </w:r>
          </w:p>
        </w:tc>
        <w:tc>
          <w:tcPr>
            <w:tcW w:w="840"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r>
      <w:tr>
        <w:trPr>
          <w:trHeight w:val="308" w:hRule="atLeast"/>
        </w:trPr>
        <w:tc>
          <w:tcPr>
            <w:tcW w:w="21103" w:type="dxa"/>
            <w:gridSpan w:val="22"/>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支出</w:t>
            </w:r>
          </w:p>
        </w:tc>
      </w:tr>
      <w:tr>
        <w:trPr>
          <w:trHeight w:val="308" w:hRule="atLeast"/>
        </w:trPr>
        <w:tc>
          <w:tcPr>
            <w:tcW w:w="1477"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本年支出</w:t>
            </w:r>
          </w:p>
        </w:tc>
        <w:tc>
          <w:tcPr>
            <w:tcW w:w="839"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8787" w:type="dxa"/>
            <w:gridSpan w:val="20"/>
            <w:tcBorders>
              <w:top w:val="nil"/>
              <w:left w:val="nil"/>
              <w:bottom w:val="single" w:color="000000" w:sz="4" w:space="0"/>
              <w:right w:val="single" w:color="000000" w:sz="4" w:space="0"/>
            </w:tcBorders>
            <w:shd w:val="clear" w:color="FFFFFF" w:fill="C0C0C0"/>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其中：</w:t>
            </w:r>
          </w:p>
        </w:tc>
      </w:tr>
      <w:tr>
        <w:trPr>
          <w:trHeight w:val="308" w:hRule="atLeast"/>
        </w:trPr>
        <w:tc>
          <w:tcPr>
            <w:tcW w:w="1477"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39"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6973" w:type="dxa"/>
            <w:gridSpan w:val="10"/>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按支出性质</w:t>
            </w:r>
          </w:p>
        </w:tc>
        <w:tc>
          <w:tcPr>
            <w:tcW w:w="11814" w:type="dxa"/>
            <w:gridSpan w:val="10"/>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按支出经济分类</w:t>
            </w:r>
          </w:p>
        </w:tc>
      </w:tr>
      <w:tr>
        <w:trPr>
          <w:trHeight w:val="312" w:hRule="atLeast"/>
        </w:trPr>
        <w:tc>
          <w:tcPr>
            <w:tcW w:w="1477"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39"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76"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基本支出</w:t>
            </w:r>
          </w:p>
        </w:tc>
        <w:tc>
          <w:tcPr>
            <w:tcW w:w="838"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73"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项目支出</w:t>
            </w:r>
          </w:p>
        </w:tc>
        <w:tc>
          <w:tcPr>
            <w:tcW w:w="876" w:type="dxa"/>
            <w:gridSpan w:val="3"/>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73"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其他</w:t>
            </w:r>
          </w:p>
        </w:tc>
        <w:tc>
          <w:tcPr>
            <w:tcW w:w="837"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75"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工资福利支出</w:t>
            </w:r>
          </w:p>
        </w:tc>
        <w:tc>
          <w:tcPr>
            <w:tcW w:w="837"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75"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商品和服务支出</w:t>
            </w:r>
          </w:p>
        </w:tc>
        <w:tc>
          <w:tcPr>
            <w:tcW w:w="1096"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74"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对个人和家庭的补助</w:t>
            </w:r>
          </w:p>
        </w:tc>
        <w:tc>
          <w:tcPr>
            <w:tcW w:w="837"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73"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资本性支出</w:t>
            </w:r>
          </w:p>
        </w:tc>
        <w:tc>
          <w:tcPr>
            <w:tcW w:w="837"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73"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其他</w:t>
            </w:r>
          </w:p>
        </w:tc>
        <w:tc>
          <w:tcPr>
            <w:tcW w:w="837"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r>
      <w:tr>
        <w:trPr>
          <w:trHeight w:val="312" w:hRule="atLeast"/>
        </w:trPr>
        <w:tc>
          <w:tcPr>
            <w:tcW w:w="1477"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39"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76"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38"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73"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76"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73"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37"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75"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37"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75"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096"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74"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37"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73"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37"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73"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37"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r>
      <w:tr>
        <w:trPr>
          <w:trHeight w:val="308" w:hRule="atLeast"/>
        </w:trPr>
        <w:tc>
          <w:tcPr>
            <w:tcW w:w="1477"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9</w:t>
            </w:r>
          </w:p>
        </w:tc>
        <w:tc>
          <w:tcPr>
            <w:tcW w:w="839"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10</w:t>
            </w:r>
          </w:p>
        </w:tc>
        <w:tc>
          <w:tcPr>
            <w:tcW w:w="1476"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11</w:t>
            </w:r>
          </w:p>
        </w:tc>
        <w:tc>
          <w:tcPr>
            <w:tcW w:w="838"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12</w:t>
            </w:r>
          </w:p>
        </w:tc>
        <w:tc>
          <w:tcPr>
            <w:tcW w:w="1473"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13</w:t>
            </w:r>
          </w:p>
        </w:tc>
        <w:tc>
          <w:tcPr>
            <w:tcW w:w="876" w:type="dxa"/>
            <w:gridSpan w:val="3"/>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14</w:t>
            </w:r>
          </w:p>
        </w:tc>
        <w:tc>
          <w:tcPr>
            <w:tcW w:w="1473" w:type="dxa"/>
            <w:gridSpan w:val="2"/>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15</w:t>
            </w:r>
          </w:p>
        </w:tc>
        <w:tc>
          <w:tcPr>
            <w:tcW w:w="837" w:type="dxa"/>
            <w:gridSpan w:val="2"/>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16</w:t>
            </w:r>
          </w:p>
        </w:tc>
        <w:tc>
          <w:tcPr>
            <w:tcW w:w="1475"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17</w:t>
            </w:r>
          </w:p>
        </w:tc>
        <w:tc>
          <w:tcPr>
            <w:tcW w:w="837"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18</w:t>
            </w:r>
          </w:p>
        </w:tc>
        <w:tc>
          <w:tcPr>
            <w:tcW w:w="1475"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19</w:t>
            </w:r>
          </w:p>
        </w:tc>
        <w:tc>
          <w:tcPr>
            <w:tcW w:w="1096"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20</w:t>
            </w:r>
          </w:p>
        </w:tc>
        <w:tc>
          <w:tcPr>
            <w:tcW w:w="1474"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21</w:t>
            </w:r>
          </w:p>
        </w:tc>
        <w:tc>
          <w:tcPr>
            <w:tcW w:w="837"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22</w:t>
            </w:r>
          </w:p>
        </w:tc>
        <w:tc>
          <w:tcPr>
            <w:tcW w:w="1473"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23</w:t>
            </w:r>
          </w:p>
        </w:tc>
        <w:tc>
          <w:tcPr>
            <w:tcW w:w="837"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24</w:t>
            </w:r>
          </w:p>
        </w:tc>
        <w:tc>
          <w:tcPr>
            <w:tcW w:w="1473"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25</w:t>
            </w:r>
          </w:p>
        </w:tc>
        <w:tc>
          <w:tcPr>
            <w:tcW w:w="837"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26</w:t>
            </w:r>
          </w:p>
        </w:tc>
      </w:tr>
      <w:tr>
        <w:trPr>
          <w:trHeight w:val="308" w:hRule="atLeast"/>
        </w:trPr>
        <w:tc>
          <w:tcPr>
            <w:tcW w:w="147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1,232.97</w:t>
            </w:r>
          </w:p>
        </w:tc>
        <w:tc>
          <w:tcPr>
            <w:tcW w:w="839"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10.50</w:t>
            </w:r>
          </w:p>
        </w:tc>
        <w:tc>
          <w:tcPr>
            <w:tcW w:w="147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1,227.97</w:t>
            </w:r>
          </w:p>
        </w:tc>
        <w:tc>
          <w:tcPr>
            <w:tcW w:w="83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11.47</w:t>
            </w:r>
          </w:p>
        </w:tc>
        <w:tc>
          <w:tcPr>
            <w:tcW w:w="147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5.00</w:t>
            </w:r>
          </w:p>
        </w:tc>
        <w:tc>
          <w:tcPr>
            <w:tcW w:w="876"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-64.81</w:t>
            </w:r>
          </w:p>
        </w:tc>
        <w:tc>
          <w:tcPr>
            <w:tcW w:w="1473"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c>
          <w:tcPr>
            <w:tcW w:w="83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c>
          <w:tcPr>
            <w:tcW w:w="14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995.37</w:t>
            </w:r>
          </w:p>
        </w:tc>
        <w:tc>
          <w:tcPr>
            <w:tcW w:w="83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8.02</w:t>
            </w:r>
          </w:p>
        </w:tc>
        <w:tc>
          <w:tcPr>
            <w:tcW w:w="14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173.04</w:t>
            </w:r>
          </w:p>
        </w:tc>
        <w:tc>
          <w:tcPr>
            <w:tcW w:w="109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2,552.59</w:t>
            </w:r>
          </w:p>
        </w:tc>
        <w:tc>
          <w:tcPr>
            <w:tcW w:w="147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64.56</w:t>
            </w:r>
          </w:p>
        </w:tc>
        <w:tc>
          <w:tcPr>
            <w:tcW w:w="83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c>
          <w:tcPr>
            <w:tcW w:w="147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c>
          <w:tcPr>
            <w:tcW w:w="83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c>
          <w:tcPr>
            <w:tcW w:w="147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c>
          <w:tcPr>
            <w:tcW w:w="83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r>
    </w:tbl>
    <w:p>
      <w:pPr>
        <w:spacing w:line="600" w:lineRule="exact"/>
        <w:ind w:firstLine="640" w:firstLineChars="200"/>
        <w:jc w:val="left"/>
        <w:rPr>
          <w:rFonts w:ascii="仿宋_GB2312" w:eastAsia="仿宋_GB2312"/>
          <w:color w:val="000000"/>
          <w:sz w:val="32"/>
          <w:szCs w:val="32"/>
        </w:rPr>
      </w:pPr>
    </w:p>
    <w:p>
      <w:pPr>
        <w:pStyle w:val="23"/>
        <w:numPr>
          <w:ilvl w:val="0"/>
          <w:numId w:val="3"/>
        </w:numPr>
        <w:spacing w:line="600" w:lineRule="exact"/>
        <w:ind w:firstLineChars="0"/>
        <w:outlineLvl w:val="1"/>
        <w:rPr>
          <w:rStyle w:val="25"/>
          <w:rFonts w:ascii="黑体" w:hAnsi="黑体" w:eastAsia="黑体"/>
          <w:b w:val="0"/>
        </w:rPr>
      </w:pPr>
      <w:bookmarkStart w:id="26" w:name="_Toc15377206"/>
      <w:bookmarkStart w:id="27" w:name="_Toc15396604"/>
      <w:r>
        <w:rPr>
          <w:rFonts w:hint="eastAsia" w:ascii="黑体" w:hAnsi="黑体" w:eastAsia="黑体"/>
          <w:color w:val="000000"/>
          <w:sz w:val="32"/>
          <w:szCs w:val="32"/>
        </w:rPr>
        <w:t>收</w:t>
      </w:r>
      <w:r>
        <w:rPr>
          <w:rStyle w:val="25"/>
          <w:rFonts w:hint="eastAsia" w:ascii="黑体" w:hAnsi="黑体" w:eastAsia="黑体"/>
          <w:b w:val="0"/>
        </w:rPr>
        <w:t>入决算情况说明</w:t>
      </w:r>
      <w:bookmarkEnd w:id="26"/>
      <w:bookmarkEnd w:id="27"/>
    </w:p>
    <w:p>
      <w:pPr>
        <w:spacing w:line="600" w:lineRule="exact"/>
        <w:ind w:firstLine="640" w:firstLineChars="200"/>
        <w:outlineLvl w:val="1"/>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9年本年收入合计1223万元，其中：一般公共预算财政拨款收入1152万元，占94</w:t>
      </w:r>
      <w:r>
        <w:rPr>
          <w:rFonts w:ascii="仿宋" w:hAnsi="仿宋" w:eastAsia="仿宋"/>
          <w:color w:val="000000"/>
          <w:sz w:val="32"/>
          <w:szCs w:val="32"/>
        </w:rPr>
        <w:t>%</w:t>
      </w:r>
      <w:r>
        <w:rPr>
          <w:rFonts w:hint="eastAsia" w:ascii="仿宋" w:hAnsi="仿宋" w:eastAsia="仿宋"/>
          <w:color w:val="000000"/>
          <w:sz w:val="32"/>
          <w:szCs w:val="32"/>
        </w:rPr>
        <w:t>；政府性基金预算财政拨款收入5万元，占0.4</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color w:val="000000" w:themeColor="text1"/>
          <w:sz w:val="32"/>
          <w:szCs w:val="32"/>
          <w14:textFill>
            <w14:solidFill>
              <w14:schemeClr w14:val="tx1"/>
            </w14:solidFill>
          </w14:textFill>
        </w:rPr>
        <w:t>上级补助收入0</w:t>
      </w:r>
      <w:r>
        <w:rPr>
          <w:rFonts w:hint="eastAsia" w:ascii="仿宋" w:hAnsi="仿宋" w:eastAsia="仿宋"/>
          <w:color w:val="000000"/>
          <w:sz w:val="32"/>
          <w:szCs w:val="32"/>
        </w:rPr>
        <w:t>万元，占0</w:t>
      </w:r>
      <w:r>
        <w:rPr>
          <w:rFonts w:ascii="仿宋" w:hAnsi="仿宋" w:eastAsia="仿宋"/>
          <w:color w:val="000000"/>
          <w:sz w:val="32"/>
          <w:szCs w:val="32"/>
        </w:rPr>
        <w:t>%</w:t>
      </w:r>
      <w:r>
        <w:rPr>
          <w:rFonts w:hint="eastAsia" w:ascii="仿宋" w:hAnsi="仿宋" w:eastAsia="仿宋"/>
          <w:color w:val="000000"/>
          <w:sz w:val="32"/>
          <w:szCs w:val="32"/>
        </w:rPr>
        <w:t>；事业收入34.8万元，占2.8</w:t>
      </w:r>
      <w:r>
        <w:rPr>
          <w:rFonts w:ascii="仿宋" w:hAnsi="仿宋" w:eastAsia="仿宋"/>
          <w:color w:val="000000"/>
          <w:sz w:val="32"/>
          <w:szCs w:val="32"/>
        </w:rPr>
        <w:t>%</w:t>
      </w:r>
      <w:r>
        <w:rPr>
          <w:rFonts w:hint="eastAsia" w:ascii="仿宋" w:hAnsi="仿宋" w:eastAsia="仿宋"/>
          <w:color w:val="000000"/>
          <w:sz w:val="32"/>
          <w:szCs w:val="32"/>
        </w:rPr>
        <w:t>；经营收入0万元，占0</w:t>
      </w:r>
      <w:r>
        <w:rPr>
          <w:rFonts w:ascii="仿宋" w:hAnsi="仿宋" w:eastAsia="仿宋"/>
          <w:color w:val="000000"/>
          <w:sz w:val="32"/>
          <w:szCs w:val="32"/>
        </w:rPr>
        <w:t>%</w:t>
      </w:r>
      <w:r>
        <w:rPr>
          <w:rFonts w:hint="eastAsia" w:ascii="仿宋" w:hAnsi="仿宋" w:eastAsia="仿宋"/>
          <w:color w:val="000000"/>
          <w:sz w:val="32"/>
          <w:szCs w:val="32"/>
        </w:rPr>
        <w:t>；附属单位上缴收入0万元，占0</w:t>
      </w:r>
      <w:r>
        <w:rPr>
          <w:rFonts w:ascii="仿宋" w:hAnsi="仿宋" w:eastAsia="仿宋"/>
          <w:color w:val="000000"/>
          <w:sz w:val="32"/>
          <w:szCs w:val="32"/>
        </w:rPr>
        <w:t>%</w:t>
      </w:r>
      <w:r>
        <w:rPr>
          <w:rFonts w:hint="eastAsia" w:ascii="仿宋" w:hAnsi="仿宋" w:eastAsia="仿宋"/>
          <w:color w:val="000000"/>
          <w:sz w:val="32"/>
          <w:szCs w:val="32"/>
        </w:rPr>
        <w:t>；其他收入36万元，占2.9</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640" w:firstLineChars="200"/>
        <w:outlineLvl w:val="1"/>
        <w:rPr>
          <w:rFonts w:ascii="仿宋" w:hAnsi="仿宋" w:eastAsia="仿宋"/>
          <w:color w:val="000000"/>
          <w:sz w:val="32"/>
          <w:szCs w:val="32"/>
        </w:rPr>
      </w:pPr>
    </w:p>
    <w:p>
      <w:pPr>
        <w:spacing w:line="60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（图2：收入决算结构图）（饼状图）</w:t>
      </w:r>
    </w:p>
    <w:tbl>
      <w:tblPr>
        <w:tblStyle w:val="12"/>
        <w:tblW w:w="12880" w:type="dxa"/>
        <w:tblInd w:w="93" w:type="dxa"/>
        <w:tblLayout w:type="autofit"/>
        <w:tblCellMar>
          <w:top w:w="0" w:type="dxa"/>
          <w:left w:w="108" w:type="dxa"/>
          <w:bottom w:w="0" w:type="dxa"/>
          <w:right w:w="108" w:type="dxa"/>
        </w:tblCellMar>
      </w:tblPr>
      <w:tblGrid>
        <w:gridCol w:w="1840"/>
        <w:gridCol w:w="1840"/>
        <w:gridCol w:w="1840"/>
        <w:gridCol w:w="1840"/>
        <w:gridCol w:w="1840"/>
        <w:gridCol w:w="1840"/>
        <w:gridCol w:w="1840"/>
      </w:tblGrid>
      <w:tr>
        <w:trPr>
          <w:trHeight w:val="312" w:hRule="atLeast"/>
        </w:trPr>
        <w:tc>
          <w:tcPr>
            <w:tcW w:w="1840"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本年收入合计</w:t>
            </w:r>
          </w:p>
        </w:tc>
        <w:tc>
          <w:tcPr>
            <w:tcW w:w="1840"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财政拨款收入</w:t>
            </w:r>
          </w:p>
        </w:tc>
        <w:tc>
          <w:tcPr>
            <w:tcW w:w="1840"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上级补助收入</w:t>
            </w:r>
          </w:p>
        </w:tc>
        <w:tc>
          <w:tcPr>
            <w:tcW w:w="1840"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事业收入</w:t>
            </w:r>
          </w:p>
        </w:tc>
        <w:tc>
          <w:tcPr>
            <w:tcW w:w="1840"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经营收入</w:t>
            </w:r>
          </w:p>
        </w:tc>
        <w:tc>
          <w:tcPr>
            <w:tcW w:w="1840"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附属单位上缴收入</w:t>
            </w:r>
          </w:p>
        </w:tc>
        <w:tc>
          <w:tcPr>
            <w:tcW w:w="1840"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其他收入</w:t>
            </w:r>
          </w:p>
        </w:tc>
      </w:tr>
      <w:tr>
        <w:trPr>
          <w:trHeight w:val="312" w:hRule="atLeast"/>
        </w:trPr>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r>
      <w:tr>
        <w:trPr>
          <w:trHeight w:val="312" w:hRule="atLeast"/>
        </w:trPr>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r>
      <w:tr>
        <w:trPr>
          <w:trHeight w:val="312" w:hRule="atLeast"/>
        </w:trPr>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r>
      <w:tr>
        <w:trPr>
          <w:trHeight w:val="309" w:hRule="atLeast"/>
        </w:trPr>
        <w:tc>
          <w:tcPr>
            <w:tcW w:w="1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w:t>
            </w:r>
          </w:p>
        </w:tc>
        <w:tc>
          <w:tcPr>
            <w:tcW w:w="1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w:t>
            </w:r>
          </w:p>
        </w:tc>
        <w:tc>
          <w:tcPr>
            <w:tcW w:w="1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3</w:t>
            </w:r>
          </w:p>
        </w:tc>
        <w:tc>
          <w:tcPr>
            <w:tcW w:w="1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4</w:t>
            </w:r>
          </w:p>
        </w:tc>
        <w:tc>
          <w:tcPr>
            <w:tcW w:w="1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5</w:t>
            </w:r>
          </w:p>
        </w:tc>
        <w:tc>
          <w:tcPr>
            <w:tcW w:w="1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6</w:t>
            </w:r>
          </w:p>
        </w:tc>
        <w:tc>
          <w:tcPr>
            <w:tcW w:w="1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7</w:t>
            </w:r>
          </w:p>
        </w:tc>
      </w:tr>
      <w:tr>
        <w:trPr>
          <w:trHeight w:val="309" w:hRule="atLeast"/>
        </w:trPr>
        <w:tc>
          <w:tcPr>
            <w:tcW w:w="1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color w:val="000000"/>
                <w:kern w:val="0"/>
                <w:sz w:val="22"/>
                <w:szCs w:val="22"/>
              </w:rPr>
            </w:pPr>
            <w:r>
              <w:rPr>
                <w:rFonts w:hint="eastAsia" w:ascii="宋体" w:hAnsi="宋体" w:cs="Arial"/>
                <w:b/>
                <w:bCs/>
                <w:color w:val="000000"/>
                <w:kern w:val="0"/>
                <w:sz w:val="22"/>
                <w:szCs w:val="22"/>
              </w:rPr>
              <w:t>12,234,110.29</w:t>
            </w:r>
          </w:p>
        </w:tc>
        <w:tc>
          <w:tcPr>
            <w:tcW w:w="1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color w:val="000000"/>
                <w:kern w:val="0"/>
                <w:sz w:val="22"/>
                <w:szCs w:val="22"/>
              </w:rPr>
            </w:pPr>
            <w:r>
              <w:rPr>
                <w:rFonts w:hint="eastAsia" w:ascii="宋体" w:hAnsi="宋体" w:cs="Arial"/>
                <w:b/>
                <w:bCs/>
                <w:color w:val="000000"/>
                <w:kern w:val="0"/>
                <w:sz w:val="22"/>
                <w:szCs w:val="22"/>
              </w:rPr>
              <w:t>11,525,630.29</w:t>
            </w:r>
          </w:p>
        </w:tc>
        <w:tc>
          <w:tcPr>
            <w:tcW w:w="1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color w:val="000000"/>
                <w:kern w:val="0"/>
                <w:sz w:val="22"/>
                <w:szCs w:val="22"/>
              </w:rPr>
            </w:pPr>
            <w:r>
              <w:rPr>
                <w:rFonts w:hint="eastAsia" w:ascii="宋体" w:hAnsi="宋体" w:cs="Arial"/>
                <w:b/>
                <w:bCs/>
                <w:color w:val="000000"/>
                <w:kern w:val="0"/>
                <w:sz w:val="22"/>
                <w:szCs w:val="22"/>
              </w:rPr>
              <w:t>0.00</w:t>
            </w:r>
          </w:p>
        </w:tc>
        <w:tc>
          <w:tcPr>
            <w:tcW w:w="1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color w:val="000000"/>
                <w:kern w:val="0"/>
                <w:sz w:val="22"/>
                <w:szCs w:val="22"/>
              </w:rPr>
            </w:pPr>
            <w:r>
              <w:rPr>
                <w:rFonts w:hint="eastAsia" w:ascii="宋体" w:hAnsi="宋体" w:cs="Arial"/>
                <w:b/>
                <w:bCs/>
                <w:color w:val="000000"/>
                <w:kern w:val="0"/>
                <w:sz w:val="22"/>
                <w:szCs w:val="22"/>
              </w:rPr>
              <w:t>348,300.00</w:t>
            </w:r>
          </w:p>
        </w:tc>
        <w:tc>
          <w:tcPr>
            <w:tcW w:w="1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color w:val="000000"/>
                <w:kern w:val="0"/>
                <w:sz w:val="22"/>
                <w:szCs w:val="22"/>
              </w:rPr>
            </w:pPr>
            <w:r>
              <w:rPr>
                <w:rFonts w:hint="eastAsia" w:ascii="宋体" w:hAnsi="宋体" w:cs="Arial"/>
                <w:b/>
                <w:bCs/>
                <w:color w:val="000000"/>
                <w:kern w:val="0"/>
                <w:sz w:val="22"/>
                <w:szCs w:val="22"/>
              </w:rPr>
              <w:t>0.00</w:t>
            </w:r>
          </w:p>
        </w:tc>
        <w:tc>
          <w:tcPr>
            <w:tcW w:w="1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color w:val="000000"/>
                <w:kern w:val="0"/>
                <w:sz w:val="22"/>
                <w:szCs w:val="22"/>
              </w:rPr>
            </w:pPr>
            <w:r>
              <w:rPr>
                <w:rFonts w:hint="eastAsia" w:ascii="宋体" w:hAnsi="宋体" w:cs="Arial"/>
                <w:b/>
                <w:bCs/>
                <w:color w:val="000000"/>
                <w:kern w:val="0"/>
                <w:sz w:val="22"/>
                <w:szCs w:val="22"/>
              </w:rPr>
              <w:t>0.00</w:t>
            </w:r>
          </w:p>
        </w:tc>
        <w:tc>
          <w:tcPr>
            <w:tcW w:w="1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color w:val="000000"/>
                <w:kern w:val="0"/>
                <w:sz w:val="22"/>
                <w:szCs w:val="22"/>
              </w:rPr>
            </w:pPr>
            <w:r>
              <w:rPr>
                <w:rFonts w:hint="eastAsia" w:ascii="宋体" w:hAnsi="宋体" w:cs="Arial"/>
                <w:b/>
                <w:bCs/>
                <w:color w:val="000000"/>
                <w:kern w:val="0"/>
                <w:sz w:val="22"/>
                <w:szCs w:val="22"/>
              </w:rPr>
              <w:t>360,180.00</w:t>
            </w:r>
          </w:p>
        </w:tc>
      </w:tr>
    </w:tbl>
    <w:p>
      <w:pPr>
        <w:spacing w:line="600" w:lineRule="exact"/>
        <w:ind w:firstLine="640" w:firstLineChars="200"/>
        <w:rPr>
          <w:rFonts w:ascii="仿宋_GB2312" w:eastAsia="仿宋_GB2312"/>
          <w:color w:val="FF0000"/>
          <w:sz w:val="32"/>
          <w:szCs w:val="32"/>
        </w:rPr>
      </w:pPr>
    </w:p>
    <w:p>
      <w:pPr>
        <w:pStyle w:val="23"/>
        <w:numPr>
          <w:ilvl w:val="0"/>
          <w:numId w:val="3"/>
        </w:numPr>
        <w:spacing w:line="600" w:lineRule="exact"/>
        <w:ind w:firstLineChars="0"/>
        <w:outlineLvl w:val="1"/>
        <w:rPr>
          <w:rStyle w:val="25"/>
          <w:rFonts w:ascii="黑体" w:hAnsi="黑体" w:eastAsia="黑体"/>
          <w:b w:val="0"/>
        </w:rPr>
      </w:pPr>
      <w:bookmarkStart w:id="28" w:name="_Toc15396605"/>
      <w:bookmarkStart w:id="29" w:name="_Toc15377207"/>
      <w:r>
        <w:rPr>
          <w:rFonts w:hint="eastAsia" w:ascii="黑体" w:hAnsi="黑体" w:eastAsia="黑体"/>
          <w:color w:val="000000"/>
          <w:sz w:val="32"/>
          <w:szCs w:val="32"/>
        </w:rPr>
        <w:t>支</w:t>
      </w:r>
      <w:r>
        <w:rPr>
          <w:rStyle w:val="25"/>
          <w:rFonts w:hint="eastAsia" w:ascii="黑体" w:hAnsi="黑体" w:eastAsia="黑体"/>
          <w:b w:val="0"/>
        </w:rPr>
        <w:t>出决算情况说明</w:t>
      </w:r>
      <w:bookmarkEnd w:id="28"/>
      <w:bookmarkEnd w:id="29"/>
    </w:p>
    <w:p>
      <w:pPr>
        <w:spacing w:line="600" w:lineRule="exact"/>
        <w:ind w:firstLine="640" w:firstLineChars="200"/>
        <w:outlineLvl w:val="1"/>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9年本年支出合计1232万元，其中：基本支出1227万元，占99</w:t>
      </w:r>
      <w:r>
        <w:rPr>
          <w:rFonts w:ascii="仿宋" w:hAnsi="仿宋" w:eastAsia="仿宋"/>
          <w:color w:val="000000"/>
          <w:sz w:val="32"/>
          <w:szCs w:val="32"/>
        </w:rPr>
        <w:t>%</w:t>
      </w:r>
      <w:r>
        <w:rPr>
          <w:rFonts w:hint="eastAsia" w:ascii="仿宋" w:hAnsi="仿宋" w:eastAsia="仿宋"/>
          <w:color w:val="000000"/>
          <w:sz w:val="32"/>
          <w:szCs w:val="32"/>
        </w:rPr>
        <w:t>；项目支出5万元，占0.4</w:t>
      </w:r>
      <w:r>
        <w:rPr>
          <w:rFonts w:ascii="仿宋" w:hAnsi="仿宋" w:eastAsia="仿宋"/>
          <w:color w:val="000000"/>
          <w:sz w:val="32"/>
          <w:szCs w:val="32"/>
        </w:rPr>
        <w:t>%</w:t>
      </w:r>
      <w:r>
        <w:rPr>
          <w:rFonts w:hint="eastAsia" w:ascii="仿宋" w:hAnsi="仿宋" w:eastAsia="仿宋"/>
          <w:color w:val="000000"/>
          <w:sz w:val="32"/>
          <w:szCs w:val="32"/>
        </w:rPr>
        <w:t>；上缴上级支出0万元，占0</w:t>
      </w:r>
      <w:r>
        <w:rPr>
          <w:rFonts w:ascii="仿宋" w:hAnsi="仿宋" w:eastAsia="仿宋"/>
          <w:color w:val="000000"/>
          <w:sz w:val="32"/>
          <w:szCs w:val="32"/>
        </w:rPr>
        <w:t>%</w:t>
      </w:r>
      <w:r>
        <w:rPr>
          <w:rFonts w:hint="eastAsia" w:ascii="仿宋" w:hAnsi="仿宋" w:eastAsia="仿宋"/>
          <w:color w:val="000000"/>
          <w:sz w:val="32"/>
          <w:szCs w:val="32"/>
        </w:rPr>
        <w:t>；经营支出0万元，占0</w:t>
      </w:r>
      <w:r>
        <w:rPr>
          <w:rFonts w:ascii="仿宋" w:hAnsi="仿宋" w:eastAsia="仿宋"/>
          <w:color w:val="000000"/>
          <w:sz w:val="32"/>
          <w:szCs w:val="32"/>
        </w:rPr>
        <w:t>%</w:t>
      </w:r>
      <w:r>
        <w:rPr>
          <w:rFonts w:hint="eastAsia" w:ascii="仿宋" w:hAnsi="仿宋" w:eastAsia="仿宋"/>
          <w:color w:val="000000"/>
          <w:sz w:val="32"/>
          <w:szCs w:val="32"/>
        </w:rPr>
        <w:t>；对附属单位补助支出0万元，占0</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（图3：支出决算结构图）（饼状图）</w:t>
      </w:r>
    </w:p>
    <w:tbl>
      <w:tblPr>
        <w:tblStyle w:val="12"/>
        <w:tblW w:w="11040" w:type="dxa"/>
        <w:tblInd w:w="93" w:type="dxa"/>
        <w:tblLayout w:type="autofit"/>
        <w:tblCellMar>
          <w:top w:w="0" w:type="dxa"/>
          <w:left w:w="108" w:type="dxa"/>
          <w:bottom w:w="0" w:type="dxa"/>
          <w:right w:w="108" w:type="dxa"/>
        </w:tblCellMar>
      </w:tblPr>
      <w:tblGrid>
        <w:gridCol w:w="1840"/>
        <w:gridCol w:w="1840"/>
        <w:gridCol w:w="1840"/>
        <w:gridCol w:w="1840"/>
        <w:gridCol w:w="1840"/>
        <w:gridCol w:w="1840"/>
      </w:tblGrid>
      <w:tr>
        <w:trPr>
          <w:trHeight w:val="312" w:hRule="atLeast"/>
        </w:trPr>
        <w:tc>
          <w:tcPr>
            <w:tcW w:w="1840"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本年支出合计</w:t>
            </w:r>
          </w:p>
        </w:tc>
        <w:tc>
          <w:tcPr>
            <w:tcW w:w="1840"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基本支出</w:t>
            </w:r>
          </w:p>
        </w:tc>
        <w:tc>
          <w:tcPr>
            <w:tcW w:w="1840"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项目支出</w:t>
            </w:r>
          </w:p>
        </w:tc>
        <w:tc>
          <w:tcPr>
            <w:tcW w:w="1840"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上缴上级支出</w:t>
            </w:r>
          </w:p>
        </w:tc>
        <w:tc>
          <w:tcPr>
            <w:tcW w:w="1840"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经营支出</w:t>
            </w:r>
          </w:p>
        </w:tc>
        <w:tc>
          <w:tcPr>
            <w:tcW w:w="1840"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对附属单位补助支出</w:t>
            </w:r>
          </w:p>
        </w:tc>
      </w:tr>
      <w:tr>
        <w:trPr>
          <w:trHeight w:val="312" w:hRule="atLeast"/>
        </w:trPr>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r>
      <w:tr>
        <w:trPr>
          <w:trHeight w:val="312" w:hRule="atLeast"/>
        </w:trPr>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r>
      <w:tr>
        <w:trPr>
          <w:trHeight w:val="312" w:hRule="atLeast"/>
        </w:trPr>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r>
      <w:tr>
        <w:trPr>
          <w:trHeight w:val="309" w:hRule="atLeast"/>
        </w:trPr>
        <w:tc>
          <w:tcPr>
            <w:tcW w:w="1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w:t>
            </w:r>
          </w:p>
        </w:tc>
        <w:tc>
          <w:tcPr>
            <w:tcW w:w="1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w:t>
            </w:r>
          </w:p>
        </w:tc>
        <w:tc>
          <w:tcPr>
            <w:tcW w:w="1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3</w:t>
            </w:r>
          </w:p>
        </w:tc>
        <w:tc>
          <w:tcPr>
            <w:tcW w:w="1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4</w:t>
            </w:r>
          </w:p>
        </w:tc>
        <w:tc>
          <w:tcPr>
            <w:tcW w:w="1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5</w:t>
            </w:r>
          </w:p>
        </w:tc>
        <w:tc>
          <w:tcPr>
            <w:tcW w:w="1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6</w:t>
            </w:r>
          </w:p>
        </w:tc>
      </w:tr>
      <w:tr>
        <w:trPr>
          <w:trHeight w:val="309" w:hRule="atLeast"/>
        </w:trPr>
        <w:tc>
          <w:tcPr>
            <w:tcW w:w="1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color w:val="000000"/>
                <w:kern w:val="0"/>
                <w:sz w:val="22"/>
                <w:szCs w:val="22"/>
              </w:rPr>
            </w:pPr>
            <w:r>
              <w:rPr>
                <w:rFonts w:hint="eastAsia" w:ascii="宋体" w:hAnsi="宋体" w:cs="Arial"/>
                <w:b/>
                <w:bCs/>
                <w:color w:val="000000"/>
                <w:kern w:val="0"/>
                <w:sz w:val="22"/>
                <w:szCs w:val="22"/>
              </w:rPr>
              <w:t>12,329,692.66</w:t>
            </w:r>
          </w:p>
        </w:tc>
        <w:tc>
          <w:tcPr>
            <w:tcW w:w="1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color w:val="000000"/>
                <w:kern w:val="0"/>
                <w:sz w:val="22"/>
                <w:szCs w:val="22"/>
              </w:rPr>
            </w:pPr>
            <w:r>
              <w:rPr>
                <w:rFonts w:hint="eastAsia" w:ascii="宋体" w:hAnsi="宋体" w:cs="Arial"/>
                <w:b/>
                <w:bCs/>
                <w:color w:val="000000"/>
                <w:kern w:val="0"/>
                <w:sz w:val="22"/>
                <w:szCs w:val="22"/>
              </w:rPr>
              <w:t>12,279,692.66</w:t>
            </w:r>
          </w:p>
        </w:tc>
        <w:tc>
          <w:tcPr>
            <w:tcW w:w="1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color w:val="000000"/>
                <w:kern w:val="0"/>
                <w:sz w:val="22"/>
                <w:szCs w:val="22"/>
              </w:rPr>
            </w:pPr>
            <w:r>
              <w:rPr>
                <w:rFonts w:hint="eastAsia" w:ascii="宋体" w:hAnsi="宋体" w:cs="Arial"/>
                <w:b/>
                <w:bCs/>
                <w:color w:val="000000"/>
                <w:kern w:val="0"/>
                <w:sz w:val="22"/>
                <w:szCs w:val="22"/>
              </w:rPr>
              <w:t>50,000.00</w:t>
            </w:r>
          </w:p>
        </w:tc>
        <w:tc>
          <w:tcPr>
            <w:tcW w:w="1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color w:val="000000"/>
                <w:kern w:val="0"/>
                <w:sz w:val="22"/>
                <w:szCs w:val="22"/>
              </w:rPr>
            </w:pPr>
            <w:r>
              <w:rPr>
                <w:rFonts w:hint="eastAsia" w:ascii="宋体" w:hAnsi="宋体" w:cs="Arial"/>
                <w:b/>
                <w:bCs/>
                <w:color w:val="000000"/>
                <w:kern w:val="0"/>
                <w:sz w:val="22"/>
                <w:szCs w:val="22"/>
              </w:rPr>
              <w:t>0.00</w:t>
            </w:r>
          </w:p>
        </w:tc>
        <w:tc>
          <w:tcPr>
            <w:tcW w:w="1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color w:val="000000"/>
                <w:kern w:val="0"/>
                <w:sz w:val="22"/>
                <w:szCs w:val="22"/>
              </w:rPr>
            </w:pPr>
            <w:r>
              <w:rPr>
                <w:rFonts w:hint="eastAsia" w:ascii="宋体" w:hAnsi="宋体" w:cs="Arial"/>
                <w:b/>
                <w:bCs/>
                <w:color w:val="000000"/>
                <w:kern w:val="0"/>
                <w:sz w:val="22"/>
                <w:szCs w:val="22"/>
              </w:rPr>
              <w:t>0.00</w:t>
            </w:r>
          </w:p>
        </w:tc>
        <w:tc>
          <w:tcPr>
            <w:tcW w:w="1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color w:val="000000"/>
                <w:kern w:val="0"/>
                <w:sz w:val="22"/>
                <w:szCs w:val="22"/>
              </w:rPr>
            </w:pPr>
            <w:r>
              <w:rPr>
                <w:rFonts w:hint="eastAsia" w:ascii="宋体" w:hAnsi="宋体" w:cs="Arial"/>
                <w:b/>
                <w:bCs/>
                <w:color w:val="000000"/>
                <w:kern w:val="0"/>
                <w:sz w:val="22"/>
                <w:szCs w:val="22"/>
              </w:rPr>
              <w:t>0.00</w:t>
            </w:r>
          </w:p>
        </w:tc>
      </w:tr>
    </w:tbl>
    <w:p>
      <w:pPr>
        <w:spacing w:line="600" w:lineRule="exact"/>
        <w:ind w:firstLine="640" w:firstLineChars="200"/>
        <w:rPr>
          <w:rFonts w:ascii="仿宋_GB2312" w:eastAsia="仿宋_GB2312"/>
          <w:color w:val="FF0000"/>
          <w:sz w:val="32"/>
          <w:szCs w:val="32"/>
        </w:rPr>
      </w:pPr>
    </w:p>
    <w:p>
      <w:pPr>
        <w:spacing w:line="600" w:lineRule="exact"/>
        <w:ind w:firstLine="640" w:firstLineChars="200"/>
        <w:outlineLvl w:val="1"/>
        <w:rPr>
          <w:rStyle w:val="25"/>
          <w:rFonts w:ascii="黑体" w:hAnsi="黑体" w:eastAsia="黑体"/>
          <w:b w:val="0"/>
        </w:rPr>
      </w:pPr>
      <w:bookmarkStart w:id="30" w:name="_Toc15377208"/>
      <w:bookmarkStart w:id="31" w:name="_Toc15396606"/>
      <w:r>
        <w:rPr>
          <w:rFonts w:hint="eastAsia" w:ascii="黑体" w:hAnsi="黑体" w:eastAsia="黑体"/>
          <w:color w:val="000000"/>
          <w:sz w:val="32"/>
          <w:szCs w:val="32"/>
        </w:rPr>
        <w:t>四、财</w:t>
      </w:r>
      <w:r>
        <w:rPr>
          <w:rStyle w:val="25"/>
          <w:rFonts w:hint="eastAsia" w:ascii="黑体" w:hAnsi="黑体" w:eastAsia="黑体"/>
          <w:b w:val="0"/>
        </w:rPr>
        <w:t>政拨款收入支出决算总体情况说明</w:t>
      </w:r>
      <w:bookmarkEnd w:id="30"/>
      <w:bookmarkEnd w:id="31"/>
    </w:p>
    <w:p>
      <w:pPr>
        <w:spacing w:line="600" w:lineRule="exact"/>
        <w:ind w:firstLine="640" w:firstLineChars="20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9年财政拨款收、支总计1175万元。与</w:t>
      </w:r>
      <w:r>
        <w:rPr>
          <w:rFonts w:ascii="仿宋" w:hAnsi="仿宋" w:eastAsia="仿宋"/>
          <w:color w:val="000000"/>
          <w:sz w:val="32"/>
          <w:szCs w:val="32"/>
        </w:rPr>
        <w:t>201</w:t>
      </w:r>
      <w:r>
        <w:rPr>
          <w:rFonts w:hint="eastAsia" w:ascii="仿宋" w:hAnsi="仿宋" w:eastAsia="仿宋"/>
          <w:color w:val="000000"/>
          <w:sz w:val="32"/>
          <w:szCs w:val="32"/>
        </w:rPr>
        <w:t>8年相比，财政拨款收、支总计各增加64万元，增长7.92</w:t>
      </w:r>
      <w:r>
        <w:rPr>
          <w:rFonts w:ascii="仿宋" w:hAnsi="仿宋" w:eastAsia="仿宋"/>
          <w:color w:val="000000"/>
          <w:sz w:val="32"/>
          <w:szCs w:val="32"/>
        </w:rPr>
        <w:t>%</w:t>
      </w:r>
      <w:r>
        <w:rPr>
          <w:rFonts w:hint="eastAsia" w:ascii="仿宋" w:hAnsi="仿宋" w:eastAsia="仿宋"/>
          <w:color w:val="000000"/>
          <w:sz w:val="32"/>
          <w:szCs w:val="32"/>
        </w:rPr>
        <w:t>。主要变动原因是教师工资及学校办公经费增加，政府加大了对学校的投入，学校的维修维护及设备更新。</w:t>
      </w:r>
    </w:p>
    <w:p>
      <w:pPr>
        <w:spacing w:line="600" w:lineRule="exact"/>
        <w:ind w:firstLine="640"/>
        <w:rPr>
          <w:rFonts w:ascii="仿宋" w:hAnsi="仿宋" w:eastAsia="仿宋"/>
          <w:color w:val="000000"/>
          <w:sz w:val="32"/>
          <w:szCs w:val="32"/>
        </w:rPr>
      </w:pPr>
    </w:p>
    <w:p>
      <w:pPr>
        <w:spacing w:line="60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（图4：财政拨款收、支决算总计变动情况）（柱状图）</w:t>
      </w:r>
    </w:p>
    <w:tbl>
      <w:tblPr>
        <w:tblStyle w:val="12"/>
        <w:tblW w:w="25520" w:type="dxa"/>
        <w:tblInd w:w="93" w:type="dxa"/>
        <w:tblLayout w:type="autofit"/>
        <w:tblCellMar>
          <w:top w:w="0" w:type="dxa"/>
          <w:left w:w="108" w:type="dxa"/>
          <w:bottom w:w="0" w:type="dxa"/>
          <w:right w:w="108" w:type="dxa"/>
        </w:tblCellMar>
      </w:tblPr>
      <w:tblGrid>
        <w:gridCol w:w="1480"/>
        <w:gridCol w:w="840"/>
        <w:gridCol w:w="1480"/>
        <w:gridCol w:w="840"/>
        <w:gridCol w:w="1480"/>
        <w:gridCol w:w="840"/>
        <w:gridCol w:w="1480"/>
        <w:gridCol w:w="840"/>
        <w:gridCol w:w="1480"/>
        <w:gridCol w:w="840"/>
        <w:gridCol w:w="1480"/>
        <w:gridCol w:w="840"/>
        <w:gridCol w:w="1480"/>
        <w:gridCol w:w="840"/>
        <w:gridCol w:w="1480"/>
        <w:gridCol w:w="840"/>
        <w:gridCol w:w="1480"/>
        <w:gridCol w:w="840"/>
        <w:gridCol w:w="1480"/>
        <w:gridCol w:w="840"/>
        <w:gridCol w:w="1480"/>
        <w:gridCol w:w="840"/>
      </w:tblGrid>
      <w:tr>
        <w:trPr>
          <w:trHeight w:val="308" w:hRule="atLeast"/>
        </w:trPr>
        <w:tc>
          <w:tcPr>
            <w:tcW w:w="25520" w:type="dxa"/>
            <w:gridSpan w:val="22"/>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本年支出</w:t>
            </w:r>
          </w:p>
        </w:tc>
      </w:tr>
      <w:tr>
        <w:trPr>
          <w:trHeight w:val="308" w:hRule="atLeast"/>
        </w:trPr>
        <w:tc>
          <w:tcPr>
            <w:tcW w:w="2320" w:type="dxa"/>
            <w:gridSpan w:val="2"/>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合计</w:t>
            </w:r>
          </w:p>
        </w:tc>
        <w:tc>
          <w:tcPr>
            <w:tcW w:w="6960" w:type="dxa"/>
            <w:gridSpan w:val="6"/>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按预算分类</w:t>
            </w:r>
          </w:p>
        </w:tc>
        <w:tc>
          <w:tcPr>
            <w:tcW w:w="4640" w:type="dxa"/>
            <w:gridSpan w:val="4"/>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按支出性质</w:t>
            </w:r>
          </w:p>
        </w:tc>
        <w:tc>
          <w:tcPr>
            <w:tcW w:w="11600" w:type="dxa"/>
            <w:gridSpan w:val="10"/>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按支出经济分类</w:t>
            </w:r>
          </w:p>
        </w:tc>
      </w:tr>
      <w:tr>
        <w:trPr>
          <w:trHeight w:val="312" w:hRule="atLeast"/>
        </w:trPr>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4640" w:type="dxa"/>
            <w:gridSpan w:val="4"/>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一般公共预算</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政府性基金预算</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基本支出</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项目支出</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工资福利支出</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商品和服务支出</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对个人和家庭的补助</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资本性支出</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其他</w:t>
            </w:r>
          </w:p>
        </w:tc>
      </w:tr>
      <w:tr>
        <w:trPr>
          <w:trHeight w:val="312" w:hRule="atLeast"/>
        </w:trPr>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4640" w:type="dxa"/>
            <w:gridSpan w:val="4"/>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r>
      <w:tr>
        <w:trPr>
          <w:trHeight w:val="308" w:hRule="atLeast"/>
        </w:trPr>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2320" w:type="dxa"/>
            <w:gridSpan w:val="2"/>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其中：机关运行经费</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r>
      <w:tr>
        <w:trPr>
          <w:trHeight w:val="600" w:hRule="atLeast"/>
        </w:trPr>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r>
      <w:tr>
        <w:trPr>
          <w:trHeight w:val="308" w:hRule="atLeast"/>
        </w:trPr>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7</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8</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9</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10</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11</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12</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13</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14</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15</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16</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17</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18</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19</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20</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21</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22</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23</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24</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25</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26</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27</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28</w:t>
            </w:r>
          </w:p>
        </w:tc>
      </w:tr>
      <w:tr>
        <w:trPr>
          <w:trHeight w:val="308" w:hRule="atLeast"/>
        </w:trPr>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1,175.42</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7.92</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1,170.42</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7.96</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110.49</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26.36</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5.00</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1,170.42</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8.89</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5.00</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-64.81</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995.37</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8.02</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115.49</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20.75</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64.56</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-10.38</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r>
    </w:tbl>
    <w:p>
      <w:pPr>
        <w:spacing w:line="600" w:lineRule="exact"/>
        <w:ind w:firstLine="640"/>
        <w:rPr>
          <w:rFonts w:ascii="仿宋" w:hAnsi="仿宋" w:eastAsia="仿宋"/>
          <w:b/>
          <w:color w:val="00B050"/>
          <w:sz w:val="32"/>
          <w:szCs w:val="32"/>
        </w:rPr>
      </w:pPr>
    </w:p>
    <w:p>
      <w:pPr>
        <w:spacing w:line="600" w:lineRule="exact"/>
        <w:ind w:firstLine="640" w:firstLineChars="200"/>
        <w:outlineLvl w:val="1"/>
        <w:rPr>
          <w:rStyle w:val="25"/>
          <w:rFonts w:ascii="黑体" w:hAnsi="黑体" w:eastAsia="黑体"/>
          <w:b w:val="0"/>
        </w:rPr>
      </w:pPr>
      <w:bookmarkStart w:id="32" w:name="_Toc15377209"/>
      <w:bookmarkStart w:id="33" w:name="_Toc15396607"/>
      <w:r>
        <w:rPr>
          <w:rFonts w:hint="eastAsia" w:ascii="黑体" w:hAnsi="黑体" w:eastAsia="黑体"/>
          <w:color w:val="000000"/>
          <w:sz w:val="32"/>
          <w:szCs w:val="32"/>
        </w:rPr>
        <w:t>五、</w:t>
      </w:r>
      <w:r>
        <w:rPr>
          <w:rFonts w:hint="eastAsia" w:ascii="黑体" w:hAnsi="黑体" w:eastAsia="黑体"/>
          <w:b/>
          <w:color w:val="000000"/>
          <w:sz w:val="32"/>
          <w:szCs w:val="32"/>
        </w:rPr>
        <w:t>一</w:t>
      </w:r>
      <w:r>
        <w:rPr>
          <w:rStyle w:val="25"/>
          <w:rFonts w:hint="eastAsia" w:ascii="黑体" w:hAnsi="黑体" w:eastAsia="黑体"/>
          <w:b w:val="0"/>
        </w:rPr>
        <w:t>般公共预算财政拨款支出决算情况说明</w:t>
      </w:r>
      <w:bookmarkEnd w:id="32"/>
      <w:bookmarkEnd w:id="33"/>
    </w:p>
    <w:p>
      <w:pPr>
        <w:spacing w:line="600" w:lineRule="exact"/>
        <w:ind w:firstLine="643" w:firstLineChars="200"/>
        <w:outlineLvl w:val="2"/>
        <w:rPr>
          <w:rFonts w:ascii="仿宋" w:hAnsi="仿宋" w:eastAsia="仿宋"/>
          <w:b/>
          <w:color w:val="000000"/>
          <w:sz w:val="32"/>
          <w:szCs w:val="32"/>
        </w:rPr>
      </w:pPr>
      <w:bookmarkStart w:id="34" w:name="_Toc15377210"/>
      <w:r>
        <w:rPr>
          <w:rFonts w:hint="eastAsia" w:ascii="仿宋" w:hAnsi="仿宋" w:eastAsia="仿宋"/>
          <w:b/>
          <w:color w:val="000000"/>
          <w:sz w:val="32"/>
          <w:szCs w:val="32"/>
        </w:rPr>
        <w:t>（一）一般公共预算财政拨款支出决算总体情况</w:t>
      </w:r>
      <w:bookmarkEnd w:id="34"/>
    </w:p>
    <w:p>
      <w:pPr>
        <w:spacing w:line="600" w:lineRule="exact"/>
        <w:ind w:firstLine="640" w:firstLineChars="20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9年一般公共预算财政拨款支出1170万元，占本年支出合计的86</w:t>
      </w:r>
      <w:r>
        <w:rPr>
          <w:rFonts w:ascii="仿宋" w:hAnsi="仿宋" w:eastAsia="仿宋"/>
          <w:color w:val="000000"/>
          <w:sz w:val="32"/>
          <w:szCs w:val="32"/>
        </w:rPr>
        <w:t>%</w:t>
      </w:r>
      <w:r>
        <w:rPr>
          <w:rFonts w:hint="eastAsia" w:ascii="仿宋" w:hAnsi="仿宋" w:eastAsia="仿宋"/>
          <w:color w:val="000000"/>
          <w:sz w:val="32"/>
          <w:szCs w:val="32"/>
        </w:rPr>
        <w:t>。与</w:t>
      </w:r>
      <w:r>
        <w:rPr>
          <w:rFonts w:ascii="仿宋" w:hAnsi="仿宋" w:eastAsia="仿宋"/>
          <w:color w:val="000000"/>
          <w:sz w:val="32"/>
          <w:szCs w:val="32"/>
        </w:rPr>
        <w:t>201</w:t>
      </w:r>
      <w:r>
        <w:rPr>
          <w:rFonts w:hint="eastAsia" w:ascii="仿宋" w:hAnsi="仿宋" w:eastAsia="仿宋"/>
          <w:color w:val="000000"/>
          <w:sz w:val="32"/>
          <w:szCs w:val="32"/>
        </w:rPr>
        <w:t>8年相比，一般公共预算财政拨款增加69万元，增长7.96</w:t>
      </w:r>
      <w:r>
        <w:rPr>
          <w:rFonts w:ascii="仿宋" w:hAnsi="仿宋" w:eastAsia="仿宋"/>
          <w:color w:val="000000"/>
          <w:sz w:val="32"/>
          <w:szCs w:val="32"/>
        </w:rPr>
        <w:t>%</w:t>
      </w:r>
      <w:r>
        <w:rPr>
          <w:rFonts w:hint="eastAsia" w:ascii="仿宋" w:hAnsi="仿宋" w:eastAsia="仿宋"/>
          <w:color w:val="000000"/>
          <w:sz w:val="32"/>
          <w:szCs w:val="32"/>
        </w:rPr>
        <w:t>。主要变动原因是教师工资及学校办公经费增加。</w:t>
      </w:r>
    </w:p>
    <w:p>
      <w:pPr>
        <w:spacing w:line="60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（图5：一般公共预算财政拨款支出决算变动情况）（柱状图）</w:t>
      </w:r>
    </w:p>
    <w:tbl>
      <w:tblPr>
        <w:tblStyle w:val="12"/>
        <w:tblW w:w="25520" w:type="dxa"/>
        <w:tblInd w:w="93" w:type="dxa"/>
        <w:tblLayout w:type="autofit"/>
        <w:tblCellMar>
          <w:top w:w="0" w:type="dxa"/>
          <w:left w:w="108" w:type="dxa"/>
          <w:bottom w:w="0" w:type="dxa"/>
          <w:right w:w="108" w:type="dxa"/>
        </w:tblCellMar>
      </w:tblPr>
      <w:tblGrid>
        <w:gridCol w:w="1480"/>
        <w:gridCol w:w="840"/>
        <w:gridCol w:w="1480"/>
        <w:gridCol w:w="840"/>
        <w:gridCol w:w="1480"/>
        <w:gridCol w:w="840"/>
        <w:gridCol w:w="1480"/>
        <w:gridCol w:w="840"/>
        <w:gridCol w:w="1480"/>
        <w:gridCol w:w="840"/>
        <w:gridCol w:w="1480"/>
        <w:gridCol w:w="840"/>
        <w:gridCol w:w="1480"/>
        <w:gridCol w:w="840"/>
        <w:gridCol w:w="1480"/>
        <w:gridCol w:w="840"/>
        <w:gridCol w:w="1480"/>
        <w:gridCol w:w="840"/>
        <w:gridCol w:w="1480"/>
        <w:gridCol w:w="840"/>
        <w:gridCol w:w="1480"/>
        <w:gridCol w:w="840"/>
      </w:tblGrid>
      <w:tr>
        <w:trPr>
          <w:trHeight w:val="308" w:hRule="atLeast"/>
        </w:trPr>
        <w:tc>
          <w:tcPr>
            <w:tcW w:w="25520" w:type="dxa"/>
            <w:gridSpan w:val="22"/>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本年支出</w:t>
            </w:r>
          </w:p>
        </w:tc>
      </w:tr>
      <w:tr>
        <w:trPr>
          <w:trHeight w:val="308" w:hRule="atLeast"/>
        </w:trPr>
        <w:tc>
          <w:tcPr>
            <w:tcW w:w="2320" w:type="dxa"/>
            <w:gridSpan w:val="2"/>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合计</w:t>
            </w:r>
          </w:p>
        </w:tc>
        <w:tc>
          <w:tcPr>
            <w:tcW w:w="6960" w:type="dxa"/>
            <w:gridSpan w:val="6"/>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按预算分类</w:t>
            </w:r>
          </w:p>
        </w:tc>
        <w:tc>
          <w:tcPr>
            <w:tcW w:w="4640" w:type="dxa"/>
            <w:gridSpan w:val="4"/>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按支出性质</w:t>
            </w:r>
          </w:p>
        </w:tc>
        <w:tc>
          <w:tcPr>
            <w:tcW w:w="11600" w:type="dxa"/>
            <w:gridSpan w:val="10"/>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按支出经济分类</w:t>
            </w:r>
          </w:p>
        </w:tc>
      </w:tr>
      <w:tr>
        <w:trPr>
          <w:trHeight w:val="312" w:hRule="atLeast"/>
        </w:trPr>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4640" w:type="dxa"/>
            <w:gridSpan w:val="4"/>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一般公共预算</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政府性基金预算</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基本支出</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项目支出</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工资福利支出</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商品和服务支出</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对个人和家庭的补助</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资本性支出</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其他</w:t>
            </w:r>
          </w:p>
        </w:tc>
      </w:tr>
      <w:tr>
        <w:trPr>
          <w:trHeight w:val="312" w:hRule="atLeast"/>
        </w:trPr>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4640" w:type="dxa"/>
            <w:gridSpan w:val="4"/>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r>
      <w:tr>
        <w:trPr>
          <w:trHeight w:val="308" w:hRule="atLeast"/>
        </w:trPr>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2320" w:type="dxa"/>
            <w:gridSpan w:val="2"/>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其中：机关运行经费</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r>
      <w:tr>
        <w:trPr>
          <w:trHeight w:val="600" w:hRule="atLeast"/>
        </w:trPr>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r>
      <w:tr>
        <w:trPr>
          <w:trHeight w:val="308" w:hRule="atLeast"/>
        </w:trPr>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7</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8</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9</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10</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11</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12</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13</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14</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15</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16</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17</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18</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19</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20</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21</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22</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23</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24</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25</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26</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27</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28</w:t>
            </w:r>
          </w:p>
        </w:tc>
      </w:tr>
      <w:tr>
        <w:trPr>
          <w:trHeight w:val="308" w:hRule="atLeast"/>
        </w:trPr>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1,175.42</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7.92</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1,170.42</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7.96</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110.49</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26.36</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5.00</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1,170.42</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8.89</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5.00</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-64.81</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995.37</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8.02</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115.49</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20.75</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64.56</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-10.38</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r>
    </w:tbl>
    <w:p>
      <w:pPr>
        <w:spacing w:line="600" w:lineRule="exact"/>
        <w:ind w:firstLine="640" w:firstLineChars="200"/>
        <w:rPr>
          <w:rFonts w:ascii="仿宋" w:hAnsi="仿宋" w:eastAsia="仿宋"/>
          <w:color w:val="000000" w:themeColor="text1"/>
          <w:sz w:val="32"/>
          <w:szCs w:val="32"/>
          <w14:textFill>
            <w14:solidFill>
              <w14:schemeClr w14:val="tx1"/>
            </w14:solidFill>
          </w14:textFill>
        </w:rPr>
      </w:pPr>
    </w:p>
    <w:p>
      <w:pPr>
        <w:spacing w:line="600" w:lineRule="exact"/>
        <w:ind w:firstLine="643" w:firstLineChars="200"/>
        <w:outlineLvl w:val="2"/>
        <w:rPr>
          <w:rFonts w:ascii="仿宋" w:hAnsi="仿宋" w:eastAsia="仿宋"/>
          <w:b/>
          <w:color w:val="000000"/>
          <w:sz w:val="32"/>
          <w:szCs w:val="32"/>
        </w:rPr>
      </w:pPr>
      <w:bookmarkStart w:id="35" w:name="_Toc15377211"/>
      <w:r>
        <w:rPr>
          <w:rFonts w:hint="eastAsia" w:ascii="仿宋" w:hAnsi="仿宋" w:eastAsia="仿宋"/>
          <w:b/>
          <w:color w:val="000000"/>
          <w:sz w:val="32"/>
          <w:szCs w:val="32"/>
        </w:rPr>
        <w:t>（二）一般公共预算财政拨款支出决算结构情况</w:t>
      </w:r>
      <w:bookmarkEnd w:id="35"/>
    </w:p>
    <w:p>
      <w:pPr>
        <w:spacing w:line="600" w:lineRule="exact"/>
        <w:ind w:firstLine="640"/>
        <w:rPr>
          <w:rFonts w:ascii="仿宋" w:hAnsi="仿宋" w:eastAsia="仿宋"/>
          <w:b/>
          <w:color w:val="000000" w:themeColor="text1"/>
          <w:sz w:val="32"/>
          <w:szCs w:val="32"/>
          <w14:textFill>
            <w14:solidFill>
              <w14:schemeClr w14:val="tx1"/>
            </w14:solidFill>
          </w14:textFill>
        </w:rPr>
      </w:pPr>
      <w:r>
        <w:rPr>
          <w:rFonts w:ascii="仿宋" w:hAnsi="仿宋" w:eastAsia="仿宋"/>
          <w:color w:val="000000"/>
          <w:sz w:val="32"/>
          <w:szCs w:val="32"/>
        </w:rPr>
        <w:t>201</w:t>
      </w:r>
      <w:r>
        <w:rPr>
          <w:rFonts w:hint="eastAsia" w:ascii="仿宋" w:hAnsi="仿宋" w:eastAsia="仿宋"/>
          <w:color w:val="000000"/>
          <w:sz w:val="32"/>
          <w:szCs w:val="32"/>
        </w:rPr>
        <w:t>9年一般公共预算财</w:t>
      </w:r>
      <w:r>
        <w:rPr>
          <w:rFonts w:hint="eastAsia" w:ascii="仿宋" w:hAnsi="仿宋" w:eastAsia="仿宋"/>
          <w:color w:val="000000" w:themeColor="text1"/>
          <w:sz w:val="32"/>
          <w:szCs w:val="32"/>
          <w14:textFill>
            <w14:solidFill>
              <w14:schemeClr w14:val="tx1"/>
            </w14:solidFill>
          </w14:textFill>
        </w:rPr>
        <w:t>政拨款支出1170万元，主要用于以下方面</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b/>
          <w:color w:val="000000" w:themeColor="text1"/>
          <w:sz w:val="32"/>
          <w:szCs w:val="32"/>
          <w14:textFill>
            <w14:solidFill>
              <w14:schemeClr w14:val="tx1"/>
            </w14:solidFill>
          </w14:textFill>
        </w:rPr>
        <w:t>一般公共服务（类）</w:t>
      </w:r>
      <w:r>
        <w:rPr>
          <w:rFonts w:hint="eastAsia" w:ascii="仿宋" w:hAnsi="仿宋" w:eastAsia="仿宋"/>
          <w:color w:val="000000" w:themeColor="text1"/>
          <w:sz w:val="32"/>
          <w:szCs w:val="32"/>
          <w14:textFill>
            <w14:solidFill>
              <w14:schemeClr w14:val="tx1"/>
            </w14:solidFill>
          </w14:textFill>
        </w:rPr>
        <w:t>支出0万元，占0</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b/>
          <w:color w:val="000000" w:themeColor="text1"/>
          <w:sz w:val="32"/>
          <w:szCs w:val="32"/>
          <w14:textFill>
            <w14:solidFill>
              <w14:schemeClr w14:val="tx1"/>
            </w14:solidFill>
          </w14:textFill>
        </w:rPr>
        <w:t>教育支出（类）</w:t>
      </w:r>
      <w:r>
        <w:rPr>
          <w:rFonts w:hint="eastAsia" w:ascii="仿宋" w:hAnsi="仿宋" w:eastAsia="仿宋"/>
          <w:color w:val="000000" w:themeColor="text1"/>
          <w:sz w:val="32"/>
          <w:szCs w:val="32"/>
          <w14:textFill>
            <w14:solidFill>
              <w14:schemeClr w14:val="tx1"/>
            </w14:solidFill>
          </w14:textFill>
        </w:rPr>
        <w:t>830万元，占70.9</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b/>
          <w:color w:val="000000" w:themeColor="text1"/>
          <w:sz w:val="32"/>
          <w:szCs w:val="32"/>
          <w14:textFill>
            <w14:solidFill>
              <w14:schemeClr w14:val="tx1"/>
            </w14:solidFill>
          </w14:textFill>
        </w:rPr>
        <w:t>科学技术（类）</w:t>
      </w:r>
      <w:r>
        <w:rPr>
          <w:rFonts w:hint="eastAsia" w:ascii="仿宋" w:hAnsi="仿宋" w:eastAsia="仿宋"/>
          <w:color w:val="000000" w:themeColor="text1"/>
          <w:sz w:val="32"/>
          <w:szCs w:val="32"/>
          <w14:textFill>
            <w14:solidFill>
              <w14:schemeClr w14:val="tx1"/>
            </w14:solidFill>
          </w14:textFill>
        </w:rPr>
        <w:t>支出0万元，占0</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b/>
          <w:bCs/>
          <w:color w:val="000000" w:themeColor="text1"/>
          <w:sz w:val="32"/>
          <w:szCs w:val="32"/>
          <w14:textFill>
            <w14:solidFill>
              <w14:schemeClr w14:val="tx1"/>
            </w14:solidFill>
          </w14:textFill>
        </w:rPr>
        <w:t>文化旅游体育与传媒（类）支出0万元，占0</w:t>
      </w:r>
      <w:r>
        <w:rPr>
          <w:rFonts w:ascii="仿宋" w:hAnsi="仿宋" w:eastAsia="仿宋"/>
          <w:b/>
          <w:bCs/>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b/>
          <w:color w:val="000000" w:themeColor="text1"/>
          <w:sz w:val="32"/>
          <w:szCs w:val="32"/>
          <w14:textFill>
            <w14:solidFill>
              <w14:schemeClr w14:val="tx1"/>
            </w14:solidFill>
          </w14:textFill>
        </w:rPr>
        <w:t>社会保障和就业（类）</w:t>
      </w:r>
      <w:r>
        <w:rPr>
          <w:rFonts w:hint="eastAsia" w:ascii="仿宋" w:hAnsi="仿宋" w:eastAsia="仿宋"/>
          <w:color w:val="000000" w:themeColor="text1"/>
          <w:sz w:val="32"/>
          <w:szCs w:val="32"/>
          <w14:textFill>
            <w14:solidFill>
              <w14:schemeClr w14:val="tx1"/>
            </w14:solidFill>
          </w14:textFill>
        </w:rPr>
        <w:t>支出193万元，占16.4</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b/>
          <w:bCs/>
          <w:color w:val="000000" w:themeColor="text1"/>
          <w:sz w:val="32"/>
          <w:szCs w:val="32"/>
          <w14:textFill>
            <w14:solidFill>
              <w14:schemeClr w14:val="tx1"/>
            </w14:solidFill>
          </w14:textFill>
        </w:rPr>
        <w:t>卫生健康支出</w:t>
      </w:r>
      <w:r>
        <w:rPr>
          <w:rFonts w:hint="eastAsia" w:ascii="仿宋" w:hAnsi="仿宋" w:eastAsia="仿宋"/>
          <w:color w:val="000000" w:themeColor="text1"/>
          <w:sz w:val="32"/>
          <w:szCs w:val="32"/>
          <w14:textFill>
            <w14:solidFill>
              <w14:schemeClr w14:val="tx1"/>
            </w14:solidFill>
          </w14:textFill>
        </w:rPr>
        <w:t>62万元，占5.2</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；住房保障支出83万元，占7</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b/>
          <w:color w:val="000000" w:themeColor="text1"/>
          <w:sz w:val="32"/>
          <w:szCs w:val="32"/>
          <w14:textFill>
            <w14:solidFill>
              <w14:schemeClr w14:val="tx1"/>
            </w14:solidFill>
          </w14:textFill>
        </w:rPr>
        <w:t>（罗列全部功能分类科目，至类级。）</w:t>
      </w:r>
    </w:p>
    <w:p>
      <w:pPr>
        <w:spacing w:line="600" w:lineRule="exact"/>
        <w:ind w:firstLine="640"/>
        <w:rPr>
          <w:rFonts w:ascii="仿宋" w:hAnsi="仿宋" w:eastAsia="仿宋"/>
          <w:color w:val="000000" w:themeColor="text1"/>
          <w:sz w:val="32"/>
          <w:szCs w:val="32"/>
          <w14:textFill>
            <w14:solidFill>
              <w14:schemeClr w14:val="tx1"/>
            </w14:solidFill>
          </w14:textFill>
        </w:rPr>
      </w:pP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（图6：一般公共预算财政拨款支出决算结构）（饼状图）</w:t>
      </w:r>
    </w:p>
    <w:tbl>
      <w:tblPr>
        <w:tblStyle w:val="12"/>
        <w:tblW w:w="25520" w:type="dxa"/>
        <w:tblInd w:w="93" w:type="dxa"/>
        <w:tblLayout w:type="autofit"/>
        <w:tblCellMar>
          <w:top w:w="0" w:type="dxa"/>
          <w:left w:w="108" w:type="dxa"/>
          <w:bottom w:w="0" w:type="dxa"/>
          <w:right w:w="108" w:type="dxa"/>
        </w:tblCellMar>
      </w:tblPr>
      <w:tblGrid>
        <w:gridCol w:w="1480"/>
        <w:gridCol w:w="840"/>
        <w:gridCol w:w="1480"/>
        <w:gridCol w:w="840"/>
        <w:gridCol w:w="1480"/>
        <w:gridCol w:w="840"/>
        <w:gridCol w:w="1480"/>
        <w:gridCol w:w="840"/>
        <w:gridCol w:w="1480"/>
        <w:gridCol w:w="840"/>
        <w:gridCol w:w="1480"/>
        <w:gridCol w:w="840"/>
        <w:gridCol w:w="1480"/>
        <w:gridCol w:w="840"/>
        <w:gridCol w:w="1480"/>
        <w:gridCol w:w="840"/>
        <w:gridCol w:w="1480"/>
        <w:gridCol w:w="840"/>
        <w:gridCol w:w="1480"/>
        <w:gridCol w:w="840"/>
        <w:gridCol w:w="1480"/>
        <w:gridCol w:w="840"/>
      </w:tblGrid>
      <w:tr>
        <w:trPr>
          <w:trHeight w:val="308" w:hRule="atLeast"/>
        </w:trPr>
        <w:tc>
          <w:tcPr>
            <w:tcW w:w="25520" w:type="dxa"/>
            <w:gridSpan w:val="22"/>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本年支出</w:t>
            </w:r>
          </w:p>
        </w:tc>
      </w:tr>
      <w:tr>
        <w:trPr>
          <w:trHeight w:val="308" w:hRule="atLeast"/>
        </w:trPr>
        <w:tc>
          <w:tcPr>
            <w:tcW w:w="2320" w:type="dxa"/>
            <w:gridSpan w:val="2"/>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合计</w:t>
            </w:r>
          </w:p>
        </w:tc>
        <w:tc>
          <w:tcPr>
            <w:tcW w:w="6960" w:type="dxa"/>
            <w:gridSpan w:val="6"/>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按预算分类</w:t>
            </w:r>
          </w:p>
        </w:tc>
        <w:tc>
          <w:tcPr>
            <w:tcW w:w="4640" w:type="dxa"/>
            <w:gridSpan w:val="4"/>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按支出性质</w:t>
            </w:r>
          </w:p>
        </w:tc>
        <w:tc>
          <w:tcPr>
            <w:tcW w:w="11600" w:type="dxa"/>
            <w:gridSpan w:val="10"/>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按支出经济分类</w:t>
            </w:r>
          </w:p>
        </w:tc>
      </w:tr>
      <w:tr>
        <w:trPr>
          <w:trHeight w:val="312" w:hRule="atLeast"/>
        </w:trPr>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4640" w:type="dxa"/>
            <w:gridSpan w:val="4"/>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一般公共预算</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政府性基金预算</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基本支出</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项目支出</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工资福利支出</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商品和服务支出</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对个人和家庭的补助</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资本性支出</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其他</w:t>
            </w:r>
          </w:p>
        </w:tc>
      </w:tr>
      <w:tr>
        <w:trPr>
          <w:trHeight w:val="312" w:hRule="atLeast"/>
        </w:trPr>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4640" w:type="dxa"/>
            <w:gridSpan w:val="4"/>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r>
      <w:tr>
        <w:trPr>
          <w:trHeight w:val="308" w:hRule="atLeast"/>
        </w:trPr>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2320" w:type="dxa"/>
            <w:gridSpan w:val="2"/>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其中：机关运行经费</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r>
      <w:tr>
        <w:trPr>
          <w:trHeight w:val="600" w:hRule="atLeast"/>
        </w:trPr>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r>
      <w:tr>
        <w:trPr>
          <w:trHeight w:val="308" w:hRule="atLeast"/>
        </w:trPr>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7</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8</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9</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10</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11</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12</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13</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14</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15</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16</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17</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18</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19</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20</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21</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22</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23</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24</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25</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26</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27</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28</w:t>
            </w:r>
          </w:p>
        </w:tc>
      </w:tr>
      <w:tr>
        <w:trPr>
          <w:trHeight w:val="308" w:hRule="atLeast"/>
        </w:trPr>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1,175.42</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7.92</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1,170.42</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7.96</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110.49</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26.36</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5.00</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1,170.42</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8.89</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5.00</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-64.81</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995.37</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8.02</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115.49</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20.75</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64.56</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-10.38</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r>
    </w:tbl>
    <w:p>
      <w:pPr>
        <w:spacing w:line="600" w:lineRule="exact"/>
        <w:ind w:firstLine="640" w:firstLineChars="200"/>
        <w:rPr>
          <w:rFonts w:ascii="仿宋" w:hAnsi="仿宋" w:eastAsia="仿宋"/>
          <w:color w:val="000000"/>
          <w:sz w:val="32"/>
          <w:szCs w:val="32"/>
        </w:rPr>
      </w:pPr>
    </w:p>
    <w:p>
      <w:pPr>
        <w:spacing w:line="600" w:lineRule="exact"/>
        <w:ind w:firstLine="643" w:firstLineChars="200"/>
        <w:outlineLvl w:val="2"/>
        <w:rPr>
          <w:rFonts w:ascii="仿宋" w:hAnsi="仿宋" w:eastAsia="仿宋"/>
          <w:b/>
          <w:color w:val="000000"/>
          <w:sz w:val="32"/>
          <w:szCs w:val="32"/>
        </w:rPr>
      </w:pPr>
      <w:bookmarkStart w:id="36" w:name="_Toc15377212"/>
      <w:r>
        <w:rPr>
          <w:rFonts w:hint="eastAsia" w:ascii="仿宋" w:hAnsi="仿宋" w:eastAsia="仿宋"/>
          <w:b/>
          <w:color w:val="000000"/>
          <w:sz w:val="32"/>
          <w:szCs w:val="32"/>
        </w:rPr>
        <w:t>（三）一般公共预算财政拨款支出决算具体情况</w:t>
      </w:r>
      <w:bookmarkEnd w:id="36"/>
    </w:p>
    <w:p>
      <w:pPr>
        <w:spacing w:line="600" w:lineRule="exact"/>
        <w:ind w:firstLine="643" w:firstLineChars="200"/>
        <w:outlineLvl w:val="2"/>
        <w:rPr>
          <w:rFonts w:ascii="仿宋" w:hAnsi="仿宋" w:eastAsia="仿宋"/>
          <w:color w:val="FF0000"/>
          <w:sz w:val="32"/>
          <w:szCs w:val="32"/>
        </w:rPr>
      </w:pPr>
      <w:bookmarkStart w:id="37" w:name="_Toc15378460"/>
      <w:bookmarkStart w:id="38" w:name="_Toc15377444"/>
      <w:bookmarkStart w:id="39" w:name="_Toc15377213"/>
      <w:r>
        <w:rPr>
          <w:rFonts w:hint="eastAsia" w:ascii="仿宋" w:hAnsi="仿宋" w:eastAsia="仿宋"/>
          <w:b/>
          <w:color w:val="000000" w:themeColor="text1"/>
          <w:sz w:val="32"/>
          <w:szCs w:val="32"/>
          <w14:textFill>
            <w14:solidFill>
              <w14:schemeClr w14:val="tx1"/>
            </w14:solidFill>
          </w14:textFill>
        </w:rPr>
        <w:t>2019年般公共预算支出决算数为</w:t>
      </w:r>
      <w:r>
        <w:rPr>
          <w:rFonts w:hint="eastAsia" w:ascii="仿宋" w:hAnsi="仿宋" w:eastAsia="仿宋"/>
          <w:color w:val="000000" w:themeColor="text1"/>
          <w:sz w:val="32"/>
          <w:szCs w:val="32"/>
          <w14:textFill>
            <w14:solidFill>
              <w14:schemeClr w14:val="tx1"/>
            </w14:solidFill>
          </w14:textFill>
        </w:rPr>
        <w:t>1170万元，</w:t>
      </w:r>
      <w:r>
        <w:rPr>
          <w:rStyle w:val="14"/>
          <w:rFonts w:hint="eastAsia" w:ascii="仿宋" w:hAnsi="仿宋" w:eastAsia="仿宋"/>
          <w:bCs/>
          <w:color w:val="000000" w:themeColor="text1"/>
          <w:sz w:val="32"/>
          <w:szCs w:val="32"/>
          <w14:textFill>
            <w14:solidFill>
              <w14:schemeClr w14:val="tx1"/>
            </w14:solidFill>
          </w14:textFill>
        </w:rPr>
        <w:t>完成</w:t>
      </w:r>
      <w:r>
        <w:rPr>
          <w:rStyle w:val="14"/>
          <w:rFonts w:hint="eastAsia" w:ascii="仿宋" w:hAnsi="仿宋" w:eastAsia="仿宋"/>
          <w:bCs/>
          <w:color w:val="000000"/>
          <w:sz w:val="32"/>
          <w:szCs w:val="32"/>
        </w:rPr>
        <w:t>预算100</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。其中：</w:t>
      </w:r>
      <w:bookmarkEnd w:id="37"/>
      <w:bookmarkEnd w:id="38"/>
      <w:bookmarkEnd w:id="39"/>
    </w:p>
    <w:p>
      <w:pPr>
        <w:spacing w:line="600" w:lineRule="exact"/>
        <w:ind w:firstLine="643" w:firstLineChars="200"/>
        <w:rPr>
          <w:rFonts w:ascii="仿宋" w:hAnsi="仿宋" w:eastAsia="仿宋"/>
          <w:b/>
          <w:color w:val="000000"/>
          <w:sz w:val="32"/>
          <w:szCs w:val="32"/>
        </w:rPr>
      </w:pPr>
      <w:r>
        <w:rPr>
          <w:rStyle w:val="14"/>
          <w:rFonts w:ascii="仿宋" w:hAnsi="仿宋" w:eastAsia="仿宋"/>
          <w:bCs/>
          <w:color w:val="000000"/>
          <w:sz w:val="32"/>
          <w:szCs w:val="32"/>
        </w:rPr>
        <w:t>1.</w:t>
      </w:r>
      <w:r>
        <w:rPr>
          <w:rStyle w:val="14"/>
          <w:rFonts w:hint="eastAsia" w:ascii="仿宋" w:hAnsi="仿宋" w:eastAsia="仿宋"/>
          <w:bCs/>
          <w:color w:val="000000"/>
          <w:sz w:val="32"/>
          <w:szCs w:val="32"/>
        </w:rPr>
        <w:t>一般公共服务（类）0（款）0（项）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支出决算为0万元，完成预算0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，决算数小于</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等于预算数的主要原因是…。</w:t>
      </w:r>
    </w:p>
    <w:p>
      <w:pPr>
        <w:spacing w:line="600" w:lineRule="exact"/>
        <w:ind w:firstLine="643" w:firstLineChars="200"/>
        <w:rPr>
          <w:rFonts w:ascii="仿宋" w:hAnsi="仿宋" w:eastAsia="仿宋"/>
          <w:b/>
          <w:color w:val="000000"/>
          <w:sz w:val="32"/>
          <w:szCs w:val="32"/>
        </w:rPr>
      </w:pPr>
      <w:r>
        <w:rPr>
          <w:rStyle w:val="14"/>
          <w:rFonts w:ascii="仿宋" w:hAnsi="仿宋" w:eastAsia="仿宋"/>
          <w:bCs/>
          <w:color w:val="000000"/>
          <w:sz w:val="32"/>
          <w:szCs w:val="32"/>
        </w:rPr>
        <w:t>2.</w:t>
      </w:r>
      <w:r>
        <w:rPr>
          <w:rStyle w:val="14"/>
          <w:rFonts w:hint="eastAsia" w:ascii="仿宋" w:hAnsi="仿宋" w:eastAsia="仿宋"/>
          <w:bCs/>
          <w:color w:val="000000"/>
          <w:sz w:val="32"/>
          <w:szCs w:val="32"/>
        </w:rPr>
        <w:t>教育（类）（款）（项）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支出决算为830万元，完成预算100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p>
    <w:p>
      <w:pPr>
        <w:spacing w:line="600" w:lineRule="exact"/>
        <w:ind w:firstLine="643" w:firstLineChars="200"/>
        <w:rPr>
          <w:rFonts w:ascii="仿宋" w:hAnsi="仿宋" w:eastAsia="仿宋"/>
          <w:b/>
          <w:color w:val="000000"/>
          <w:sz w:val="32"/>
          <w:szCs w:val="32"/>
        </w:rPr>
      </w:pPr>
      <w:r>
        <w:rPr>
          <w:rStyle w:val="14"/>
          <w:rFonts w:ascii="仿宋" w:hAnsi="仿宋" w:eastAsia="仿宋"/>
          <w:bCs/>
          <w:color w:val="000000"/>
          <w:sz w:val="32"/>
          <w:szCs w:val="32"/>
        </w:rPr>
        <w:t>3.</w:t>
      </w:r>
      <w:r>
        <w:rPr>
          <w:rStyle w:val="14"/>
          <w:rFonts w:hint="eastAsia" w:ascii="仿宋" w:hAnsi="仿宋" w:eastAsia="仿宋"/>
          <w:bCs/>
          <w:color w:val="000000"/>
          <w:sz w:val="32"/>
          <w:szCs w:val="32"/>
        </w:rPr>
        <w:t>科学技术（类）0（款）0（项）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支出决算为0万元，完成预算0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p>
    <w:p>
      <w:pPr>
        <w:spacing w:line="600" w:lineRule="exact"/>
        <w:ind w:firstLine="643" w:firstLineChars="200"/>
        <w:rPr>
          <w:rFonts w:ascii="仿宋" w:hAnsi="仿宋" w:eastAsia="仿宋"/>
          <w:b/>
          <w:color w:val="000000"/>
          <w:sz w:val="32"/>
          <w:szCs w:val="32"/>
        </w:rPr>
      </w:pPr>
      <w:r>
        <w:rPr>
          <w:rStyle w:val="14"/>
          <w:rFonts w:ascii="仿宋" w:hAnsi="仿宋" w:eastAsia="仿宋"/>
          <w:bCs/>
          <w:color w:val="000000"/>
          <w:sz w:val="32"/>
          <w:szCs w:val="32"/>
        </w:rPr>
        <w:t>4.</w:t>
      </w:r>
      <w:r>
        <w:rPr>
          <w:rStyle w:val="14"/>
          <w:rFonts w:hint="eastAsia" w:ascii="仿宋" w:hAnsi="仿宋" w:eastAsia="仿宋"/>
          <w:bCs/>
          <w:color w:val="000000"/>
          <w:sz w:val="32"/>
          <w:szCs w:val="32"/>
        </w:rPr>
        <w:t>文化旅游体育与传媒（类）0（款）0项）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支出决算为0万元，完成预算0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p>
    <w:p>
      <w:pPr>
        <w:spacing w:line="600" w:lineRule="exact"/>
        <w:ind w:firstLine="643" w:firstLineChars="200"/>
        <w:rPr>
          <w:rFonts w:ascii="仿宋" w:hAnsi="仿宋" w:eastAsia="仿宋"/>
          <w:b/>
          <w:color w:val="000000"/>
          <w:sz w:val="32"/>
          <w:szCs w:val="32"/>
        </w:rPr>
      </w:pPr>
      <w:r>
        <w:rPr>
          <w:rStyle w:val="14"/>
          <w:rFonts w:ascii="仿宋" w:hAnsi="仿宋" w:eastAsia="仿宋"/>
          <w:bCs/>
          <w:color w:val="000000"/>
          <w:sz w:val="32"/>
          <w:szCs w:val="32"/>
        </w:rPr>
        <w:t>5.</w:t>
      </w:r>
      <w:r>
        <w:rPr>
          <w:rStyle w:val="14"/>
          <w:rFonts w:hint="eastAsia" w:ascii="仿宋" w:hAnsi="仿宋" w:eastAsia="仿宋"/>
          <w:bCs/>
          <w:color w:val="000000"/>
          <w:sz w:val="32"/>
          <w:szCs w:val="32"/>
        </w:rPr>
        <w:t>社会保障和就业（类）（款）（项）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支出决算为83万元，完成预算100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p>
    <w:p>
      <w:pPr>
        <w:spacing w:line="600" w:lineRule="exact"/>
        <w:ind w:firstLine="643" w:firstLineChars="200"/>
        <w:rPr>
          <w:rFonts w:ascii="仿宋" w:hAnsi="仿宋" w:eastAsia="仿宋"/>
          <w:b/>
          <w:color w:val="000000"/>
          <w:sz w:val="32"/>
          <w:szCs w:val="32"/>
        </w:rPr>
      </w:pPr>
      <w:r>
        <w:rPr>
          <w:rStyle w:val="14"/>
          <w:rFonts w:ascii="仿宋" w:hAnsi="仿宋" w:eastAsia="仿宋"/>
          <w:bCs/>
          <w:color w:val="000000"/>
          <w:sz w:val="32"/>
          <w:szCs w:val="32"/>
        </w:rPr>
        <w:t>6.</w:t>
      </w:r>
      <w:r>
        <w:rPr>
          <w:rFonts w:hint="eastAsia" w:ascii="仿宋" w:hAnsi="仿宋" w:eastAsia="仿宋"/>
          <w:b/>
          <w:bCs/>
          <w:color w:val="000000" w:themeColor="text1"/>
          <w:sz w:val="32"/>
          <w:szCs w:val="32"/>
          <w14:textFill>
            <w14:solidFill>
              <w14:schemeClr w14:val="tx1"/>
            </w14:solidFill>
          </w14:textFill>
        </w:rPr>
        <w:t>卫生健康</w:t>
      </w:r>
      <w:r>
        <w:rPr>
          <w:rStyle w:val="14"/>
          <w:rFonts w:hint="eastAsia" w:ascii="仿宋" w:hAnsi="仿宋" w:eastAsia="仿宋"/>
          <w:bCs/>
          <w:color w:val="000000"/>
          <w:sz w:val="32"/>
          <w:szCs w:val="32"/>
        </w:rPr>
        <w:t>（类）（款）（项）</w:t>
      </w:r>
      <w:r>
        <w:rPr>
          <w:rStyle w:val="14"/>
          <w:rFonts w:ascii="仿宋" w:hAnsi="仿宋" w:eastAsia="仿宋"/>
          <w:bCs/>
          <w:color w:val="000000"/>
          <w:sz w:val="32"/>
          <w:szCs w:val="32"/>
        </w:rPr>
        <w:t>:</w:t>
      </w:r>
      <w:r>
        <w:rPr>
          <w:rStyle w:val="14"/>
          <w:rFonts w:hint="eastAsia" w:ascii="仿宋" w:hAnsi="仿宋" w:eastAsia="仿宋"/>
          <w:b w:val="0"/>
          <w:bCs/>
          <w:color w:val="000000"/>
          <w:sz w:val="32"/>
          <w:szCs w:val="32"/>
        </w:rPr>
        <w:t>支出决算为62万元，完成预算100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p>
    <w:p>
      <w:pPr>
        <w:spacing w:line="600" w:lineRule="exact"/>
        <w:ind w:firstLine="640"/>
        <w:rPr>
          <w:rFonts w:ascii="仿宋" w:hAnsi="仿宋" w:eastAsia="仿宋"/>
          <w:b/>
          <w:color w:val="000000"/>
          <w:sz w:val="32"/>
          <w:szCs w:val="32"/>
        </w:rPr>
      </w:pPr>
    </w:p>
    <w:p>
      <w:pPr>
        <w:tabs>
          <w:tab w:val="right" w:pos="8306"/>
        </w:tabs>
        <w:spacing w:line="600" w:lineRule="exact"/>
        <w:ind w:firstLine="640"/>
        <w:outlineLvl w:val="1"/>
        <w:rPr>
          <w:rStyle w:val="25"/>
        </w:rPr>
      </w:pPr>
      <w:bookmarkStart w:id="40" w:name="_Toc15396608"/>
      <w:bookmarkStart w:id="41" w:name="_Toc15377214"/>
      <w:r>
        <w:rPr>
          <w:rFonts w:hint="eastAsia" w:ascii="黑体" w:eastAsia="黑体"/>
          <w:color w:val="000000"/>
          <w:sz w:val="32"/>
          <w:szCs w:val="32"/>
        </w:rPr>
        <w:t>六</w:t>
      </w:r>
      <w:r>
        <w:rPr>
          <w:rFonts w:hint="eastAsia" w:ascii="黑体" w:eastAsia="黑体"/>
          <w:b/>
          <w:color w:val="000000"/>
          <w:sz w:val="32"/>
          <w:szCs w:val="32"/>
        </w:rPr>
        <w:t>、</w:t>
      </w:r>
      <w:r>
        <w:rPr>
          <w:rFonts w:hint="eastAsia" w:ascii="黑体" w:hAnsi="黑体" w:eastAsia="黑体"/>
          <w:b/>
          <w:color w:val="000000"/>
          <w:sz w:val="32"/>
          <w:szCs w:val="32"/>
        </w:rPr>
        <w:t>一</w:t>
      </w:r>
      <w:r>
        <w:rPr>
          <w:rStyle w:val="25"/>
          <w:rFonts w:hint="eastAsia" w:ascii="黑体" w:hAnsi="黑体" w:eastAsia="黑体"/>
          <w:b w:val="0"/>
        </w:rPr>
        <w:t>般公共预算财政拨款基本支出决算情况说明</w:t>
      </w:r>
      <w:bookmarkEnd w:id="40"/>
      <w:bookmarkEnd w:id="41"/>
      <w:r>
        <w:rPr>
          <w:rStyle w:val="25"/>
          <w:rFonts w:ascii="黑体" w:hAnsi="黑体" w:eastAsia="黑体"/>
          <w:b w:val="0"/>
        </w:rPr>
        <w:tab/>
      </w:r>
    </w:p>
    <w:p>
      <w:pPr>
        <w:spacing w:line="600" w:lineRule="exact"/>
        <w:ind w:firstLine="645"/>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9年一般公共预算财政拨款基本支出1170万元，其中：</w:t>
      </w:r>
    </w:p>
    <w:p>
      <w:pPr>
        <w:spacing w:line="600" w:lineRule="exact"/>
        <w:ind w:firstLine="645"/>
        <w:rPr>
          <w:rFonts w:ascii="仿宋" w:hAnsi="仿宋" w:eastAsia="仿宋"/>
          <w:color w:val="000000"/>
          <w:sz w:val="32"/>
          <w:szCs w:val="32"/>
        </w:rPr>
      </w:pPr>
      <w:r>
        <w:rPr>
          <w:rFonts w:hint="eastAsia" w:ascii="仿宋" w:hAnsi="仿宋" w:eastAsia="仿宋"/>
          <w:color w:val="000000"/>
          <w:sz w:val="32"/>
          <w:szCs w:val="32"/>
        </w:rPr>
        <w:t>人员经费1059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r>
        <w:rPr>
          <w:rFonts w:ascii="仿宋" w:hAnsi="仿宋" w:eastAsia="仿宋"/>
          <w:color w:val="000000"/>
          <w:sz w:val="32"/>
          <w:szCs w:val="32"/>
        </w:rPr>
        <w:br w:type="textWrapping"/>
      </w:r>
      <w:r>
        <w:rPr>
          <w:rFonts w:hint="eastAsia" w:ascii="仿宋" w:hAnsi="仿宋" w:eastAsia="仿宋"/>
          <w:color w:val="000000"/>
          <w:sz w:val="32"/>
          <w:szCs w:val="32"/>
        </w:rPr>
        <w:t>　　日常公用经费110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pPr>
        <w:spacing w:line="600" w:lineRule="exact"/>
        <w:ind w:firstLine="640"/>
        <w:outlineLvl w:val="1"/>
        <w:rPr>
          <w:rStyle w:val="25"/>
          <w:rFonts w:ascii="黑体" w:hAnsi="黑体" w:eastAsia="黑体"/>
          <w:b w:val="0"/>
        </w:rPr>
      </w:pPr>
      <w:bookmarkStart w:id="42" w:name="_Toc15396609"/>
      <w:bookmarkStart w:id="43" w:name="_Toc15377215"/>
      <w:r>
        <w:rPr>
          <w:rFonts w:hint="eastAsia" w:ascii="黑体" w:eastAsia="黑体"/>
          <w:color w:val="000000"/>
          <w:sz w:val="32"/>
          <w:szCs w:val="32"/>
        </w:rPr>
        <w:t>七、</w:t>
      </w:r>
      <w:r>
        <w:rPr>
          <w:rStyle w:val="25"/>
          <w:rFonts w:hint="eastAsia" w:ascii="黑体" w:hAnsi="黑体" w:eastAsia="黑体"/>
        </w:rPr>
        <w:t>“</w:t>
      </w:r>
      <w:r>
        <w:rPr>
          <w:rStyle w:val="25"/>
          <w:rFonts w:hint="eastAsia" w:ascii="黑体" w:hAnsi="黑体" w:eastAsia="黑体"/>
          <w:b w:val="0"/>
        </w:rPr>
        <w:t>三公”经费财政拨款支出决算情况说明</w:t>
      </w:r>
      <w:bookmarkEnd w:id="42"/>
      <w:bookmarkEnd w:id="43"/>
    </w:p>
    <w:p>
      <w:pPr>
        <w:spacing w:line="600" w:lineRule="exact"/>
        <w:ind w:firstLine="640"/>
        <w:outlineLvl w:val="2"/>
        <w:rPr>
          <w:rFonts w:ascii="仿宋" w:hAnsi="仿宋" w:eastAsia="仿宋"/>
          <w:b/>
          <w:color w:val="000000"/>
          <w:sz w:val="32"/>
          <w:szCs w:val="32"/>
        </w:rPr>
      </w:pPr>
      <w:bookmarkStart w:id="44" w:name="_Toc15377216"/>
      <w:r>
        <w:rPr>
          <w:rFonts w:hint="eastAsia" w:ascii="仿宋" w:hAnsi="仿宋" w:eastAsia="仿宋"/>
          <w:b/>
          <w:color w:val="000000"/>
          <w:sz w:val="32"/>
          <w:szCs w:val="32"/>
        </w:rPr>
        <w:t>（一）“三公”经费财政拨款支出决算总体情况说明</w:t>
      </w:r>
      <w:bookmarkEnd w:id="44"/>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9年“三公”经费财政拨款支出决算为0万元，完成预算0</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640"/>
        <w:outlineLvl w:val="2"/>
        <w:rPr>
          <w:rFonts w:ascii="仿宋" w:hAnsi="仿宋" w:eastAsia="仿宋"/>
          <w:b/>
          <w:color w:val="000000"/>
          <w:sz w:val="32"/>
          <w:szCs w:val="32"/>
        </w:rPr>
      </w:pPr>
      <w:bookmarkStart w:id="45" w:name="_Toc15377217"/>
      <w:r>
        <w:rPr>
          <w:rFonts w:hint="eastAsia" w:ascii="仿宋" w:hAnsi="仿宋" w:eastAsia="仿宋"/>
          <w:b/>
          <w:color w:val="000000"/>
          <w:sz w:val="32"/>
          <w:szCs w:val="32"/>
        </w:rPr>
        <w:t>（二）“三公”经费财政拨款支出决算具体情况说明</w:t>
      </w:r>
      <w:bookmarkEnd w:id="45"/>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9年“三公”经费财政拨款支出决算中，因公出国（境）费支出决算0万元，占0</w:t>
      </w:r>
      <w:r>
        <w:rPr>
          <w:rFonts w:ascii="仿宋" w:hAnsi="仿宋" w:eastAsia="仿宋"/>
          <w:color w:val="000000"/>
          <w:sz w:val="32"/>
          <w:szCs w:val="32"/>
        </w:rPr>
        <w:t>%</w:t>
      </w:r>
      <w:r>
        <w:rPr>
          <w:rFonts w:hint="eastAsia" w:ascii="仿宋" w:hAnsi="仿宋" w:eastAsia="仿宋"/>
          <w:color w:val="000000"/>
          <w:sz w:val="32"/>
          <w:szCs w:val="32"/>
        </w:rPr>
        <w:t>；公务用车购置及运行维护费支出决算0万元，占0</w:t>
      </w:r>
      <w:r>
        <w:rPr>
          <w:rFonts w:ascii="仿宋" w:hAnsi="仿宋" w:eastAsia="仿宋"/>
          <w:color w:val="000000"/>
          <w:sz w:val="32"/>
          <w:szCs w:val="32"/>
        </w:rPr>
        <w:t>%</w:t>
      </w:r>
      <w:r>
        <w:rPr>
          <w:rFonts w:hint="eastAsia" w:ascii="仿宋" w:hAnsi="仿宋" w:eastAsia="仿宋"/>
          <w:color w:val="000000"/>
          <w:sz w:val="32"/>
          <w:szCs w:val="32"/>
        </w:rPr>
        <w:t>；公务接待费支出决算0万元，占0</w:t>
      </w:r>
      <w:r>
        <w:rPr>
          <w:rFonts w:ascii="仿宋" w:hAnsi="仿宋" w:eastAsia="仿宋"/>
          <w:color w:val="000000"/>
          <w:sz w:val="32"/>
          <w:szCs w:val="32"/>
        </w:rPr>
        <w:t>%</w:t>
      </w:r>
      <w:r>
        <w:rPr>
          <w:rFonts w:hint="eastAsia" w:ascii="仿宋" w:hAnsi="仿宋" w:eastAsia="仿宋"/>
          <w:color w:val="000000"/>
          <w:sz w:val="32"/>
          <w:szCs w:val="32"/>
        </w:rPr>
        <w:t>。具体情况如下：</w:t>
      </w:r>
    </w:p>
    <w:p>
      <w:pPr>
        <w:spacing w:line="600" w:lineRule="exact"/>
        <w:ind w:firstLine="640"/>
        <w:rPr>
          <w:rFonts w:ascii="仿宋" w:hAnsi="仿宋" w:eastAsia="仿宋"/>
          <w:color w:val="000000"/>
          <w:sz w:val="32"/>
          <w:szCs w:val="32"/>
        </w:rPr>
      </w:pPr>
      <w:r>
        <w:rPr>
          <w:rFonts w:hint="eastAsia" w:ascii="仿宋" w:hAnsi="仿宋" w:eastAsia="仿宋"/>
          <w:color w:val="000000"/>
          <w:sz w:val="32"/>
          <w:szCs w:val="32"/>
        </w:rPr>
        <w:t>（图7：“三公”经费财政拨款支出结构）（饼状图）</w:t>
      </w:r>
    </w:p>
    <w:p>
      <w:pPr>
        <w:spacing w:line="600" w:lineRule="exact"/>
        <w:ind w:firstLine="640"/>
        <w:rPr>
          <w:rFonts w:ascii="仿宋_GB2312" w:eastAsia="仿宋_GB2312"/>
          <w:color w:val="000000"/>
          <w:sz w:val="32"/>
          <w:szCs w:val="32"/>
        </w:rPr>
      </w:pPr>
      <w:r>
        <w:rPr>
          <w:rFonts w:ascii="仿宋_GB2312" w:eastAsia="仿宋_GB2312"/>
          <w:b/>
          <w:color w:val="000000"/>
          <w:sz w:val="32"/>
          <w:szCs w:val="32"/>
        </w:rPr>
        <w:t>1.</w:t>
      </w:r>
      <w:r>
        <w:rPr>
          <w:rFonts w:hint="eastAsia" w:ascii="仿宋_GB2312" w:eastAsia="仿宋_GB2312"/>
          <w:b/>
          <w:color w:val="000000"/>
          <w:sz w:val="32"/>
          <w:szCs w:val="32"/>
        </w:rPr>
        <w:t>因公出国（境）经费支出</w:t>
      </w:r>
      <w:r>
        <w:rPr>
          <w:rFonts w:hint="eastAsia" w:ascii="仿宋_GB2312" w:eastAsia="仿宋_GB2312"/>
          <w:color w:val="000000"/>
          <w:sz w:val="32"/>
          <w:szCs w:val="32"/>
        </w:rPr>
        <w:t>0万元，</w:t>
      </w:r>
      <w:r>
        <w:rPr>
          <w:rStyle w:val="14"/>
          <w:rFonts w:hint="eastAsia" w:ascii="仿宋" w:hAnsi="仿宋" w:eastAsia="仿宋"/>
          <w:b w:val="0"/>
          <w:bCs/>
          <w:color w:val="000000"/>
          <w:sz w:val="32"/>
          <w:szCs w:val="32"/>
        </w:rPr>
        <w:t>完成预算0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r>
        <w:rPr>
          <w:rFonts w:hint="eastAsia" w:ascii="仿宋_GB2312" w:eastAsia="仿宋_GB2312"/>
          <w:color w:val="000000"/>
          <w:sz w:val="32"/>
          <w:szCs w:val="32"/>
        </w:rPr>
        <w:t>全年安排因公出国（境）团组0次，出国（境）0人。因公出国（境）支出决算比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减少0万元，增长</w:t>
      </w:r>
      <w:r>
        <w:rPr>
          <w:rFonts w:ascii="仿宋_GB2312" w:eastAsia="仿宋_GB2312"/>
          <w:color w:val="000000"/>
          <w:sz w:val="32"/>
          <w:szCs w:val="32"/>
        </w:rPr>
        <w:t>/</w:t>
      </w:r>
      <w:r>
        <w:rPr>
          <w:rFonts w:hint="eastAsia" w:ascii="仿宋_GB2312" w:eastAsia="仿宋_GB2312"/>
          <w:color w:val="000000"/>
          <w:sz w:val="32"/>
          <w:szCs w:val="32"/>
        </w:rPr>
        <w:t>下降0</w:t>
      </w:r>
      <w:r>
        <w:rPr>
          <w:rFonts w:ascii="仿宋_GB2312" w:eastAsia="仿宋_GB2312"/>
          <w:color w:val="000000"/>
          <w:sz w:val="32"/>
          <w:szCs w:val="32"/>
        </w:rPr>
        <w:t>%</w:t>
      </w:r>
      <w:r>
        <w:rPr>
          <w:rFonts w:hint="eastAsia" w:ascii="仿宋_GB2312" w:eastAsia="仿宋_GB2312"/>
          <w:color w:val="000000"/>
          <w:sz w:val="32"/>
          <w:szCs w:val="32"/>
        </w:rPr>
        <w:t>。开支内容包括：…（团组名称、出访地点、取得成效）</w:t>
      </w:r>
    </w:p>
    <w:p>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2.</w:t>
      </w:r>
      <w:r>
        <w:rPr>
          <w:rFonts w:hint="eastAsia" w:ascii="仿宋_GB2312" w:eastAsia="仿宋_GB2312"/>
          <w:b/>
          <w:color w:val="000000"/>
          <w:sz w:val="32"/>
          <w:szCs w:val="32"/>
        </w:rPr>
        <w:t>公务用车购置及运行维护费支出</w:t>
      </w:r>
      <w:r>
        <w:rPr>
          <w:rFonts w:hint="eastAsia" w:ascii="仿宋_GB2312" w:eastAsia="仿宋_GB2312"/>
          <w:color w:val="000000"/>
          <w:sz w:val="32"/>
          <w:szCs w:val="32"/>
        </w:rPr>
        <w:t>0万元,</w:t>
      </w:r>
      <w:r>
        <w:rPr>
          <w:rStyle w:val="14"/>
          <w:rFonts w:hint="eastAsia" w:ascii="仿宋" w:hAnsi="仿宋" w:eastAsia="仿宋"/>
          <w:b w:val="0"/>
          <w:bCs/>
          <w:color w:val="000000"/>
          <w:sz w:val="32"/>
          <w:szCs w:val="32"/>
        </w:rPr>
        <w:t>完成预算0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r>
        <w:rPr>
          <w:rFonts w:hint="eastAsia" w:ascii="仿宋_GB2312" w:eastAsia="仿宋_GB2312"/>
          <w:color w:val="000000"/>
          <w:sz w:val="32"/>
          <w:szCs w:val="32"/>
        </w:rPr>
        <w:t>公务用车购置及运行维护费支出决算比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减少0万元，增长</w:t>
      </w:r>
      <w:r>
        <w:rPr>
          <w:rFonts w:ascii="仿宋_GB2312" w:eastAsia="仿宋_GB2312"/>
          <w:color w:val="000000"/>
          <w:sz w:val="32"/>
          <w:szCs w:val="32"/>
        </w:rPr>
        <w:t>/</w:t>
      </w:r>
      <w:r>
        <w:rPr>
          <w:rFonts w:hint="eastAsia" w:ascii="仿宋_GB2312" w:eastAsia="仿宋_GB2312"/>
          <w:color w:val="000000"/>
          <w:sz w:val="32"/>
          <w:szCs w:val="32"/>
        </w:rPr>
        <w:t>下降0</w:t>
      </w:r>
      <w:r>
        <w:rPr>
          <w:rFonts w:ascii="仿宋_GB2312" w:eastAsia="仿宋_GB2312"/>
          <w:color w:val="000000"/>
          <w:sz w:val="32"/>
          <w:szCs w:val="32"/>
        </w:rPr>
        <w:t>%</w:t>
      </w:r>
      <w:r>
        <w:rPr>
          <w:rFonts w:hint="eastAsia" w:ascii="仿宋_GB2312" w:eastAsia="仿宋_GB2312"/>
          <w:color w:val="000000"/>
          <w:sz w:val="32"/>
          <w:szCs w:val="32"/>
        </w:rPr>
        <w:t>。</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其中：</w:t>
      </w:r>
      <w:r>
        <w:rPr>
          <w:rFonts w:hint="eastAsia" w:ascii="仿宋_GB2312" w:eastAsia="仿宋_GB2312"/>
          <w:b/>
          <w:color w:val="000000"/>
          <w:sz w:val="32"/>
          <w:szCs w:val="32"/>
        </w:rPr>
        <w:t>公务用车购置支出</w:t>
      </w:r>
      <w:r>
        <w:rPr>
          <w:rFonts w:hint="eastAsia" w:ascii="仿宋_GB2312" w:eastAsia="仿宋_GB2312"/>
          <w:color w:val="000000"/>
          <w:sz w:val="32"/>
          <w:szCs w:val="32"/>
        </w:rPr>
        <w:t>0万元。全年按规定更新购置公务用车0辆，金额0</w:t>
      </w:r>
      <w:r>
        <w:rPr>
          <w:rFonts w:ascii="仿宋_GB2312" w:eastAsia="仿宋_GB2312"/>
          <w:color w:val="000000"/>
          <w:sz w:val="32"/>
          <w:szCs w:val="32"/>
        </w:rPr>
        <w:t>元。</w:t>
      </w:r>
      <w:r>
        <w:rPr>
          <w:rFonts w:hint="eastAsia" w:ascii="仿宋_GB2312" w:eastAsia="仿宋_GB2312"/>
          <w:color w:val="000000"/>
          <w:sz w:val="32"/>
          <w:szCs w:val="32"/>
        </w:rPr>
        <w:t>截至</w:t>
      </w:r>
      <w:r>
        <w:rPr>
          <w:rFonts w:ascii="仿宋_GB2312" w:eastAsia="仿宋_GB2312"/>
          <w:color w:val="000000"/>
          <w:sz w:val="32"/>
          <w:szCs w:val="32"/>
        </w:rPr>
        <w:t>201</w:t>
      </w:r>
      <w:r>
        <w:rPr>
          <w:rFonts w:hint="eastAsia" w:ascii="仿宋_GB2312" w:eastAsia="仿宋_GB2312"/>
          <w:color w:val="000000"/>
          <w:sz w:val="32"/>
          <w:szCs w:val="32"/>
        </w:rPr>
        <w:t>9年</w:t>
      </w:r>
      <w:r>
        <w:rPr>
          <w:rFonts w:ascii="仿宋_GB2312" w:eastAsia="仿宋_GB2312"/>
          <w:color w:val="000000"/>
          <w:sz w:val="32"/>
          <w:szCs w:val="32"/>
        </w:rPr>
        <w:t>12</w:t>
      </w:r>
      <w:r>
        <w:rPr>
          <w:rFonts w:hint="eastAsia" w:ascii="仿宋_GB2312" w:eastAsia="仿宋_GB2312"/>
          <w:color w:val="000000"/>
          <w:sz w:val="32"/>
          <w:szCs w:val="32"/>
        </w:rPr>
        <w:t>月底，单位共有公务用车0辆，其中：主要领导干部用车0辆、机要通信用车0辆、应急保障用车0辆、 执法执勤用车0辆…</w:t>
      </w:r>
    </w:p>
    <w:p>
      <w:pPr>
        <w:spacing w:line="600" w:lineRule="exact"/>
        <w:ind w:firstLine="640"/>
        <w:rPr>
          <w:rFonts w:ascii="仿宋_GB2312" w:eastAsia="仿宋_GB2312"/>
          <w:color w:val="000000"/>
          <w:sz w:val="32"/>
          <w:szCs w:val="32"/>
        </w:rPr>
      </w:pPr>
      <w:r>
        <w:rPr>
          <w:rFonts w:hint="eastAsia" w:ascii="仿宋_GB2312" w:eastAsia="仿宋_GB2312"/>
          <w:b/>
          <w:color w:val="000000"/>
          <w:sz w:val="32"/>
          <w:szCs w:val="32"/>
        </w:rPr>
        <w:t>公务用车运行维护费支出</w:t>
      </w:r>
      <w:r>
        <w:rPr>
          <w:rFonts w:hint="eastAsia" w:ascii="仿宋_GB2312" w:eastAsia="仿宋_GB2312"/>
          <w:color w:val="000000"/>
          <w:sz w:val="32"/>
          <w:szCs w:val="32"/>
        </w:rPr>
        <w:t>0万元。主要用于</w:t>
      </w:r>
      <w:r>
        <w:rPr>
          <w:rFonts w:ascii="仿宋_GB2312" w:eastAsia="仿宋_GB2312"/>
          <w:color w:val="000000"/>
          <w:sz w:val="32"/>
          <w:szCs w:val="32"/>
        </w:rPr>
        <w:t>…</w:t>
      </w:r>
      <w:r>
        <w:rPr>
          <w:rFonts w:hint="eastAsia" w:ascii="仿宋_GB2312" w:eastAsia="仿宋_GB2312"/>
          <w:color w:val="000000"/>
          <w:sz w:val="32"/>
          <w:szCs w:val="32"/>
        </w:rPr>
        <w:t>（具体工作）等所需的公务用车燃料费、维修费、过路过桥费、保险费等支出。</w:t>
      </w:r>
    </w:p>
    <w:p>
      <w:pPr>
        <w:spacing w:line="600" w:lineRule="exact"/>
        <w:ind w:firstLine="640"/>
        <w:rPr>
          <w:rFonts w:ascii="仿宋_GB2312" w:eastAsia="仿宋_GB2312"/>
          <w:color w:val="000000"/>
          <w:sz w:val="32"/>
          <w:szCs w:val="32"/>
        </w:rPr>
      </w:pPr>
      <w:r>
        <w:rPr>
          <w:rFonts w:ascii="仿宋_GB2312" w:eastAsia="仿宋_GB2312"/>
          <w:b/>
          <w:color w:val="000000"/>
          <w:sz w:val="32"/>
          <w:szCs w:val="32"/>
        </w:rPr>
        <w:t>3.</w:t>
      </w:r>
      <w:r>
        <w:rPr>
          <w:rFonts w:hint="eastAsia" w:ascii="仿宋_GB2312" w:eastAsia="仿宋_GB2312"/>
          <w:b/>
          <w:color w:val="000000"/>
          <w:sz w:val="32"/>
          <w:szCs w:val="32"/>
        </w:rPr>
        <w:t>公务接待费支出</w:t>
      </w:r>
      <w:r>
        <w:rPr>
          <w:rFonts w:hint="eastAsia" w:ascii="仿宋_GB2312" w:eastAsia="仿宋_GB2312"/>
          <w:color w:val="000000"/>
          <w:sz w:val="32"/>
          <w:szCs w:val="32"/>
        </w:rPr>
        <w:t>0万元，</w:t>
      </w:r>
      <w:r>
        <w:rPr>
          <w:rStyle w:val="14"/>
          <w:rFonts w:hint="eastAsia" w:ascii="仿宋" w:hAnsi="仿宋" w:eastAsia="仿宋"/>
          <w:b w:val="0"/>
          <w:bCs/>
          <w:color w:val="000000"/>
          <w:sz w:val="32"/>
          <w:szCs w:val="32"/>
        </w:rPr>
        <w:t>完成预算0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r>
        <w:rPr>
          <w:rFonts w:hint="eastAsia" w:ascii="仿宋_GB2312" w:eastAsia="仿宋_GB2312"/>
          <w:color w:val="000000"/>
          <w:sz w:val="32"/>
          <w:szCs w:val="32"/>
        </w:rPr>
        <w:t>公务接待费支出决算比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减少0万元，增长</w:t>
      </w:r>
      <w:r>
        <w:rPr>
          <w:rFonts w:ascii="仿宋_GB2312" w:eastAsia="仿宋_GB2312"/>
          <w:color w:val="000000"/>
          <w:sz w:val="32"/>
          <w:szCs w:val="32"/>
        </w:rPr>
        <w:t>/</w:t>
      </w:r>
      <w:r>
        <w:rPr>
          <w:rFonts w:hint="eastAsia" w:ascii="仿宋_GB2312" w:eastAsia="仿宋_GB2312"/>
          <w:color w:val="000000"/>
          <w:sz w:val="32"/>
          <w:szCs w:val="32"/>
        </w:rPr>
        <w:t>下降0</w:t>
      </w:r>
      <w:r>
        <w:rPr>
          <w:rFonts w:ascii="仿宋_GB2312" w:eastAsia="仿宋_GB2312"/>
          <w:color w:val="000000"/>
          <w:sz w:val="32"/>
          <w:szCs w:val="32"/>
        </w:rPr>
        <w:t>%</w:t>
      </w:r>
      <w:r>
        <w:rPr>
          <w:rFonts w:hint="eastAsia" w:ascii="仿宋_GB2312" w:eastAsia="仿宋_GB2312"/>
          <w:color w:val="000000"/>
          <w:sz w:val="32"/>
          <w:szCs w:val="32"/>
        </w:rPr>
        <w:t>。</w:t>
      </w:r>
    </w:p>
    <w:p>
      <w:pPr>
        <w:spacing w:line="600" w:lineRule="exact"/>
        <w:ind w:firstLine="640"/>
        <w:rPr>
          <w:rFonts w:ascii="仿宋_GB2312" w:eastAsia="仿宋_GB2312"/>
          <w:color w:val="000000"/>
          <w:sz w:val="32"/>
          <w:szCs w:val="32"/>
        </w:rPr>
      </w:pPr>
      <w:r>
        <w:rPr>
          <w:rFonts w:hint="eastAsia" w:ascii="仿宋" w:hAnsi="仿宋" w:eastAsia="仿宋"/>
          <w:b/>
          <w:color w:val="000000"/>
          <w:sz w:val="32"/>
          <w:szCs w:val="32"/>
        </w:rPr>
        <w:t>国内公务接待支出</w:t>
      </w:r>
      <w:r>
        <w:rPr>
          <w:rFonts w:hint="eastAsia" w:ascii="仿宋" w:hAnsi="仿宋" w:eastAsia="仿宋"/>
          <w:color w:val="000000"/>
          <w:sz w:val="32"/>
          <w:szCs w:val="32"/>
        </w:rPr>
        <w:t>0</w:t>
      </w:r>
      <w:r>
        <w:rPr>
          <w:rFonts w:hint="eastAsia" w:ascii="仿宋_GB2312" w:eastAsia="仿宋_GB2312"/>
          <w:color w:val="000000"/>
          <w:sz w:val="32"/>
          <w:szCs w:val="32"/>
        </w:rPr>
        <w:t>万元，主要用于……(执行公务、开展业务活动开支的交通费、住宿费、用餐费等)。国内公务接待0批次，0人次（不包括陪同人员），共计支出0万元，具体内容包括：…（接待具体项目、金额）。</w:t>
      </w:r>
    </w:p>
    <w:p>
      <w:pPr>
        <w:spacing w:line="600" w:lineRule="exact"/>
        <w:ind w:firstLine="643" w:firstLineChars="200"/>
        <w:rPr>
          <w:rFonts w:ascii="仿宋_GB2312" w:eastAsia="仿宋_GB2312"/>
          <w:color w:val="000000" w:themeColor="text1"/>
          <w:sz w:val="32"/>
          <w:szCs w:val="32"/>
          <w14:textFill>
            <w14:solidFill>
              <w14:schemeClr w14:val="tx1"/>
            </w14:solidFill>
          </w14:textFill>
        </w:rPr>
      </w:pPr>
      <w:r>
        <w:rPr>
          <w:rFonts w:hint="eastAsia" w:ascii="仿宋" w:hAnsi="仿宋" w:eastAsia="仿宋"/>
          <w:b/>
          <w:color w:val="000000"/>
          <w:sz w:val="32"/>
          <w:szCs w:val="32"/>
        </w:rPr>
        <w:t>外事接待支出</w:t>
      </w:r>
      <w:r>
        <w:rPr>
          <w:rFonts w:hint="eastAsia" w:ascii="仿宋" w:hAnsi="仿宋" w:eastAsia="仿宋"/>
          <w:color w:val="000000"/>
          <w:sz w:val="32"/>
          <w:szCs w:val="32"/>
        </w:rPr>
        <w:t>0</w:t>
      </w:r>
      <w:r>
        <w:rPr>
          <w:rFonts w:hint="eastAsia" w:ascii="仿宋_GB2312" w:eastAsia="仿宋_GB2312"/>
          <w:color w:val="000000"/>
          <w:sz w:val="32"/>
          <w:szCs w:val="32"/>
        </w:rPr>
        <w:t>万元</w:t>
      </w:r>
      <w:r>
        <w:rPr>
          <w:rFonts w:hint="eastAsia" w:ascii="仿宋_GB2312" w:eastAsia="仿宋_GB2312"/>
          <w:color w:val="000000" w:themeColor="text1"/>
          <w:sz w:val="32"/>
          <w:szCs w:val="32"/>
          <w14:textFill>
            <w14:solidFill>
              <w14:schemeClr w14:val="tx1"/>
            </w14:solidFill>
          </w14:textFill>
        </w:rPr>
        <w:t>，外事接待0批次，0人，共计支出0万元，主要用于接待</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（具体项目）</w:t>
      </w:r>
    </w:p>
    <w:p>
      <w:pPr>
        <w:spacing w:line="600" w:lineRule="exact"/>
        <w:ind w:firstLine="640"/>
        <w:outlineLvl w:val="1"/>
        <w:rPr>
          <w:rFonts w:ascii="黑体" w:eastAsia="黑体"/>
          <w:color w:val="000000"/>
          <w:sz w:val="32"/>
          <w:szCs w:val="32"/>
        </w:rPr>
      </w:pPr>
      <w:bookmarkStart w:id="46" w:name="_Toc15396610"/>
      <w:bookmarkStart w:id="47" w:name="_Toc15377218"/>
    </w:p>
    <w:p>
      <w:pPr>
        <w:spacing w:line="600" w:lineRule="exact"/>
        <w:ind w:firstLine="640"/>
        <w:outlineLvl w:val="1"/>
        <w:rPr>
          <w:rStyle w:val="25"/>
          <w:rFonts w:ascii="黑体" w:hAnsi="黑体" w:eastAsia="黑体"/>
        </w:rPr>
      </w:pPr>
      <w:r>
        <w:rPr>
          <w:rFonts w:hint="eastAsia" w:ascii="黑体" w:eastAsia="黑体"/>
          <w:color w:val="000000"/>
          <w:sz w:val="32"/>
          <w:szCs w:val="32"/>
        </w:rPr>
        <w:t>八、</w:t>
      </w:r>
      <w:r>
        <w:rPr>
          <w:rStyle w:val="25"/>
          <w:rFonts w:hint="eastAsia" w:ascii="黑体" w:hAnsi="黑体" w:eastAsia="黑体"/>
          <w:b w:val="0"/>
        </w:rPr>
        <w:t>政府性基金预算支出决算情况说明</w:t>
      </w:r>
      <w:bookmarkEnd w:id="46"/>
      <w:bookmarkEnd w:id="47"/>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9年政府性基金预算拨款支出5万元。</w:t>
      </w:r>
    </w:p>
    <w:p>
      <w:pPr>
        <w:spacing w:line="600" w:lineRule="exact"/>
        <w:ind w:firstLine="640"/>
        <w:rPr>
          <w:rFonts w:ascii="仿宋_GB2312" w:eastAsia="仿宋_GB2312"/>
          <w:color w:val="000000"/>
          <w:sz w:val="32"/>
          <w:szCs w:val="32"/>
        </w:rPr>
      </w:pPr>
    </w:p>
    <w:p>
      <w:pPr>
        <w:numPr>
          <w:ilvl w:val="0"/>
          <w:numId w:val="4"/>
        </w:numPr>
        <w:spacing w:line="600" w:lineRule="exact"/>
        <w:ind w:firstLine="640"/>
        <w:outlineLvl w:val="1"/>
        <w:rPr>
          <w:rStyle w:val="25"/>
          <w:rFonts w:ascii="黑体" w:hAnsi="黑体" w:eastAsia="黑体"/>
          <w:b w:val="0"/>
        </w:rPr>
      </w:pPr>
      <w:bookmarkStart w:id="48" w:name="_Toc15377219"/>
      <w:bookmarkStart w:id="49" w:name="_Toc15396611"/>
      <w:r>
        <w:rPr>
          <w:rStyle w:val="25"/>
          <w:rFonts w:hint="eastAsia" w:ascii="黑体" w:hAnsi="黑体" w:eastAsia="黑体"/>
          <w:b w:val="0"/>
        </w:rPr>
        <w:t>国有资本经营预算支出决算情况说明</w:t>
      </w:r>
      <w:bookmarkEnd w:id="48"/>
      <w:bookmarkEnd w:id="49"/>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9年国有资本经营预算拨款支出0万元。</w:t>
      </w:r>
    </w:p>
    <w:p>
      <w:pPr>
        <w:spacing w:line="580" w:lineRule="exact"/>
        <w:jc w:val="center"/>
        <w:rPr>
          <w:rFonts w:ascii="方正小标宋简体" w:hAnsi="方正小标宋简体" w:eastAsia="方正小标宋简体" w:cs="方正小标宋简体"/>
          <w:sz w:val="44"/>
          <w:szCs w:val="44"/>
        </w:rPr>
      </w:pPr>
    </w:p>
    <w:p>
      <w:pPr>
        <w:spacing w:line="600" w:lineRule="exact"/>
        <w:ind w:firstLine="800" w:firstLineChars="250"/>
        <w:outlineLvl w:val="1"/>
        <w:rPr>
          <w:rStyle w:val="25"/>
          <w:rFonts w:ascii="黑体" w:hAnsi="黑体" w:eastAsia="黑体"/>
        </w:rPr>
      </w:pPr>
      <w:bookmarkStart w:id="50" w:name="_Toc15396612"/>
      <w:bookmarkStart w:id="51" w:name="_Toc15377221"/>
      <w:r>
        <w:rPr>
          <w:rFonts w:hint="eastAsia" w:ascii="黑体" w:hAnsi="黑体" w:eastAsia="黑体"/>
          <w:color w:val="000000"/>
          <w:sz w:val="32"/>
          <w:szCs w:val="32"/>
        </w:rPr>
        <w:t>十</w:t>
      </w:r>
      <w:r>
        <w:rPr>
          <w:rStyle w:val="25"/>
          <w:rFonts w:hint="eastAsia" w:ascii="黑体" w:hAnsi="黑体" w:eastAsia="黑体"/>
        </w:rPr>
        <w:t>、</w:t>
      </w:r>
      <w:r>
        <w:rPr>
          <w:rStyle w:val="25"/>
          <w:rFonts w:hint="eastAsia" w:ascii="黑体" w:hAnsi="黑体" w:eastAsia="黑体"/>
          <w:b w:val="0"/>
        </w:rPr>
        <w:t>其他重要事项的情况说明</w:t>
      </w:r>
      <w:bookmarkEnd w:id="50"/>
      <w:bookmarkEnd w:id="51"/>
    </w:p>
    <w:p>
      <w:pPr>
        <w:spacing w:line="600" w:lineRule="exact"/>
        <w:ind w:firstLine="643" w:firstLineChars="200"/>
        <w:outlineLvl w:val="2"/>
        <w:rPr>
          <w:rFonts w:ascii="仿宋" w:hAnsi="仿宋" w:eastAsia="仿宋"/>
          <w:color w:val="000000"/>
          <w:sz w:val="32"/>
          <w:szCs w:val="32"/>
        </w:rPr>
      </w:pPr>
      <w:bookmarkStart w:id="52" w:name="_Toc15377222"/>
      <w:r>
        <w:rPr>
          <w:rFonts w:hint="eastAsia" w:ascii="仿宋" w:hAnsi="仿宋" w:eastAsia="仿宋"/>
          <w:b/>
          <w:color w:val="000000"/>
          <w:sz w:val="32"/>
          <w:szCs w:val="32"/>
        </w:rPr>
        <w:t>（一）机关运行经费支出情况</w:t>
      </w:r>
      <w:bookmarkEnd w:id="52"/>
    </w:p>
    <w:p>
      <w:pPr>
        <w:spacing w:line="600" w:lineRule="exact"/>
        <w:ind w:firstLine="640" w:firstLineChars="200"/>
        <w:rPr>
          <w:rFonts w:ascii="仿宋_GB2312" w:eastAsia="仿宋_GB2312"/>
          <w:color w:val="000000" w:themeColor="text1"/>
          <w:sz w:val="32"/>
          <w:szCs w:val="32"/>
          <w14:textFill>
            <w14:solidFill>
              <w14:schemeClr w14:val="tx1"/>
            </w14:solidFill>
          </w14:textFill>
        </w:rPr>
      </w:pPr>
      <w:r>
        <w:rPr>
          <w:rFonts w:ascii="仿宋_GB2312" w:eastAsia="仿宋_GB2312"/>
          <w:color w:val="000000"/>
          <w:sz w:val="32"/>
          <w:szCs w:val="32"/>
        </w:rPr>
        <w:t>201</w:t>
      </w:r>
      <w:r>
        <w:rPr>
          <w:rFonts w:hint="eastAsia" w:ascii="仿宋_GB2312" w:eastAsia="仿宋_GB2312"/>
          <w:color w:val="000000"/>
          <w:sz w:val="32"/>
          <w:szCs w:val="32"/>
        </w:rPr>
        <w:t>9年，0机关运行经费支出0万元，比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减少0万元，增长</w:t>
      </w:r>
      <w:r>
        <w:rPr>
          <w:rFonts w:ascii="仿宋_GB2312" w:eastAsia="仿宋_GB2312"/>
          <w:color w:val="000000"/>
          <w:sz w:val="32"/>
          <w:szCs w:val="32"/>
        </w:rPr>
        <w:t>/</w:t>
      </w:r>
      <w:r>
        <w:rPr>
          <w:rFonts w:hint="eastAsia" w:ascii="仿宋_GB2312" w:eastAsia="仿宋_GB2312"/>
          <w:color w:val="000000"/>
          <w:sz w:val="32"/>
          <w:szCs w:val="32"/>
        </w:rPr>
        <w:t>下降0</w:t>
      </w:r>
      <w:r>
        <w:rPr>
          <w:rFonts w:ascii="仿宋_GB2312" w:eastAsia="仿宋_GB2312"/>
          <w:color w:val="000000"/>
          <w:sz w:val="32"/>
          <w:szCs w:val="32"/>
        </w:rPr>
        <w:t>%</w:t>
      </w:r>
      <w:r>
        <w:rPr>
          <w:rFonts w:hint="eastAsia" w:ascii="仿宋_GB2312" w:eastAsia="仿宋_GB2312"/>
          <w:color w:val="000000"/>
          <w:sz w:val="32"/>
          <w:szCs w:val="32"/>
        </w:rPr>
        <w:t>（或与</w:t>
      </w:r>
      <w:r>
        <w:rPr>
          <w:rFonts w:ascii="仿宋_GB2312" w:eastAsia="仿宋_GB2312"/>
          <w:color w:val="000000"/>
          <w:sz w:val="32"/>
          <w:szCs w:val="32"/>
        </w:rPr>
        <w:t>201</w:t>
      </w:r>
      <w:r>
        <w:rPr>
          <w:rFonts w:hint="eastAsia" w:ascii="仿宋_GB2312" w:eastAsia="仿宋_GB2312"/>
          <w:color w:val="000000"/>
          <w:sz w:val="32"/>
          <w:szCs w:val="32"/>
        </w:rPr>
        <w:t>8年决算数持平）。</w:t>
      </w:r>
    </w:p>
    <w:p>
      <w:pPr>
        <w:spacing w:line="600" w:lineRule="exact"/>
        <w:ind w:firstLine="643" w:firstLineChars="200"/>
        <w:rPr>
          <w:rFonts w:ascii="仿宋" w:hAnsi="仿宋" w:eastAsia="仿宋"/>
          <w:b/>
          <w:color w:val="FF0000"/>
          <w:sz w:val="32"/>
          <w:szCs w:val="32"/>
        </w:rPr>
      </w:pP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3" w:name="_Toc15377223"/>
      <w:r>
        <w:rPr>
          <w:rFonts w:hint="eastAsia" w:ascii="仿宋" w:hAnsi="仿宋" w:eastAsia="仿宋"/>
          <w:b/>
          <w:color w:val="000000"/>
          <w:sz w:val="32"/>
          <w:szCs w:val="32"/>
        </w:rPr>
        <w:t>（二）政府采购支出情况</w:t>
      </w:r>
      <w:bookmarkEnd w:id="53"/>
    </w:p>
    <w:p>
      <w:pPr>
        <w:spacing w:line="600" w:lineRule="exact"/>
        <w:ind w:firstLine="640" w:firstLineChars="20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9年，政府采购支出总额4万元，其中：政府采购货物支出4万元、政府采购工程支出0万元、政府采购服务支出0万元。主要用于教学。授予中小企业合同金额0万元，占政府采购支出总额的0</w:t>
      </w:r>
      <w:r>
        <w:rPr>
          <w:rFonts w:ascii="仿宋_GB2312" w:eastAsia="仿宋_GB2312"/>
          <w:color w:val="000000"/>
          <w:sz w:val="32"/>
          <w:szCs w:val="32"/>
        </w:rPr>
        <w:t>%</w:t>
      </w:r>
      <w:r>
        <w:rPr>
          <w:rFonts w:hint="eastAsia" w:ascii="仿宋_GB2312" w:eastAsia="仿宋_GB2312"/>
          <w:color w:val="000000"/>
          <w:sz w:val="32"/>
          <w:szCs w:val="32"/>
        </w:rPr>
        <w:t>，其中：授予小微企业合同金额0万元，占政府采购支出总额的0</w:t>
      </w:r>
      <w:r>
        <w:rPr>
          <w:rFonts w:ascii="仿宋_GB2312" w:eastAsia="仿宋_GB2312"/>
          <w:color w:val="000000"/>
          <w:sz w:val="32"/>
          <w:szCs w:val="32"/>
        </w:rPr>
        <w:t>%</w:t>
      </w:r>
      <w:r>
        <w:rPr>
          <w:rFonts w:hint="eastAsia" w:ascii="仿宋_GB2312" w:eastAsia="仿宋_GB2312"/>
          <w:color w:val="000000"/>
          <w:sz w:val="32"/>
          <w:szCs w:val="32"/>
        </w:rPr>
        <w:t>。</w:t>
      </w:r>
    </w:p>
    <w:p>
      <w:pPr>
        <w:spacing w:line="600" w:lineRule="exact"/>
        <w:rPr>
          <w:rFonts w:ascii="仿宋" w:hAnsi="仿宋" w:eastAsia="仿宋"/>
          <w:b/>
          <w:color w:val="FF0000"/>
          <w:sz w:val="32"/>
          <w:szCs w:val="32"/>
        </w:rPr>
      </w:pP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4" w:name="_Toc15377224"/>
      <w:r>
        <w:rPr>
          <w:rFonts w:hint="eastAsia" w:ascii="仿宋" w:hAnsi="仿宋" w:eastAsia="仿宋"/>
          <w:b/>
          <w:color w:val="000000"/>
          <w:sz w:val="32"/>
          <w:szCs w:val="32"/>
        </w:rPr>
        <w:t>（三）国有资产占有使用情况</w:t>
      </w:r>
      <w:bookmarkEnd w:id="54"/>
    </w:p>
    <w:p>
      <w:pPr>
        <w:autoSpaceDE w:val="0"/>
        <w:autoSpaceDN w:val="0"/>
        <w:adjustRightInd w:val="0"/>
        <w:spacing w:line="600" w:lineRule="exact"/>
        <w:ind w:firstLine="640" w:firstLineChars="200"/>
        <w:jc w:val="left"/>
        <w:rPr>
          <w:rFonts w:ascii="仿宋" w:hAnsi="仿宋" w:eastAsia="仿宋"/>
          <w:b/>
          <w:color w:val="FF0000"/>
          <w:sz w:val="32"/>
          <w:szCs w:val="32"/>
        </w:rPr>
      </w:pPr>
      <w:r>
        <w:rPr>
          <w:rFonts w:hint="eastAsia" w:ascii="仿宋_GB2312" w:eastAsia="仿宋_GB2312"/>
          <w:color w:val="000000"/>
          <w:sz w:val="32"/>
          <w:szCs w:val="32"/>
        </w:rPr>
        <w:t>截至</w:t>
      </w:r>
      <w:r>
        <w:rPr>
          <w:rFonts w:ascii="仿宋_GB2312" w:eastAsia="仿宋_GB2312"/>
          <w:color w:val="000000"/>
          <w:sz w:val="32"/>
          <w:szCs w:val="32"/>
        </w:rPr>
        <w:t>201</w:t>
      </w:r>
      <w:r>
        <w:rPr>
          <w:rFonts w:hint="eastAsia" w:ascii="仿宋_GB2312" w:eastAsia="仿宋_GB2312"/>
          <w:color w:val="000000"/>
          <w:sz w:val="32"/>
          <w:szCs w:val="32"/>
        </w:rPr>
        <w:t>9年</w:t>
      </w:r>
      <w:r>
        <w:rPr>
          <w:rFonts w:ascii="仿宋_GB2312" w:eastAsia="仿宋_GB2312"/>
          <w:color w:val="000000"/>
          <w:sz w:val="32"/>
          <w:szCs w:val="32"/>
        </w:rPr>
        <w:t>12</w:t>
      </w:r>
      <w:r>
        <w:rPr>
          <w:rFonts w:hint="eastAsia" w:ascii="仿宋_GB2312" w:eastAsia="仿宋_GB2312"/>
          <w:color w:val="000000"/>
          <w:sz w:val="32"/>
          <w:szCs w:val="32"/>
        </w:rPr>
        <w:t>月</w:t>
      </w:r>
      <w:r>
        <w:rPr>
          <w:rFonts w:ascii="仿宋_GB2312" w:eastAsia="仿宋_GB2312"/>
          <w:color w:val="000000"/>
          <w:sz w:val="32"/>
          <w:szCs w:val="32"/>
        </w:rPr>
        <w:t>31</w:t>
      </w:r>
      <w:r>
        <w:rPr>
          <w:rFonts w:hint="eastAsia" w:ascii="仿宋_GB2312" w:eastAsia="仿宋_GB2312"/>
          <w:color w:val="000000"/>
          <w:sz w:val="32"/>
          <w:szCs w:val="32"/>
        </w:rPr>
        <w:t>日，0共有车辆0辆，其中：主要领导干部用车0辆、机要通信用车0辆、应急保障用车0辆、其他用车0辆……</w:t>
      </w:r>
      <w:r>
        <w:rPr>
          <w:rFonts w:hint="eastAsia" w:ascii="仿宋_GB2312" w:eastAsia="仿宋_GB2312"/>
          <w:color w:val="000000" w:themeColor="text1"/>
          <w:sz w:val="32"/>
          <w:szCs w:val="32"/>
          <w14:textFill>
            <w14:solidFill>
              <w14:schemeClr w14:val="tx1"/>
            </w14:solidFill>
          </w14:textFill>
        </w:rPr>
        <w:t>其他用车主要是用于……单价</w:t>
      </w:r>
      <w:r>
        <w:rPr>
          <w:rFonts w:ascii="仿宋_GB2312" w:eastAsia="仿宋_GB2312"/>
          <w:color w:val="000000" w:themeColor="text1"/>
          <w:sz w:val="32"/>
          <w:szCs w:val="32"/>
          <w14:textFill>
            <w14:solidFill>
              <w14:schemeClr w14:val="tx1"/>
            </w14:solidFill>
          </w14:textFill>
        </w:rPr>
        <w:t>50</w:t>
      </w:r>
      <w:r>
        <w:rPr>
          <w:rFonts w:hint="eastAsia" w:ascii="仿宋_GB2312" w:eastAsia="仿宋_GB2312"/>
          <w:color w:val="000000" w:themeColor="text1"/>
          <w:sz w:val="32"/>
          <w:szCs w:val="32"/>
          <w14:textFill>
            <w14:solidFill>
              <w14:schemeClr w14:val="tx1"/>
            </w14:solidFill>
          </w14:textFill>
        </w:rPr>
        <w:t>万元以上通用设备0台（套），单价</w:t>
      </w:r>
      <w:r>
        <w:rPr>
          <w:rFonts w:ascii="仿宋_GB2312" w:eastAsia="仿宋_GB2312"/>
          <w:color w:val="000000" w:themeColor="text1"/>
          <w:sz w:val="32"/>
          <w:szCs w:val="32"/>
          <w14:textFill>
            <w14:solidFill>
              <w14:schemeClr w14:val="tx1"/>
            </w14:solidFill>
          </w14:textFill>
        </w:rPr>
        <w:t>100</w:t>
      </w:r>
      <w:r>
        <w:rPr>
          <w:rFonts w:hint="eastAsia" w:ascii="仿宋_GB2312" w:eastAsia="仿宋_GB2312"/>
          <w:color w:val="000000"/>
          <w:sz w:val="32"/>
          <w:szCs w:val="32"/>
        </w:rPr>
        <w:t>万元以上专用设备0台（套）。</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r>
        <w:rPr>
          <w:rFonts w:hint="eastAsia" w:ascii="仿宋" w:hAnsi="仿宋" w:eastAsia="仿宋"/>
          <w:b/>
          <w:color w:val="000000"/>
          <w:sz w:val="32"/>
          <w:szCs w:val="32"/>
        </w:rPr>
        <w:t>（四）预算绩效管理情况。</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根据预算绩效管理要求，本部门（单位）在年初预算编制阶段，组织对</w:t>
      </w:r>
      <w:r>
        <w:rPr>
          <w:rFonts w:hint="eastAsia" w:asciiTheme="minorEastAsia" w:hAnsiTheme="minorEastAsia" w:eastAsiaTheme="minorEastAsia"/>
          <w:sz w:val="30"/>
          <w:szCs w:val="30"/>
        </w:rPr>
        <w:t>2019年中央专项彩票公益金支持项目村学校少年宫项目</w:t>
      </w:r>
      <w:r>
        <w:rPr>
          <w:rFonts w:hint="eastAsia" w:ascii="仿宋_GB2312" w:hAnsi="仿宋_GB2312" w:eastAsia="仿宋_GB2312" w:cs="仿宋_GB2312"/>
          <w:sz w:val="32"/>
          <w:szCs w:val="32"/>
        </w:rPr>
        <w:t>开展了预算事前绩效评估，对1个项目编制了绩效目标，预算执行过程中，选取1个项目开展绩效监控，年终执行完毕后，对1个项目开展了绩效目标完成情况自评。</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本部门按要求对2019年部门整体支出开展绩效自评，从评价情况来看</w:t>
      </w:r>
      <w:r>
        <w:rPr>
          <w:rFonts w:hint="eastAsia" w:ascii="宋体" w:hAnsi="宋体"/>
          <w:kern w:val="0"/>
          <w:sz w:val="30"/>
          <w:szCs w:val="30"/>
        </w:rPr>
        <w:t>2019年度完成955名中、小学生的培养，保障教师社会保险、住房公积金的缴纳，保障教师奖励绩效工资及质量考核奖。完成学前教育174名幼儿的培养</w:t>
      </w:r>
      <w:r>
        <w:rPr>
          <w:rFonts w:hint="eastAsia" w:ascii="仿宋_GB2312" w:hAnsi="仿宋_GB2312" w:eastAsia="仿宋_GB2312" w:cs="仿宋_GB2312"/>
          <w:sz w:val="32"/>
          <w:szCs w:val="32"/>
        </w:rPr>
        <w:t>。</w:t>
      </w:r>
    </w:p>
    <w:p>
      <w:pPr>
        <w:spacing w:line="58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1.项目绩效目标完成情况。</w:t>
      </w:r>
      <w:r>
        <w:rPr>
          <w:rFonts w:hint="eastAsia" w:ascii="楷体_GB2312" w:hAnsi="楷体_GB2312" w:eastAsia="楷体_GB2312" w:cs="楷体_GB2312"/>
          <w:sz w:val="32"/>
          <w:szCs w:val="32"/>
        </w:rPr>
        <w:br w:type="textWrapping"/>
      </w:r>
      <w:r>
        <w:rPr>
          <w:rFonts w:hint="eastAsia" w:ascii="仿宋_GB2312" w:hAnsi="仿宋_GB2312" w:eastAsia="仿宋_GB2312" w:cs="仿宋_GB2312"/>
          <w:sz w:val="32"/>
          <w:szCs w:val="32"/>
        </w:rPr>
        <w:t xml:space="preserve">    本部门在2019年度部门决算中反映</w:t>
      </w:r>
      <w:r>
        <w:rPr>
          <w:rFonts w:hint="eastAsia" w:asciiTheme="minorEastAsia" w:hAnsiTheme="minorEastAsia" w:eastAsiaTheme="minorEastAsia"/>
          <w:sz w:val="30"/>
          <w:szCs w:val="30"/>
        </w:rPr>
        <w:t>2019年中央专项彩票公益金支持项目村学校少年宫项目</w:t>
      </w:r>
      <w:r>
        <w:rPr>
          <w:rFonts w:hint="eastAsia" w:ascii="仿宋_GB2312" w:hAnsi="仿宋_GB2312" w:eastAsia="仿宋_GB2312" w:cs="仿宋_GB2312"/>
          <w:sz w:val="32"/>
          <w:szCs w:val="32"/>
        </w:rPr>
        <w:t>等1个项目绩效目标实际完成情况。</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Theme="minorEastAsia" w:hAnsiTheme="minorEastAsia" w:eastAsiaTheme="minorEastAsia"/>
          <w:sz w:val="30"/>
          <w:szCs w:val="30"/>
        </w:rPr>
        <w:t>2019年中央专项彩票公益金支持项目村学校少年宫项目</w:t>
      </w:r>
      <w:r>
        <w:rPr>
          <w:rFonts w:hint="eastAsia" w:ascii="仿宋_GB2312" w:hAnsi="仿宋_GB2312" w:eastAsia="仿宋_GB2312" w:cs="仿宋_GB2312"/>
          <w:sz w:val="32"/>
          <w:szCs w:val="32"/>
        </w:rPr>
        <w:t>项目绩效目标完成情况综述。项目全年预算数5万元，执行数为5万元，完成预算的100%。通过项目实施，促进了学校乡村少年宫活动的有效开展，极大丰富了学校广大师生的少年宫活动形式和内容，有效提高学校的教育教学质量。发现的主要问题：</w:t>
      </w:r>
      <w:r>
        <w:rPr>
          <w:rFonts w:hint="eastAsia" w:ascii="宋体" w:hAnsi="宋体" w:cs="黑体"/>
          <w:kern w:val="0"/>
          <w:sz w:val="30"/>
          <w:szCs w:val="30"/>
        </w:rPr>
        <w:t>乡村教育资源短缺、学位不足，部分农村学校和教学点比较薄弱，城乡教育资源不均衡</w:t>
      </w:r>
      <w:r>
        <w:rPr>
          <w:rFonts w:hint="eastAsia" w:ascii="仿宋_GB2312" w:hAnsi="仿宋_GB2312" w:eastAsia="仿宋_GB2312" w:cs="仿宋_GB2312"/>
          <w:sz w:val="32"/>
          <w:szCs w:val="32"/>
        </w:rPr>
        <w:t>。下一步改进措施：</w:t>
      </w:r>
      <w:r>
        <w:rPr>
          <w:rFonts w:hint="eastAsia" w:ascii="宋体" w:hAnsi="宋体" w:cs="黑体"/>
          <w:kern w:val="0"/>
          <w:sz w:val="30"/>
          <w:szCs w:val="30"/>
        </w:rPr>
        <w:t>进一步改善教育办学条件，加强学校基础设施建设</w:t>
      </w:r>
      <w:r>
        <w:rPr>
          <w:rFonts w:hint="eastAsia" w:ascii="仿宋_GB2312" w:hAnsi="仿宋_GB2312" w:eastAsia="仿宋_GB2312" w:cs="仿宋_GB2312"/>
          <w:sz w:val="32"/>
          <w:szCs w:val="32"/>
        </w:rPr>
        <w:t>。</w:t>
      </w:r>
    </w:p>
    <w:p>
      <w:pPr>
        <w:spacing w:line="580" w:lineRule="exact"/>
        <w:ind w:firstLine="640" w:firstLineChars="200"/>
        <w:rPr>
          <w:rFonts w:ascii="仿宋_GB2312" w:hAnsi="仿宋_GB2312" w:eastAsia="仿宋_GB2312" w:cs="仿宋_GB2312"/>
          <w:sz w:val="32"/>
          <w:szCs w:val="32"/>
        </w:rPr>
      </w:pPr>
    </w:p>
    <w:tbl>
      <w:tblPr>
        <w:tblStyle w:val="12"/>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ascii="宋体" w:hAnsi="宋体" w:cs="宋体"/>
                <w:color w:val="000000"/>
                <w:sz w:val="36"/>
                <w:szCs w:val="36"/>
              </w:rPr>
            </w:pPr>
            <w:r>
              <w:rPr>
                <w:rFonts w:hint="eastAsia" w:ascii="宋体" w:hAnsi="宋体" w:cs="宋体"/>
                <w:b/>
                <w:bCs/>
                <w:color w:val="000000"/>
                <w:kern w:val="0"/>
                <w:sz w:val="36"/>
                <w:szCs w:val="36"/>
              </w:rPr>
              <w:t>项目绩效目标完成情况表</w:t>
            </w:r>
            <w:r>
              <w:rPr>
                <w:rFonts w:hint="eastAsia" w:ascii="宋体" w:hAnsi="宋体" w:cs="宋体"/>
                <w:b/>
                <w:bCs/>
                <w:color w:val="000000"/>
                <w:kern w:val="0"/>
                <w:sz w:val="36"/>
                <w:szCs w:val="36"/>
              </w:rPr>
              <w:br w:type="textWrapping"/>
            </w:r>
            <w:r>
              <w:rPr>
                <w:rFonts w:hint="eastAsia" w:ascii="宋体" w:hAnsi="宋体" w:cs="宋体"/>
                <w:color w:val="000000"/>
                <w:kern w:val="0"/>
                <w:sz w:val="36"/>
                <w:szCs w:val="36"/>
              </w:rPr>
              <w:t>(2019 年度)</w:t>
            </w:r>
          </w:p>
        </w:tc>
      </w:tr>
      <w:tr>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Theme="minorEastAsia" w:hAnsiTheme="minorEastAsia" w:eastAsiaTheme="minorEastAsia"/>
                <w:sz w:val="24"/>
              </w:rPr>
              <w:t>2019年中央专项彩票公益金支持项目村学校少年宫项目</w:t>
            </w:r>
          </w:p>
        </w:tc>
      </w:tr>
      <w:tr>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广汉市松林镇学校</w:t>
            </w:r>
          </w:p>
        </w:tc>
      </w:tr>
      <w:tr>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预算执行情况(万元)</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预算数: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5</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执行数: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5</w:t>
            </w:r>
          </w:p>
        </w:tc>
      </w:tr>
      <w:tr>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5</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5</w:t>
            </w:r>
          </w:p>
        </w:tc>
      </w:tr>
      <w:tr>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r>
              <w:rPr>
                <w:rFonts w:hint="eastAsia" w:ascii="宋体" w:hAnsi="宋体" w:cs="宋体"/>
                <w:color w:val="000000"/>
                <w:sz w:val="24"/>
              </w:rPr>
              <w:t>0</w:t>
            </w:r>
          </w:p>
        </w:tc>
      </w:tr>
      <w:tr>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实际完成目标</w:t>
            </w:r>
          </w:p>
        </w:tc>
      </w:tr>
      <w:tr>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1</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1</w:t>
            </w:r>
          </w:p>
        </w:tc>
      </w:tr>
      <w:tr>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预期指标值(包含数字及文字描述)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实际完成指标值(包含数字及文字描述)</w:t>
            </w:r>
          </w:p>
        </w:tc>
      </w:tr>
      <w:tr>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添置少年宫教育教学设备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添置少年宫教育教学设备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添置少年宫教育教学设备</w:t>
            </w:r>
          </w:p>
        </w:tc>
      </w:tr>
      <w:tr>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补充少年宫活动耗材及活动用品一批</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补充少年宫活动耗材及活动用品一批</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补充少年宫活动耗材及活动用品一批</w:t>
            </w:r>
          </w:p>
        </w:tc>
      </w:tr>
      <w:tr>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改善少年宫活动条件，丰富少年宫活动内容</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改善少年宫活动条件，丰富少年宫活动内容</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改善少年宫活动条件，丰富少年宫活动内容</w:t>
            </w:r>
          </w:p>
        </w:tc>
      </w:tr>
      <w:tr>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丰富和提高师生文化及艺体素养</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丰富和提高师生文化及艺体素养</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丰富和提高师生文化及艺体素养</w:t>
            </w:r>
          </w:p>
        </w:tc>
      </w:tr>
      <w:tr>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90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90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90</w:t>
            </w:r>
          </w:p>
        </w:tc>
      </w:tr>
    </w:tbl>
    <w:p>
      <w:pPr>
        <w:spacing w:line="580" w:lineRule="exact"/>
        <w:ind w:left="630"/>
        <w:rPr>
          <w:rFonts w:ascii="仿宋_GB2312" w:hAnsi="仿宋_GB2312" w:eastAsia="仿宋_GB2312" w:cs="仿宋_GB2312"/>
          <w:sz w:val="32"/>
          <w:szCs w:val="32"/>
        </w:rPr>
      </w:pPr>
    </w:p>
    <w:p>
      <w:pPr>
        <w:spacing w:line="580" w:lineRule="exact"/>
        <w:ind w:left="630"/>
        <w:rPr>
          <w:rFonts w:ascii="仿宋_GB2312" w:hAnsi="仿宋_GB2312" w:eastAsia="仿宋_GB2312" w:cs="仿宋_GB2312"/>
          <w:sz w:val="32"/>
          <w:szCs w:val="32"/>
        </w:rPr>
      </w:pPr>
      <w:r>
        <w:rPr>
          <w:rFonts w:hint="eastAsia" w:ascii="楷体_GB2312" w:hAnsi="楷体_GB2312" w:eastAsia="楷体_GB2312" w:cs="楷体_GB2312"/>
          <w:sz w:val="32"/>
          <w:szCs w:val="32"/>
        </w:rPr>
        <w:t>2.部门绩效评价结果。</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本部门按要求对2019年部门整体支出绩效评价情况开展自评，《XX部门2019年部门整体支出绩效评价报告》见附件（附件1）。</w:t>
      </w:r>
    </w:p>
    <w:p>
      <w:pPr>
        <w:spacing w:line="580" w:lineRule="exact"/>
        <w:ind w:firstLine="640" w:firstLineChars="200"/>
        <w:rPr>
          <w:rFonts w:ascii="仿宋_GB2312" w:eastAsia="仿宋_GB2312"/>
          <w:b/>
          <w:color w:val="000000"/>
          <w:sz w:val="32"/>
          <w:szCs w:val="32"/>
        </w:rPr>
      </w:pPr>
      <w:r>
        <w:rPr>
          <w:rFonts w:hint="eastAsia" w:ascii="仿宋_GB2312" w:hAnsi="仿宋_GB2312" w:eastAsia="仿宋_GB2312" w:cs="仿宋_GB2312"/>
          <w:sz w:val="32"/>
          <w:szCs w:val="32"/>
        </w:rPr>
        <w:t>本部门自行组织对XXX项目、XXX项目开展了绩效评价，《XXX项目2019年绩效评价报告》见附件（附件2）。（非涉密部门均需公开部门整体支出评价报告，部门自行组织的绩效评价情况根据部门实际公开，若未组织项目绩效评价，则只需说明部门整体支出绩效评价情况）</w:t>
      </w:r>
    </w:p>
    <w:p>
      <w:pPr>
        <w:widowControl/>
        <w:jc w:val="left"/>
        <w:rPr>
          <w:rFonts w:ascii="仿宋_GB2312" w:eastAsia="仿宋_GB2312"/>
          <w:b/>
          <w:color w:val="000000"/>
          <w:sz w:val="32"/>
          <w:szCs w:val="32"/>
        </w:rPr>
      </w:pPr>
      <w:r>
        <w:rPr>
          <w:rFonts w:ascii="仿宋_GB2312" w:eastAsia="仿宋_GB2312"/>
          <w:b/>
          <w:color w:val="000000"/>
          <w:sz w:val="32"/>
          <w:szCs w:val="32"/>
        </w:rPr>
        <w:br w:type="page"/>
      </w:r>
    </w:p>
    <w:p>
      <w:pPr>
        <w:numPr>
          <w:ilvl w:val="0"/>
          <w:numId w:val="5"/>
        </w:numPr>
        <w:spacing w:line="600" w:lineRule="exact"/>
        <w:ind w:firstLine="660" w:firstLineChars="150"/>
        <w:jc w:val="center"/>
        <w:outlineLvl w:val="0"/>
        <w:rPr>
          <w:rStyle w:val="24"/>
          <w:rFonts w:ascii="黑体" w:hAnsi="黑体" w:eastAsia="黑体"/>
          <w:b w:val="0"/>
        </w:rPr>
      </w:pPr>
      <w:bookmarkStart w:id="55" w:name="_Toc15396613"/>
      <w:bookmarkStart w:id="56" w:name="_Toc15377225"/>
      <w:r>
        <w:rPr>
          <w:rFonts w:hint="eastAsia" w:ascii="黑体" w:hAnsi="黑体" w:eastAsia="黑体"/>
          <w:color w:val="000000"/>
          <w:sz w:val="44"/>
          <w:szCs w:val="44"/>
        </w:rPr>
        <w:t>名</w:t>
      </w:r>
      <w:r>
        <w:rPr>
          <w:rStyle w:val="24"/>
          <w:rFonts w:hint="eastAsia" w:ascii="黑体" w:hAnsi="黑体" w:eastAsia="黑体"/>
          <w:b w:val="0"/>
        </w:rPr>
        <w:t>词解释</w:t>
      </w:r>
      <w:bookmarkEnd w:id="55"/>
      <w:bookmarkEnd w:id="56"/>
    </w:p>
    <w:p>
      <w:pPr>
        <w:spacing w:line="600" w:lineRule="exact"/>
        <w:jc w:val="left"/>
        <w:rPr>
          <w:rFonts w:ascii="宋体"/>
          <w:b/>
          <w:color w:val="000000"/>
          <w:sz w:val="44"/>
          <w:szCs w:val="44"/>
        </w:rPr>
      </w:pPr>
    </w:p>
    <w:p>
      <w:pPr>
        <w:pStyle w:val="22"/>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财政拨款收入：指单位从同级财政部门取得的财政预算资金。</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事业收入：指事业单位开展专业业务活动及辅助活动取得的收入。如…（二级预算单位事业收入情况）等。</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经营收入：指事业单位在专业业务活动及其辅助活动之外开展非独立核算经营活动取得的收入。如…（二级预算单位经营收入情况）等。</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其他收入：指单位取得的除上述收入以外的各项收入。主要是…（收入类型）等。</w:t>
      </w:r>
      <w:r>
        <w:rPr>
          <w:rFonts w:ascii="仿宋_GB2312" w:eastAsia="仿宋_GB2312"/>
          <w:sz w:val="32"/>
          <w:szCs w:val="32"/>
        </w:rPr>
        <w:t xml:space="preserve"> </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sz w:val="32"/>
          <w:szCs w:val="32"/>
        </w:rPr>
        <w:t xml:space="preserve"> </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年初结转和结余：指以前年度尚未完成、结转到本年按有关规定继续使用的资金。</w:t>
      </w:r>
      <w:r>
        <w:rPr>
          <w:rFonts w:ascii="仿宋_GB2312" w:eastAsia="仿宋_GB2312"/>
          <w:sz w:val="32"/>
          <w:szCs w:val="32"/>
        </w:rPr>
        <w:t xml:space="preserve"> </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7.</w:t>
      </w:r>
      <w:r>
        <w:rPr>
          <w:rFonts w:hint="eastAsia" w:ascii="仿宋_GB2312" w:eastAsia="仿宋_GB2312"/>
          <w:sz w:val="32"/>
          <w:szCs w:val="32"/>
        </w:rPr>
        <w:t>结余分配：指事业单位按照事业单位会计制度的规定从非财政补助结余中分配的事业基金和职工福利基金等。</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8</w:t>
      </w:r>
      <w:r>
        <w:rPr>
          <w:rFonts w:hint="eastAsia" w:ascii="仿宋_GB2312" w:eastAsia="仿宋_GB2312"/>
          <w:sz w:val="32"/>
          <w:szCs w:val="32"/>
        </w:rPr>
        <w:t>、年末结转和结余：指单位按有关规定结转到下年或以后年度继续使用的资金。</w:t>
      </w:r>
    </w:p>
    <w:p>
      <w:pPr>
        <w:ind w:firstLine="640" w:firstLineChars="200"/>
        <w:rPr>
          <w:rFonts w:ascii="仿宋_GB2312" w:eastAsia="仿宋_GB2312"/>
          <w:color w:val="000000"/>
          <w:sz w:val="32"/>
          <w:szCs w:val="32"/>
        </w:rPr>
      </w:pPr>
      <w:r>
        <w:rPr>
          <w:rFonts w:ascii="仿宋_GB2312" w:eastAsia="仿宋_GB2312"/>
          <w:color w:val="000000"/>
          <w:sz w:val="32"/>
          <w:szCs w:val="32"/>
        </w:rPr>
        <w:t>9.</w:t>
      </w:r>
      <w:r>
        <w:rPr>
          <w:rFonts w:hint="eastAsia" w:ascii="仿宋_GB2312" w:eastAsia="仿宋_GB2312"/>
          <w:color w:val="000000"/>
          <w:sz w:val="32"/>
          <w:szCs w:val="32"/>
        </w:rPr>
        <w:t>一般公共服务（类）…（款）…（项）：指……。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10.</w:t>
      </w:r>
      <w:r>
        <w:rPr>
          <w:rFonts w:hint="eastAsia" w:ascii="仿宋_GB2312" w:eastAsia="仿宋_GB2312"/>
          <w:color w:val="000000"/>
          <w:sz w:val="32"/>
          <w:szCs w:val="32"/>
        </w:rPr>
        <w:t>外交（类）…（款）…（项）：指……。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11.</w:t>
      </w:r>
      <w:r>
        <w:rPr>
          <w:rFonts w:hint="eastAsia" w:ascii="仿宋_GB2312" w:eastAsia="仿宋_GB2312"/>
          <w:color w:val="000000"/>
          <w:sz w:val="32"/>
          <w:szCs w:val="32"/>
        </w:rPr>
        <w:t>公共安全（类）…（款）…（项）：指……。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12.</w:t>
      </w:r>
      <w:r>
        <w:rPr>
          <w:rFonts w:hint="eastAsia" w:ascii="仿宋_GB2312" w:eastAsia="仿宋_GB2312"/>
          <w:color w:val="000000"/>
          <w:sz w:val="32"/>
          <w:szCs w:val="32"/>
        </w:rPr>
        <w:t>教育（类）…（款）…（项）：指……。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13.</w:t>
      </w:r>
      <w:r>
        <w:rPr>
          <w:rFonts w:hint="eastAsia" w:ascii="仿宋_GB2312" w:eastAsia="仿宋_GB2312"/>
          <w:color w:val="000000"/>
          <w:sz w:val="32"/>
          <w:szCs w:val="32"/>
        </w:rPr>
        <w:t>科学技术（类）…（款）…（项）：指……。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14.</w:t>
      </w:r>
      <w:r>
        <w:rPr>
          <w:rFonts w:hint="eastAsia" w:ascii="仿宋_GB2312" w:eastAsia="仿宋_GB2312"/>
          <w:color w:val="000000"/>
          <w:sz w:val="32"/>
          <w:szCs w:val="32"/>
        </w:rPr>
        <w:t>文化体育与传媒（类）…（款）…（项）：指……。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15.</w:t>
      </w:r>
      <w:r>
        <w:rPr>
          <w:rFonts w:hint="eastAsia" w:ascii="仿宋_GB2312" w:eastAsia="仿宋_GB2312"/>
          <w:color w:val="000000"/>
          <w:sz w:val="32"/>
          <w:szCs w:val="32"/>
        </w:rPr>
        <w:t>社会保障和就业（类）…（款）…（项）：指……。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16.</w:t>
      </w:r>
      <w:r>
        <w:rPr>
          <w:rFonts w:hint="eastAsia" w:ascii="仿宋_GB2312" w:eastAsia="仿宋_GB2312"/>
          <w:color w:val="000000"/>
          <w:sz w:val="32"/>
          <w:szCs w:val="32"/>
        </w:rPr>
        <w:t>医疗卫生与计划生育（类）…（款）…（项）：指……。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17.</w:t>
      </w:r>
      <w:r>
        <w:rPr>
          <w:rFonts w:hint="eastAsia" w:ascii="仿宋_GB2312" w:eastAsia="仿宋_GB2312"/>
          <w:color w:val="000000"/>
          <w:sz w:val="32"/>
          <w:szCs w:val="32"/>
        </w:rPr>
        <w:t>节能环保（类）…（款）…（项）：指……。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18.</w:t>
      </w:r>
      <w:r>
        <w:rPr>
          <w:rFonts w:hint="eastAsia" w:ascii="仿宋_GB2312" w:eastAsia="仿宋_GB2312"/>
          <w:color w:val="000000"/>
          <w:sz w:val="32"/>
          <w:szCs w:val="32"/>
        </w:rPr>
        <w:t>城乡社区（类）…（款）…（项）：指……。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19.</w:t>
      </w:r>
      <w:r>
        <w:rPr>
          <w:rFonts w:hint="eastAsia" w:ascii="仿宋_GB2312" w:eastAsia="仿宋_GB2312"/>
          <w:color w:val="000000"/>
          <w:sz w:val="32"/>
          <w:szCs w:val="32"/>
        </w:rPr>
        <w:t>农林水（类）…（款）…（项）：指……。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20.</w:t>
      </w:r>
      <w:r>
        <w:rPr>
          <w:rFonts w:hint="eastAsia" w:ascii="仿宋_GB2312" w:eastAsia="仿宋_GB2312"/>
          <w:color w:val="000000"/>
          <w:sz w:val="32"/>
          <w:szCs w:val="32"/>
        </w:rPr>
        <w:t>交通运输（类）…（款）…（项）：指……。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21.</w:t>
      </w:r>
      <w:r>
        <w:rPr>
          <w:rFonts w:hint="eastAsia" w:ascii="仿宋_GB2312" w:eastAsia="仿宋_GB2312"/>
          <w:color w:val="000000"/>
          <w:sz w:val="32"/>
          <w:szCs w:val="32"/>
        </w:rPr>
        <w:t>资源勘探信息等（类）…（款）…（项）：指……。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22.</w:t>
      </w:r>
      <w:r>
        <w:rPr>
          <w:rFonts w:hint="eastAsia" w:ascii="仿宋_GB2312" w:eastAsia="仿宋_GB2312"/>
          <w:color w:val="000000"/>
          <w:sz w:val="32"/>
          <w:szCs w:val="32"/>
        </w:rPr>
        <w:t>商业服务业（类）…（款）…（项）：指……。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23.</w:t>
      </w:r>
      <w:r>
        <w:rPr>
          <w:rFonts w:hint="eastAsia" w:ascii="仿宋_GB2312" w:eastAsia="仿宋_GB2312"/>
          <w:color w:val="000000"/>
          <w:sz w:val="32"/>
          <w:szCs w:val="32"/>
        </w:rPr>
        <w:t>金融（类）…（款）…（项）：指……。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24.</w:t>
      </w:r>
      <w:r>
        <w:rPr>
          <w:rFonts w:hint="eastAsia" w:ascii="仿宋_GB2312" w:eastAsia="仿宋_GB2312"/>
          <w:color w:val="000000"/>
          <w:sz w:val="32"/>
          <w:szCs w:val="32"/>
        </w:rPr>
        <w:t>国土海洋气象等（类）…（款）…（项）：指……。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25.</w:t>
      </w:r>
      <w:r>
        <w:rPr>
          <w:rFonts w:hint="eastAsia" w:ascii="仿宋_GB2312" w:eastAsia="仿宋_GB2312"/>
          <w:color w:val="000000"/>
          <w:sz w:val="32"/>
          <w:szCs w:val="32"/>
        </w:rPr>
        <w:t>住房保障（类）…（款）…（项）：指……。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26.</w:t>
      </w:r>
      <w:r>
        <w:rPr>
          <w:rFonts w:hint="eastAsia" w:ascii="仿宋_GB2312" w:eastAsia="仿宋_GB2312"/>
          <w:color w:val="000000"/>
          <w:sz w:val="32"/>
          <w:szCs w:val="32"/>
        </w:rPr>
        <w:t>粮油物资储备（类）…（款）…（项）：指……。</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w:t>
      </w:r>
    </w:p>
    <w:p>
      <w:pPr>
        <w:spacing w:line="600" w:lineRule="exact"/>
        <w:ind w:firstLine="640"/>
        <w:rPr>
          <w:rFonts w:ascii="仿宋" w:hAnsi="仿宋" w:eastAsia="仿宋"/>
          <w:b/>
          <w:color w:val="000000"/>
          <w:sz w:val="32"/>
          <w:szCs w:val="32"/>
        </w:rPr>
      </w:pPr>
      <w:r>
        <w:rPr>
          <w:rFonts w:hint="eastAsia" w:ascii="仿宋" w:hAnsi="仿宋" w:eastAsia="仿宋"/>
          <w:b/>
          <w:color w:val="000000"/>
          <w:sz w:val="32"/>
          <w:szCs w:val="32"/>
        </w:rPr>
        <w:t>（解释本部门决算报表中全部功能分类科目至项级，请参照《</w:t>
      </w:r>
      <w:r>
        <w:rPr>
          <w:rFonts w:ascii="仿宋" w:hAnsi="仿宋" w:eastAsia="仿宋"/>
          <w:b/>
          <w:color w:val="000000"/>
          <w:sz w:val="32"/>
          <w:szCs w:val="32"/>
        </w:rPr>
        <w:t>201</w:t>
      </w:r>
      <w:r>
        <w:rPr>
          <w:rFonts w:hint="eastAsia" w:ascii="仿宋" w:hAnsi="仿宋" w:eastAsia="仿宋"/>
          <w:b/>
          <w:color w:val="000000"/>
          <w:sz w:val="32"/>
          <w:szCs w:val="32"/>
        </w:rPr>
        <w:t>9年政府收支分类科目》增减内容。）</w:t>
      </w:r>
    </w:p>
    <w:p>
      <w:pPr>
        <w:ind w:firstLine="640" w:firstLineChars="200"/>
        <w:rPr>
          <w:rFonts w:ascii="仿宋_GB2312" w:eastAsia="仿宋_GB2312"/>
          <w:color w:val="000000"/>
          <w:sz w:val="32"/>
          <w:szCs w:val="32"/>
        </w:rPr>
      </w:pPr>
      <w:r>
        <w:rPr>
          <w:rFonts w:ascii="仿宋_GB2312" w:eastAsia="仿宋_GB2312"/>
          <w:color w:val="000000"/>
          <w:sz w:val="32"/>
          <w:szCs w:val="32"/>
        </w:rPr>
        <w:t>27.</w:t>
      </w:r>
      <w:r>
        <w:rPr>
          <w:rFonts w:hint="eastAsia" w:ascii="仿宋_GB2312" w:eastAsia="仿宋_GB2312"/>
          <w:color w:val="000000"/>
          <w:sz w:val="32"/>
          <w:szCs w:val="32"/>
        </w:rPr>
        <w:t>基本支出：指为保障机构正常运转、完成日常工作任务而发生的人员支出和公用支出。</w:t>
      </w:r>
    </w:p>
    <w:p>
      <w:pPr>
        <w:ind w:firstLine="640" w:firstLineChars="200"/>
        <w:rPr>
          <w:rFonts w:ascii="仿宋_GB2312" w:eastAsia="仿宋_GB2312"/>
          <w:color w:val="000000"/>
          <w:sz w:val="32"/>
          <w:szCs w:val="32"/>
        </w:rPr>
      </w:pPr>
      <w:r>
        <w:rPr>
          <w:rFonts w:ascii="仿宋_GB2312" w:eastAsia="仿宋_GB2312"/>
          <w:color w:val="000000"/>
          <w:sz w:val="32"/>
          <w:szCs w:val="32"/>
        </w:rPr>
        <w:t>28.</w:t>
      </w:r>
      <w:r>
        <w:rPr>
          <w:rFonts w:hint="eastAsia" w:ascii="仿宋_GB2312" w:eastAsia="仿宋_GB2312"/>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pPr>
        <w:ind w:firstLine="640" w:firstLineChars="200"/>
        <w:rPr>
          <w:rFonts w:ascii="仿宋_GB2312" w:eastAsia="仿宋_GB2312"/>
          <w:color w:val="000000"/>
          <w:sz w:val="32"/>
          <w:szCs w:val="32"/>
        </w:rPr>
      </w:pPr>
      <w:r>
        <w:rPr>
          <w:rFonts w:ascii="仿宋_GB2312" w:eastAsia="仿宋_GB2312"/>
          <w:color w:val="000000"/>
          <w:sz w:val="32"/>
          <w:szCs w:val="32"/>
        </w:rPr>
        <w:t>29.</w:t>
      </w:r>
      <w:r>
        <w:rPr>
          <w:rFonts w:hint="eastAsia" w:ascii="仿宋_GB2312" w:eastAsia="仿宋_GB2312"/>
          <w:color w:val="000000"/>
          <w:sz w:val="32"/>
          <w:szCs w:val="32"/>
        </w:rPr>
        <w:t>经营支出：指事业单位在专业业务活动及其辅助活动之外开展非独立核算经营活动发生的支出。</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30.</w:t>
      </w:r>
      <w:r>
        <w:rPr>
          <w:rFonts w:hint="eastAsia" w:ascii="仿宋_GB2312" w:eastAsia="仿宋_GB2312"/>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31.</w:t>
      </w: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32.</w:t>
      </w:r>
      <w:r>
        <w:rPr>
          <w:rFonts w:hint="eastAsia" w:ascii="仿宋_GB2312" w:eastAsia="仿宋_GB2312"/>
          <w:sz w:val="32"/>
          <w:szCs w:val="32"/>
        </w:rPr>
        <w:t>……。</w:t>
      </w:r>
    </w:p>
    <w:p>
      <w:pPr>
        <w:pStyle w:val="22"/>
        <w:spacing w:line="560" w:lineRule="exact"/>
        <w:ind w:firstLine="640" w:firstLineChars="200"/>
        <w:rPr>
          <w:rFonts w:ascii="仿宋_GB2312" w:eastAsia="仿宋_GB2312" w:cs="黑体"/>
          <w:sz w:val="32"/>
          <w:szCs w:val="32"/>
        </w:rPr>
      </w:pPr>
    </w:p>
    <w:p>
      <w:pPr>
        <w:ind w:firstLine="643" w:firstLineChars="200"/>
        <w:rPr>
          <w:rFonts w:ascii="仿宋" w:hAnsi="仿宋" w:eastAsia="仿宋"/>
          <w:b/>
          <w:color w:val="000000"/>
          <w:sz w:val="32"/>
          <w:szCs w:val="32"/>
        </w:rPr>
      </w:pPr>
      <w:r>
        <w:rPr>
          <w:rFonts w:hint="eastAsia" w:ascii="仿宋" w:hAnsi="仿宋" w:eastAsia="仿宋"/>
          <w:b/>
          <w:color w:val="000000"/>
          <w:sz w:val="32"/>
          <w:szCs w:val="32"/>
        </w:rPr>
        <w:t>（名词解释部分请根据各部门实际列支情况罗列，并根据本部门职责职能增减名词解释内容。）</w:t>
      </w:r>
    </w:p>
    <w:p>
      <w:pPr>
        <w:spacing w:line="600" w:lineRule="exact"/>
        <w:jc w:val="center"/>
        <w:outlineLvl w:val="0"/>
        <w:rPr>
          <w:rStyle w:val="24"/>
          <w:rFonts w:ascii="黑体" w:hAnsi="黑体" w:eastAsia="黑体"/>
          <w:b w:val="0"/>
        </w:rPr>
      </w:pPr>
      <w:bookmarkStart w:id="57" w:name="_Toc15377226"/>
      <w:r>
        <w:rPr>
          <w:rFonts w:ascii="宋体"/>
          <w:b/>
          <w:color w:val="000000"/>
          <w:sz w:val="44"/>
          <w:szCs w:val="44"/>
        </w:rPr>
        <w:br w:type="page"/>
      </w:r>
      <w:bookmarkStart w:id="58" w:name="_Toc15396614"/>
      <w:r>
        <w:rPr>
          <w:rFonts w:hint="eastAsia" w:ascii="黑体" w:hAnsi="黑体" w:eastAsia="黑体"/>
          <w:color w:val="000000"/>
          <w:sz w:val="44"/>
          <w:szCs w:val="44"/>
        </w:rPr>
        <w:t>第</w:t>
      </w:r>
      <w:r>
        <w:rPr>
          <w:rStyle w:val="24"/>
          <w:rFonts w:hint="eastAsia" w:ascii="黑体" w:hAnsi="黑体" w:eastAsia="黑体"/>
          <w:b w:val="0"/>
        </w:rPr>
        <w:t>四部分 附件</w:t>
      </w:r>
      <w:bookmarkEnd w:id="58"/>
    </w:p>
    <w:p>
      <w:pPr>
        <w:spacing w:line="600" w:lineRule="exact"/>
        <w:jc w:val="left"/>
        <w:outlineLvl w:val="0"/>
        <w:rPr>
          <w:rFonts w:ascii="方正小标宋简体" w:hAnsi="方正小标宋简体" w:eastAsia="方正小标宋简体" w:cs="方正小标宋简体"/>
          <w:sz w:val="32"/>
          <w:szCs w:val="32"/>
        </w:rPr>
      </w:pPr>
      <w:r>
        <w:rPr>
          <w:rFonts w:hint="eastAsia" w:ascii="黑体" w:hAnsi="黑体" w:eastAsia="黑体" w:cs="黑体"/>
          <w:sz w:val="32"/>
          <w:szCs w:val="32"/>
        </w:rPr>
        <w:t>附件1</w:t>
      </w:r>
    </w:p>
    <w:p>
      <w:pPr>
        <w:spacing w:line="580" w:lineRule="exact"/>
        <w:jc w:val="center"/>
        <w:rPr>
          <w:rFonts w:ascii="方正小标宋简体" w:hAnsi="方正小标宋简体" w:eastAsia="方正小标宋简体" w:cs="方正小标宋简体"/>
          <w:sz w:val="44"/>
          <w:szCs w:val="44"/>
        </w:rPr>
      </w:pPr>
    </w:p>
    <w:p>
      <w:pPr>
        <w:spacing w:line="600" w:lineRule="exact"/>
        <w:jc w:val="center"/>
        <w:rPr>
          <w:rFonts w:ascii="方正小标宋简体" w:hAnsi="宋体" w:eastAsia="方正小标宋简体"/>
          <w:color w:val="000000"/>
          <w:kern w:val="0"/>
          <w:sz w:val="40"/>
          <w:szCs w:val="44"/>
          <w:lang w:val="zh-CN"/>
        </w:rPr>
      </w:pPr>
      <w:r>
        <w:rPr>
          <w:rFonts w:hint="eastAsia" w:ascii="方正小标宋简体" w:hAnsi="宋体" w:eastAsia="方正小标宋简体"/>
          <w:color w:val="000000"/>
          <w:kern w:val="0"/>
          <w:sz w:val="40"/>
          <w:szCs w:val="44"/>
        </w:rPr>
        <w:t>松林镇学校</w:t>
      </w:r>
      <w:r>
        <w:rPr>
          <w:rFonts w:hint="eastAsia" w:ascii="方正小标宋简体" w:hAnsi="宋体" w:eastAsia="方正小标宋简体"/>
          <w:color w:val="000000"/>
          <w:kern w:val="0"/>
          <w:sz w:val="40"/>
          <w:szCs w:val="44"/>
          <w:lang w:val="zh-CN"/>
        </w:rPr>
        <w:t>部门</w:t>
      </w:r>
      <w:r>
        <w:rPr>
          <w:rFonts w:ascii="方正小标宋简体" w:hAnsi="宋体" w:eastAsia="方正小标宋简体"/>
          <w:color w:val="000000"/>
          <w:kern w:val="0"/>
          <w:sz w:val="40"/>
          <w:szCs w:val="44"/>
        </w:rPr>
        <w:t>2019年部门</w:t>
      </w:r>
      <w:r>
        <w:rPr>
          <w:rFonts w:hint="eastAsia" w:ascii="方正小标宋简体" w:hAnsi="宋体" w:eastAsia="方正小标宋简体"/>
          <w:color w:val="000000"/>
          <w:kern w:val="0"/>
          <w:sz w:val="40"/>
          <w:szCs w:val="44"/>
          <w:lang w:val="zh-CN"/>
        </w:rPr>
        <w:t>整体支出绩效评价报告</w:t>
      </w:r>
    </w:p>
    <w:p>
      <w:pPr>
        <w:widowControl/>
        <w:spacing w:line="580" w:lineRule="exact"/>
        <w:ind w:firstLine="640" w:firstLineChars="200"/>
        <w:contextualSpacing/>
        <w:jc w:val="center"/>
        <w:rPr>
          <w:rFonts w:ascii="仿宋_GB2312" w:hAnsi="宋体" w:eastAsia="仿宋_GB2312"/>
          <w:sz w:val="32"/>
          <w:szCs w:val="32"/>
          <w:shd w:val="clear" w:color="auto" w:fill="FFFFFF"/>
        </w:rPr>
      </w:pPr>
      <w:r>
        <w:rPr>
          <w:rFonts w:hint="eastAsia" w:ascii="仿宋_GB2312" w:hAnsi="宋体" w:eastAsia="仿宋_GB2312"/>
          <w:sz w:val="32"/>
          <w:szCs w:val="32"/>
          <w:shd w:val="clear" w:color="auto" w:fill="FFFFFF"/>
        </w:rPr>
        <w:t>（报告范围包括机关和下属单位）</w:t>
      </w:r>
    </w:p>
    <w:p>
      <w:pPr>
        <w:widowControl/>
        <w:adjustRightInd w:val="0"/>
        <w:snapToGrid w:val="0"/>
        <w:spacing w:line="580" w:lineRule="exact"/>
        <w:ind w:firstLine="480" w:firstLineChars="200"/>
        <w:contextualSpacing/>
        <w:jc w:val="left"/>
        <w:rPr>
          <w:rFonts w:ascii="黑体" w:hAnsi="宋体" w:eastAsia="黑体" w:cs="宋体"/>
          <w:color w:val="000000"/>
          <w:kern w:val="0"/>
          <w:sz w:val="24"/>
          <w:szCs w:val="32"/>
          <w:shd w:val="clear" w:color="auto" w:fill="FFFFFF"/>
        </w:rPr>
      </w:pP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lang w:val="zh-CN"/>
        </w:rPr>
      </w:pPr>
      <w:r>
        <w:rPr>
          <w:rFonts w:hint="eastAsia" w:ascii="黑体" w:hAnsi="宋体" w:eastAsia="黑体" w:cs="宋体"/>
          <w:color w:val="000000"/>
          <w:kern w:val="0"/>
          <w:sz w:val="32"/>
          <w:szCs w:val="32"/>
          <w:shd w:val="clear" w:color="auto" w:fill="FFFFFF"/>
        </w:rPr>
        <w:t>一、</w:t>
      </w:r>
      <w:r>
        <w:rPr>
          <w:rFonts w:hint="eastAsia" w:ascii="黑体" w:hAnsi="宋体" w:eastAsia="黑体" w:cs="宋体"/>
          <w:color w:val="000000"/>
          <w:kern w:val="0"/>
          <w:sz w:val="32"/>
          <w:szCs w:val="32"/>
          <w:shd w:val="clear" w:color="auto" w:fill="FFFFFF"/>
          <w:lang w:val="zh-CN"/>
        </w:rPr>
        <w:t>部门（单位）概况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（一）机构组成。</w:t>
      </w:r>
    </w:p>
    <w:p>
      <w:pPr>
        <w:autoSpaceDE w:val="0"/>
        <w:autoSpaceDN w:val="0"/>
        <w:adjustRightInd w:val="0"/>
        <w:ind w:firstLine="600" w:firstLineChars="200"/>
        <w:jc w:val="left"/>
        <w:rPr>
          <w:rFonts w:hint="eastAsia" w:ascii="宋体" w:hAnsi="宋体" w:cs="仿宋_GB2312"/>
          <w:kern w:val="0"/>
          <w:sz w:val="30"/>
          <w:szCs w:val="30"/>
        </w:rPr>
      </w:pPr>
      <w:r>
        <w:rPr>
          <w:rFonts w:hint="eastAsia" w:ascii="宋体" w:hAnsi="宋体"/>
          <w:kern w:val="0"/>
          <w:sz w:val="30"/>
          <w:szCs w:val="30"/>
        </w:rPr>
        <w:t>广汉市连山镇松林学校的基本职能为九年一贯制中小学。</w:t>
      </w:r>
      <w:r>
        <w:rPr>
          <w:rFonts w:hint="eastAsia" w:ascii="宋体" w:hAnsi="宋体" w:cs="仿宋_GB2312"/>
          <w:kern w:val="0"/>
          <w:sz w:val="30"/>
          <w:szCs w:val="30"/>
        </w:rPr>
        <w:t>认真贯彻落实党的教育方针，坚持依法办学，认真履行教育法、教师法等法律法规，积极做好教师队伍培训，重点做好校园安全和师生的安全教育工作，努力完成好各项教育教学任务。</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（二）机构职能。</w:t>
      </w:r>
    </w:p>
    <w:p>
      <w:pPr>
        <w:snapToGrid w:val="0"/>
        <w:spacing w:line="520" w:lineRule="exact"/>
        <w:ind w:firstLine="600" w:firstLineChars="200"/>
        <w:rPr>
          <w:rFonts w:hint="eastAsia" w:ascii="宋体" w:hAnsi="宋体"/>
          <w:sz w:val="30"/>
          <w:szCs w:val="30"/>
        </w:rPr>
      </w:pPr>
      <w:r>
        <w:rPr>
          <w:rFonts w:hint="eastAsia" w:ascii="宋体" w:hAnsi="宋体"/>
          <w:sz w:val="30"/>
          <w:szCs w:val="30"/>
        </w:rPr>
        <w:t>学校设有办公室、教务处、政教处、总务处等四个处室。</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（三）人员概况。</w:t>
      </w:r>
    </w:p>
    <w:p>
      <w:pPr>
        <w:autoSpaceDE w:val="0"/>
        <w:autoSpaceDN w:val="0"/>
        <w:adjustRightInd w:val="0"/>
        <w:spacing w:line="580" w:lineRule="exact"/>
        <w:ind w:firstLine="600" w:firstLineChars="200"/>
        <w:jc w:val="left"/>
        <w:rPr>
          <w:rFonts w:hint="eastAsia" w:ascii="宋体" w:hAnsi="宋体"/>
          <w:kern w:val="0"/>
          <w:sz w:val="30"/>
          <w:szCs w:val="30"/>
        </w:rPr>
      </w:pPr>
      <w:r>
        <w:rPr>
          <w:rFonts w:hint="eastAsia" w:ascii="宋体" w:hAnsi="宋体"/>
          <w:sz w:val="30"/>
          <w:szCs w:val="30"/>
        </w:rPr>
        <w:t>我校为财政全额拨款事业单位，学校全部收支纳入财政综合预算。</w:t>
      </w:r>
      <w:r>
        <w:rPr>
          <w:rFonts w:hint="eastAsia" w:ascii="宋体" w:hAnsi="宋体"/>
          <w:kern w:val="0"/>
          <w:sz w:val="30"/>
          <w:szCs w:val="30"/>
        </w:rPr>
        <w:t>2019年我校现有编制数89人，在职教职工82人，退休职工46人，特岗教师6人，内设机构1个，学校无公务车。</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二、部门财政资金收支情况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（一）部门财政资金收入情况。</w:t>
      </w:r>
    </w:p>
    <w:p>
      <w:pPr>
        <w:autoSpaceDE w:val="0"/>
        <w:autoSpaceDN w:val="0"/>
        <w:adjustRightInd w:val="0"/>
        <w:spacing w:line="580" w:lineRule="exact"/>
        <w:ind w:firstLine="600" w:firstLineChars="200"/>
        <w:jc w:val="left"/>
        <w:rPr>
          <w:rFonts w:ascii="宋体" w:hAnsi="宋体"/>
          <w:kern w:val="0"/>
          <w:sz w:val="30"/>
          <w:szCs w:val="30"/>
        </w:rPr>
      </w:pPr>
      <w:r>
        <w:rPr>
          <w:rFonts w:hint="eastAsia" w:ascii="宋体" w:hAnsi="宋体"/>
          <w:kern w:val="0"/>
          <w:sz w:val="30"/>
          <w:szCs w:val="30"/>
        </w:rPr>
        <w:t>广汉市连山镇松林学校2019年初结转和结余为22.85万元，2019年预算收入总额为1223.41万元，其中：教育支出888.26万元，社会保障和就业支出193.89万元，医疗卫生与计划生育支出62.09万元，住房保障支出83.71万元，中央专项彩票公益金支持项目农村少年宫项目资金5.00万元。</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rPr>
      </w:pP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（二）部门财政资金支出情况。</w:t>
      </w:r>
    </w:p>
    <w:p>
      <w:pPr>
        <w:autoSpaceDE w:val="0"/>
        <w:autoSpaceDN w:val="0"/>
        <w:adjustRightInd w:val="0"/>
        <w:spacing w:line="580" w:lineRule="exact"/>
        <w:ind w:firstLine="600" w:firstLineChars="200"/>
        <w:jc w:val="left"/>
        <w:rPr>
          <w:rFonts w:hint="eastAsia" w:ascii="宋体" w:hAnsi="宋体"/>
          <w:kern w:val="0"/>
          <w:sz w:val="30"/>
          <w:szCs w:val="30"/>
        </w:rPr>
      </w:pPr>
      <w:r>
        <w:rPr>
          <w:rFonts w:hint="eastAsia" w:ascii="宋体" w:hAnsi="宋体"/>
          <w:kern w:val="0"/>
          <w:sz w:val="30"/>
          <w:szCs w:val="30"/>
        </w:rPr>
        <w:t>广汉市连山镇松林学校2019年决算支出总额为1232.96万元，其中：教育支出888.26万元，社会保障和就业支出193.89万元，医疗卫生与计划生育支出62.09万元，住房保障支出83.71万元，中央专项彩票公益金支持项目农村少年宫项目资金5.00万元。</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三、部门整体预算绩效管理情况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（一）部门预算管理。</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包括部门绩效目标制定、目标实现、预算编制准确、支出控制、预算动态调整、执行进度、预算完成情况和违规记录等情况。</w:t>
      </w:r>
    </w:p>
    <w:p>
      <w:pPr>
        <w:snapToGrid w:val="0"/>
        <w:spacing w:line="588" w:lineRule="exact"/>
        <w:ind w:firstLine="600" w:firstLineChars="200"/>
        <w:rPr>
          <w:rFonts w:ascii="宋体" w:hAnsi="宋体"/>
          <w:sz w:val="30"/>
          <w:szCs w:val="30"/>
        </w:rPr>
      </w:pPr>
      <w:r>
        <w:rPr>
          <w:rFonts w:hint="eastAsia" w:ascii="宋体" w:hAnsi="宋体"/>
          <w:sz w:val="30"/>
          <w:szCs w:val="30"/>
        </w:rPr>
        <w:t>（一）本单位遵照上级部门要求，认真进行财务预、决算组织、编报、审核及预决算公开工作。严格按照预算执行学校财务支付。</w:t>
      </w:r>
    </w:p>
    <w:p>
      <w:pPr>
        <w:snapToGrid w:val="0"/>
        <w:spacing w:line="588" w:lineRule="exact"/>
        <w:ind w:firstLine="600" w:firstLineChars="200"/>
        <w:rPr>
          <w:rFonts w:ascii="宋体" w:hAnsi="宋体"/>
          <w:sz w:val="30"/>
          <w:szCs w:val="30"/>
        </w:rPr>
      </w:pPr>
      <w:r>
        <w:rPr>
          <w:rFonts w:hint="eastAsia" w:ascii="宋体" w:hAnsi="宋体"/>
          <w:sz w:val="30"/>
          <w:szCs w:val="30"/>
        </w:rPr>
        <w:t>（二）建立健全学校财务制度，严格按照制度规范学校财务行为，坚持公开公平公正原则，将学校经济活动置于全体教职员工监督之下。</w:t>
      </w:r>
    </w:p>
    <w:p>
      <w:pPr>
        <w:snapToGrid w:val="0"/>
        <w:spacing w:line="588" w:lineRule="exact"/>
        <w:ind w:firstLine="600" w:firstLineChars="200"/>
        <w:rPr>
          <w:rFonts w:ascii="宋体" w:hAnsi="宋体"/>
          <w:sz w:val="30"/>
          <w:szCs w:val="30"/>
        </w:rPr>
      </w:pPr>
      <w:r>
        <w:rPr>
          <w:rFonts w:hint="eastAsia" w:ascii="宋体" w:hAnsi="宋体"/>
          <w:sz w:val="30"/>
          <w:szCs w:val="30"/>
        </w:rPr>
        <w:t>（三）建立健全内控制度，严格按照内控制度流程规范实施学校经济活动，充分发挥学校内审小组职能，每月按时对学校账务进行审核，发现问题，及时纠正。</w:t>
      </w:r>
    </w:p>
    <w:p>
      <w:pPr>
        <w:ind w:firstLine="600" w:firstLineChars="200"/>
        <w:rPr>
          <w:rFonts w:ascii="宋体" w:hAnsi="宋体"/>
          <w:sz w:val="30"/>
          <w:szCs w:val="30"/>
        </w:rPr>
      </w:pPr>
      <w:r>
        <w:rPr>
          <w:rFonts w:hint="eastAsia" w:ascii="宋体" w:hAnsi="宋体"/>
          <w:sz w:val="30"/>
          <w:szCs w:val="30"/>
        </w:rPr>
        <w:t>（四）遵守国家财经纪律和财务会计各项制度，加强财务管理，提高资金使用效益。分清资金渠道，严格掌握费用、开支范围和开支标准，认真审核原始凭证。对不符合制度规定的收支或手续不全、凭证不实者有权拒付，属于违反财经纪律的行为，必须坚决抵制。</w:t>
      </w:r>
    </w:p>
    <w:p>
      <w:pPr>
        <w:autoSpaceDE w:val="0"/>
        <w:autoSpaceDN w:val="0"/>
        <w:adjustRightInd w:val="0"/>
        <w:spacing w:line="580" w:lineRule="exact"/>
        <w:ind w:firstLine="600" w:firstLineChars="200"/>
        <w:jc w:val="left"/>
        <w:rPr>
          <w:rFonts w:ascii="宋体" w:hAnsi="宋体"/>
          <w:kern w:val="0"/>
          <w:sz w:val="30"/>
          <w:szCs w:val="30"/>
        </w:rPr>
      </w:pPr>
      <w:r>
        <w:rPr>
          <w:rFonts w:hint="eastAsia" w:ascii="宋体" w:hAnsi="宋体"/>
          <w:kern w:val="0"/>
          <w:sz w:val="30"/>
          <w:szCs w:val="30"/>
        </w:rPr>
        <w:t>2019年预算收入总额为1223.41万元，其中：人员经费为1059.92万元，日常公用经费为168.04万元，项目支出5.00万元。</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（二）结果应用情况。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包括绩效自评公开、评价结果整改和应用结果反馈等情况。</w:t>
      </w:r>
    </w:p>
    <w:p>
      <w:pPr>
        <w:autoSpaceDE w:val="0"/>
        <w:autoSpaceDN w:val="0"/>
        <w:adjustRightInd w:val="0"/>
        <w:spacing w:line="580" w:lineRule="exact"/>
        <w:ind w:firstLine="600" w:firstLineChars="200"/>
        <w:jc w:val="left"/>
        <w:rPr>
          <w:rFonts w:hint="eastAsia" w:ascii="宋体" w:hAnsi="宋体"/>
          <w:kern w:val="0"/>
          <w:sz w:val="30"/>
          <w:szCs w:val="30"/>
        </w:rPr>
      </w:pPr>
      <w:r>
        <w:rPr>
          <w:rFonts w:hint="eastAsia" w:ascii="宋体" w:hAnsi="宋体"/>
          <w:kern w:val="0"/>
          <w:sz w:val="30"/>
          <w:szCs w:val="30"/>
        </w:rPr>
        <w:t>广汉市连山镇松林学校严格按照预算执行。在收到财政下达的各类款项后，按照资金的用途使用，支出总额控制在预算总额以内，按照预算执行进度，及时支付。2019年末结转结余资金为17.68万元。</w:t>
      </w:r>
    </w:p>
    <w:p>
      <w:pPr>
        <w:autoSpaceDE w:val="0"/>
        <w:autoSpaceDN w:val="0"/>
        <w:adjustRightInd w:val="0"/>
        <w:spacing w:line="580" w:lineRule="exact"/>
        <w:ind w:firstLine="600" w:firstLineChars="200"/>
        <w:jc w:val="left"/>
        <w:rPr>
          <w:rFonts w:ascii="宋体" w:hAnsi="宋体"/>
          <w:kern w:val="0"/>
          <w:sz w:val="30"/>
          <w:szCs w:val="30"/>
        </w:rPr>
      </w:pPr>
      <w:r>
        <w:rPr>
          <w:rFonts w:hint="eastAsia" w:ascii="宋体" w:hAnsi="宋体"/>
          <w:kern w:val="0"/>
          <w:sz w:val="30"/>
          <w:szCs w:val="30"/>
        </w:rPr>
        <w:t>广汉市连山镇松林学校严格遵守各项财经纪律，加强学校财务管理工作，制定了相关规章制度，加强和细化了预算编制，严格按照预算执行，确保财务收支平衡，保障学校工作正常开展和教育教学目标的完成。</w:t>
      </w:r>
    </w:p>
    <w:p>
      <w:pPr>
        <w:autoSpaceDE w:val="0"/>
        <w:autoSpaceDN w:val="0"/>
        <w:adjustRightInd w:val="0"/>
        <w:spacing w:line="580" w:lineRule="exact"/>
        <w:ind w:firstLine="600" w:firstLineChars="200"/>
        <w:jc w:val="left"/>
        <w:rPr>
          <w:rFonts w:hint="eastAsia" w:ascii="宋体" w:hAnsi="宋体"/>
          <w:kern w:val="0"/>
          <w:sz w:val="30"/>
          <w:szCs w:val="30"/>
        </w:rPr>
      </w:pPr>
      <w:r>
        <w:rPr>
          <w:rFonts w:hint="eastAsia" w:ascii="宋体" w:hAnsi="宋体"/>
          <w:kern w:val="0"/>
          <w:sz w:val="30"/>
          <w:szCs w:val="30"/>
        </w:rPr>
        <w:t>根据学校的具体情况，广汉市连山镇松林学校制定了《广汉市连山镇松林学校内部控制制度》，进一步完善了财务收支审批制度、会计工作人员岗位制度等相关制度，相关工作人员在工作中严格执行规章制度，加强了内部监督和控制，加强了对学校资产的监督和管理，财务运行透明，按照财政局的要求，广汉市连山镇松林学校及时对预算和决算信息进行公开，接受广大人民群众的监督。</w:t>
      </w:r>
    </w:p>
    <w:p>
      <w:pPr>
        <w:spacing w:line="580" w:lineRule="exact"/>
        <w:ind w:firstLine="600" w:firstLineChars="200"/>
        <w:rPr>
          <w:rFonts w:hint="eastAsia" w:ascii="宋体" w:hAnsi="宋体"/>
          <w:sz w:val="30"/>
          <w:szCs w:val="30"/>
        </w:rPr>
      </w:pPr>
      <w:r>
        <w:rPr>
          <w:rFonts w:hint="eastAsia" w:ascii="宋体" w:hAnsi="宋体"/>
          <w:kern w:val="0"/>
          <w:sz w:val="30"/>
          <w:szCs w:val="30"/>
        </w:rPr>
        <w:t>广汉市连山镇松林学校</w:t>
      </w:r>
      <w:r>
        <w:rPr>
          <w:rFonts w:hint="eastAsia" w:ascii="宋体" w:hAnsi="宋体"/>
          <w:sz w:val="30"/>
          <w:szCs w:val="30"/>
        </w:rPr>
        <w:t>以党的教育方针和</w:t>
      </w:r>
      <w:r>
        <w:rPr>
          <w:rFonts w:hint="eastAsia" w:ascii="宋体" w:hAnsi="宋体"/>
          <w:sz w:val="30"/>
          <w:szCs w:val="30"/>
          <w:lang w:val="en-US" w:eastAsia="zh-CN"/>
        </w:rPr>
        <w:t>党的</w:t>
      </w:r>
      <w:bookmarkStart w:id="73" w:name="_GoBack"/>
      <w:bookmarkEnd w:id="73"/>
      <w:r>
        <w:rPr>
          <w:rFonts w:hint="eastAsia" w:ascii="宋体" w:hAnsi="宋体"/>
          <w:sz w:val="30"/>
          <w:szCs w:val="30"/>
        </w:rPr>
        <w:t>十九大精神为指导，以广汉市教育局工作要点为依据，把思想统一到以人为本上，做到再提升；把精力集中到提高教育质量上，做到再强化；把力量凝聚到教育均衡发展上，做到再攻坚；把着力点放到作风转变上，做到更务实，攻坚克难，努力办好人民满意教育。把“立德树人”作为教育的根本任务，以“提升学校教育质量、提升师生综合素质、提升学校内涵品质、凸显学校办学特色”为工作目标，深入推进校园文化建设、教师素质提升工程的重点工作，全面提高学校的综合实力和办学水平。</w:t>
      </w:r>
    </w:p>
    <w:p>
      <w:pPr>
        <w:spacing w:line="580" w:lineRule="exact"/>
        <w:ind w:firstLine="600" w:firstLineChars="200"/>
        <w:rPr>
          <w:rFonts w:hint="eastAsia" w:ascii="宋体" w:hAnsi="宋体"/>
          <w:kern w:val="0"/>
          <w:sz w:val="30"/>
          <w:szCs w:val="30"/>
        </w:rPr>
      </w:pPr>
      <w:r>
        <w:rPr>
          <w:rFonts w:hint="eastAsia" w:ascii="宋体" w:hAnsi="宋体"/>
          <w:kern w:val="0"/>
          <w:sz w:val="30"/>
          <w:szCs w:val="30"/>
        </w:rPr>
        <w:t>广汉市连山镇松林学校2019年完成了323名困难寄宿生生活补助，完成了955名适龄儿童九年义务教育任务，参与乡村教师网络研修88人，义务教育巩固率100%，校园文化建设进一步提高，提升了学校、教师社会影响力。</w:t>
      </w:r>
    </w:p>
    <w:p>
      <w:pPr>
        <w:autoSpaceDE w:val="0"/>
        <w:autoSpaceDN w:val="0"/>
        <w:adjustRightInd w:val="0"/>
        <w:spacing w:line="580" w:lineRule="exact"/>
        <w:ind w:firstLine="600" w:firstLineChars="200"/>
        <w:jc w:val="left"/>
        <w:rPr>
          <w:rFonts w:ascii="宋体" w:hAnsi="宋体"/>
          <w:kern w:val="0"/>
          <w:sz w:val="30"/>
          <w:szCs w:val="30"/>
        </w:rPr>
      </w:pP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四、评价结论及建议</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（一）评价结论。</w:t>
      </w:r>
    </w:p>
    <w:p>
      <w:pPr>
        <w:spacing w:line="580" w:lineRule="exact"/>
        <w:ind w:firstLine="600" w:firstLineChars="200"/>
        <w:rPr>
          <w:rFonts w:hint="eastAsia" w:ascii="宋体" w:hAnsi="宋体"/>
          <w:kern w:val="0"/>
          <w:sz w:val="30"/>
          <w:szCs w:val="30"/>
        </w:rPr>
      </w:pPr>
      <w:r>
        <w:rPr>
          <w:rFonts w:hint="eastAsia" w:ascii="宋体" w:hAnsi="宋体"/>
          <w:kern w:val="0"/>
          <w:sz w:val="30"/>
          <w:szCs w:val="30"/>
        </w:rPr>
        <w:t>广汉市连山镇松林学校在预算编制、预算执行和支出绩效方面，都按照规定严格执行，合理安排支出，无追加预算现象发生，使财政资金发挥最大效益。</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（二）存在问题。</w:t>
      </w:r>
    </w:p>
    <w:p>
      <w:pPr>
        <w:widowControl/>
        <w:adjustRightInd w:val="0"/>
        <w:snapToGrid w:val="0"/>
        <w:spacing w:line="580" w:lineRule="exact"/>
        <w:ind w:firstLine="600" w:firstLineChars="200"/>
        <w:contextualSpacing/>
        <w:jc w:val="left"/>
        <w:rPr>
          <w:rFonts w:ascii="仿宋_GB2312" w:hAnsi="宋体" w:eastAsia="仿宋_GB2312" w:cs="宋体"/>
          <w:color w:val="000000"/>
          <w:kern w:val="0"/>
          <w:sz w:val="30"/>
          <w:szCs w:val="30"/>
          <w:shd w:val="clear" w:color="auto" w:fill="FFFFFF"/>
          <w:lang w:val="zh-CN"/>
        </w:rPr>
      </w:pPr>
      <w:r>
        <w:rPr>
          <w:rFonts w:hint="eastAsia" w:ascii="宋体" w:hAnsi="宋体"/>
          <w:kern w:val="0"/>
          <w:sz w:val="30"/>
          <w:szCs w:val="30"/>
        </w:rPr>
        <w:t>预算编制细化程度不够。</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（三）改进建议。</w:t>
      </w:r>
    </w:p>
    <w:p>
      <w:pPr>
        <w:spacing w:line="580" w:lineRule="exact"/>
        <w:ind w:firstLine="600" w:firstLineChars="200"/>
        <w:rPr>
          <w:rFonts w:hint="eastAsia" w:ascii="宋体" w:hAnsi="宋体"/>
          <w:kern w:val="0"/>
          <w:sz w:val="30"/>
          <w:szCs w:val="30"/>
        </w:rPr>
      </w:pPr>
      <w:r>
        <w:rPr>
          <w:rFonts w:hint="eastAsia" w:ascii="宋体" w:hAnsi="宋体"/>
          <w:kern w:val="0"/>
          <w:sz w:val="30"/>
          <w:szCs w:val="30"/>
        </w:rPr>
        <w:t>广汉市连山镇松林学校将进一步重视预算编制工作，提高预算编制的精确度，尽量减少结转结余额度。学校需要进一步加强财务管理，严格财务审核，控制超支现象发生。</w:t>
      </w: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rPr>
          <w:rFonts w:ascii="仿宋_GB2312" w:hAnsi="仿宋_GB2312" w:eastAsia="仿宋_GB2312" w:cs="仿宋_GB2312"/>
          <w:sz w:val="32"/>
          <w:szCs w:val="32"/>
        </w:rPr>
      </w:pPr>
      <w:r>
        <w:rPr>
          <w:rFonts w:hint="eastAsia" w:ascii="黑体" w:hAnsi="黑体" w:eastAsia="黑体" w:cs="黑体"/>
          <w:sz w:val="32"/>
          <w:szCs w:val="32"/>
        </w:rPr>
        <w:t>附件2</w:t>
      </w:r>
    </w:p>
    <w:p>
      <w:pPr>
        <w:spacing w:line="580" w:lineRule="exact"/>
        <w:ind w:firstLine="640" w:firstLineChars="200"/>
        <w:rPr>
          <w:rFonts w:ascii="仿宋_GB2312" w:hAnsi="仿宋_GB2312" w:eastAsia="仿宋_GB2312" w:cs="仿宋_GB2312"/>
          <w:sz w:val="32"/>
          <w:szCs w:val="32"/>
        </w:rPr>
      </w:pPr>
    </w:p>
    <w:p>
      <w:pPr>
        <w:spacing w:line="600" w:lineRule="exact"/>
        <w:jc w:val="center"/>
        <w:rPr>
          <w:rFonts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rPr>
        <w:t>松林镇学校</w:t>
      </w:r>
      <w:r>
        <w:rPr>
          <w:rFonts w:hint="eastAsia" w:ascii="方正小标宋简体" w:hAnsi="宋体" w:eastAsia="方正小标宋简体"/>
          <w:color w:val="000000"/>
          <w:kern w:val="0"/>
          <w:sz w:val="44"/>
          <w:szCs w:val="44"/>
          <w:lang w:val="zh-CN"/>
        </w:rPr>
        <w:t>项目</w:t>
      </w:r>
      <w:r>
        <w:rPr>
          <w:rFonts w:hint="eastAsia" w:ascii="方正小标宋简体" w:hAnsi="宋体" w:eastAsia="方正小标宋简体"/>
          <w:color w:val="000000"/>
          <w:kern w:val="0"/>
          <w:sz w:val="44"/>
          <w:szCs w:val="44"/>
        </w:rPr>
        <w:t>2019年</w:t>
      </w:r>
      <w:r>
        <w:rPr>
          <w:rFonts w:hint="eastAsia" w:ascii="方正小标宋简体" w:hAnsi="宋体" w:eastAsia="方正小标宋简体"/>
          <w:color w:val="000000"/>
          <w:kern w:val="0"/>
          <w:sz w:val="44"/>
          <w:szCs w:val="44"/>
          <w:lang w:val="zh-CN"/>
        </w:rPr>
        <w:t>绩效评价报告</w:t>
      </w:r>
    </w:p>
    <w:p>
      <w:pPr>
        <w:spacing w:line="600" w:lineRule="exact"/>
        <w:rPr>
          <w:rFonts w:ascii="宋体" w:hAnsi="宋体"/>
          <w:sz w:val="32"/>
          <w:szCs w:val="32"/>
          <w:lang w:val="zh-CN"/>
        </w:rPr>
      </w:pPr>
    </w:p>
    <w:p>
      <w:pPr>
        <w:adjustRightInd w:val="0"/>
        <w:snapToGrid w:val="0"/>
        <w:spacing w:line="600" w:lineRule="exact"/>
        <w:ind w:firstLine="72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1．说明项目主管部门（单位）在该项目管理中的职能。</w:t>
      </w:r>
    </w:p>
    <w:p>
      <w:pPr>
        <w:autoSpaceDE w:val="0"/>
        <w:autoSpaceDN w:val="0"/>
        <w:adjustRightInd w:val="0"/>
        <w:spacing w:line="580" w:lineRule="exact"/>
        <w:ind w:firstLine="600" w:firstLineChars="200"/>
        <w:jc w:val="left"/>
        <w:rPr>
          <w:rFonts w:ascii="楷体_GB2312" w:eastAsia="楷体_GB2312"/>
          <w:sz w:val="30"/>
          <w:szCs w:val="30"/>
        </w:rPr>
      </w:pPr>
      <w:r>
        <w:rPr>
          <w:rFonts w:hint="eastAsia" w:ascii="楷体_GB2312" w:eastAsia="楷体_GB2312"/>
          <w:sz w:val="30"/>
          <w:szCs w:val="30"/>
        </w:rPr>
        <w:t>2019年下达项目资金文件，川财教（2019）7号，2019年中央专项彩票公益金支持项目村学校少年宫项目。下达专项资金5.00万元，用于中小学校少年宫全面改善贫困地区义务教育薄弱学校基本办学条件。</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2．项目立项、资金申报的依据。</w:t>
      </w:r>
    </w:p>
    <w:p>
      <w:pPr>
        <w:autoSpaceDE w:val="0"/>
        <w:autoSpaceDN w:val="0"/>
        <w:adjustRightInd w:val="0"/>
        <w:spacing w:line="580" w:lineRule="exact"/>
        <w:ind w:firstLine="600" w:firstLineChars="200"/>
        <w:jc w:val="left"/>
        <w:rPr>
          <w:rFonts w:hint="eastAsia" w:ascii="楷体_GB2312" w:eastAsia="楷体_GB2312"/>
          <w:sz w:val="30"/>
          <w:szCs w:val="30"/>
        </w:rPr>
      </w:pPr>
      <w:r>
        <w:rPr>
          <w:rFonts w:hint="eastAsia" w:ascii="楷体_GB2312" w:eastAsia="楷体_GB2312"/>
          <w:sz w:val="30"/>
          <w:szCs w:val="30"/>
        </w:rPr>
        <w:t>按照《行政事业单位会计制度》及专项资金管理办法的规定，明确了专项资金的使用范围及管理核算要求，始终坚持专款专用、专户管理、专账核算。用于开办了乡村学校少年宫的单位申报此项目资金。资金为加强财务管理，提高资金使用效益，加强教育系统内部会计监督，提高会计信息质量。</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3．资金管理办法制定情况，资金支持具体项目的条件、范围与支持方式概况。</w:t>
      </w:r>
    </w:p>
    <w:p>
      <w:pPr>
        <w:autoSpaceDE w:val="0"/>
        <w:autoSpaceDN w:val="0"/>
        <w:adjustRightInd w:val="0"/>
        <w:spacing w:line="580" w:lineRule="exact"/>
        <w:ind w:firstLine="600" w:firstLineChars="200"/>
        <w:jc w:val="left"/>
        <w:rPr>
          <w:rFonts w:hint="eastAsia" w:ascii="仿宋_GB2312" w:eastAsia="仿宋_GB2312"/>
          <w:sz w:val="30"/>
          <w:szCs w:val="30"/>
        </w:rPr>
      </w:pPr>
      <w:r>
        <w:rPr>
          <w:rFonts w:hint="eastAsia" w:ascii="仿宋_GB2312" w:eastAsia="仿宋_GB2312"/>
          <w:sz w:val="30"/>
          <w:szCs w:val="30"/>
        </w:rPr>
        <w:t>1.项目资金年度预算、实际执行、执行率情况（含预算调整情况，项目资金结余结转）</w:t>
      </w:r>
    </w:p>
    <w:p>
      <w:pPr>
        <w:autoSpaceDE w:val="0"/>
        <w:autoSpaceDN w:val="0"/>
        <w:adjustRightInd w:val="0"/>
        <w:spacing w:line="580" w:lineRule="exact"/>
        <w:ind w:firstLine="600" w:firstLineChars="200"/>
        <w:jc w:val="left"/>
        <w:rPr>
          <w:rFonts w:ascii="仿宋_GB2312" w:eastAsia="仿宋_GB2312"/>
          <w:sz w:val="30"/>
          <w:szCs w:val="30"/>
        </w:rPr>
      </w:pPr>
      <w:r>
        <w:rPr>
          <w:rFonts w:hint="eastAsia" w:ascii="仿宋_GB2312" w:eastAsia="仿宋_GB2312"/>
          <w:sz w:val="30"/>
          <w:szCs w:val="30"/>
        </w:rPr>
        <w:t>上级下达的专项资金均按照资金跟着项目走的原则规范使用。2019年使用资金5.00万元。</w:t>
      </w:r>
    </w:p>
    <w:p>
      <w:pPr>
        <w:autoSpaceDE w:val="0"/>
        <w:autoSpaceDN w:val="0"/>
        <w:adjustRightInd w:val="0"/>
        <w:spacing w:line="580" w:lineRule="exact"/>
        <w:ind w:firstLine="600" w:firstLineChars="200"/>
        <w:jc w:val="left"/>
        <w:rPr>
          <w:rFonts w:hint="eastAsia" w:ascii="仿宋_GB2312" w:eastAsia="仿宋_GB2312"/>
          <w:sz w:val="30"/>
          <w:szCs w:val="30"/>
        </w:rPr>
      </w:pPr>
      <w:r>
        <w:rPr>
          <w:rFonts w:hint="eastAsia" w:ascii="仿宋_GB2312" w:eastAsia="仿宋_GB2312"/>
          <w:sz w:val="30"/>
          <w:szCs w:val="30"/>
        </w:rPr>
        <w:t>2.评价点位资金到位（如有配套资金，一并说明）及使用情况</w:t>
      </w:r>
    </w:p>
    <w:p>
      <w:pPr>
        <w:autoSpaceDE w:val="0"/>
        <w:autoSpaceDN w:val="0"/>
        <w:adjustRightInd w:val="0"/>
        <w:spacing w:line="580" w:lineRule="exact"/>
        <w:ind w:firstLine="600" w:firstLineChars="200"/>
        <w:jc w:val="left"/>
        <w:rPr>
          <w:rFonts w:ascii="仿宋_GB2312" w:eastAsia="仿宋_GB2312"/>
          <w:sz w:val="30"/>
          <w:szCs w:val="30"/>
        </w:rPr>
      </w:pPr>
      <w:r>
        <w:rPr>
          <w:rFonts w:hint="eastAsia" w:ascii="仿宋_GB2312" w:eastAsia="仿宋_GB2312"/>
          <w:sz w:val="30"/>
          <w:szCs w:val="30"/>
        </w:rPr>
        <w:t>川财教（2019）7号，2019年中央专项彩票公益金支持项目村学校少年宫项目，下达专项资金5.00万元。</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4．资金分配的原则及考虑因素。</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主要用于添置少年宫活动设备和补充少年宫活动耗材及用品。</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1．项目主要内容。</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添置少年宫活动设备和补充少年宫活动耗材及用品。</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2．项目应实现的具体绩效目标，包括目标的量化、细化情况以及项目实施进度计划等。</w:t>
      </w:r>
    </w:p>
    <w:p>
      <w:pPr>
        <w:adjustRightInd w:val="0"/>
        <w:snapToGrid w:val="0"/>
        <w:spacing w:line="600" w:lineRule="exact"/>
        <w:ind w:firstLine="720"/>
        <w:rPr>
          <w:rFonts w:hint="eastAsia" w:ascii="仿宋_GB2312" w:hAnsi="宋体" w:eastAsia="仿宋_GB2312"/>
          <w:sz w:val="30"/>
          <w:szCs w:val="30"/>
          <w:lang w:val="zh-CN"/>
        </w:rPr>
      </w:pPr>
      <w:r>
        <w:rPr>
          <w:rFonts w:hint="eastAsia" w:ascii="宋体" w:hAnsi="宋体" w:cs="宋体"/>
          <w:color w:val="000000"/>
          <w:sz w:val="30"/>
          <w:szCs w:val="30"/>
        </w:rPr>
        <w:t>改善少年宫活动条件，丰富少年宫活动内容，丰富和提高师生文化及艺体素养</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3．分析评价申报内容是否与实际相符，申报目标是否合理可行。</w:t>
      </w:r>
    </w:p>
    <w:p>
      <w:pPr>
        <w:adjustRightInd w:val="0"/>
        <w:snapToGrid w:val="0"/>
        <w:spacing w:line="600" w:lineRule="exact"/>
        <w:ind w:firstLine="720"/>
        <w:rPr>
          <w:rFonts w:hint="eastAsia" w:ascii="仿宋_GB2312" w:hAnsi="宋体" w:eastAsia="仿宋_GB2312"/>
          <w:sz w:val="30"/>
          <w:szCs w:val="30"/>
          <w:lang w:val="zh-CN"/>
        </w:rPr>
      </w:pPr>
      <w:r>
        <w:rPr>
          <w:rFonts w:hint="eastAsia" w:ascii="宋体" w:hAnsi="宋体" w:cs="宋体"/>
          <w:color w:val="000000"/>
          <w:sz w:val="30"/>
          <w:szCs w:val="30"/>
        </w:rPr>
        <w:t>改善了少年宫活动条件，丰富了少年宫活动内容，丰富和提高了师生文化及艺体素养。</w:t>
      </w:r>
    </w:p>
    <w:p>
      <w:pPr>
        <w:adjustRightInd w:val="0"/>
        <w:snapToGrid w:val="0"/>
        <w:spacing w:line="600" w:lineRule="exact"/>
        <w:ind w:firstLine="720"/>
        <w:rPr>
          <w:rFonts w:ascii="仿宋_GB2312" w:hAnsi="宋体" w:eastAsia="仿宋_GB2312"/>
          <w:sz w:val="32"/>
          <w:szCs w:val="32"/>
          <w:lang w:val="zh-CN"/>
        </w:rPr>
      </w:pP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（三）项目自评步骤及方法。</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说明项目绩效自评采用的组织实施步骤及方法。</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二、项目资金申报及使用情况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说明项目资金申报、批复及预算调整等程序的相关情况。</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（二）资金计划、到位及使用情况（可用表格形式反映）。</w:t>
      </w:r>
    </w:p>
    <w:p>
      <w:pPr>
        <w:adjustRightInd w:val="0"/>
        <w:snapToGrid w:val="0"/>
        <w:spacing w:line="600" w:lineRule="exact"/>
        <w:ind w:firstLine="720"/>
        <w:rPr>
          <w:rFonts w:hint="eastAsia" w:ascii="楷体_GB2312" w:hAnsi="宋体" w:eastAsia="楷体_GB2312"/>
          <w:sz w:val="32"/>
          <w:szCs w:val="32"/>
          <w:lang w:val="zh-CN"/>
        </w:rPr>
      </w:pPr>
      <w:r>
        <w:rPr>
          <w:rFonts w:hint="eastAsia" w:ascii="楷体_GB2312" w:hAnsi="宋体" w:eastAsia="楷体_GB2312"/>
          <w:sz w:val="32"/>
          <w:szCs w:val="32"/>
          <w:lang w:val="zh-CN"/>
        </w:rPr>
        <w:t>1．资金计划。</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添置少年宫活动设备和补充少年宫活动耗材及用品。</w:t>
      </w:r>
    </w:p>
    <w:p>
      <w:pPr>
        <w:adjustRightInd w:val="0"/>
        <w:snapToGrid w:val="0"/>
        <w:spacing w:line="600" w:lineRule="exact"/>
        <w:ind w:firstLine="720"/>
        <w:rPr>
          <w:rFonts w:hint="eastAsia" w:ascii="楷体_GB2312" w:hAnsi="宋体" w:eastAsia="楷体_GB2312"/>
          <w:sz w:val="32"/>
          <w:szCs w:val="32"/>
          <w:lang w:val="zh-CN"/>
        </w:rPr>
      </w:pPr>
      <w:r>
        <w:rPr>
          <w:rFonts w:hint="eastAsia" w:ascii="楷体_GB2312" w:hAnsi="宋体" w:eastAsia="楷体_GB2312"/>
          <w:sz w:val="32"/>
          <w:szCs w:val="32"/>
          <w:lang w:val="zh-CN"/>
        </w:rPr>
        <w:t>2．资金到位。</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资金到位率100%、到位及时。</w:t>
      </w:r>
    </w:p>
    <w:p>
      <w:pPr>
        <w:adjustRightInd w:val="0"/>
        <w:snapToGrid w:val="0"/>
        <w:spacing w:line="600" w:lineRule="exact"/>
        <w:ind w:firstLine="720"/>
        <w:rPr>
          <w:rFonts w:hint="eastAsia" w:ascii="楷体_GB2312" w:hAnsi="宋体" w:eastAsia="楷体_GB2312"/>
          <w:sz w:val="32"/>
          <w:szCs w:val="32"/>
          <w:lang w:val="zh-CN"/>
        </w:rPr>
      </w:pPr>
      <w:r>
        <w:rPr>
          <w:rFonts w:hint="eastAsia" w:ascii="楷体_GB2312" w:hAnsi="宋体" w:eastAsia="楷体_GB2312"/>
          <w:sz w:val="32"/>
          <w:szCs w:val="32"/>
          <w:lang w:val="zh-CN"/>
        </w:rPr>
        <w:t>3．资金使用。</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资金使用规范及有效，资金支付范围、支付标准、支付进度、支付依据等合规合法、与预算相符。</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我校财务管理制度健全，严格执行财务管理制度，账务处理及时，会计核算规范。</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三、项目实施及管理情况</w:t>
      </w:r>
    </w:p>
    <w:p>
      <w:pPr>
        <w:adjustRightInd w:val="0"/>
        <w:snapToGrid w:val="0"/>
        <w:spacing w:line="600" w:lineRule="exact"/>
        <w:ind w:firstLine="720"/>
        <w:rPr>
          <w:rFonts w:hint="eastAsia" w:ascii="楷体_GB2312" w:hAnsi="宋体" w:eastAsia="楷体_GB2312"/>
          <w:b/>
          <w:sz w:val="32"/>
          <w:szCs w:val="32"/>
          <w:lang w:val="zh-CN"/>
        </w:rPr>
      </w:pPr>
      <w:r>
        <w:rPr>
          <w:rFonts w:hint="eastAsia" w:ascii="楷体_GB2312" w:hAnsi="宋体" w:eastAsia="楷体_GB2312"/>
          <w:b/>
          <w:sz w:val="32"/>
          <w:szCs w:val="32"/>
          <w:lang w:val="zh-CN"/>
        </w:rPr>
        <w:t>（一）项目组织架构及实施流程。</w:t>
      </w:r>
    </w:p>
    <w:p>
      <w:pPr>
        <w:adjustRightInd w:val="0"/>
        <w:snapToGrid w:val="0"/>
        <w:spacing w:line="600" w:lineRule="exact"/>
        <w:ind w:firstLine="720"/>
        <w:rPr>
          <w:rFonts w:ascii="楷体_GB2312" w:hAnsi="宋体" w:eastAsia="楷体_GB2312"/>
          <w:sz w:val="32"/>
          <w:szCs w:val="32"/>
          <w:lang w:val="zh-CN"/>
        </w:rPr>
      </w:pPr>
      <w:r>
        <w:rPr>
          <w:rFonts w:hint="eastAsia" w:ascii="楷体_GB2312" w:hAnsi="宋体" w:eastAsia="楷体_GB2312"/>
          <w:sz w:val="32"/>
          <w:szCs w:val="32"/>
          <w:lang w:val="zh-CN"/>
        </w:rPr>
        <w:t>学校实施采购，财政根据学校项目支出实行支付。</w:t>
      </w:r>
    </w:p>
    <w:p>
      <w:pPr>
        <w:adjustRightInd w:val="0"/>
        <w:snapToGrid w:val="0"/>
        <w:spacing w:line="600" w:lineRule="exact"/>
        <w:ind w:firstLine="720"/>
        <w:rPr>
          <w:rFonts w:hint="eastAsia" w:ascii="楷体_GB2312" w:hAnsi="宋体" w:eastAsia="楷体_GB2312"/>
          <w:b/>
          <w:sz w:val="32"/>
          <w:szCs w:val="32"/>
          <w:lang w:val="zh-CN"/>
        </w:rPr>
      </w:pPr>
      <w:r>
        <w:rPr>
          <w:rFonts w:hint="eastAsia" w:ascii="楷体_GB2312" w:hAnsi="宋体" w:eastAsia="楷体_GB2312"/>
          <w:b/>
          <w:sz w:val="32"/>
          <w:szCs w:val="32"/>
          <w:lang w:val="zh-CN"/>
        </w:rPr>
        <w:t>（二）项目管理情况。</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sz w:val="32"/>
          <w:szCs w:val="32"/>
          <w:lang w:val="zh-CN"/>
        </w:rPr>
        <w:t>学校少年宫专款专用。</w:t>
      </w:r>
    </w:p>
    <w:p>
      <w:pPr>
        <w:adjustRightInd w:val="0"/>
        <w:snapToGrid w:val="0"/>
        <w:spacing w:line="600" w:lineRule="exact"/>
        <w:ind w:firstLine="720"/>
        <w:rPr>
          <w:rFonts w:hint="eastAsia" w:ascii="楷体_GB2312" w:hAnsi="宋体" w:eastAsia="楷体_GB2312"/>
          <w:b/>
          <w:sz w:val="32"/>
          <w:szCs w:val="32"/>
          <w:lang w:val="zh-CN"/>
        </w:rPr>
      </w:pPr>
      <w:r>
        <w:rPr>
          <w:rFonts w:hint="eastAsia" w:ascii="楷体_GB2312" w:hAnsi="宋体" w:eastAsia="楷体_GB2312"/>
          <w:b/>
          <w:sz w:val="32"/>
          <w:szCs w:val="32"/>
          <w:lang w:val="zh-CN"/>
        </w:rPr>
        <w:t>（三）项目监管情况。</w:t>
      </w:r>
    </w:p>
    <w:p>
      <w:pPr>
        <w:adjustRightInd w:val="0"/>
        <w:snapToGrid w:val="0"/>
        <w:spacing w:line="600" w:lineRule="exact"/>
        <w:ind w:firstLine="720"/>
        <w:rPr>
          <w:rFonts w:hint="eastAsia" w:ascii="楷体_GB2312" w:hAnsi="宋体" w:eastAsia="楷体_GB2312"/>
          <w:sz w:val="32"/>
          <w:szCs w:val="32"/>
          <w:lang w:val="zh-CN"/>
        </w:rPr>
      </w:pPr>
      <w:r>
        <w:rPr>
          <w:rFonts w:hint="eastAsia" w:ascii="楷体_GB2312" w:hAnsi="宋体" w:eastAsia="楷体_GB2312"/>
          <w:sz w:val="32"/>
          <w:szCs w:val="32"/>
          <w:lang w:val="zh-CN"/>
        </w:rPr>
        <w:t>学校少年宫专项审计。</w:t>
      </w:r>
    </w:p>
    <w:p>
      <w:pPr>
        <w:adjustRightInd w:val="0"/>
        <w:snapToGrid w:val="0"/>
        <w:spacing w:line="600" w:lineRule="exact"/>
        <w:ind w:firstLine="720"/>
        <w:rPr>
          <w:rFonts w:ascii="仿宋_GB2312" w:hAnsi="宋体" w:eastAsia="仿宋_GB2312"/>
          <w:sz w:val="32"/>
          <w:szCs w:val="32"/>
          <w:lang w:val="zh-CN"/>
        </w:rPr>
      </w:pPr>
      <w:r>
        <w:rPr>
          <w:rFonts w:hint="eastAsia" w:ascii="黑体" w:hAnsi="宋体" w:eastAsia="黑体"/>
          <w:sz w:val="32"/>
          <w:szCs w:val="32"/>
        </w:rPr>
        <w:t>四、项目绩效情况</w:t>
      </w:r>
      <w:r>
        <w:rPr>
          <w:rFonts w:hint="eastAsia"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（一）项目完成情况。</w:t>
      </w:r>
    </w:p>
    <w:p>
      <w:pPr>
        <w:adjustRightInd w:val="0"/>
        <w:snapToGrid w:val="0"/>
        <w:spacing w:line="600" w:lineRule="exact"/>
        <w:ind w:firstLine="720"/>
        <w:rPr>
          <w:rFonts w:ascii="楷体_GB2312" w:hAnsi="宋体" w:eastAsia="楷体_GB2312"/>
          <w:b/>
          <w:sz w:val="32"/>
          <w:szCs w:val="32"/>
          <w:lang w:val="zh-CN"/>
        </w:rPr>
      </w:pPr>
      <w:r>
        <w:rPr>
          <w:rFonts w:hint="eastAsia" w:ascii="仿宋_GB2312" w:hAnsi="宋体" w:eastAsia="仿宋_GB2312"/>
          <w:sz w:val="32"/>
          <w:szCs w:val="32"/>
          <w:lang w:val="zh-CN"/>
        </w:rPr>
        <w:t>项目完成目标，质量标准、进度计划、成本控制目标的都符合要求。</w:t>
      </w:r>
    </w:p>
    <w:p>
      <w:pPr>
        <w:adjustRightInd w:val="0"/>
        <w:snapToGrid w:val="0"/>
        <w:spacing w:line="600" w:lineRule="exact"/>
        <w:ind w:firstLine="720"/>
        <w:rPr>
          <w:rFonts w:hint="eastAsia"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adjustRightInd w:val="0"/>
        <w:snapToGrid w:val="0"/>
        <w:spacing w:line="600" w:lineRule="exact"/>
        <w:ind w:firstLine="720"/>
        <w:rPr>
          <w:rFonts w:hint="eastAsia" w:ascii="仿宋_GB2312" w:hAnsi="宋体" w:eastAsia="仿宋_GB2312"/>
          <w:sz w:val="30"/>
          <w:szCs w:val="30"/>
          <w:lang w:val="zh-CN"/>
        </w:rPr>
      </w:pPr>
      <w:r>
        <w:rPr>
          <w:rFonts w:hint="eastAsia" w:ascii="宋体" w:hAnsi="宋体" w:cs="宋体"/>
          <w:color w:val="000000"/>
          <w:sz w:val="30"/>
          <w:szCs w:val="30"/>
        </w:rPr>
        <w:t>改善了少年宫活动条件，丰富了少年宫活动内容，丰富和提高了师生文化及艺体素养。</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五、评价结论及建议</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（一）评价结论。</w:t>
      </w:r>
    </w:p>
    <w:p>
      <w:pPr>
        <w:adjustRightInd w:val="0"/>
        <w:snapToGrid w:val="0"/>
        <w:spacing w:line="600" w:lineRule="exact"/>
        <w:ind w:firstLine="720"/>
        <w:rPr>
          <w:rFonts w:hint="eastAsia" w:ascii="仿宋_GB2312" w:hAnsi="宋体" w:eastAsia="仿宋_GB2312"/>
          <w:sz w:val="30"/>
          <w:szCs w:val="30"/>
          <w:lang w:val="zh-CN"/>
        </w:rPr>
      </w:pPr>
      <w:r>
        <w:rPr>
          <w:rFonts w:hint="eastAsia" w:ascii="宋体" w:hAnsi="宋体" w:cs="宋体"/>
          <w:color w:val="000000"/>
          <w:sz w:val="30"/>
          <w:szCs w:val="30"/>
        </w:rPr>
        <w:t>改善了少年宫活动条件，丰富了少年宫活动内容，丰富和提高了师生文化及艺体素养。</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（二）存在的问题。</w:t>
      </w:r>
    </w:p>
    <w:p>
      <w:pPr>
        <w:autoSpaceDE w:val="0"/>
        <w:autoSpaceDN w:val="0"/>
        <w:adjustRightInd w:val="0"/>
        <w:spacing w:line="580" w:lineRule="exact"/>
        <w:ind w:firstLine="600" w:firstLineChars="200"/>
        <w:jc w:val="left"/>
        <w:rPr>
          <w:rFonts w:ascii="宋体" w:hAnsi="宋体" w:cs="黑体"/>
          <w:kern w:val="0"/>
          <w:sz w:val="30"/>
          <w:szCs w:val="30"/>
        </w:rPr>
      </w:pPr>
      <w:r>
        <w:rPr>
          <w:rFonts w:hint="eastAsia" w:ascii="仿宋_GB2312" w:hAnsi="宋体" w:eastAsia="仿宋_GB2312"/>
          <w:sz w:val="30"/>
          <w:szCs w:val="30"/>
          <w:lang w:val="zh-CN"/>
        </w:rPr>
        <w:tab/>
      </w:r>
      <w:r>
        <w:rPr>
          <w:rFonts w:hint="eastAsia" w:ascii="宋体" w:hAnsi="宋体" w:cs="黑体"/>
          <w:kern w:val="0"/>
          <w:sz w:val="30"/>
          <w:szCs w:val="30"/>
        </w:rPr>
        <w:t>乡村教育资源短缺、学位不足，部分农村学校和教学点比较薄弱，城乡教育资源不均衡。</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（三）相关建议。</w:t>
      </w:r>
    </w:p>
    <w:p>
      <w:pPr>
        <w:autoSpaceDE w:val="0"/>
        <w:autoSpaceDN w:val="0"/>
        <w:adjustRightInd w:val="0"/>
        <w:spacing w:line="580" w:lineRule="exact"/>
        <w:ind w:firstLine="600" w:firstLineChars="200"/>
        <w:jc w:val="left"/>
        <w:rPr>
          <w:rFonts w:ascii="宋体" w:hAnsi="宋体" w:cs="黑体"/>
          <w:kern w:val="0"/>
          <w:sz w:val="30"/>
          <w:szCs w:val="30"/>
        </w:rPr>
      </w:pPr>
      <w:r>
        <w:rPr>
          <w:rFonts w:hint="eastAsia" w:ascii="宋体" w:hAnsi="宋体" w:cs="黑体"/>
          <w:kern w:val="0"/>
          <w:sz w:val="30"/>
          <w:szCs w:val="30"/>
        </w:rPr>
        <w:t>需要进一步改善教育办学条件，加强学校基础设施建设。</w:t>
      </w:r>
    </w:p>
    <w:p>
      <w:pPr>
        <w:spacing w:line="580" w:lineRule="exact"/>
        <w:ind w:firstLine="640"/>
        <w:rPr>
          <w:rFonts w:ascii="仿宋_GB2312" w:hAnsi="仿宋_GB2312" w:eastAsia="仿宋_GB2312" w:cs="仿宋_GB2312"/>
          <w:sz w:val="32"/>
          <w:szCs w:val="32"/>
        </w:rPr>
      </w:pPr>
    </w:p>
    <w:p>
      <w:pPr>
        <w:spacing w:line="580" w:lineRule="exact"/>
        <w:ind w:firstLine="640"/>
        <w:rPr>
          <w:rFonts w:ascii="仿宋_GB2312" w:hAnsi="仿宋_GB2312" w:eastAsia="仿宋_GB2312" w:cs="仿宋_GB2312"/>
          <w:sz w:val="32"/>
          <w:szCs w:val="32"/>
        </w:rPr>
      </w:pPr>
    </w:p>
    <w:p>
      <w:pPr>
        <w:widowControl/>
        <w:jc w:val="left"/>
        <w:rPr>
          <w:rStyle w:val="24"/>
          <w:rFonts w:ascii="黑体" w:hAnsi="黑体" w:eastAsia="黑体"/>
          <w:b w:val="0"/>
        </w:rPr>
      </w:pPr>
    </w:p>
    <w:p>
      <w:pPr>
        <w:widowControl/>
        <w:jc w:val="left"/>
        <w:rPr>
          <w:rStyle w:val="24"/>
          <w:rFonts w:ascii="黑体" w:hAnsi="黑体" w:eastAsia="黑体"/>
          <w:b w:val="0"/>
        </w:rPr>
      </w:pPr>
      <w:r>
        <w:rPr>
          <w:rStyle w:val="24"/>
          <w:rFonts w:ascii="黑体" w:hAnsi="黑体" w:eastAsia="黑体"/>
          <w:b w:val="0"/>
        </w:rPr>
        <w:br w:type="page"/>
      </w:r>
    </w:p>
    <w:p>
      <w:pPr>
        <w:spacing w:line="600" w:lineRule="exact"/>
        <w:jc w:val="center"/>
        <w:outlineLvl w:val="0"/>
        <w:rPr>
          <w:rStyle w:val="24"/>
          <w:rFonts w:ascii="黑体" w:hAnsi="黑体" w:eastAsia="黑体"/>
          <w:b w:val="0"/>
        </w:rPr>
      </w:pPr>
    </w:p>
    <w:p>
      <w:pPr>
        <w:spacing w:line="600" w:lineRule="exact"/>
        <w:jc w:val="center"/>
        <w:outlineLvl w:val="0"/>
        <w:rPr>
          <w:rStyle w:val="24"/>
          <w:rFonts w:ascii="黑体" w:hAnsi="黑体" w:eastAsia="黑体"/>
          <w:b w:val="0"/>
        </w:rPr>
      </w:pPr>
      <w:bookmarkStart w:id="59" w:name="_Toc15396618"/>
      <w:r>
        <w:rPr>
          <w:rFonts w:hint="eastAsia" w:ascii="黑体" w:hAnsi="黑体" w:eastAsia="黑体"/>
          <w:color w:val="000000"/>
          <w:sz w:val="44"/>
          <w:szCs w:val="44"/>
        </w:rPr>
        <w:t>第</w:t>
      </w:r>
      <w:r>
        <w:rPr>
          <w:rStyle w:val="24"/>
          <w:rFonts w:hint="eastAsia" w:ascii="黑体" w:hAnsi="黑体" w:eastAsia="黑体"/>
          <w:b w:val="0"/>
        </w:rPr>
        <w:t>五部分 附表</w:t>
      </w:r>
      <w:bookmarkEnd w:id="57"/>
      <w:bookmarkEnd w:id="59"/>
    </w:p>
    <w:p>
      <w:pPr>
        <w:spacing w:line="600" w:lineRule="exact"/>
        <w:jc w:val="center"/>
        <w:outlineLvl w:val="0"/>
        <w:rPr>
          <w:rFonts w:ascii="仿宋" w:hAnsi="仿宋" w:eastAsia="仿宋"/>
          <w:b/>
          <w:color w:val="000000"/>
          <w:sz w:val="44"/>
          <w:szCs w:val="44"/>
        </w:rPr>
      </w:pPr>
    </w:p>
    <w:p>
      <w:pPr>
        <w:pStyle w:val="3"/>
        <w:rPr>
          <w:rFonts w:ascii="仿宋" w:hAnsi="仿宋" w:eastAsia="仿宋"/>
          <w:color w:val="000000"/>
        </w:rPr>
      </w:pPr>
      <w:bookmarkStart w:id="60" w:name="_Toc15396619"/>
      <w:r>
        <w:rPr>
          <w:rFonts w:hint="eastAsia" w:ascii="仿宋" w:hAnsi="仿宋" w:eastAsia="仿宋"/>
          <w:b w:val="0"/>
          <w:color w:val="000000"/>
        </w:rPr>
        <w:t>一、收</w:t>
      </w:r>
      <w:r>
        <w:rPr>
          <w:rStyle w:val="25"/>
          <w:rFonts w:hint="eastAsia" w:ascii="仿宋" w:hAnsi="仿宋" w:eastAsia="仿宋"/>
          <w:b w:val="0"/>
          <w:bCs w:val="0"/>
        </w:rPr>
        <w:t>入支出决算总表</w:t>
      </w:r>
      <w:bookmarkEnd w:id="60"/>
    </w:p>
    <w:p>
      <w:pPr>
        <w:pStyle w:val="3"/>
        <w:rPr>
          <w:rFonts w:ascii="仿宋" w:hAnsi="仿宋" w:eastAsia="仿宋"/>
          <w:color w:val="000000"/>
        </w:rPr>
      </w:pPr>
      <w:bookmarkStart w:id="61" w:name="_Toc15396620"/>
      <w:r>
        <w:rPr>
          <w:rFonts w:hint="eastAsia" w:ascii="仿宋" w:hAnsi="仿宋" w:eastAsia="仿宋"/>
          <w:b w:val="0"/>
          <w:color w:val="000000"/>
        </w:rPr>
        <w:t>二、收</w:t>
      </w:r>
      <w:r>
        <w:rPr>
          <w:rStyle w:val="25"/>
          <w:rFonts w:hint="eastAsia" w:ascii="仿宋" w:hAnsi="仿宋" w:eastAsia="仿宋"/>
          <w:b w:val="0"/>
          <w:bCs w:val="0"/>
        </w:rPr>
        <w:t>入决算表</w:t>
      </w:r>
      <w:bookmarkEnd w:id="61"/>
    </w:p>
    <w:p>
      <w:pPr>
        <w:pStyle w:val="3"/>
        <w:rPr>
          <w:rFonts w:ascii="仿宋" w:hAnsi="仿宋" w:eastAsia="仿宋"/>
          <w:color w:val="000000"/>
        </w:rPr>
      </w:pPr>
      <w:bookmarkStart w:id="62" w:name="_Toc15396621"/>
      <w:r>
        <w:rPr>
          <w:rStyle w:val="25"/>
          <w:rFonts w:hint="eastAsia" w:ascii="仿宋" w:hAnsi="仿宋" w:eastAsia="仿宋"/>
          <w:b w:val="0"/>
          <w:bCs w:val="0"/>
        </w:rPr>
        <w:t>三、</w:t>
      </w:r>
      <w:r>
        <w:rPr>
          <w:rFonts w:hint="eastAsia" w:ascii="仿宋" w:hAnsi="仿宋" w:eastAsia="仿宋"/>
          <w:b w:val="0"/>
          <w:color w:val="000000"/>
        </w:rPr>
        <w:t>支</w:t>
      </w:r>
      <w:r>
        <w:rPr>
          <w:rStyle w:val="25"/>
          <w:rFonts w:hint="eastAsia" w:ascii="仿宋" w:hAnsi="仿宋" w:eastAsia="仿宋"/>
          <w:b w:val="0"/>
          <w:bCs w:val="0"/>
        </w:rPr>
        <w:t>出决算表</w:t>
      </w:r>
      <w:bookmarkEnd w:id="62"/>
    </w:p>
    <w:p>
      <w:pPr>
        <w:pStyle w:val="3"/>
        <w:rPr>
          <w:rFonts w:ascii="仿宋" w:hAnsi="仿宋" w:eastAsia="仿宋"/>
          <w:b w:val="0"/>
          <w:color w:val="000000"/>
        </w:rPr>
      </w:pPr>
      <w:bookmarkStart w:id="63" w:name="_Toc15396622"/>
      <w:r>
        <w:rPr>
          <w:rStyle w:val="25"/>
          <w:rFonts w:hint="eastAsia" w:ascii="仿宋" w:hAnsi="仿宋" w:eastAsia="仿宋"/>
          <w:b w:val="0"/>
          <w:bCs w:val="0"/>
        </w:rPr>
        <w:t>四、</w:t>
      </w:r>
      <w:r>
        <w:rPr>
          <w:rFonts w:hint="eastAsia" w:ascii="仿宋" w:hAnsi="仿宋" w:eastAsia="仿宋"/>
          <w:b w:val="0"/>
          <w:color w:val="000000"/>
        </w:rPr>
        <w:t>财</w:t>
      </w:r>
      <w:r>
        <w:rPr>
          <w:rStyle w:val="25"/>
          <w:rFonts w:hint="eastAsia" w:ascii="仿宋" w:hAnsi="仿宋" w:eastAsia="仿宋"/>
          <w:b w:val="0"/>
          <w:bCs w:val="0"/>
        </w:rPr>
        <w:t>政拨款收入支出决算总表</w:t>
      </w:r>
      <w:bookmarkEnd w:id="63"/>
    </w:p>
    <w:p>
      <w:pPr>
        <w:pStyle w:val="3"/>
        <w:rPr>
          <w:rStyle w:val="25"/>
          <w:rFonts w:ascii="仿宋" w:hAnsi="仿宋" w:eastAsia="仿宋"/>
          <w:b w:val="0"/>
          <w:bCs w:val="0"/>
        </w:rPr>
      </w:pPr>
      <w:bookmarkStart w:id="64" w:name="_Toc15396623"/>
      <w:r>
        <w:rPr>
          <w:rStyle w:val="25"/>
          <w:rFonts w:hint="eastAsia" w:ascii="仿宋" w:hAnsi="仿宋" w:eastAsia="仿宋"/>
          <w:b w:val="0"/>
          <w:bCs w:val="0"/>
        </w:rPr>
        <w:t>五、</w:t>
      </w:r>
      <w:r>
        <w:rPr>
          <w:rFonts w:hint="eastAsia" w:ascii="仿宋" w:hAnsi="仿宋" w:eastAsia="仿宋"/>
          <w:b w:val="0"/>
          <w:color w:val="000000"/>
        </w:rPr>
        <w:t>财</w:t>
      </w:r>
      <w:r>
        <w:rPr>
          <w:rStyle w:val="25"/>
          <w:rFonts w:hint="eastAsia" w:ascii="仿宋" w:hAnsi="仿宋" w:eastAsia="仿宋"/>
          <w:b w:val="0"/>
          <w:bCs w:val="0"/>
        </w:rPr>
        <w:t>政拨款支出决算明细表</w:t>
      </w:r>
      <w:bookmarkEnd w:id="64"/>
      <w:bookmarkStart w:id="65" w:name="_Toc15396624"/>
    </w:p>
    <w:p>
      <w:pPr>
        <w:pStyle w:val="3"/>
        <w:rPr>
          <w:rFonts w:ascii="仿宋" w:hAnsi="仿宋" w:eastAsia="仿宋"/>
          <w:color w:val="000000"/>
        </w:rPr>
      </w:pPr>
      <w:r>
        <w:rPr>
          <w:rStyle w:val="25"/>
          <w:rFonts w:hint="eastAsia" w:ascii="仿宋" w:hAnsi="仿宋" w:eastAsia="仿宋"/>
          <w:b w:val="0"/>
          <w:bCs w:val="0"/>
        </w:rPr>
        <w:t>六、</w:t>
      </w:r>
      <w:r>
        <w:rPr>
          <w:rFonts w:hint="eastAsia" w:ascii="仿宋" w:hAnsi="仿宋" w:eastAsia="仿宋"/>
          <w:b w:val="0"/>
          <w:color w:val="000000"/>
        </w:rPr>
        <w:t>一</w:t>
      </w:r>
      <w:r>
        <w:rPr>
          <w:rStyle w:val="25"/>
          <w:rFonts w:hint="eastAsia" w:ascii="仿宋" w:hAnsi="仿宋" w:eastAsia="仿宋"/>
          <w:b w:val="0"/>
          <w:bCs w:val="0"/>
        </w:rPr>
        <w:t>般公共预算财政拨款支出决算表</w:t>
      </w:r>
      <w:bookmarkEnd w:id="65"/>
    </w:p>
    <w:p>
      <w:pPr>
        <w:pStyle w:val="3"/>
        <w:rPr>
          <w:rFonts w:ascii="仿宋" w:hAnsi="仿宋" w:eastAsia="仿宋"/>
          <w:color w:val="000000"/>
        </w:rPr>
      </w:pPr>
      <w:bookmarkStart w:id="66" w:name="_Toc15396625"/>
      <w:r>
        <w:rPr>
          <w:rStyle w:val="25"/>
          <w:rFonts w:hint="eastAsia" w:ascii="仿宋" w:hAnsi="仿宋" w:eastAsia="仿宋"/>
          <w:b w:val="0"/>
          <w:bCs w:val="0"/>
        </w:rPr>
        <w:t>七、</w:t>
      </w:r>
      <w:r>
        <w:rPr>
          <w:rFonts w:hint="eastAsia" w:ascii="仿宋" w:hAnsi="仿宋" w:eastAsia="仿宋"/>
          <w:b w:val="0"/>
          <w:color w:val="000000"/>
        </w:rPr>
        <w:t>一</w:t>
      </w:r>
      <w:r>
        <w:rPr>
          <w:rStyle w:val="25"/>
          <w:rFonts w:hint="eastAsia" w:ascii="仿宋" w:hAnsi="仿宋" w:eastAsia="仿宋"/>
          <w:b w:val="0"/>
          <w:bCs w:val="0"/>
        </w:rPr>
        <w:t>般公共预算财政拨款支出决算明细表</w:t>
      </w:r>
      <w:bookmarkEnd w:id="66"/>
    </w:p>
    <w:p>
      <w:pPr>
        <w:pStyle w:val="3"/>
        <w:rPr>
          <w:rFonts w:ascii="仿宋" w:hAnsi="仿宋" w:eastAsia="仿宋"/>
          <w:color w:val="000000"/>
        </w:rPr>
      </w:pPr>
      <w:bookmarkStart w:id="67" w:name="_Toc15396626"/>
      <w:r>
        <w:rPr>
          <w:rStyle w:val="25"/>
          <w:rFonts w:hint="eastAsia" w:ascii="仿宋" w:hAnsi="仿宋" w:eastAsia="仿宋"/>
          <w:b w:val="0"/>
          <w:bCs w:val="0"/>
        </w:rPr>
        <w:t>八、</w:t>
      </w:r>
      <w:r>
        <w:rPr>
          <w:rFonts w:hint="eastAsia" w:ascii="仿宋" w:hAnsi="仿宋" w:eastAsia="仿宋"/>
          <w:b w:val="0"/>
          <w:color w:val="000000"/>
        </w:rPr>
        <w:t>一</w:t>
      </w:r>
      <w:r>
        <w:rPr>
          <w:rStyle w:val="25"/>
          <w:rFonts w:hint="eastAsia" w:ascii="仿宋" w:hAnsi="仿宋" w:eastAsia="仿宋"/>
          <w:b w:val="0"/>
          <w:bCs w:val="0"/>
        </w:rPr>
        <w:t>般公共预算财政拨款基本支出决算表</w:t>
      </w:r>
      <w:bookmarkEnd w:id="67"/>
    </w:p>
    <w:p>
      <w:pPr>
        <w:pStyle w:val="3"/>
        <w:rPr>
          <w:rFonts w:ascii="仿宋" w:hAnsi="仿宋" w:eastAsia="仿宋"/>
          <w:color w:val="000000"/>
        </w:rPr>
      </w:pPr>
      <w:bookmarkStart w:id="68" w:name="_Toc15396627"/>
      <w:r>
        <w:rPr>
          <w:rStyle w:val="25"/>
          <w:rFonts w:hint="eastAsia" w:ascii="仿宋" w:hAnsi="仿宋" w:eastAsia="仿宋"/>
          <w:b w:val="0"/>
          <w:bCs w:val="0"/>
        </w:rPr>
        <w:t>九、</w:t>
      </w:r>
      <w:r>
        <w:rPr>
          <w:rFonts w:hint="eastAsia" w:ascii="仿宋" w:hAnsi="仿宋" w:eastAsia="仿宋"/>
          <w:b w:val="0"/>
          <w:color w:val="000000"/>
        </w:rPr>
        <w:t>一</w:t>
      </w:r>
      <w:r>
        <w:rPr>
          <w:rStyle w:val="25"/>
          <w:rFonts w:hint="eastAsia" w:ascii="仿宋" w:hAnsi="仿宋" w:eastAsia="仿宋"/>
          <w:b w:val="0"/>
          <w:bCs w:val="0"/>
        </w:rPr>
        <w:t>般公共预算财政拨款项目支出决算表</w:t>
      </w:r>
      <w:bookmarkEnd w:id="68"/>
    </w:p>
    <w:p>
      <w:pPr>
        <w:pStyle w:val="3"/>
        <w:rPr>
          <w:rFonts w:ascii="仿宋" w:hAnsi="仿宋" w:eastAsia="仿宋"/>
          <w:color w:val="000000"/>
        </w:rPr>
      </w:pPr>
      <w:bookmarkStart w:id="69" w:name="_Toc15396628"/>
      <w:r>
        <w:rPr>
          <w:rStyle w:val="25"/>
          <w:rFonts w:hint="eastAsia" w:ascii="仿宋" w:hAnsi="仿宋" w:eastAsia="仿宋"/>
          <w:b w:val="0"/>
          <w:bCs w:val="0"/>
        </w:rPr>
        <w:t>十、</w:t>
      </w:r>
      <w:r>
        <w:rPr>
          <w:rFonts w:hint="eastAsia" w:ascii="仿宋" w:hAnsi="仿宋" w:eastAsia="仿宋"/>
          <w:b w:val="0"/>
          <w:color w:val="000000"/>
        </w:rPr>
        <w:t>一</w:t>
      </w:r>
      <w:r>
        <w:rPr>
          <w:rStyle w:val="25"/>
          <w:rFonts w:hint="eastAsia" w:ascii="仿宋" w:hAnsi="仿宋" w:eastAsia="仿宋"/>
          <w:b w:val="0"/>
          <w:bCs w:val="0"/>
        </w:rPr>
        <w:t>般公共预算财政拨款“三公”经费支出决算表</w:t>
      </w:r>
      <w:bookmarkEnd w:id="69"/>
    </w:p>
    <w:p>
      <w:pPr>
        <w:pStyle w:val="3"/>
        <w:rPr>
          <w:rFonts w:ascii="仿宋" w:hAnsi="仿宋" w:eastAsia="仿宋"/>
          <w:color w:val="000000"/>
        </w:rPr>
      </w:pPr>
      <w:bookmarkStart w:id="70" w:name="_Toc15396629"/>
      <w:r>
        <w:rPr>
          <w:rStyle w:val="25"/>
          <w:rFonts w:hint="eastAsia" w:ascii="仿宋" w:hAnsi="仿宋" w:eastAsia="仿宋"/>
          <w:b w:val="0"/>
          <w:bCs w:val="0"/>
        </w:rPr>
        <w:t>十一、</w:t>
      </w:r>
      <w:r>
        <w:rPr>
          <w:rFonts w:hint="eastAsia" w:ascii="仿宋" w:hAnsi="仿宋" w:eastAsia="仿宋"/>
          <w:b w:val="0"/>
          <w:color w:val="000000"/>
        </w:rPr>
        <w:t>政</w:t>
      </w:r>
      <w:r>
        <w:rPr>
          <w:rStyle w:val="25"/>
          <w:rFonts w:hint="eastAsia" w:ascii="仿宋" w:hAnsi="仿宋" w:eastAsia="仿宋"/>
          <w:b w:val="0"/>
          <w:bCs w:val="0"/>
        </w:rPr>
        <w:t>府性基金预算财政拨款收入支出决算表</w:t>
      </w:r>
      <w:bookmarkEnd w:id="70"/>
    </w:p>
    <w:p>
      <w:pPr>
        <w:pStyle w:val="3"/>
        <w:rPr>
          <w:rFonts w:ascii="仿宋" w:hAnsi="仿宋" w:eastAsia="仿宋"/>
          <w:color w:val="000000"/>
        </w:rPr>
      </w:pPr>
      <w:bookmarkStart w:id="71" w:name="_Toc15396630"/>
      <w:r>
        <w:rPr>
          <w:rStyle w:val="25"/>
          <w:rFonts w:hint="eastAsia" w:ascii="仿宋" w:hAnsi="仿宋" w:eastAsia="仿宋"/>
          <w:b w:val="0"/>
          <w:bCs w:val="0"/>
        </w:rPr>
        <w:t>十二、</w:t>
      </w:r>
      <w:r>
        <w:rPr>
          <w:rFonts w:hint="eastAsia" w:ascii="仿宋" w:hAnsi="仿宋" w:eastAsia="仿宋"/>
          <w:b w:val="0"/>
          <w:color w:val="000000"/>
        </w:rPr>
        <w:t>政</w:t>
      </w:r>
      <w:r>
        <w:rPr>
          <w:rStyle w:val="25"/>
          <w:rFonts w:hint="eastAsia" w:ascii="仿宋" w:hAnsi="仿宋" w:eastAsia="仿宋"/>
          <w:b w:val="0"/>
          <w:bCs w:val="0"/>
        </w:rPr>
        <w:t>府性基金预算财政拨款“三公”经费支出决算表</w:t>
      </w:r>
      <w:bookmarkEnd w:id="71"/>
    </w:p>
    <w:p>
      <w:pPr>
        <w:pStyle w:val="3"/>
        <w:rPr>
          <w:rFonts w:ascii="仿宋" w:hAnsi="仿宋" w:eastAsia="仿宋"/>
          <w:color w:val="000000" w:themeColor="text1"/>
          <w14:textFill>
            <w14:solidFill>
              <w14:schemeClr w14:val="tx1"/>
            </w14:solidFill>
          </w14:textFill>
        </w:rPr>
      </w:pPr>
      <w:bookmarkStart w:id="72" w:name="_Toc15396631"/>
      <w:r>
        <w:rPr>
          <w:rStyle w:val="25"/>
          <w:rFonts w:hint="eastAsia" w:ascii="仿宋" w:hAnsi="仿宋" w:eastAsia="仿宋"/>
          <w:b w:val="0"/>
          <w:bCs w:val="0"/>
        </w:rPr>
        <w:t>十三、</w:t>
      </w:r>
      <w:r>
        <w:rPr>
          <w:rFonts w:hint="eastAsia" w:ascii="仿宋" w:hAnsi="仿宋" w:eastAsia="仿宋"/>
          <w:b w:val="0"/>
          <w:color w:val="000000"/>
        </w:rPr>
        <w:t>国</w:t>
      </w:r>
      <w:r>
        <w:rPr>
          <w:rStyle w:val="25"/>
          <w:rFonts w:hint="eastAsia" w:ascii="仿宋" w:hAnsi="仿宋" w:eastAsia="仿宋"/>
          <w:b w:val="0"/>
          <w:bCs w:val="0"/>
        </w:rPr>
        <w:t>有资本经营预算支出决算表</w:t>
      </w:r>
      <w:bookmarkEnd w:id="72"/>
    </w:p>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Cambria">
    <w:altName w:val="苹方-简"/>
    <w:panose1 w:val="02040503050406030204"/>
    <w:charset w:val="00"/>
    <w:family w:val="roman"/>
    <w:pitch w:val="default"/>
    <w:sig w:usb0="00000000" w:usb1="00000000" w:usb2="00000000" w:usb3="00000000" w:csb0="0000019F" w:csb1="00000000"/>
  </w:font>
  <w:font w:name="仿宋_GB2312">
    <w:altName w:val="方正仿宋_GBK"/>
    <w:panose1 w:val="00000000000000000000"/>
    <w:charset w:val="86"/>
    <w:family w:val="modern"/>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altName w:val="汉仪书宋二KW"/>
    <w:panose1 w:val="02010601030101010101"/>
    <w:charset w:val="86"/>
    <w:family w:val="auto"/>
    <w:pitch w:val="default"/>
    <w:sig w:usb0="00000000" w:usb1="00000000" w:usb2="00000010" w:usb3="00000000" w:csb0="00040000" w:csb1="00000000"/>
  </w:font>
  <w:font w:name="Arial">
    <w:panose1 w:val="020B0704020202090204"/>
    <w:charset w:val="00"/>
    <w:family w:val="swiss"/>
    <w:pitch w:val="default"/>
    <w:sig w:usb0="E0000AFF" w:usb1="00007843" w:usb2="00000001" w:usb3="00000000" w:csb0="400001BF" w:csb1="DFF70000"/>
  </w:font>
  <w:font w:name="楷体_GB2312">
    <w:altName w:val="汉仪楷体简"/>
    <w:panose1 w:val="00000000000000000000"/>
    <w:charset w:val="86"/>
    <w:family w:val="modern"/>
    <w:pitch w:val="default"/>
    <w:sig w:usb0="00000000" w:usb1="00000000" w:usb2="00000010" w:usb3="00000000" w:csb0="00040000"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冬青黑体简体中文">
    <w:panose1 w:val="020B0300000000000000"/>
    <w:charset w:val="86"/>
    <w:family w:val="auto"/>
    <w:pitch w:val="default"/>
    <w:sig w:usb0="A00002BF" w:usb1="1ACF7CFA" w:usb2="00000016" w:usb3="00000000" w:csb0="00060007"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CFB" w:usb2="00000016" w:usb3="00000000" w:csb0="00040001" w:csb1="00000000"/>
  </w:font>
  <w:font w:name="汉仪楷体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pPr>
          <w:pStyle w:val="8"/>
          <w:jc w:val="center"/>
        </w:pPr>
        <w:r>
          <w:fldChar w:fldCharType="begin"/>
        </w:r>
        <w:r>
          <w:instrText xml:space="preserve">PAGE   \* MERGEFORMAT</w:instrText>
        </w:r>
        <w:r>
          <w:fldChar w:fldCharType="separate"/>
        </w:r>
        <w:r>
          <w:rPr>
            <w:lang w:val="zh-CN"/>
          </w:rPr>
          <w:t>25</w:t>
        </w:r>
        <w:r>
          <w:fldChar w:fldCharType="end"/>
        </w:r>
      </w:p>
    </w:sdtContent>
  </w:sdt>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rPr>
    </w:lvl>
  </w:abstractNum>
  <w:abstractNum w:abstractNumId="1">
    <w:nsid w:val="E2FA047D"/>
    <w:multiLevelType w:val="singleLevel"/>
    <w:tmpl w:val="E2FA047D"/>
    <w:lvl w:ilvl="0" w:tentative="0">
      <w:start w:val="3"/>
      <w:numFmt w:val="chineseCounting"/>
      <w:suff w:val="space"/>
      <w:lvlText w:val="第%1部分"/>
      <w:lvlJc w:val="left"/>
      <w:rPr>
        <w:rFonts w:hint="eastAsia"/>
      </w:rPr>
    </w:lvl>
  </w:abstractNum>
  <w:abstractNum w:abstractNumId="2">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6E340FF7"/>
    <w:multiLevelType w:val="multilevel"/>
    <w:tmpl w:val="6E340FF7"/>
    <w:lvl w:ilvl="0" w:tentative="0">
      <w:start w:val="1"/>
      <w:numFmt w:val="none"/>
      <w:lvlText w:val="一、"/>
      <w:lvlJc w:val="left"/>
      <w:pPr>
        <w:ind w:left="900" w:hanging="48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753D6949"/>
    <w:multiLevelType w:val="multilevel"/>
    <w:tmpl w:val="753D6949"/>
    <w:lvl w:ilvl="0" w:tentative="0">
      <w:start w:val="1"/>
      <w:numFmt w:val="japaneseCounting"/>
      <w:lvlText w:val="%1、"/>
      <w:lvlJc w:val="left"/>
      <w:pPr>
        <w:ind w:left="900" w:hanging="48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61C"/>
    <w:rsid w:val="000222C6"/>
    <w:rsid w:val="0002549F"/>
    <w:rsid w:val="000468DB"/>
    <w:rsid w:val="0006487A"/>
    <w:rsid w:val="00065F8F"/>
    <w:rsid w:val="00070A43"/>
    <w:rsid w:val="000768F2"/>
    <w:rsid w:val="0009184B"/>
    <w:rsid w:val="00094236"/>
    <w:rsid w:val="0009593C"/>
    <w:rsid w:val="00097322"/>
    <w:rsid w:val="00097817"/>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A0362"/>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7054D"/>
    <w:rsid w:val="00280496"/>
    <w:rsid w:val="00294DC9"/>
    <w:rsid w:val="00295495"/>
    <w:rsid w:val="002A31DE"/>
    <w:rsid w:val="002B2613"/>
    <w:rsid w:val="002D19B0"/>
    <w:rsid w:val="002D6D05"/>
    <w:rsid w:val="002F1818"/>
    <w:rsid w:val="002F567B"/>
    <w:rsid w:val="00316B8F"/>
    <w:rsid w:val="003216A9"/>
    <w:rsid w:val="00335A74"/>
    <w:rsid w:val="0036561B"/>
    <w:rsid w:val="0037013F"/>
    <w:rsid w:val="00380C92"/>
    <w:rsid w:val="003A4346"/>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16CD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4F403E"/>
    <w:rsid w:val="005043BD"/>
    <w:rsid w:val="00505A47"/>
    <w:rsid w:val="00512FDA"/>
    <w:rsid w:val="00520DA0"/>
    <w:rsid w:val="005664BB"/>
    <w:rsid w:val="00566FFA"/>
    <w:rsid w:val="0057149D"/>
    <w:rsid w:val="0057481D"/>
    <w:rsid w:val="00575F0B"/>
    <w:rsid w:val="0058486E"/>
    <w:rsid w:val="00585B33"/>
    <w:rsid w:val="0059014D"/>
    <w:rsid w:val="005B5C64"/>
    <w:rsid w:val="005C6BD0"/>
    <w:rsid w:val="005C6C4C"/>
    <w:rsid w:val="005D1C8B"/>
    <w:rsid w:val="005D468D"/>
    <w:rsid w:val="005D5CED"/>
    <w:rsid w:val="005F1A4C"/>
    <w:rsid w:val="00605688"/>
    <w:rsid w:val="006070AF"/>
    <w:rsid w:val="00607E6C"/>
    <w:rsid w:val="00607ECD"/>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96DE2"/>
    <w:rsid w:val="00697F65"/>
    <w:rsid w:val="006A3141"/>
    <w:rsid w:val="006A5E34"/>
    <w:rsid w:val="006B2422"/>
    <w:rsid w:val="006B2B9A"/>
    <w:rsid w:val="006C1937"/>
    <w:rsid w:val="006E2C9C"/>
    <w:rsid w:val="006F020C"/>
    <w:rsid w:val="007127B7"/>
    <w:rsid w:val="0071798E"/>
    <w:rsid w:val="00727533"/>
    <w:rsid w:val="00733AA8"/>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F1991"/>
    <w:rsid w:val="007F2C2F"/>
    <w:rsid w:val="007F2C81"/>
    <w:rsid w:val="007F55FC"/>
    <w:rsid w:val="007F5665"/>
    <w:rsid w:val="00800112"/>
    <w:rsid w:val="008110A2"/>
    <w:rsid w:val="00813348"/>
    <w:rsid w:val="008253BB"/>
    <w:rsid w:val="00833962"/>
    <w:rsid w:val="0083706E"/>
    <w:rsid w:val="008408F6"/>
    <w:rsid w:val="008423A5"/>
    <w:rsid w:val="00850625"/>
    <w:rsid w:val="00853718"/>
    <w:rsid w:val="00855221"/>
    <w:rsid w:val="00860645"/>
    <w:rsid w:val="00871F71"/>
    <w:rsid w:val="00872FD8"/>
    <w:rsid w:val="00885AF4"/>
    <w:rsid w:val="008939CD"/>
    <w:rsid w:val="008B2B1F"/>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6945"/>
    <w:rsid w:val="00946B3F"/>
    <w:rsid w:val="00951248"/>
    <w:rsid w:val="0095152F"/>
    <w:rsid w:val="00954C49"/>
    <w:rsid w:val="009551AC"/>
    <w:rsid w:val="00955E37"/>
    <w:rsid w:val="0097099F"/>
    <w:rsid w:val="00971997"/>
    <w:rsid w:val="00971FFC"/>
    <w:rsid w:val="0098660A"/>
    <w:rsid w:val="00987415"/>
    <w:rsid w:val="009931C3"/>
    <w:rsid w:val="009B2C43"/>
    <w:rsid w:val="009B4EAE"/>
    <w:rsid w:val="009B7573"/>
    <w:rsid w:val="009C22F4"/>
    <w:rsid w:val="009C2E98"/>
    <w:rsid w:val="009C3735"/>
    <w:rsid w:val="009C37FB"/>
    <w:rsid w:val="009D3447"/>
    <w:rsid w:val="009D35B1"/>
    <w:rsid w:val="009D4711"/>
    <w:rsid w:val="009F1185"/>
    <w:rsid w:val="009F18CD"/>
    <w:rsid w:val="009F2A13"/>
    <w:rsid w:val="009F7527"/>
    <w:rsid w:val="00A039ED"/>
    <w:rsid w:val="00A04EB0"/>
    <w:rsid w:val="00A13CC1"/>
    <w:rsid w:val="00A16847"/>
    <w:rsid w:val="00A237D8"/>
    <w:rsid w:val="00A268C4"/>
    <w:rsid w:val="00A307CD"/>
    <w:rsid w:val="00A331C8"/>
    <w:rsid w:val="00A35117"/>
    <w:rsid w:val="00A40A00"/>
    <w:rsid w:val="00A4142F"/>
    <w:rsid w:val="00A422EB"/>
    <w:rsid w:val="00A45BB7"/>
    <w:rsid w:val="00A56DF2"/>
    <w:rsid w:val="00A56E6E"/>
    <w:rsid w:val="00A67AB5"/>
    <w:rsid w:val="00A733B2"/>
    <w:rsid w:val="00A741C2"/>
    <w:rsid w:val="00A858C8"/>
    <w:rsid w:val="00A91760"/>
    <w:rsid w:val="00A93B00"/>
    <w:rsid w:val="00A93C21"/>
    <w:rsid w:val="00AB01E7"/>
    <w:rsid w:val="00AB64C9"/>
    <w:rsid w:val="00AC3C6A"/>
    <w:rsid w:val="00AD0F83"/>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0E69"/>
    <w:rsid w:val="00C33E72"/>
    <w:rsid w:val="00C354B2"/>
    <w:rsid w:val="00C35554"/>
    <w:rsid w:val="00C42709"/>
    <w:rsid w:val="00C533CC"/>
    <w:rsid w:val="00C5751C"/>
    <w:rsid w:val="00C61BFC"/>
    <w:rsid w:val="00C62B85"/>
    <w:rsid w:val="00C65438"/>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93FB1"/>
    <w:rsid w:val="00DA634F"/>
    <w:rsid w:val="00DA65AC"/>
    <w:rsid w:val="00DB1913"/>
    <w:rsid w:val="00DC410D"/>
    <w:rsid w:val="00DC5A81"/>
    <w:rsid w:val="00DC68CA"/>
    <w:rsid w:val="00DC7CBA"/>
    <w:rsid w:val="00DD73B7"/>
    <w:rsid w:val="00DE6025"/>
    <w:rsid w:val="00DF28BC"/>
    <w:rsid w:val="00DF34B9"/>
    <w:rsid w:val="00E01053"/>
    <w:rsid w:val="00E07ACF"/>
    <w:rsid w:val="00E331A1"/>
    <w:rsid w:val="00E33202"/>
    <w:rsid w:val="00E336A9"/>
    <w:rsid w:val="00E472B1"/>
    <w:rsid w:val="00E50624"/>
    <w:rsid w:val="00E568DF"/>
    <w:rsid w:val="00E64269"/>
    <w:rsid w:val="00E66797"/>
    <w:rsid w:val="00E82267"/>
    <w:rsid w:val="00E853CE"/>
    <w:rsid w:val="00E867B6"/>
    <w:rsid w:val="00E87F08"/>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2FE4"/>
    <w:rsid w:val="00F36D8F"/>
    <w:rsid w:val="00F417B1"/>
    <w:rsid w:val="00F45853"/>
    <w:rsid w:val="00F5781A"/>
    <w:rsid w:val="00F602DF"/>
    <w:rsid w:val="00F754A1"/>
    <w:rsid w:val="00F81FD9"/>
    <w:rsid w:val="00F841AA"/>
    <w:rsid w:val="00F84A94"/>
    <w:rsid w:val="00F87E96"/>
    <w:rsid w:val="00FA23E8"/>
    <w:rsid w:val="00FD3CC1"/>
    <w:rsid w:val="00FF1E02"/>
    <w:rsid w:val="00FF30B4"/>
    <w:rsid w:val="10C055FF"/>
    <w:rsid w:val="16BB723D"/>
    <w:rsid w:val="240371BF"/>
    <w:rsid w:val="29FD04D3"/>
    <w:rsid w:val="319F7F4E"/>
    <w:rsid w:val="4ECE2238"/>
    <w:rsid w:val="72734D90"/>
    <w:rsid w:val="7ADBF5D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8"/>
    <w:unhideWhenUsed/>
    <w:qFormat/>
    <w:uiPriority w:val="9"/>
    <w:pPr>
      <w:keepNext/>
      <w:keepLines/>
      <w:spacing w:before="260" w:after="260" w:line="416" w:lineRule="auto"/>
      <w:outlineLvl w:val="2"/>
    </w:pPr>
    <w:rPr>
      <w:b/>
      <w:bCs/>
      <w:sz w:val="32"/>
      <w:szCs w:val="32"/>
    </w:rPr>
  </w:style>
  <w:style w:type="character" w:default="1" w:styleId="13">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5">
    <w:name w:val="Body Text"/>
    <w:basedOn w:val="1"/>
    <w:link w:val="21"/>
    <w:uiPriority w:val="99"/>
    <w:pPr>
      <w:spacing w:beforeLines="30"/>
    </w:pPr>
    <w:rPr>
      <w:rFonts w:ascii="仿宋_GB2312" w:eastAsia="仿宋_GB2312"/>
      <w:kern w:val="0"/>
      <w:sz w:val="30"/>
    </w:rPr>
  </w:style>
  <w:style w:type="paragraph" w:styleId="6">
    <w:name w:val="toc 3"/>
    <w:basedOn w:val="1"/>
    <w:next w:val="1"/>
    <w:unhideWhenUsed/>
    <w:qFormat/>
    <w:uiPriority w:val="39"/>
    <w:pPr>
      <w:tabs>
        <w:tab w:val="right" w:leader="dot" w:pos="8296"/>
      </w:tabs>
      <w:ind w:left="840" w:leftChars="400"/>
    </w:pPr>
  </w:style>
  <w:style w:type="paragraph" w:styleId="7">
    <w:name w:val="Balloon Text"/>
    <w:basedOn w:val="1"/>
    <w:link w:val="27"/>
    <w:semiHidden/>
    <w:unhideWhenUsed/>
    <w:qFormat/>
    <w:uiPriority w:val="99"/>
    <w:rPr>
      <w:sz w:val="18"/>
      <w:szCs w:val="18"/>
    </w:rPr>
  </w:style>
  <w:style w:type="paragraph" w:styleId="8">
    <w:name w:val="footer"/>
    <w:basedOn w:val="1"/>
    <w:link w:val="19"/>
    <w:qFormat/>
    <w:uiPriority w:val="99"/>
    <w:pPr>
      <w:tabs>
        <w:tab w:val="center" w:pos="4153"/>
        <w:tab w:val="right" w:pos="8306"/>
      </w:tabs>
      <w:snapToGrid w:val="0"/>
      <w:jc w:val="left"/>
    </w:pPr>
    <w:rPr>
      <w:rFonts w:ascii="Calibri" w:hAnsi="Calibri"/>
      <w:kern w:val="0"/>
      <w:sz w:val="18"/>
      <w:szCs w:val="18"/>
    </w:rPr>
  </w:style>
  <w:style w:type="paragraph" w:styleId="9">
    <w:name w:val="header"/>
    <w:basedOn w:val="1"/>
    <w:link w:val="17"/>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0">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1">
    <w:name w:val="toc 2"/>
    <w:basedOn w:val="1"/>
    <w:next w:val="1"/>
    <w:unhideWhenUsed/>
    <w:qFormat/>
    <w:uiPriority w:val="39"/>
    <w:pPr>
      <w:tabs>
        <w:tab w:val="right" w:leader="dot" w:pos="8296"/>
      </w:tabs>
      <w:ind w:left="420" w:leftChars="200"/>
    </w:pPr>
  </w:style>
  <w:style w:type="character" w:styleId="14">
    <w:name w:val="Strong"/>
    <w:basedOn w:val="13"/>
    <w:qFormat/>
    <w:uiPriority w:val="99"/>
    <w:rPr>
      <w:b/>
    </w:rPr>
  </w:style>
  <w:style w:type="character" w:styleId="15">
    <w:name w:val="Hyperlink"/>
    <w:basedOn w:val="13"/>
    <w:unhideWhenUsed/>
    <w:qFormat/>
    <w:uiPriority w:val="99"/>
    <w:rPr>
      <w:color w:val="0000FF" w:themeColor="hyperlink"/>
      <w:u w:val="single"/>
      <w14:textFill>
        <w14:solidFill>
          <w14:schemeClr w14:val="hlink"/>
        </w14:solidFill>
      </w14:textFill>
    </w:rPr>
  </w:style>
  <w:style w:type="character" w:customStyle="1" w:styleId="16">
    <w:name w:val="Header Char"/>
    <w:basedOn w:val="13"/>
    <w:semiHidden/>
    <w:qFormat/>
    <w:uiPriority w:val="99"/>
    <w:rPr>
      <w:rFonts w:ascii="Times New Roman" w:hAnsi="Times New Roman"/>
      <w:sz w:val="18"/>
      <w:szCs w:val="18"/>
    </w:rPr>
  </w:style>
  <w:style w:type="character" w:customStyle="1" w:styleId="17">
    <w:name w:val="页眉 Char"/>
    <w:link w:val="9"/>
    <w:semiHidden/>
    <w:qFormat/>
    <w:locked/>
    <w:uiPriority w:val="99"/>
    <w:rPr>
      <w:sz w:val="18"/>
    </w:rPr>
  </w:style>
  <w:style w:type="character" w:customStyle="1" w:styleId="18">
    <w:name w:val="Footer Char"/>
    <w:basedOn w:val="13"/>
    <w:semiHidden/>
    <w:qFormat/>
    <w:uiPriority w:val="99"/>
    <w:rPr>
      <w:rFonts w:ascii="Times New Roman" w:hAnsi="Times New Roman"/>
      <w:sz w:val="18"/>
      <w:szCs w:val="18"/>
    </w:rPr>
  </w:style>
  <w:style w:type="character" w:customStyle="1" w:styleId="19">
    <w:name w:val="页脚 Char"/>
    <w:link w:val="8"/>
    <w:qFormat/>
    <w:locked/>
    <w:uiPriority w:val="99"/>
    <w:rPr>
      <w:sz w:val="18"/>
    </w:rPr>
  </w:style>
  <w:style w:type="character" w:customStyle="1" w:styleId="20">
    <w:name w:val="Body Text Char"/>
    <w:basedOn w:val="13"/>
    <w:semiHidden/>
    <w:qFormat/>
    <w:uiPriority w:val="99"/>
    <w:rPr>
      <w:rFonts w:ascii="Times New Roman" w:hAnsi="Times New Roman"/>
      <w:szCs w:val="24"/>
    </w:rPr>
  </w:style>
  <w:style w:type="character" w:customStyle="1" w:styleId="21">
    <w:name w:val="正文文本 Char"/>
    <w:link w:val="5"/>
    <w:qFormat/>
    <w:locked/>
    <w:uiPriority w:val="99"/>
    <w:rPr>
      <w:rFonts w:ascii="仿宋_GB2312" w:hAnsi="Times New Roman" w:eastAsia="仿宋_GB2312"/>
      <w:sz w:val="24"/>
    </w:rPr>
  </w:style>
  <w:style w:type="paragraph" w:customStyle="1" w:styleId="22">
    <w:name w:val="Defaul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3">
    <w:name w:val="List Paragraph"/>
    <w:basedOn w:val="1"/>
    <w:qFormat/>
    <w:uiPriority w:val="34"/>
    <w:pPr>
      <w:ind w:firstLine="420" w:firstLineChars="200"/>
    </w:pPr>
  </w:style>
  <w:style w:type="character" w:customStyle="1" w:styleId="24">
    <w:name w:val="标题 1 Char"/>
    <w:basedOn w:val="13"/>
    <w:link w:val="2"/>
    <w:qFormat/>
    <w:uiPriority w:val="9"/>
    <w:rPr>
      <w:rFonts w:ascii="Times New Roman" w:hAnsi="Times New Roman"/>
      <w:b/>
      <w:bCs/>
      <w:kern w:val="44"/>
      <w:sz w:val="44"/>
      <w:szCs w:val="44"/>
    </w:rPr>
  </w:style>
  <w:style w:type="character" w:customStyle="1" w:styleId="25">
    <w:name w:val="标题 2 Char"/>
    <w:basedOn w:val="13"/>
    <w:link w:val="3"/>
    <w:qFormat/>
    <w:uiPriority w:val="9"/>
    <w:rPr>
      <w:rFonts w:asciiTheme="majorHAnsi" w:hAnsiTheme="majorHAnsi" w:eastAsiaTheme="majorEastAsia" w:cstheme="majorBidi"/>
      <w:b/>
      <w:bCs/>
      <w:kern w:val="2"/>
      <w:sz w:val="32"/>
      <w:szCs w:val="32"/>
    </w:rPr>
  </w:style>
  <w:style w:type="paragraph" w:customStyle="1" w:styleId="26">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27">
    <w:name w:val="批注框文本 Char"/>
    <w:basedOn w:val="13"/>
    <w:link w:val="7"/>
    <w:semiHidden/>
    <w:qFormat/>
    <w:uiPriority w:val="99"/>
    <w:rPr>
      <w:rFonts w:ascii="Times New Roman" w:hAnsi="Times New Roman"/>
      <w:kern w:val="2"/>
      <w:sz w:val="18"/>
      <w:szCs w:val="18"/>
    </w:rPr>
  </w:style>
  <w:style w:type="character" w:customStyle="1" w:styleId="28">
    <w:name w:val="标题 3 Char"/>
    <w:basedOn w:val="13"/>
    <w:link w:val="4"/>
    <w:qFormat/>
    <w:uiPriority w:val="9"/>
    <w:rPr>
      <w:rFonts w:ascii="Times New Roman" w:hAnsi="Times New Roman"/>
      <w:b/>
      <w:bCs/>
      <w:kern w:val="2"/>
      <w:sz w:val="32"/>
      <w:szCs w:val="32"/>
    </w:rPr>
  </w:style>
  <w:style w:type="paragraph" w:customStyle="1" w:styleId="29">
    <w:name w:val="TOC Heading"/>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30">
    <w:name w:val="p0"/>
    <w:basedOn w:val="1"/>
    <w:uiPriority w:val="0"/>
    <w:pPr>
      <w:widowControl/>
      <w:jc w:val="left"/>
    </w:pPr>
    <w:rPr>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四川省财政厅</Company>
  <Pages>27</Pages>
  <Words>1831</Words>
  <Characters>10440</Characters>
  <Lines>87</Lines>
  <Paragraphs>24</Paragraphs>
  <TotalTime>228</TotalTime>
  <ScaleCrop>false</ScaleCrop>
  <LinksUpToDate>false</LinksUpToDate>
  <CharactersWithSpaces>12247</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2020-10-28T13:52:00Z</dcterms:created>
  <dc:creator>曹颖</dc:creator>
  <cp:lastModifiedBy>nemoya</cp:lastModifiedBy>
  <cp:lastPrinted>2020-07-23T10:58:00Z</cp:lastPrinted>
  <dcterms:modified xsi:type="dcterms:W3CDTF">2025-03-03T14:41:52Z</dcterms:modified>
  <dc:title>四川省***</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0A354A324AC77C2C304FC5672833F357_42</vt:lpwstr>
  </property>
</Properties>
</file>