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hint="eastAsia"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8441"/>
      <w:bookmarkStart w:id="2" w:name="_Toc15396475"/>
      <w:bookmarkStart w:id="3" w:name="_Toc15377193"/>
      <w:bookmarkStart w:id="4" w:name="_Toc15377425"/>
      <w:bookmarkStart w:id="5" w:name="_Toc15396597"/>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476"/>
      <w:bookmarkStart w:id="7" w:name="_Toc15377194"/>
      <w:bookmarkStart w:id="8" w:name="_Toc15377426"/>
      <w:bookmarkStart w:id="9" w:name="_Toc15378442"/>
      <w:bookmarkStart w:id="10" w:name="_Toc15396598"/>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广汉市</w:t>
      </w:r>
    </w:p>
    <w:p>
      <w:pPr>
        <w:adjustRightInd w:val="0"/>
        <w:snapToGrid w:val="0"/>
        <w:spacing w:line="360" w:lineRule="auto"/>
        <w:jc w:val="center"/>
        <w:outlineLvl w:val="0"/>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rPr>
        <w:t>雒城镇第九小学校部门决算</w:t>
      </w:r>
      <w:bookmarkEnd w:id="6"/>
      <w:bookmarkEnd w:id="7"/>
      <w:bookmarkEnd w:id="8"/>
      <w:bookmarkEnd w:id="9"/>
      <w:bookmarkEnd w:id="10"/>
      <w:bookmarkEnd w:id="11"/>
      <w:r>
        <w:rPr>
          <w:rFonts w:hint="eastAsia" w:ascii="方正小标宋简体" w:hAnsi="宋体" w:eastAsia="方正小标宋简体"/>
          <w:color w:val="000000"/>
          <w:sz w:val="72"/>
          <w:szCs w:val="72"/>
        </w:rPr>
        <w:t>编制说明</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ascii="仿宋" w:hAnsi="仿宋"/>
          <w:sz w:val="24"/>
        </w:rPr>
      </w:pPr>
      <w:r>
        <w:rPr>
          <w:rFonts w:hint="eastAsia"/>
          <w:sz w:val="24"/>
        </w:rPr>
        <w:t>一、基本职能及主要工作 …………………………………………………… 4</w:t>
      </w:r>
    </w:p>
    <w:p>
      <w:pPr>
        <w:pStyle w:val="11"/>
        <w:adjustRightInd w:val="0"/>
        <w:snapToGrid w:val="0"/>
        <w:spacing w:line="440" w:lineRule="exact"/>
        <w:jc w:val="left"/>
        <w:rPr>
          <w:rFonts w:ascii="仿宋" w:hAnsi="仿宋" w:eastAsia="仿宋" w:cstheme="minorBidi"/>
          <w:sz w:val="24"/>
        </w:rPr>
      </w:pPr>
      <w:r>
        <w:rPr>
          <w:rFonts w:hint="eastAsia"/>
          <w:sz w:val="24"/>
        </w:rPr>
        <w:t>二、机构设置           …………………………………………………… 7</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adjustRightInd w:val="0"/>
        <w:snapToGrid w:val="0"/>
        <w:spacing w:line="440" w:lineRule="exact"/>
        <w:jc w:val="left"/>
        <w:rPr>
          <w:rFonts w:ascii="仿宋" w:hAnsi="仿宋"/>
          <w:sz w:val="24"/>
        </w:rPr>
      </w:pPr>
      <w:r>
        <w:rPr>
          <w:rFonts w:hint="eastAsia"/>
          <w:sz w:val="24"/>
        </w:rPr>
        <w:t>一、收入支出决算总体情况说明……………………………………………… 9二、收入决算情况说明  ……………………………………………………… 9</w:t>
      </w:r>
    </w:p>
    <w:p>
      <w:pPr>
        <w:pStyle w:val="11"/>
        <w:adjustRightInd w:val="0"/>
        <w:snapToGrid w:val="0"/>
        <w:spacing w:line="440" w:lineRule="exact"/>
        <w:jc w:val="left"/>
        <w:rPr>
          <w:rFonts w:ascii="仿宋" w:hAnsi="仿宋" w:eastAsia="仿宋" w:cstheme="minorBidi"/>
          <w:sz w:val="24"/>
        </w:rPr>
      </w:pPr>
      <w:r>
        <w:rPr>
          <w:rFonts w:hint="eastAsia"/>
          <w:sz w:val="24"/>
        </w:rPr>
        <w:t>三、支出决算情况说明       ……………………………………………… 10四、财政拨款收入支出决算总体情况说明   ……………………………… 10</w:t>
      </w:r>
    </w:p>
    <w:p>
      <w:pPr>
        <w:pStyle w:val="11"/>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   ………………………… 10</w:t>
      </w:r>
    </w:p>
    <w:p>
      <w:pPr>
        <w:pStyle w:val="11"/>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  ………………………13 七、</w:t>
      </w:r>
      <w:r>
        <w:rPr>
          <w:sz w:val="24"/>
        </w:rPr>
        <w:t>“</w:t>
      </w:r>
      <w:r>
        <w:rPr>
          <w:rFonts w:hint="eastAsia"/>
          <w:sz w:val="24"/>
        </w:rPr>
        <w:t>三公”经费财政拨款支出决算情况说明……………………………… 14</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     ……………………………… 16</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 ……… ……………………… 16</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14:textFill>
            <w14:solidFill>
              <w14:schemeClr w14:val="tx1"/>
            </w14:solidFill>
          </w14:textFill>
        </w:rPr>
        <w:t>十、</w:t>
      </w:r>
      <w:r>
        <w:rPr>
          <w:rFonts w:hint="eastAsia"/>
          <w:sz w:val="24"/>
        </w:rPr>
        <w:t>其他重要事项的情况说明</w:t>
      </w:r>
      <w:r>
        <w:rPr>
          <w:rFonts w:ascii="仿宋" w:hAnsi="仿宋" w:eastAsia="仿宋"/>
          <w:sz w:val="24"/>
        </w:rPr>
        <w:tab/>
      </w:r>
      <w:r>
        <w:rPr>
          <w:rFonts w:hint="eastAsia" w:ascii="仿宋" w:hAnsi="仿宋" w:eastAsia="仿宋"/>
          <w:sz w:val="24"/>
        </w:rPr>
        <w:t xml:space="preserve">          </w:t>
      </w:r>
      <w:r>
        <w:rPr>
          <w:rFonts w:hint="eastAsia"/>
          <w:sz w:val="24"/>
        </w:rPr>
        <w:t>……………………………… 16</w:t>
      </w:r>
    </w:p>
    <w:p>
      <w:pPr>
        <w:adjustRightInd w:val="0"/>
        <w:snapToGrid w:val="0"/>
        <w:spacing w:line="440" w:lineRule="exact"/>
        <w:ind w:firstLine="480" w:firstLineChars="200"/>
        <w:jc w:val="left"/>
        <w:rPr>
          <w:rFonts w:ascii="仿宋" w:hAnsi="仿宋" w:eastAsia="仿宋" w:cstheme="minorBidi"/>
          <w:sz w:val="24"/>
        </w:rPr>
      </w:pPr>
      <w:r>
        <w:rPr>
          <w:rFonts w:hint="eastAsia"/>
          <w:sz w:val="24"/>
        </w:rPr>
        <w:t>第三部分</w:t>
      </w:r>
      <w:r>
        <w:rPr>
          <w:sz w:val="24"/>
        </w:rPr>
        <w:t xml:space="preserve"> </w:t>
      </w:r>
      <w:r>
        <w:rPr>
          <w:rFonts w:hint="eastAsia"/>
          <w:sz w:val="24"/>
        </w:rPr>
        <w:t xml:space="preserve">名词解释                   </w:t>
      </w:r>
      <w:r>
        <w:rPr>
          <w:rFonts w:hint="eastAsia" w:ascii="仿宋" w:hAnsi="仿宋" w:eastAsia="仿宋"/>
          <w:sz w:val="24"/>
        </w:rPr>
        <w:t xml:space="preserve"> </w:t>
      </w:r>
      <w:r>
        <w:rPr>
          <w:rFonts w:hint="eastAsia"/>
          <w:sz w:val="24"/>
        </w:rPr>
        <w:t>……………………………… 21</w:t>
      </w:r>
    </w:p>
    <w:p>
      <w:pPr>
        <w:pStyle w:val="11"/>
        <w:adjustRightInd w:val="0"/>
        <w:snapToGrid w:val="0"/>
        <w:spacing w:line="440" w:lineRule="exact"/>
        <w:jc w:val="left"/>
        <w:rPr>
          <w:rFonts w:ascii="仿宋" w:hAnsi="仿宋" w:eastAsia="仿宋" w:cstheme="minorBidi"/>
          <w:sz w:val="24"/>
        </w:rPr>
      </w:pPr>
      <w:r>
        <w:rPr>
          <w:rFonts w:hint="eastAsia"/>
          <w:sz w:val="24"/>
        </w:rPr>
        <w:t>第四部分</w:t>
      </w:r>
      <w:r>
        <w:rPr>
          <w:sz w:val="24"/>
        </w:rPr>
        <w:t xml:space="preserve"> </w:t>
      </w:r>
      <w:r>
        <w:rPr>
          <w:rFonts w:hint="eastAsia"/>
          <w:sz w:val="24"/>
        </w:rPr>
        <w:t>附件                         ……………………………… 24</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r>
        <w:rPr>
          <w:rFonts w:hint="eastAsia" w:ascii="仿宋" w:hAnsi="仿宋" w:eastAsia="仿宋"/>
          <w:sz w:val="24"/>
        </w:rPr>
        <w:t xml:space="preserve"> </w:t>
      </w:r>
      <w:r>
        <w:rPr>
          <w:rFonts w:hint="eastAsia"/>
          <w:sz w:val="24"/>
        </w:rPr>
        <w:t xml:space="preserve">                               ……………………………… 24</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r>
        <w:rPr>
          <w:rFonts w:hint="eastAsia"/>
          <w:sz w:val="24"/>
        </w:rPr>
        <w:t xml:space="preserve">                                ……………………………… 29</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 xml:space="preserve">国有资本经营预算支出决算表      </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pStyle w:val="3"/>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（一）主要职能。（职能参照省政府批准的三定方案）</w:t>
      </w:r>
      <w:bookmarkEnd w:id="16"/>
      <w:bookmarkEnd w:id="17"/>
    </w:p>
    <w:p>
      <w:pPr>
        <w:pStyle w:val="5"/>
        <w:adjustRightInd w:val="0"/>
        <w:snapToGrid w:val="0"/>
        <w:spacing w:before="93" w:line="600" w:lineRule="exact"/>
        <w:ind w:firstLine="675" w:firstLineChars="210"/>
        <w:outlineLvl w:val="2"/>
        <w:rPr>
          <w:rFonts w:ascii="仿宋" w:hAnsi="仿宋" w:eastAsia="仿宋"/>
          <w:bCs/>
          <w:color w:val="000000"/>
          <w:sz w:val="32"/>
          <w:szCs w:val="32"/>
        </w:rPr>
      </w:pPr>
      <w:r>
        <w:rPr>
          <w:rFonts w:hint="eastAsia" w:ascii="Tahoma" w:hAnsi="Tahoma" w:cs="Tahoma"/>
          <w:b/>
          <w:color w:val="000000"/>
          <w:sz w:val="32"/>
          <w:szCs w:val="32"/>
          <w:shd w:val="clear" w:color="auto" w:fill="FFFFFF"/>
        </w:rPr>
        <w:t>义务教育学校（含学前班）</w:t>
      </w:r>
      <w:r>
        <w:rPr>
          <w:rStyle w:val="30"/>
        </w:rPr>
        <w:t>。</w:t>
      </w:r>
    </w:p>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8" w:name="_Toc15378446"/>
      <w:bookmarkStart w:id="19" w:name="_Toc15377199"/>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spacing w:line="360" w:lineRule="auto"/>
        <w:ind w:firstLine="588" w:firstLineChars="196"/>
        <w:rPr>
          <w:rFonts w:ascii="Angsana New" w:hAnsi="Angsana New" w:eastAsia="仿宋" w:cs="Angsana New"/>
          <w:sz w:val="30"/>
          <w:szCs w:val="30"/>
        </w:rPr>
      </w:pPr>
      <w:r>
        <w:rPr>
          <w:rFonts w:ascii="Angsana New" w:hAnsi="Angsana New" w:eastAsia="仿宋" w:cs="Angsana New"/>
          <w:sz w:val="30"/>
          <w:szCs w:val="30"/>
        </w:rPr>
        <w:t>1</w:t>
      </w:r>
      <w:r>
        <w:rPr>
          <w:rFonts w:ascii="Angsana New" w:hAnsi="仿宋" w:eastAsia="仿宋" w:cs="Angsana New"/>
          <w:sz w:val="30"/>
          <w:szCs w:val="30"/>
        </w:rPr>
        <w:t>、本年度继续强化了城乡环境综合整治进校园工作，完成学校绿化、美化工作，加强了城乡环境综合整治工作，让学生养成良好卫生习惯，共建美好校园。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2</w:t>
      </w:r>
      <w:r>
        <w:rPr>
          <w:rFonts w:ascii="Angsana New" w:hAnsi="仿宋" w:eastAsia="仿宋" w:cs="Angsana New"/>
          <w:sz w:val="30"/>
          <w:szCs w:val="30"/>
        </w:rPr>
        <w:t>、本年度继续推进课程改革：紧抓课堂教学主阵地，加强了对青年教师的指导力度，把教学质量的提高作为重中之重</w:t>
      </w:r>
      <w:r>
        <w:rPr>
          <w:rFonts w:ascii="Angsana New" w:hAnsi="Angsana New" w:eastAsia="仿宋" w:cs="Angsana New"/>
          <w:sz w:val="30"/>
          <w:szCs w:val="30"/>
        </w:rPr>
        <w:t xml:space="preserve"> </w:t>
      </w:r>
      <w:r>
        <w:rPr>
          <w:rFonts w:ascii="Angsana New" w:hAnsi="仿宋" w:eastAsia="仿宋" w:cs="Angsana New"/>
          <w:sz w:val="30"/>
          <w:szCs w:val="30"/>
        </w:rPr>
        <w:t>。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3</w:t>
      </w:r>
      <w:r>
        <w:rPr>
          <w:rFonts w:ascii="Angsana New" w:hAnsi="仿宋" w:eastAsia="仿宋" w:cs="Angsana New"/>
          <w:sz w:val="30"/>
          <w:szCs w:val="30"/>
        </w:rPr>
        <w:t>、学科建设：注意围绕特长抓竞赛、围绕课堂抓考核、围绕质量抓教研、围绕科研抓提高，使学科建设初步形成；课堂有特色，常规有特点，科研有成果。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4</w:t>
      </w:r>
      <w:r>
        <w:rPr>
          <w:rFonts w:ascii="Angsana New" w:hAnsi="仿宋" w:eastAsia="仿宋" w:cs="Angsana New"/>
          <w:sz w:val="30"/>
          <w:szCs w:val="30"/>
        </w:rPr>
        <w:t>、坚持课外活动特色：依据学生特点，结合本校实际及学生实际，开展特色艺体活动，发展学校传统的强势项目。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5</w:t>
      </w:r>
      <w:r>
        <w:rPr>
          <w:rFonts w:ascii="Angsana New" w:hAnsi="仿宋" w:eastAsia="仿宋" w:cs="Angsana New"/>
          <w:sz w:val="30"/>
          <w:szCs w:val="30"/>
        </w:rPr>
        <w:t>、保持各率达标：常住适龄儿童入学率、巩固率、毕业率</w:t>
      </w:r>
      <w:r>
        <w:rPr>
          <w:rFonts w:ascii="Angsana New" w:hAnsi="Angsana New" w:eastAsia="仿宋" w:cs="Angsana New"/>
          <w:sz w:val="30"/>
          <w:szCs w:val="30"/>
        </w:rPr>
        <w:t>100%</w:t>
      </w:r>
      <w:r>
        <w:rPr>
          <w:rFonts w:ascii="Angsana New" w:hAnsi="仿宋" w:eastAsia="仿宋" w:cs="Angsana New"/>
          <w:sz w:val="30"/>
          <w:szCs w:val="30"/>
        </w:rPr>
        <w:t>，残疾儿童入学率</w:t>
      </w:r>
      <w:r>
        <w:rPr>
          <w:rFonts w:ascii="Angsana New" w:hAnsi="Angsana New" w:eastAsia="仿宋" w:cs="Angsana New"/>
          <w:sz w:val="30"/>
          <w:szCs w:val="30"/>
        </w:rPr>
        <w:t>100%</w:t>
      </w:r>
      <w:r>
        <w:rPr>
          <w:rFonts w:ascii="Angsana New" w:hAnsi="仿宋" w:eastAsia="仿宋" w:cs="Angsana New"/>
          <w:sz w:val="30"/>
          <w:szCs w:val="30"/>
        </w:rPr>
        <w:t>，各年级学科合格率</w:t>
      </w:r>
      <w:r>
        <w:rPr>
          <w:rFonts w:ascii="Angsana New" w:hAnsi="Angsana New" w:eastAsia="仿宋" w:cs="Angsana New"/>
          <w:sz w:val="30"/>
          <w:szCs w:val="30"/>
        </w:rPr>
        <w:t>95%</w:t>
      </w:r>
      <w:r>
        <w:rPr>
          <w:rFonts w:ascii="Angsana New" w:hAnsi="仿宋" w:eastAsia="仿宋" w:cs="Angsana New"/>
          <w:sz w:val="30"/>
          <w:szCs w:val="30"/>
        </w:rPr>
        <w:t>，近视率控制在</w:t>
      </w:r>
      <w:r>
        <w:rPr>
          <w:rFonts w:ascii="Angsana New" w:hAnsi="Angsana New" w:eastAsia="仿宋" w:cs="Angsana New"/>
          <w:sz w:val="30"/>
          <w:szCs w:val="30"/>
        </w:rPr>
        <w:t>12%</w:t>
      </w:r>
      <w:r>
        <w:rPr>
          <w:rFonts w:ascii="Angsana New" w:hAnsi="仿宋" w:eastAsia="仿宋" w:cs="Angsana New"/>
          <w:sz w:val="30"/>
          <w:szCs w:val="30"/>
        </w:rPr>
        <w:t>以下，无学生违法犯罪。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6</w:t>
      </w:r>
      <w:r>
        <w:rPr>
          <w:rFonts w:ascii="Angsana New" w:hAnsi="仿宋" w:eastAsia="仿宋" w:cs="Angsana New"/>
          <w:sz w:val="30"/>
          <w:szCs w:val="30"/>
        </w:rPr>
        <w:t>、常规工作：规范、有序、高效。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7</w:t>
      </w:r>
      <w:r>
        <w:rPr>
          <w:rFonts w:ascii="Angsana New" w:hAnsi="仿宋" w:eastAsia="仿宋" w:cs="Angsana New"/>
          <w:sz w:val="30"/>
          <w:szCs w:val="30"/>
        </w:rPr>
        <w:t>、后勤工作：一切服务于学生，一切服务于教学。　　</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8</w:t>
      </w:r>
      <w:r>
        <w:rPr>
          <w:rFonts w:ascii="Angsana New" w:hAnsi="仿宋" w:eastAsia="仿宋" w:cs="Angsana New"/>
          <w:sz w:val="30"/>
          <w:szCs w:val="30"/>
        </w:rPr>
        <w:t>、队伍建设：培养了干部教师的五种意识：服务意识、为人师表意识、廉洁从教意识、教学质量意识、团队凝聚意识。</w:t>
      </w:r>
    </w:p>
    <w:p>
      <w:pPr>
        <w:spacing w:line="360" w:lineRule="auto"/>
        <w:ind w:firstLine="600" w:firstLineChars="200"/>
        <w:rPr>
          <w:rFonts w:ascii="Angsana New" w:hAnsi="Angsana New" w:eastAsia="仿宋" w:cs="Angsana New"/>
          <w:sz w:val="30"/>
          <w:szCs w:val="30"/>
        </w:rPr>
      </w:pPr>
      <w:r>
        <w:rPr>
          <w:rFonts w:ascii="Angsana New" w:hAnsi="Angsana New" w:eastAsia="仿宋" w:cs="Angsana New"/>
          <w:sz w:val="30"/>
          <w:szCs w:val="30"/>
        </w:rPr>
        <w:t>9</w:t>
      </w:r>
      <w:r>
        <w:rPr>
          <w:rFonts w:ascii="Angsana New" w:hAnsi="仿宋" w:eastAsia="仿宋" w:cs="Angsana New"/>
          <w:sz w:val="30"/>
          <w:szCs w:val="30"/>
        </w:rPr>
        <w:t>、加强和改进学校体育、美育和卫生工作，促进学生全面发展。认真组织实施了《学生体质健康标准》和《学校体育工作条例》，加强学生心理健康教育，认真贯彻执行了《学校卫生工作条例》、《食品卫生法》、《学生食堂与学生集体用餐卫生管理规定》等法律、法规，加强了学校的卫生管理和各种传染病的防治工作。　　　　</w:t>
      </w:r>
    </w:p>
    <w:p>
      <w:pPr>
        <w:spacing w:line="360" w:lineRule="auto"/>
        <w:rPr>
          <w:rFonts w:ascii="仿宋" w:hAnsi="仿宋" w:eastAsia="仿宋"/>
          <w:bCs/>
          <w:color w:val="000000"/>
          <w:sz w:val="28"/>
          <w:szCs w:val="28"/>
        </w:rPr>
      </w:pPr>
      <w:r>
        <w:rPr>
          <w:rFonts w:ascii="Angsana New" w:hAnsi="Angsana New" w:eastAsia="仿宋" w:cs="Angsana New"/>
          <w:sz w:val="30"/>
          <w:szCs w:val="30"/>
        </w:rPr>
        <w:t xml:space="preserve">    10</w:t>
      </w:r>
      <w:r>
        <w:rPr>
          <w:rFonts w:ascii="Angsana New" w:hAnsi="仿宋" w:eastAsia="仿宋" w:cs="Angsana New"/>
          <w:sz w:val="30"/>
          <w:szCs w:val="30"/>
        </w:rPr>
        <w:t>、</w:t>
      </w:r>
      <w:r>
        <w:rPr>
          <w:rFonts w:ascii="Angsana New" w:hAnsi="Angsana New" w:eastAsia="仿宋" w:cs="Angsana New"/>
          <w:sz w:val="30"/>
          <w:szCs w:val="30"/>
        </w:rPr>
        <w:t>2019</w:t>
      </w:r>
      <w:r>
        <w:rPr>
          <w:rFonts w:ascii="Angsana New" w:hAnsi="仿宋" w:eastAsia="仿宋" w:cs="Angsana New"/>
          <w:sz w:val="30"/>
          <w:szCs w:val="30"/>
        </w:rPr>
        <w:t>年度广汉市艺术节舞蹈比赛获二等奖；</w:t>
      </w:r>
      <w:r>
        <w:rPr>
          <w:rFonts w:ascii="Angsana New" w:hAnsi="Angsana New" w:eastAsia="仿宋" w:cs="Angsana New"/>
          <w:sz w:val="30"/>
          <w:szCs w:val="30"/>
        </w:rPr>
        <w:t>2019</w:t>
      </w:r>
      <w:r>
        <w:rPr>
          <w:rFonts w:ascii="Angsana New" w:hAnsi="仿宋" w:eastAsia="仿宋" w:cs="Angsana New"/>
          <w:sz w:val="30"/>
          <w:szCs w:val="30"/>
        </w:rPr>
        <w:t>年度获广汉市依法治校示范学校；</w:t>
      </w:r>
      <w:r>
        <w:rPr>
          <w:rFonts w:ascii="Angsana New" w:hAnsi="Angsana New" w:eastAsia="仿宋" w:cs="Angsana New"/>
          <w:sz w:val="30"/>
          <w:szCs w:val="30"/>
        </w:rPr>
        <w:t>2019</w:t>
      </w:r>
      <w:r>
        <w:rPr>
          <w:rFonts w:ascii="Angsana New" w:hAnsi="仿宋" w:eastAsia="仿宋" w:cs="Angsana New"/>
          <w:sz w:val="30"/>
          <w:szCs w:val="30"/>
        </w:rPr>
        <w:t>年度荣获德阳市中小学教师全员岗位素质培训先进单位称号；</w:t>
      </w:r>
      <w:r>
        <w:rPr>
          <w:rFonts w:ascii="Angsana New" w:hAnsi="Angsana New" w:eastAsia="仿宋" w:cs="Angsana New"/>
          <w:sz w:val="30"/>
          <w:szCs w:val="30"/>
        </w:rPr>
        <w:t>2019</w:t>
      </w:r>
      <w:r>
        <w:rPr>
          <w:rFonts w:ascii="Angsana New" w:hAnsi="仿宋" w:eastAsia="仿宋" w:cs="Angsana New"/>
          <w:sz w:val="30"/>
          <w:szCs w:val="30"/>
        </w:rPr>
        <w:t>年度荣获广汉市综治、安全管理工作先进学校；</w:t>
      </w:r>
      <w:r>
        <w:rPr>
          <w:rFonts w:ascii="Angsana New" w:hAnsi="Angsana New" w:eastAsia="仿宋" w:cs="Angsana New"/>
          <w:sz w:val="30"/>
          <w:szCs w:val="30"/>
        </w:rPr>
        <w:t>2019</w:t>
      </w:r>
      <w:r>
        <w:rPr>
          <w:rFonts w:ascii="Angsana New" w:hAnsi="仿宋" w:eastAsia="仿宋" w:cs="Angsana New"/>
          <w:sz w:val="30"/>
          <w:szCs w:val="30"/>
        </w:rPr>
        <w:t>年度荣获后勤管理工作先进单位、会计年报工作一等奖、教育宣传工作先进单位等。</w:t>
      </w:r>
    </w:p>
    <w:p>
      <w:pPr>
        <w:pStyle w:val="3"/>
        <w:rPr>
          <w:rStyle w:val="25"/>
          <w:b w:val="0"/>
          <w:bCs/>
        </w:rPr>
      </w:pPr>
      <w:bookmarkStart w:id="20" w:name="_Toc15377200"/>
      <w:bookmarkStart w:id="21" w:name="_Toc15396601"/>
      <w:r>
        <w:rPr>
          <w:rFonts w:hint="eastAsia" w:ascii="黑体" w:eastAsia="黑体"/>
          <w:b w:val="0"/>
          <w:bCs/>
          <w:color w:val="000000"/>
        </w:rPr>
        <w:t>二、</w:t>
      </w:r>
      <w:r>
        <w:rPr>
          <w:rFonts w:hint="eastAsia" w:ascii="黑体" w:hAnsi="黑体" w:eastAsia="黑体"/>
          <w:b w:val="0"/>
          <w:bCs/>
          <w:color w:val="000000"/>
        </w:rPr>
        <w:t>机</w:t>
      </w:r>
      <w:r>
        <w:rPr>
          <w:rStyle w:val="25"/>
          <w:rFonts w:hint="eastAsia" w:ascii="黑体" w:hAnsi="黑体" w:eastAsia="黑体"/>
          <w:b w:val="0"/>
          <w:bCs/>
        </w:rPr>
        <w:t>构设置</w:t>
      </w:r>
      <w:bookmarkEnd w:id="20"/>
      <w:bookmarkEnd w:id="21"/>
    </w:p>
    <w:p>
      <w:pPr>
        <w:snapToGrid w:val="0"/>
        <w:spacing w:line="588" w:lineRule="exact"/>
        <w:ind w:firstLine="750" w:firstLineChars="250"/>
        <w:rPr>
          <w:rFonts w:ascii="仿宋_GB2312" w:hAnsi="仿宋" w:eastAsia="仿宋_GB2312"/>
          <w:b w:val="0"/>
          <w:bCs/>
          <w:sz w:val="30"/>
          <w:szCs w:val="30"/>
        </w:rPr>
      </w:pPr>
      <w:r>
        <w:rPr>
          <w:rFonts w:hint="eastAsia" w:ascii="仿宋_GB2312" w:hAnsi="仿宋" w:eastAsia="仿宋_GB2312"/>
          <w:b w:val="0"/>
          <w:bCs/>
          <w:sz w:val="30"/>
          <w:szCs w:val="30"/>
        </w:rPr>
        <w:t xml:space="preserve">①学校为独立事业编制机构，2019年末实有公共预算财政拨款（补助）开支在职人员70人，离休人员1人，退休人员90人，遗属补助人员2人；小学生1304人，学前班学生183人. </w:t>
      </w:r>
    </w:p>
    <w:p>
      <w:pPr>
        <w:snapToGrid w:val="0"/>
        <w:spacing w:line="588" w:lineRule="exact"/>
        <w:ind w:firstLine="600" w:firstLineChars="200"/>
        <w:rPr>
          <w:rFonts w:ascii="仿宋_GB2312" w:hAnsi="仿宋" w:eastAsia="仿宋_GB2312"/>
          <w:b w:val="0"/>
          <w:bCs/>
          <w:sz w:val="30"/>
          <w:szCs w:val="30"/>
        </w:rPr>
      </w:pPr>
      <w:r>
        <w:rPr>
          <w:rFonts w:hint="eastAsia" w:ascii="仿宋_GB2312" w:hAnsi="仿宋" w:eastAsia="仿宋_GB2312"/>
          <w:b w:val="0"/>
          <w:bCs/>
          <w:sz w:val="30"/>
          <w:szCs w:val="30"/>
        </w:rPr>
        <w:t>②2019年度在职人员因工作原因：市内调入1人，校园招聘2人，公招1人，外县调入2人；调出外县1人，调出市内1人。在职退休1人，退休人员病故5人。</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24"/>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2"/>
      <w:bookmarkEnd w:id="23"/>
    </w:p>
    <w:p/>
    <w:p>
      <w:pPr>
        <w:pStyle w:val="23"/>
        <w:numPr>
          <w:ilvl w:val="0"/>
          <w:numId w:val="1"/>
        </w:numPr>
        <w:spacing w:line="600" w:lineRule="exact"/>
        <w:ind w:firstLineChars="0"/>
        <w:outlineLvl w:val="1"/>
        <w:rPr>
          <w:rStyle w:val="25"/>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2019年度收入总计</w:t>
      </w:r>
      <w:r>
        <w:rPr>
          <w:rFonts w:hint="eastAsia" w:ascii="楷体_GB2312" w:hAnsi="仿宋" w:eastAsia="楷体_GB2312"/>
          <w:b/>
          <w:sz w:val="30"/>
          <w:szCs w:val="30"/>
        </w:rPr>
        <w:t>1201.56</w:t>
      </w:r>
      <w:r>
        <w:rPr>
          <w:rFonts w:hint="eastAsia" w:ascii="仿宋" w:hAnsi="仿宋" w:eastAsia="仿宋"/>
          <w:color w:val="000000"/>
          <w:sz w:val="32"/>
          <w:szCs w:val="32"/>
        </w:rPr>
        <w:t>万元、支出总计</w:t>
      </w:r>
      <w:r>
        <w:rPr>
          <w:rFonts w:hint="eastAsia" w:ascii="仿宋_GB2312" w:hAnsi="仿宋" w:eastAsia="仿宋_GB2312"/>
          <w:b/>
          <w:sz w:val="30"/>
          <w:szCs w:val="30"/>
        </w:rPr>
        <w:t>1171.25</w:t>
      </w:r>
      <w:r>
        <w:rPr>
          <w:rFonts w:hint="eastAsia" w:ascii="仿宋" w:hAnsi="仿宋" w:eastAsia="仿宋"/>
          <w:color w:val="000000"/>
          <w:sz w:val="32"/>
          <w:szCs w:val="32"/>
        </w:rPr>
        <w:t>万元。与2018年相比，收总计增加</w:t>
      </w:r>
      <w:r>
        <w:rPr>
          <w:rFonts w:hint="eastAsia" w:ascii="楷体_GB2312" w:hAnsi="仿宋" w:eastAsia="楷体_GB2312"/>
          <w:b/>
          <w:sz w:val="30"/>
          <w:szCs w:val="30"/>
        </w:rPr>
        <w:t>139.04</w:t>
      </w:r>
      <w:r>
        <w:rPr>
          <w:rFonts w:hint="eastAsia" w:ascii="仿宋" w:hAnsi="仿宋" w:eastAsia="仿宋"/>
          <w:color w:val="000000"/>
          <w:sz w:val="32"/>
          <w:szCs w:val="32"/>
        </w:rPr>
        <w:t>万元、增长13.09</w:t>
      </w:r>
      <w:r>
        <w:rPr>
          <w:rFonts w:ascii="仿宋" w:hAnsi="仿宋" w:eastAsia="仿宋"/>
          <w:color w:val="000000"/>
          <w:sz w:val="32"/>
          <w:szCs w:val="32"/>
        </w:rPr>
        <w:t>%</w:t>
      </w:r>
      <w:r>
        <w:rPr>
          <w:rFonts w:hint="eastAsia" w:ascii="仿宋" w:hAnsi="仿宋" w:eastAsia="仿宋"/>
          <w:color w:val="000000"/>
          <w:sz w:val="32"/>
          <w:szCs w:val="32"/>
        </w:rPr>
        <w:t>;支总计增加</w:t>
      </w:r>
      <w:r>
        <w:rPr>
          <w:rFonts w:hint="eastAsia" w:ascii="楷体_GB2312" w:hAnsi="仿宋" w:eastAsia="楷体_GB2312"/>
          <w:b/>
          <w:sz w:val="30"/>
          <w:szCs w:val="30"/>
        </w:rPr>
        <w:t>131.6</w:t>
      </w:r>
      <w:r>
        <w:rPr>
          <w:rFonts w:hint="eastAsia" w:ascii="仿宋" w:hAnsi="仿宋" w:eastAsia="仿宋"/>
          <w:color w:val="000000"/>
          <w:sz w:val="32"/>
          <w:szCs w:val="32"/>
        </w:rPr>
        <w:t>万元，增长12.66</w:t>
      </w:r>
      <w:r>
        <w:rPr>
          <w:rFonts w:ascii="仿宋" w:hAnsi="仿宋" w:eastAsia="仿宋"/>
          <w:color w:val="000000"/>
          <w:sz w:val="32"/>
          <w:szCs w:val="32"/>
        </w:rPr>
        <w:t>%</w:t>
      </w:r>
      <w:r>
        <w:rPr>
          <w:rFonts w:hint="eastAsia" w:ascii="仿宋" w:hAnsi="仿宋" w:eastAsia="仿宋"/>
          <w:color w:val="000000"/>
          <w:sz w:val="32"/>
          <w:szCs w:val="32"/>
        </w:rPr>
        <w:t>。主要变动原因是正常的薪级晋升、工资标准变动及课后延时服务费的执行。</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w:t>
      </w:r>
      <w:r>
        <w:rPr>
          <w:rFonts w:ascii="仿宋" w:hAnsi="仿宋" w:eastAsia="仿宋"/>
          <w:color w:val="000000" w:themeColor="text1"/>
          <w:sz w:val="32"/>
          <w:szCs w:val="32"/>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：收、支决算总计变动情况图）（柱状图）</w:t>
      </w:r>
    </w:p>
    <w:p>
      <w:pPr>
        <w:spacing w:line="600" w:lineRule="exact"/>
        <w:ind w:firstLine="643" w:firstLineChars="200"/>
        <w:rPr>
          <w:rStyle w:val="25"/>
          <w:rFonts w:ascii="黑体" w:hAnsi="黑体" w:eastAsia="黑体"/>
          <w:b w:val="0"/>
        </w:rPr>
      </w:pPr>
      <w:r>
        <w:rPr>
          <w:rFonts w:hint="eastAsia" w:ascii="黑体" w:hAnsi="黑体" w:eastAsia="黑体" w:cs="黑体"/>
          <w:b/>
          <w:bCs/>
          <w:color w:val="000000" w:themeColor="text1"/>
          <w:sz w:val="32"/>
          <w:szCs w:val="32"/>
          <w14:textFill>
            <w14:solidFill>
              <w14:schemeClr w14:val="tx1"/>
            </w14:solidFill>
          </w14:textFill>
        </w:rPr>
        <w:drawing>
          <wp:anchor distT="0" distB="0" distL="114300" distR="114300" simplePos="0" relativeHeight="251659264" behindDoc="0" locked="0" layoutInCell="1" allowOverlap="1">
            <wp:simplePos x="0" y="0"/>
            <wp:positionH relativeFrom="column">
              <wp:posOffset>387985</wp:posOffset>
            </wp:positionH>
            <wp:positionV relativeFrom="paragraph">
              <wp:posOffset>165735</wp:posOffset>
            </wp:positionV>
            <wp:extent cx="3176270" cy="1364615"/>
            <wp:effectExtent l="19050" t="0" r="24130" b="6985"/>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bookmarkStart w:id="26" w:name="_Toc15377206"/>
      <w:bookmarkStart w:id="27" w:name="_Toc15396604"/>
      <w:r>
        <w:rPr>
          <w:rFonts w:hint="eastAsia" w:ascii="黑体" w:hAnsi="黑体" w:eastAsia="黑体" w:cs="黑体"/>
          <w:b/>
          <w:bCs/>
          <w:color w:val="000000" w:themeColor="text1"/>
          <w:sz w:val="32"/>
          <w:szCs w:val="32"/>
          <w14:textFill>
            <w14:solidFill>
              <w14:schemeClr w14:val="tx1"/>
            </w14:solidFill>
          </w14:textFill>
        </w:rPr>
        <w:t>二、</w:t>
      </w:r>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9年本年收入合计1201.56万元，其中：一般公共预算财政拨款收入1109.56万元，占92.34</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；事业收入21.6万元，占1.8</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；其他收入70.4万元，占5.86</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（图2：收入决算结构图）</w:t>
      </w:r>
    </w:p>
    <w:p>
      <w:pPr>
        <w:spacing w:line="600" w:lineRule="exact"/>
        <w:ind w:firstLine="640" w:firstLineChars="200"/>
        <w:rPr>
          <w:rStyle w:val="25"/>
          <w:rFonts w:ascii="黑体" w:hAnsi="黑体" w:eastAsia="黑体"/>
          <w:b w:val="0"/>
        </w:rPr>
      </w:pPr>
      <w:r>
        <w:rPr>
          <w:rFonts w:hint="eastAsia" w:ascii="仿宋" w:hAnsi="仿宋" w:eastAsia="仿宋"/>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column">
              <wp:posOffset>315595</wp:posOffset>
            </wp:positionH>
            <wp:positionV relativeFrom="paragraph">
              <wp:posOffset>84455</wp:posOffset>
            </wp:positionV>
            <wp:extent cx="4969510" cy="2988310"/>
            <wp:effectExtent l="5080" t="4445" r="16510" b="1714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bookmarkStart w:id="28" w:name="_Toc15396605"/>
      <w:bookmarkStart w:id="29" w:name="_Toc15377207"/>
      <w:r>
        <w:rPr>
          <w:rFonts w:hint="eastAsia" w:ascii="黑体" w:hAnsi="黑体" w:eastAsia="黑体"/>
          <w:color w:val="000000"/>
          <w:sz w:val="32"/>
          <w:szCs w:val="32"/>
        </w:rPr>
        <w:t>三、支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9年本年支出合计1171.25万元，其中：基本支出1169.25万元，占99.83</w:t>
      </w:r>
      <w:r>
        <w:rPr>
          <w:rFonts w:ascii="仿宋" w:hAnsi="仿宋" w:eastAsia="仿宋"/>
          <w:color w:val="000000"/>
          <w:sz w:val="32"/>
          <w:szCs w:val="32"/>
        </w:rPr>
        <w:t>%</w:t>
      </w:r>
      <w:r>
        <w:rPr>
          <w:rFonts w:hint="eastAsia" w:ascii="仿宋" w:hAnsi="仿宋" w:eastAsia="仿宋"/>
          <w:color w:val="000000"/>
          <w:sz w:val="32"/>
          <w:szCs w:val="32"/>
        </w:rPr>
        <w:t>；项目支出2万元，占0.17</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（图3：支出决算结构图）（饼状图）</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drawing>
          <wp:anchor distT="0" distB="0" distL="114300" distR="114300" simplePos="0" relativeHeight="251660288" behindDoc="0" locked="0" layoutInCell="1" allowOverlap="1">
            <wp:simplePos x="0" y="0"/>
            <wp:positionH relativeFrom="column">
              <wp:posOffset>627380</wp:posOffset>
            </wp:positionH>
            <wp:positionV relativeFrom="paragraph">
              <wp:posOffset>57150</wp:posOffset>
            </wp:positionV>
            <wp:extent cx="3834765" cy="2564765"/>
            <wp:effectExtent l="4445" t="4445" r="8890" b="21590"/>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Fonts w:ascii="黑体" w:hAnsi="黑体" w:eastAsia="黑体"/>
          <w:color w:val="000000"/>
          <w:sz w:val="32"/>
          <w:szCs w:val="32"/>
        </w:rPr>
      </w:pPr>
      <w:bookmarkStart w:id="30" w:name="_Toc15377208"/>
      <w:bookmarkStart w:id="31" w:name="_Toc15396606"/>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hint="eastAsia" w:ascii="黑体" w:hAnsi="黑体" w:eastAsia="黑体"/>
          <w:color w:val="000000"/>
          <w:sz w:val="32"/>
          <w:szCs w:val="32"/>
        </w:rPr>
      </w:pPr>
    </w:p>
    <w:p>
      <w:pPr>
        <w:spacing w:line="600" w:lineRule="exact"/>
        <w:ind w:firstLine="640" w:firstLineChars="200"/>
        <w:outlineLvl w:val="1"/>
        <w:rPr>
          <w:rFonts w:hint="eastAsia"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w:t>
      </w:r>
      <w:r>
        <w:rPr>
          <w:rFonts w:hint="eastAsia" w:ascii="仿宋" w:hAnsi="仿宋" w:eastAsia="仿宋"/>
          <w:color w:val="000000"/>
          <w:sz w:val="28"/>
          <w:szCs w:val="28"/>
        </w:rPr>
        <w:t>1109.56</w:t>
      </w:r>
      <w:r>
        <w:rPr>
          <w:rFonts w:hint="eastAsia" w:ascii="仿宋" w:hAnsi="仿宋" w:eastAsia="仿宋"/>
          <w:color w:val="000000"/>
          <w:sz w:val="32"/>
          <w:szCs w:val="32"/>
        </w:rPr>
        <w:t>万元、支总计</w:t>
      </w:r>
      <w:r>
        <w:rPr>
          <w:rFonts w:hint="eastAsia" w:ascii="宋体" w:hAnsi="宋体" w:cs="宋体"/>
          <w:sz w:val="28"/>
          <w:szCs w:val="28"/>
        </w:rPr>
        <w:t>1123.55</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8年相比，财政拨款收入增加47.04万元，增长4.43%、支出总计增加83.9万元，增长8.07</w:t>
      </w:r>
      <w:r>
        <w:rPr>
          <w:rFonts w:ascii="仿宋" w:hAnsi="仿宋" w:eastAsia="仿宋"/>
          <w:color w:val="000000"/>
          <w:sz w:val="32"/>
          <w:szCs w:val="32"/>
        </w:rPr>
        <w:t>%</w:t>
      </w:r>
      <w:r>
        <w:rPr>
          <w:rFonts w:hint="eastAsia" w:ascii="仿宋" w:hAnsi="仿宋" w:eastAsia="仿宋"/>
          <w:color w:val="000000"/>
          <w:sz w:val="32"/>
          <w:szCs w:val="32"/>
        </w:rPr>
        <w:t>。主要变动原因是正常的薪级晋升及工资标准变动执行。</w:t>
      </w:r>
    </w:p>
    <w:p>
      <w:pPr>
        <w:spacing w:line="6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（图4：财政拨款收、支决算总计变动情况）（柱状图）</w:t>
      </w:r>
    </w:p>
    <w:p>
      <w:pPr>
        <w:spacing w:line="600" w:lineRule="exact"/>
        <w:ind w:firstLine="643" w:firstLineChars="200"/>
        <w:rPr>
          <w:rStyle w:val="25"/>
          <w:rFonts w:ascii="黑体" w:hAnsi="黑体" w:eastAsia="黑体"/>
          <w:b w:val="0"/>
        </w:rPr>
      </w:pPr>
      <w:r>
        <w:rPr>
          <w:rFonts w:hint="eastAsia" w:ascii="黑体" w:hAnsi="黑体" w:eastAsia="黑体" w:cs="黑体"/>
          <w:b/>
          <w:bCs/>
          <w:color w:val="000000" w:themeColor="text1"/>
          <w:sz w:val="32"/>
          <w:szCs w:val="32"/>
          <w14:textFill>
            <w14:solidFill>
              <w14:schemeClr w14:val="tx1"/>
            </w14:solidFill>
          </w14:textFill>
        </w:rPr>
        <w:drawing>
          <wp:anchor distT="0" distB="0" distL="114300" distR="114300" simplePos="0" relativeHeight="251662336" behindDoc="0" locked="0" layoutInCell="1" allowOverlap="1">
            <wp:simplePos x="0" y="0"/>
            <wp:positionH relativeFrom="column">
              <wp:posOffset>368300</wp:posOffset>
            </wp:positionH>
            <wp:positionV relativeFrom="paragraph">
              <wp:posOffset>29210</wp:posOffset>
            </wp:positionV>
            <wp:extent cx="2964180" cy="1148080"/>
            <wp:effectExtent l="19050" t="0" r="26670" b="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9年一般公共预算财政拨款支出1123.55万元，占本年支出合计的95.93</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8年相比，一般公共预算财政拨款增加83.9万元，增长8.07</w:t>
      </w:r>
      <w:r>
        <w:rPr>
          <w:rFonts w:ascii="仿宋" w:hAnsi="仿宋" w:eastAsia="仿宋"/>
          <w:color w:val="000000"/>
          <w:sz w:val="32"/>
          <w:szCs w:val="32"/>
        </w:rPr>
        <w:t>%</w:t>
      </w:r>
      <w:r>
        <w:rPr>
          <w:rFonts w:hint="eastAsia" w:ascii="仿宋" w:hAnsi="仿宋" w:eastAsia="仿宋"/>
          <w:color w:val="000000"/>
          <w:sz w:val="32"/>
          <w:szCs w:val="32"/>
        </w:rPr>
        <w:t>。主要变动原因是正常的薪级晋升及工资标准变动执行。</w:t>
      </w:r>
    </w:p>
    <w:p>
      <w:pPr>
        <w:spacing w:line="600" w:lineRule="exact"/>
        <w:rPr>
          <w:rFonts w:ascii="仿宋" w:hAnsi="仿宋" w:eastAsia="仿宋"/>
          <w:color w:val="000000" w:themeColor="text1"/>
          <w:sz w:val="32"/>
          <w:szCs w:val="32"/>
          <w14:textFill>
            <w14:solidFill>
              <w14:schemeClr w14:val="tx1"/>
            </w14:solidFill>
          </w14:textFill>
        </w:rPr>
      </w:pPr>
      <w:r>
        <w:rPr>
          <w:rFonts w:hint="eastAsia" w:ascii="黑体" w:hAnsi="黑体" w:eastAsia="黑体" w:cs="黑体"/>
          <w:b/>
          <w:bCs/>
          <w:color w:val="000000" w:themeColor="text1"/>
          <w:sz w:val="30"/>
          <w:szCs w:val="30"/>
          <w14:textFill>
            <w14:solidFill>
              <w14:schemeClr w14:val="tx1"/>
            </w14:solidFill>
          </w14:textFill>
        </w:rPr>
        <w:drawing>
          <wp:anchor distT="0" distB="0" distL="114300" distR="114300" simplePos="0" relativeHeight="251667456" behindDoc="0" locked="0" layoutInCell="1" allowOverlap="1">
            <wp:simplePos x="0" y="0"/>
            <wp:positionH relativeFrom="column">
              <wp:posOffset>1418590</wp:posOffset>
            </wp:positionH>
            <wp:positionV relativeFrom="paragraph">
              <wp:posOffset>754380</wp:posOffset>
            </wp:positionV>
            <wp:extent cx="2136775" cy="1436370"/>
            <wp:effectExtent l="4445" t="4445" r="11430" b="6985"/>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 w:hAnsi="仿宋" w:eastAsia="仿宋"/>
          <w:color w:val="000000" w:themeColor="text1"/>
          <w:sz w:val="30"/>
          <w:szCs w:val="30"/>
          <w14:textFill>
            <w14:solidFill>
              <w14:schemeClr w14:val="tx1"/>
            </w14:solidFill>
          </w14:textFill>
        </w:rPr>
        <w:t>（图5：一般公共预算财政拨款支出决算变动情况）（柱</w:t>
      </w:r>
      <w:r>
        <w:rPr>
          <w:rFonts w:hint="eastAsia" w:ascii="仿宋" w:hAnsi="仿宋" w:eastAsia="仿宋"/>
          <w:color w:val="000000" w:themeColor="text1"/>
          <w:sz w:val="32"/>
          <w:szCs w:val="32"/>
          <w14:textFill>
            <w14:solidFill>
              <w14:schemeClr w14:val="tx1"/>
            </w14:solidFill>
          </w14:textFill>
        </w:rPr>
        <w:t>状</w:t>
      </w:r>
      <w:r>
        <w:rPr>
          <w:rFonts w:hint="eastAsia" w:ascii="仿宋" w:hAnsi="仿宋" w:eastAsia="仿宋"/>
          <w:color w:val="000000" w:themeColor="text1"/>
          <w:sz w:val="30"/>
          <w:szCs w:val="30"/>
          <w14:textFill>
            <w14:solidFill>
              <w14:schemeClr w14:val="tx1"/>
            </w14:solidFill>
          </w14:textFill>
        </w:rPr>
        <w:t>图</w:t>
      </w:r>
      <w:r>
        <w:rPr>
          <w:rFonts w:hint="eastAsia" w:ascii="仿宋" w:hAnsi="仿宋" w:eastAsia="仿宋"/>
          <w:color w:val="000000" w:themeColor="text1"/>
          <w:sz w:val="32"/>
          <w:szCs w:val="32"/>
          <w14:textFill>
            <w14:solidFill>
              <w14:schemeClr w14:val="tx1"/>
            </w14:solidFill>
          </w14:textFill>
        </w:rPr>
        <w:t>）</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14:textFill>
            <w14:solidFill>
              <w14:schemeClr w14:val="tx1"/>
            </w14:solidFill>
          </w14:textFill>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14:textFill>
            <w14:solidFill>
              <w14:schemeClr w14:val="tx1"/>
            </w14:solidFill>
          </w14:textFill>
        </w:rPr>
        <w:t>政拨款支出</w:t>
      </w:r>
      <w:r>
        <w:rPr>
          <w:rFonts w:hint="eastAsia" w:ascii="仿宋" w:hAnsi="仿宋" w:eastAsia="仿宋"/>
          <w:color w:val="000000"/>
          <w:sz w:val="32"/>
          <w:szCs w:val="32"/>
        </w:rPr>
        <w:t>1123.55</w:t>
      </w:r>
      <w:r>
        <w:rPr>
          <w:rFonts w:hint="eastAsia" w:ascii="仿宋" w:hAnsi="仿宋" w:eastAsia="仿宋"/>
          <w:color w:val="000000" w:themeColor="text1"/>
          <w:sz w:val="32"/>
          <w:szCs w:val="32"/>
          <w14:textFill>
            <w14:solidFill>
              <w14:schemeClr w14:val="tx1"/>
            </w14:solidFill>
          </w14:textFill>
        </w:rPr>
        <w:t>万元，主要用于以下方面</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一般公共服务（类）</w:t>
      </w:r>
      <w:r>
        <w:rPr>
          <w:rFonts w:hint="eastAsia" w:ascii="仿宋" w:hAnsi="仿宋" w:eastAsia="仿宋"/>
          <w:color w:val="000000" w:themeColor="text1"/>
          <w:sz w:val="32"/>
          <w:szCs w:val="32"/>
          <w14:textFill>
            <w14:solidFill>
              <w14:schemeClr w14:val="tx1"/>
            </w14:solidFill>
          </w14:textFill>
        </w:rPr>
        <w:t>支出0万元，占0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教育支出（类）794.79</w:t>
      </w:r>
      <w:r>
        <w:rPr>
          <w:rFonts w:hint="eastAsia" w:ascii="仿宋" w:hAnsi="仿宋" w:eastAsia="仿宋"/>
          <w:color w:val="000000" w:themeColor="text1"/>
          <w:sz w:val="32"/>
          <w:szCs w:val="32"/>
          <w14:textFill>
            <w14:solidFill>
              <w14:schemeClr w14:val="tx1"/>
            </w14:solidFill>
          </w14:textFill>
        </w:rPr>
        <w:t>万元，占70.74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科学技术（类）</w:t>
      </w:r>
      <w:r>
        <w:rPr>
          <w:rFonts w:hint="eastAsia" w:ascii="仿宋" w:hAnsi="仿宋" w:eastAsia="仿宋"/>
          <w:color w:val="000000" w:themeColor="text1"/>
          <w:sz w:val="32"/>
          <w:szCs w:val="32"/>
          <w14:textFill>
            <w14:solidFill>
              <w14:schemeClr w14:val="tx1"/>
            </w14:solidFill>
          </w14:textFill>
        </w:rPr>
        <w:t>支出0万元，占0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文化旅游体育与传媒（类）支出0万元，占0</w:t>
      </w:r>
      <w:r>
        <w:rPr>
          <w:rFonts w:ascii="仿宋" w:hAnsi="仿宋" w:eastAsia="仿宋"/>
          <w:b/>
          <w:bCs/>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社会保障和就业（类）</w:t>
      </w:r>
      <w:r>
        <w:rPr>
          <w:rFonts w:hint="eastAsia" w:ascii="仿宋" w:hAnsi="仿宋" w:eastAsia="仿宋"/>
          <w:color w:val="000000" w:themeColor="text1"/>
          <w:sz w:val="32"/>
          <w:szCs w:val="32"/>
          <w14:textFill>
            <w14:solidFill>
              <w14:schemeClr w14:val="tx1"/>
            </w14:solidFill>
          </w14:textFill>
        </w:rPr>
        <w:t>支出206.67万元，占18.4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卫生健康支出56.26</w:t>
      </w:r>
      <w:r>
        <w:rPr>
          <w:rFonts w:hint="eastAsia" w:ascii="仿宋" w:hAnsi="仿宋" w:eastAsia="仿宋"/>
          <w:color w:val="000000" w:themeColor="text1"/>
          <w:sz w:val="32"/>
          <w:szCs w:val="32"/>
          <w14:textFill>
            <w14:solidFill>
              <w14:schemeClr w14:val="tx1"/>
            </w14:solidFill>
          </w14:textFill>
        </w:rPr>
        <w:t>万元，占5</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；住房保障支出65.83万元，占5.86</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（图6：一般公共预算财政拨款支出决算结构）（饼状图）</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themeColor="text1"/>
          <w:sz w:val="32"/>
          <w:szCs w:val="32"/>
          <w14:textFill>
            <w14:solidFill>
              <w14:schemeClr w14:val="tx1"/>
            </w14:solidFill>
          </w14:textFill>
        </w:rPr>
        <w:drawing>
          <wp:anchor distT="0" distB="0" distL="114300" distR="114300" simplePos="0" relativeHeight="251670528" behindDoc="0" locked="0" layoutInCell="1" allowOverlap="1">
            <wp:simplePos x="0" y="0"/>
            <wp:positionH relativeFrom="column">
              <wp:posOffset>377825</wp:posOffset>
            </wp:positionH>
            <wp:positionV relativeFrom="paragraph">
              <wp:posOffset>133985</wp:posOffset>
            </wp:positionV>
            <wp:extent cx="5044440" cy="2219325"/>
            <wp:effectExtent l="19050" t="0" r="22860" b="0"/>
            <wp:wrapSquare wrapText="bothSides"/>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6" w:name="_Toc15377212"/>
    </w:p>
    <w:p>
      <w:pPr>
        <w:spacing w:line="600" w:lineRule="exact"/>
        <w:ind w:firstLine="643" w:firstLineChars="200"/>
        <w:outlineLvl w:val="2"/>
        <w:rPr>
          <w:rFonts w:ascii="仿宋" w:hAnsi="仿宋" w:eastAsia="仿宋"/>
          <w:b/>
          <w:color w:val="000000"/>
          <w:sz w:val="32"/>
          <w:szCs w:val="32"/>
        </w:rPr>
      </w:pPr>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8460"/>
      <w:bookmarkStart w:id="39" w:name="_Toc15377444"/>
      <w:r>
        <w:rPr>
          <w:rFonts w:hint="eastAsia" w:ascii="仿宋" w:hAnsi="仿宋" w:eastAsia="仿宋"/>
          <w:b/>
          <w:color w:val="000000" w:themeColor="text1"/>
          <w:sz w:val="32"/>
          <w:szCs w:val="32"/>
          <w14:textFill>
            <w14:solidFill>
              <w14:schemeClr w14:val="tx1"/>
            </w14:solidFill>
          </w14:textFill>
        </w:rPr>
        <w:t>2019年般公共预算支出决算数为1123.55万元</w:t>
      </w:r>
      <w:r>
        <w:rPr>
          <w:rFonts w:hint="eastAsia" w:ascii="仿宋" w:hAnsi="仿宋" w:eastAsia="仿宋"/>
          <w:color w:val="000000" w:themeColor="text1"/>
          <w:sz w:val="32"/>
          <w:szCs w:val="32"/>
          <w14:textFill>
            <w14:solidFill>
              <w14:schemeClr w14:val="tx1"/>
            </w14:solidFill>
          </w14:textFill>
        </w:rPr>
        <w:t>，</w:t>
      </w:r>
      <w:r>
        <w:rPr>
          <w:rStyle w:val="14"/>
          <w:rFonts w:hint="eastAsia" w:ascii="仿宋" w:hAnsi="仿宋" w:eastAsia="仿宋"/>
          <w:bCs/>
          <w:color w:val="000000" w:themeColor="text1"/>
          <w:sz w:val="32"/>
          <w:szCs w:val="32"/>
          <w14:textFill>
            <w14:solidFill>
              <w14:schemeClr w14:val="tx1"/>
            </w14:solidFill>
          </w14:textFill>
        </w:rPr>
        <w:t>完成</w:t>
      </w:r>
      <w:r>
        <w:rPr>
          <w:rStyle w:val="14"/>
          <w:rFonts w:hint="eastAsia" w:ascii="仿宋" w:hAnsi="仿宋" w:eastAsia="仿宋"/>
          <w:bCs/>
          <w:color w:val="000000"/>
          <w:sz w:val="32"/>
          <w:szCs w:val="32"/>
        </w:rPr>
        <w:t>预算100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1.</w:t>
      </w:r>
      <w:r>
        <w:rPr>
          <w:rStyle w:val="14"/>
          <w:rFonts w:hint="eastAsia" w:ascii="仿宋" w:hAnsi="仿宋" w:eastAsia="仿宋"/>
          <w:bCs/>
          <w:color w:val="000000"/>
          <w:sz w:val="32"/>
          <w:szCs w:val="32"/>
        </w:rPr>
        <w:t xml:space="preserve">一般公共服务（类）无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2.</w:t>
      </w:r>
      <w:r>
        <w:rPr>
          <w:rStyle w:val="14"/>
          <w:rFonts w:hint="eastAsia" w:ascii="仿宋" w:hAnsi="仿宋" w:eastAsia="仿宋"/>
          <w:bCs/>
          <w:color w:val="000000"/>
          <w:sz w:val="32"/>
          <w:szCs w:val="32"/>
        </w:rPr>
        <w:t>教育（类）普通教育（款）其他普通教育支出（项）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支出决算为794.79万元，完成预算100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3.</w:t>
      </w:r>
      <w:r>
        <w:rPr>
          <w:rStyle w:val="14"/>
          <w:rFonts w:hint="eastAsia" w:ascii="仿宋" w:hAnsi="仿宋" w:eastAsia="仿宋"/>
          <w:bCs/>
          <w:color w:val="000000"/>
          <w:sz w:val="32"/>
          <w:szCs w:val="32"/>
        </w:rPr>
        <w:t xml:space="preserve">科学技术（类）无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万元，完成预算</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4.</w:t>
      </w:r>
      <w:r>
        <w:rPr>
          <w:rStyle w:val="14"/>
          <w:rFonts w:hint="eastAsia" w:ascii="仿宋" w:hAnsi="仿宋" w:eastAsia="仿宋"/>
          <w:bCs/>
          <w:color w:val="000000"/>
          <w:sz w:val="32"/>
          <w:szCs w:val="32"/>
        </w:rPr>
        <w:t>文化旅游体育与传媒  无（类）</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万元，完成预算</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5.</w:t>
      </w:r>
      <w:r>
        <w:rPr>
          <w:rStyle w:val="14"/>
          <w:rFonts w:hint="eastAsia" w:ascii="仿宋" w:hAnsi="仿宋" w:eastAsia="仿宋"/>
          <w:bCs/>
          <w:color w:val="000000"/>
          <w:sz w:val="32"/>
          <w:szCs w:val="32"/>
        </w:rPr>
        <w:t>社会保障和就业（类）行政事业单位养老支出（款）事业单位离退休费、机关事业单位基本养老保险缴费支出、机关事业单位职业年金缴费支出、（项）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支出决算为206.67万元，完成预算100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14:textFill>
            <w14:solidFill>
              <w14:schemeClr w14:val="tx1"/>
            </w14:solidFill>
          </w14:textFill>
        </w:rPr>
        <w:t>卫生健康</w:t>
      </w:r>
      <w:r>
        <w:rPr>
          <w:rStyle w:val="14"/>
          <w:rFonts w:hint="eastAsia" w:ascii="仿宋" w:hAnsi="仿宋" w:eastAsia="仿宋"/>
          <w:bCs/>
          <w:color w:val="000000"/>
          <w:sz w:val="32"/>
          <w:szCs w:val="32"/>
        </w:rPr>
        <w:t>（类）行政事业单位医疗（款）事业单位医疗（项）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支出决算为56.26万元，完成预算100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7</w:t>
      </w:r>
      <w:r>
        <w:rPr>
          <w:rStyle w:val="14"/>
          <w:rFonts w:ascii="仿宋" w:hAnsi="仿宋" w:eastAsia="仿宋"/>
          <w:bCs/>
          <w:color w:val="000000"/>
          <w:sz w:val="32"/>
          <w:szCs w:val="32"/>
        </w:rPr>
        <w:t>.</w:t>
      </w:r>
      <w:r>
        <w:rPr>
          <w:rFonts w:hint="eastAsia" w:ascii="仿宋" w:hAnsi="仿宋" w:eastAsia="仿宋"/>
          <w:b/>
          <w:bCs/>
          <w:color w:val="000000" w:themeColor="text1"/>
          <w:sz w:val="32"/>
          <w:szCs w:val="32"/>
          <w14:textFill>
            <w14:solidFill>
              <w14:schemeClr w14:val="tx1"/>
            </w14:solidFill>
          </w14:textFill>
        </w:rPr>
        <w:t>住房保障支出</w:t>
      </w:r>
      <w:r>
        <w:rPr>
          <w:rStyle w:val="14"/>
          <w:rFonts w:hint="eastAsia" w:ascii="仿宋" w:hAnsi="仿宋" w:eastAsia="仿宋"/>
          <w:bCs/>
          <w:color w:val="000000"/>
          <w:sz w:val="32"/>
          <w:szCs w:val="32"/>
        </w:rPr>
        <w:t>（类）住房改革支出（款）住房公积金（项）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支出决算为65.83万元，完成预算100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9年一般公共预算财政拨款基本支出1123.55万元，其中：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893.6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229.95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9年“三公”经费财政拨款支出决算为0万元，完成预算100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；公务接待费支出决算0万元，占100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hint="eastAsia" w:ascii="仿宋" w:hAnsi="仿宋" w:eastAsia="仿宋"/>
          <w:color w:val="000000" w:themeColor="text1"/>
          <w:sz w:val="32"/>
          <w:szCs w:val="32"/>
          <w14:textFill>
            <w14:solidFill>
              <w14:schemeClr w14:val="tx1"/>
            </w14:solidFill>
          </w14:textFill>
        </w:rPr>
        <w:drawing>
          <wp:anchor distT="0" distB="0" distL="114300" distR="114300" simplePos="0" relativeHeight="251683840" behindDoc="0" locked="0" layoutInCell="1" allowOverlap="1">
            <wp:simplePos x="0" y="0"/>
            <wp:positionH relativeFrom="column">
              <wp:posOffset>180975</wp:posOffset>
            </wp:positionH>
            <wp:positionV relativeFrom="paragraph">
              <wp:posOffset>146685</wp:posOffset>
            </wp:positionV>
            <wp:extent cx="5044440" cy="2219325"/>
            <wp:effectExtent l="4445" t="4445" r="18415" b="5080"/>
            <wp:wrapSquare wrapText="bothSides"/>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8年减少0万元，下降0</w:t>
      </w:r>
      <w:r>
        <w:rPr>
          <w:rFonts w:ascii="仿宋_GB2312" w:eastAsia="仿宋_GB2312"/>
          <w:color w:val="000000"/>
          <w:sz w:val="32"/>
          <w:szCs w:val="32"/>
        </w:rPr>
        <w:t>%</w:t>
      </w:r>
      <w:r>
        <w:rPr>
          <w:rFonts w:hint="eastAsia" w:ascii="仿宋_GB2312" w:eastAsia="仿宋_GB2312"/>
          <w:color w:val="000000"/>
          <w:sz w:val="32"/>
          <w:szCs w:val="32"/>
        </w:rPr>
        <w:t>。主要原因是减少了接待人次其中：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万元，主要用于执行公务、开展业务活动开支的交通费、住宿费、用餐费等。国内公务接待0批次，0人次（不包括陪同人员），共计支出0万元，具体内容包括：接待金阳区教育人员支餐费及住宿0万元。</w:t>
      </w:r>
    </w:p>
    <w:p>
      <w:pPr>
        <w:spacing w:line="60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b/>
          <w:color w:val="000000"/>
          <w:sz w:val="32"/>
          <w:szCs w:val="32"/>
        </w:rPr>
        <w:t xml:space="preserve">外事接待支出 无 </w:t>
      </w:r>
      <w:r>
        <w:rPr>
          <w:rFonts w:ascii="仿宋" w:hAnsi="仿宋" w:eastAsia="仿宋"/>
          <w:color w:val="000000"/>
          <w:sz w:val="32"/>
          <w:szCs w:val="32"/>
        </w:rPr>
        <w:t>**</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批次，</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人，共计支出</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万元，主要用于接待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（具体项目）</w:t>
      </w:r>
    </w:p>
    <w:p>
      <w:pPr>
        <w:spacing w:line="600" w:lineRule="exact"/>
        <w:ind w:firstLine="640"/>
        <w:outlineLvl w:val="1"/>
        <w:rPr>
          <w:rFonts w:ascii="黑体" w:eastAsia="黑体"/>
          <w:color w:val="000000"/>
          <w:sz w:val="32"/>
          <w:szCs w:val="32"/>
        </w:rPr>
      </w:pPr>
      <w:bookmarkStart w:id="46" w:name="_Toc15377218"/>
      <w:bookmarkStart w:id="47" w:name="_Toc15396610"/>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r>
        <w:rPr>
          <w:rStyle w:val="25"/>
          <w:rFonts w:hint="eastAsia" w:ascii="黑体" w:hAnsi="黑体" w:eastAsia="黑体"/>
          <w:b w:val="0"/>
        </w:rPr>
        <w:t>（无）</w:t>
      </w:r>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25"/>
          <w:rFonts w:ascii="黑体" w:hAnsi="黑体" w:eastAsia="黑体"/>
          <w:b w:val="0"/>
        </w:rPr>
      </w:pPr>
      <w:bookmarkStart w:id="48" w:name="_Toc15396611"/>
      <w:bookmarkStart w:id="49" w:name="_Toc15377219"/>
      <w:r>
        <w:rPr>
          <w:rStyle w:val="25"/>
          <w:rFonts w:hint="eastAsia" w:ascii="黑体" w:hAnsi="黑体" w:eastAsia="黑体"/>
          <w:b w:val="0"/>
        </w:rPr>
        <w:t>国有资本经营预算支出决算情况说明</w:t>
      </w:r>
      <w:bookmarkEnd w:id="48"/>
      <w:bookmarkEnd w:id="49"/>
      <w:r>
        <w:rPr>
          <w:rStyle w:val="25"/>
          <w:rFonts w:hint="eastAsia" w:ascii="黑体" w:hAnsi="黑体" w:eastAsia="黑体"/>
          <w:b w:val="0"/>
        </w:rPr>
        <w:t>（无）</w:t>
      </w:r>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r>
        <w:rPr>
          <w:rStyle w:val="25"/>
          <w:rFonts w:hint="eastAsia" w:ascii="黑体" w:hAnsi="黑体" w:eastAsia="黑体"/>
          <w:b w:val="0"/>
        </w:rPr>
        <w:t>（无）</w:t>
      </w:r>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r>
        <w:rPr>
          <w:rFonts w:hint="eastAsia" w:ascii="仿宋" w:hAnsi="仿宋" w:eastAsia="仿宋"/>
          <w:b/>
          <w:color w:val="000000"/>
          <w:sz w:val="32"/>
          <w:szCs w:val="32"/>
        </w:rPr>
        <w:t>（无）</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w:t>
      </w:r>
      <w:r>
        <w:rPr>
          <w:rFonts w:hint="eastAsia" w:ascii="仿宋_GB2312" w:eastAsia="仿宋_GB2312"/>
          <w:color w:val="000000"/>
          <w:sz w:val="32"/>
          <w:szCs w:val="32"/>
        </w:rPr>
        <w:t>机关运行经费支出</w:t>
      </w:r>
      <w:r>
        <w:rPr>
          <w:rFonts w:ascii="仿宋_GB2312" w:eastAsia="仿宋_GB2312"/>
          <w:color w:val="000000"/>
          <w:sz w:val="32"/>
          <w:szCs w:val="32"/>
        </w:rPr>
        <w:t>**</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ascii="仿宋_GB2312" w:eastAsia="仿宋_GB2312"/>
          <w:color w:val="000000"/>
          <w:sz w:val="32"/>
          <w:szCs w:val="32"/>
        </w:rPr>
        <w:t>**</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14:textFill>
            <w14:solidFill>
              <w14:schemeClr w14:val="tx1"/>
            </w14:solidFill>
          </w14:textFill>
        </w:rPr>
        <w:t>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r>
        <w:rPr>
          <w:rFonts w:hint="eastAsia" w:ascii="仿宋" w:hAnsi="仿宋" w:eastAsia="仿宋"/>
          <w:b/>
          <w:color w:val="000000"/>
          <w:sz w:val="32"/>
          <w:szCs w:val="32"/>
        </w:rPr>
        <w:t>（无）</w:t>
      </w:r>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w:t>
      </w:r>
      <w:r>
        <w:rPr>
          <w:rFonts w:hint="eastAsia" w:ascii="仿宋_GB2312" w:eastAsia="仿宋_GB2312"/>
          <w:color w:val="000000"/>
          <w:sz w:val="32"/>
          <w:szCs w:val="32"/>
        </w:rPr>
        <w:t>政府采购支出总额</w:t>
      </w:r>
      <w:r>
        <w:rPr>
          <w:rFonts w:ascii="仿宋_GB2312" w:eastAsia="仿宋_GB2312"/>
          <w:color w:val="000000"/>
          <w:sz w:val="32"/>
          <w:szCs w:val="32"/>
        </w:rPr>
        <w:t>**</w:t>
      </w:r>
      <w:r>
        <w:rPr>
          <w:rFonts w:hint="eastAsia" w:ascii="仿宋_GB2312" w:eastAsia="仿宋_GB2312"/>
          <w:color w:val="000000"/>
          <w:sz w:val="32"/>
          <w:szCs w:val="32"/>
        </w:rPr>
        <w:t>万元，其中：政府采购货物支出</w:t>
      </w:r>
      <w:r>
        <w:rPr>
          <w:rFonts w:ascii="仿宋_GB2312" w:eastAsia="仿宋_GB2312"/>
          <w:color w:val="000000"/>
          <w:sz w:val="32"/>
          <w:szCs w:val="32"/>
        </w:rPr>
        <w:t>**</w:t>
      </w:r>
      <w:r>
        <w:rPr>
          <w:rFonts w:hint="eastAsia" w:ascii="仿宋_GB2312" w:eastAsia="仿宋_GB2312"/>
          <w:color w:val="000000"/>
          <w:sz w:val="32"/>
          <w:szCs w:val="32"/>
        </w:rPr>
        <w:t>万元、政府采购工程支出</w:t>
      </w:r>
      <w:r>
        <w:rPr>
          <w:rFonts w:ascii="仿宋_GB2312" w:eastAsia="仿宋_GB2312"/>
          <w:color w:val="000000"/>
          <w:sz w:val="32"/>
          <w:szCs w:val="32"/>
        </w:rPr>
        <w:t>**</w:t>
      </w:r>
      <w:r>
        <w:rPr>
          <w:rFonts w:hint="eastAsia" w:ascii="仿宋_GB2312" w:eastAsia="仿宋_GB2312"/>
          <w:color w:val="000000"/>
          <w:sz w:val="32"/>
          <w:szCs w:val="32"/>
        </w:rPr>
        <w:t>万元、政府采购服务支出</w:t>
      </w:r>
      <w:r>
        <w:rPr>
          <w:rFonts w:ascii="仿宋_GB2312" w:eastAsia="仿宋_GB2312"/>
          <w:color w:val="000000"/>
          <w:sz w:val="32"/>
          <w:szCs w:val="32"/>
        </w:rPr>
        <w:t>**</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w:t>
      </w:r>
      <w:r>
        <w:rPr>
          <w:rFonts w:ascii="仿宋_GB2312" w:eastAsia="仿宋_GB2312"/>
          <w:color w:val="000000"/>
          <w:sz w:val="32"/>
          <w:szCs w:val="32"/>
        </w:rPr>
        <w:t>**</w:t>
      </w:r>
      <w:r>
        <w:rPr>
          <w:rFonts w:hint="eastAsia" w:ascii="仿宋_GB2312" w:eastAsia="仿宋_GB2312"/>
          <w:color w:val="000000"/>
          <w:sz w:val="32"/>
          <w:szCs w:val="32"/>
        </w:rPr>
        <w:t>万元，占政府采购支出总额的</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ascii="仿宋_GB2312" w:eastAsia="仿宋_GB2312"/>
          <w:color w:val="000000"/>
          <w:sz w:val="32"/>
          <w:szCs w:val="32"/>
        </w:rPr>
        <w:t>**</w:t>
      </w:r>
      <w:r>
        <w:rPr>
          <w:rFonts w:hint="eastAsia" w:ascii="仿宋_GB2312" w:eastAsia="仿宋_GB2312"/>
          <w:color w:val="000000"/>
          <w:sz w:val="32"/>
          <w:szCs w:val="32"/>
        </w:rPr>
        <w:t>万元，占政府采购支出总额的</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r>
        <w:rPr>
          <w:rFonts w:hint="eastAsia" w:ascii="仿宋" w:hAnsi="仿宋" w:eastAsia="仿宋"/>
          <w:b/>
          <w:color w:val="000000"/>
          <w:sz w:val="32"/>
          <w:szCs w:val="32"/>
        </w:rPr>
        <w:t>（无）</w:t>
      </w:r>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ascii="仿宋_GB2312" w:eastAsia="仿宋_GB2312"/>
          <w:color w:val="000000"/>
          <w:sz w:val="32"/>
          <w:szCs w:val="32"/>
        </w:rPr>
        <w:t>***</w:t>
      </w:r>
      <w:r>
        <w:rPr>
          <w:rFonts w:hint="eastAsia" w:ascii="仿宋_GB2312" w:eastAsia="仿宋_GB2312"/>
          <w:color w:val="000000"/>
          <w:sz w:val="32"/>
          <w:szCs w:val="32"/>
        </w:rPr>
        <w:t>共有车辆</w:t>
      </w:r>
      <w:r>
        <w:rPr>
          <w:rFonts w:ascii="仿宋_GB2312" w:eastAsia="仿宋_GB2312"/>
          <w:color w:val="000000"/>
          <w:sz w:val="32"/>
          <w:szCs w:val="32"/>
        </w:rPr>
        <w:t>**</w:t>
      </w:r>
      <w:r>
        <w:rPr>
          <w:rFonts w:hint="eastAsia" w:ascii="仿宋_GB2312" w:eastAsia="仿宋_GB2312"/>
          <w:color w:val="000000"/>
          <w:sz w:val="32"/>
          <w:szCs w:val="32"/>
        </w:rPr>
        <w:t>辆，其中：主要领导干部用车</w:t>
      </w:r>
      <w:r>
        <w:rPr>
          <w:rFonts w:ascii="仿宋_GB2312" w:eastAsia="仿宋_GB2312"/>
          <w:color w:val="000000"/>
          <w:sz w:val="32"/>
          <w:szCs w:val="32"/>
        </w:rPr>
        <w:t>**</w:t>
      </w:r>
      <w:r>
        <w:rPr>
          <w:rFonts w:hint="eastAsia" w:ascii="仿宋_GB2312" w:eastAsia="仿宋_GB2312"/>
          <w:color w:val="000000"/>
          <w:sz w:val="32"/>
          <w:szCs w:val="32"/>
        </w:rPr>
        <w:t>辆、机要通信用车</w:t>
      </w:r>
      <w:r>
        <w:rPr>
          <w:rFonts w:ascii="仿宋_GB2312" w:eastAsia="仿宋_GB2312"/>
          <w:color w:val="000000"/>
          <w:sz w:val="32"/>
          <w:szCs w:val="32"/>
        </w:rPr>
        <w:t>**</w:t>
      </w:r>
      <w:r>
        <w:rPr>
          <w:rFonts w:hint="eastAsia" w:ascii="仿宋_GB2312" w:eastAsia="仿宋_GB2312"/>
          <w:color w:val="000000"/>
          <w:sz w:val="32"/>
          <w:szCs w:val="32"/>
        </w:rPr>
        <w:t>辆、应急保障用车</w:t>
      </w:r>
      <w:r>
        <w:rPr>
          <w:rFonts w:ascii="仿宋_GB2312" w:eastAsia="仿宋_GB2312"/>
          <w:color w:val="000000"/>
          <w:sz w:val="32"/>
          <w:szCs w:val="32"/>
        </w:rPr>
        <w:t>**</w:t>
      </w:r>
      <w:r>
        <w:rPr>
          <w:rFonts w:hint="eastAsia" w:ascii="仿宋_GB2312" w:eastAsia="仿宋_GB2312"/>
          <w:color w:val="000000"/>
          <w:sz w:val="32"/>
          <w:szCs w:val="32"/>
        </w:rPr>
        <w:t>辆、其他用车</w:t>
      </w:r>
      <w:r>
        <w:rPr>
          <w:rFonts w:ascii="仿宋_GB2312" w:eastAsia="仿宋_GB2312"/>
          <w:color w:val="000000"/>
          <w:sz w:val="32"/>
          <w:szCs w:val="32"/>
        </w:rPr>
        <w:t>**</w:t>
      </w:r>
      <w:r>
        <w:rPr>
          <w:rFonts w:hint="eastAsia" w:ascii="仿宋_GB2312" w:eastAsia="仿宋_GB2312"/>
          <w:color w:val="000000"/>
          <w:sz w:val="32"/>
          <w:szCs w:val="32"/>
        </w:rPr>
        <w:t>辆……</w:t>
      </w:r>
      <w:r>
        <w:rPr>
          <w:rFonts w:hint="eastAsia" w:ascii="仿宋_GB2312" w:eastAsia="仿宋_GB2312"/>
          <w:color w:val="000000" w:themeColor="text1"/>
          <w:sz w:val="32"/>
          <w:szCs w:val="32"/>
          <w14:textFill>
            <w14:solidFill>
              <w14:schemeClr w14:val="tx1"/>
            </w14:solidFill>
          </w14:textFill>
        </w:rPr>
        <w:t>其他用车主要是用于……单价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ascii="仿宋_GB2312" w:eastAsia="仿宋_GB2312"/>
          <w:color w:val="000000"/>
          <w:sz w:val="32"/>
          <w:szCs w:val="32"/>
        </w:rPr>
        <w:t>**</w:t>
      </w:r>
      <w:r>
        <w:rPr>
          <w:rFonts w:hint="eastAsia" w:ascii="仿宋_GB2312" w:eastAsia="仿宋_GB2312"/>
          <w:color w:val="000000"/>
          <w:sz w:val="32"/>
          <w:szCs w:val="32"/>
        </w:rPr>
        <w:t>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w:t>
      </w:r>
      <w:r>
        <w:rPr>
          <w:rFonts w:hint="eastAsia" w:ascii="仿宋_GB2312" w:eastAsia="仿宋_GB2312" w:cs="仿宋_GB2312"/>
          <w:sz w:val="30"/>
          <w:szCs w:val="30"/>
        </w:rPr>
        <w:t>在2019年的整体绩效和预算追加中，按照上级和财政部门的要求，研究和设立绩效指标，并在实施中进行跟踪分析，在决算报告中体现。下一步，将进一步完善制度，优化流程，逐步实现绩效管理的全方位、全过程、全覆盖。</w:t>
      </w:r>
      <w:r>
        <w:rPr>
          <w:rFonts w:hint="eastAsia" w:ascii="仿宋_GB2312" w:hAnsi="仿宋_GB2312" w:eastAsia="仿宋_GB2312" w:cs="仿宋_GB2312"/>
          <w:sz w:val="32"/>
          <w:szCs w:val="32"/>
        </w:rPr>
        <w:t>（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1.项目绩效目标完成情况。（无）</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24"/>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黑体" w:hAnsi="宋体" w:eastAsia="黑体" w:cs="宋体"/>
          <w:color w:val="000000"/>
          <w:kern w:val="0"/>
          <w:sz w:val="24"/>
          <w:szCs w:val="32"/>
          <w:shd w:val="clear" w:color="auto" w:fill="FFFFFF"/>
        </w:rPr>
      </w:pPr>
      <w:r>
        <w:rPr>
          <w:rFonts w:hint="eastAsia" w:ascii="方正小标宋简体" w:hAnsi="宋体" w:eastAsia="方正小标宋简体"/>
          <w:color w:val="000000"/>
          <w:kern w:val="0"/>
          <w:sz w:val="40"/>
          <w:szCs w:val="44"/>
        </w:rPr>
        <w:t>广汉市雒城镇第九小学校</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numPr>
          <w:ilvl w:val="0"/>
          <w:numId w:val="4"/>
        </w:numPr>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lang w:val="zh-CN"/>
        </w:rPr>
        <w:t>部门（单位）概况</w:t>
      </w:r>
    </w:p>
    <w:p>
      <w:pPr>
        <w:pStyle w:val="23"/>
        <w:snapToGrid w:val="0"/>
        <w:spacing w:line="588" w:lineRule="exact"/>
        <w:ind w:left="420" w:firstLine="0" w:firstLineChars="0"/>
        <w:rPr>
          <w:rFonts w:ascii="仿宋_GB2312" w:hAnsi="仿宋" w:eastAsia="仿宋_GB2312"/>
          <w:b w:val="0"/>
          <w:bCs/>
          <w:sz w:val="30"/>
          <w:szCs w:val="30"/>
        </w:rPr>
      </w:pPr>
      <w:r>
        <w:rPr>
          <w:rFonts w:hint="eastAsia" w:ascii="仿宋_GB2312" w:hAnsi="仿宋" w:eastAsia="仿宋_GB2312"/>
          <w:b w:val="0"/>
          <w:bCs/>
          <w:sz w:val="30"/>
          <w:szCs w:val="30"/>
        </w:rPr>
        <w:t xml:space="preserve">①学校为独立事业编制机构，2019年末实有公共预算财政拨款（补助）开支在职人员70人，离休人员1人，退休人员90人，遗属补助人员2人；小学生1304人，学前班学生183人. </w:t>
      </w:r>
    </w:p>
    <w:p>
      <w:pPr>
        <w:snapToGrid w:val="0"/>
        <w:spacing w:line="588" w:lineRule="exact"/>
        <w:ind w:firstLine="300" w:firstLineChars="100"/>
        <w:rPr>
          <w:rFonts w:ascii="仿宋_GB2312" w:hAnsi="仿宋" w:eastAsia="仿宋_GB2312"/>
          <w:b w:val="0"/>
          <w:bCs/>
          <w:sz w:val="30"/>
          <w:szCs w:val="30"/>
        </w:rPr>
      </w:pPr>
      <w:r>
        <w:rPr>
          <w:rFonts w:hint="eastAsia" w:ascii="仿宋_GB2312" w:hAnsi="仿宋" w:eastAsia="仿宋_GB2312"/>
          <w:b w:val="0"/>
          <w:bCs/>
          <w:sz w:val="30"/>
          <w:szCs w:val="30"/>
        </w:rPr>
        <w:t>②2019年度在职人员因工作原因：市内调入1人，校园招聘2人，公招1人，外县调入2人；调出外县1人，调出市内1人。在职退休1人，退休人员病故5人。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tbl>
      <w:tblPr>
        <w:tblStyle w:val="12"/>
        <w:tblW w:w="6720" w:type="dxa"/>
        <w:tblInd w:w="0" w:type="dxa"/>
        <w:tblLayout w:type="autofit"/>
        <w:tblCellMar>
          <w:top w:w="0" w:type="dxa"/>
          <w:left w:w="0" w:type="dxa"/>
          <w:bottom w:w="0" w:type="dxa"/>
          <w:right w:w="0" w:type="dxa"/>
        </w:tblCellMar>
      </w:tblPr>
      <w:tblGrid>
        <w:gridCol w:w="330"/>
        <w:gridCol w:w="330"/>
        <w:gridCol w:w="330"/>
        <w:gridCol w:w="3930"/>
        <w:gridCol w:w="1800"/>
      </w:tblGrid>
      <w:tr>
        <w:tblPrEx>
          <w:tblCellMar>
            <w:top w:w="0" w:type="dxa"/>
            <w:left w:w="0" w:type="dxa"/>
            <w:bottom w:w="0" w:type="dxa"/>
            <w:right w:w="0" w:type="dxa"/>
          </w:tblCellMar>
        </w:tblPrEx>
        <w:trPr>
          <w:trHeight w:val="312" w:hRule="atLeast"/>
        </w:trPr>
        <w:tc>
          <w:tcPr>
            <w:tcW w:w="990"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科目编码</w:t>
            </w:r>
          </w:p>
        </w:tc>
        <w:tc>
          <w:tcPr>
            <w:tcW w:w="3930" w:type="dxa"/>
            <w:vMerge w:val="restart"/>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科目名称</w:t>
            </w:r>
          </w:p>
        </w:tc>
        <w:tc>
          <w:tcPr>
            <w:tcW w:w="18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一般公共预算财政拨款收入</w:t>
            </w: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类</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款</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栏次</w:t>
            </w:r>
          </w:p>
        </w:tc>
        <w:tc>
          <w:tcPr>
            <w:tcW w:w="18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r>
      <w:tr>
        <w:tblPrEx>
          <w:tblCellMar>
            <w:top w:w="0" w:type="dxa"/>
            <w:left w:w="0" w:type="dxa"/>
            <w:bottom w:w="0" w:type="dxa"/>
            <w:right w:w="0"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b/>
                <w:color w:val="000000"/>
                <w:sz w:val="22"/>
                <w:szCs w:val="22"/>
              </w:rPr>
            </w:pPr>
            <w:r>
              <w:rPr>
                <w:rFonts w:hint="eastAsia" w:ascii="宋体" w:hAnsi="宋体" w:cs="宋体"/>
                <w:b/>
                <w:color w:val="000000"/>
                <w:kern w:val="0"/>
                <w:sz w:val="22"/>
                <w:szCs w:val="22"/>
              </w:rPr>
              <w:t>1109.56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780.80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普通教育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780.80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2050201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220" w:firstLineChars="100"/>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学前教育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15.14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2050202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小学教育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765.66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社会保障和就业支出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206.67</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行政事业单位离退休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206.67</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83.09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84.56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2080506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机关事业单位职业年金缴费支出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39.02</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56.26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行政事业单位医疗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53.82</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2101102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30.08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2101103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公务员医疗补助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23.74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21099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2.44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2109901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2.44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住房保障支出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65.83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住房改革支出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65.83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2210201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住房公积金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65.83</w:t>
            </w:r>
          </w:p>
        </w:tc>
      </w:tr>
    </w:tbl>
    <w:p>
      <w:pPr>
        <w:widowControl/>
        <w:numPr>
          <w:ilvl w:val="0"/>
          <w:numId w:val="5"/>
        </w:numPr>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tbl>
      <w:tblPr>
        <w:tblStyle w:val="12"/>
        <w:tblW w:w="6345" w:type="dxa"/>
        <w:tblInd w:w="0" w:type="dxa"/>
        <w:tblLayout w:type="autofit"/>
        <w:tblCellMar>
          <w:top w:w="0" w:type="dxa"/>
          <w:left w:w="0" w:type="dxa"/>
          <w:bottom w:w="0" w:type="dxa"/>
          <w:right w:w="0" w:type="dxa"/>
        </w:tblCellMar>
      </w:tblPr>
      <w:tblGrid>
        <w:gridCol w:w="330"/>
        <w:gridCol w:w="330"/>
        <w:gridCol w:w="330"/>
        <w:gridCol w:w="3930"/>
        <w:gridCol w:w="1425"/>
      </w:tblGrid>
      <w:tr>
        <w:tblPrEx>
          <w:tblCellMar>
            <w:top w:w="0" w:type="dxa"/>
            <w:left w:w="0" w:type="dxa"/>
            <w:bottom w:w="0" w:type="dxa"/>
            <w:right w:w="0" w:type="dxa"/>
          </w:tblCellMar>
        </w:tblPrEx>
        <w:trPr>
          <w:trHeight w:val="312" w:hRule="atLeast"/>
        </w:trPr>
        <w:tc>
          <w:tcPr>
            <w:tcW w:w="990"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科目编码</w:t>
            </w:r>
          </w:p>
        </w:tc>
        <w:tc>
          <w:tcPr>
            <w:tcW w:w="3930" w:type="dxa"/>
            <w:vMerge w:val="restart"/>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科目名称</w:t>
            </w:r>
          </w:p>
        </w:tc>
        <w:tc>
          <w:tcPr>
            <w:tcW w:w="142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本年支出合计</w:t>
            </w: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14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14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14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类</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款</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栏次</w:t>
            </w:r>
          </w:p>
        </w:tc>
        <w:tc>
          <w:tcPr>
            <w:tcW w:w="142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r>
      <w:tr>
        <w:tblPrEx>
          <w:tblCellMar>
            <w:top w:w="0" w:type="dxa"/>
            <w:left w:w="0" w:type="dxa"/>
            <w:bottom w:w="0" w:type="dxa"/>
            <w:right w:w="0"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ascii="宋体" w:hAnsi="宋体" w:cs="宋体"/>
                <w:color w:val="000000"/>
                <w:sz w:val="22"/>
                <w:szCs w:val="22"/>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b/>
                <w:color w:val="000000"/>
                <w:sz w:val="22"/>
                <w:szCs w:val="22"/>
              </w:rPr>
            </w:pPr>
            <w:r>
              <w:rPr>
                <w:rFonts w:hint="eastAsia" w:ascii="宋体" w:hAnsi="宋体" w:cs="宋体"/>
                <w:b/>
                <w:color w:val="000000"/>
                <w:kern w:val="0"/>
                <w:sz w:val="22"/>
                <w:szCs w:val="22"/>
              </w:rPr>
              <w:t>1123.55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794.79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普通教育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794.79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2050201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220" w:firstLineChars="100"/>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学前教育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15.14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2050202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220" w:firstLineChars="100"/>
              <w:jc w:val="left"/>
              <w:textAlignment w:val="center"/>
              <w:rPr>
                <w:rFonts w:ascii="宋体" w:hAnsi="宋体" w:cs="宋体"/>
                <w:color w:val="000000"/>
                <w:sz w:val="22"/>
                <w:szCs w:val="22"/>
              </w:rPr>
            </w:pPr>
            <w:r>
              <w:rPr>
                <w:rFonts w:hint="eastAsia" w:ascii="宋体" w:hAnsi="宋体" w:cs="宋体"/>
                <w:color w:val="000000"/>
                <w:kern w:val="0"/>
                <w:sz w:val="22"/>
                <w:szCs w:val="22"/>
              </w:rPr>
              <w:t>小学教育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779.65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社会保障和就业支出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206.67</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行政事业单位离退休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206.67</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83.09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84.56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2080506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机关事业单位职业年金缴费支出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39.02</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56.26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行政事业单位医疗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53.82</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2101102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30.08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2101103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公务员医疗补助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23.74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21099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2.44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2109901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2.44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住房保障支出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65.83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住房改革支出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65.83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2210201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住房公积金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65.83</w:t>
            </w:r>
          </w:p>
        </w:tc>
      </w:tr>
    </w:tbl>
    <w:p>
      <w:pPr>
        <w:widowControl/>
        <w:adjustRightInd w:val="0"/>
        <w:snapToGrid w:val="0"/>
        <w:spacing w:line="580" w:lineRule="exact"/>
        <w:contextualSpacing/>
        <w:jc w:val="left"/>
        <w:rPr>
          <w:rFonts w:ascii="仿宋_GB2312" w:hAnsi="宋体" w:eastAsia="仿宋_GB2312" w:cs="宋体"/>
          <w:color w:val="000000"/>
          <w:kern w:val="0"/>
          <w:sz w:val="32"/>
          <w:szCs w:val="32"/>
          <w:shd w:val="clear" w:color="auto" w:fill="FFFFFF"/>
          <w:lang w:val="zh-CN"/>
        </w:rPr>
      </w:pPr>
    </w:p>
    <w:p>
      <w:pPr>
        <w:widowControl/>
        <w:adjustRightInd w:val="0"/>
        <w:snapToGrid w:val="0"/>
        <w:spacing w:line="580" w:lineRule="exact"/>
        <w:ind w:firstLine="640" w:firstLineChars="200"/>
        <w:contextualSpacing/>
        <w:jc w:val="left"/>
        <w:rPr>
          <w:rFonts w:hint="eastAsia" w:ascii="黑体" w:hAnsi="宋体" w:eastAsia="黑体" w:cs="宋体"/>
          <w:color w:val="000000"/>
          <w:kern w:val="0"/>
          <w:sz w:val="32"/>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shd w:val="clear" w:color="auto" w:fill="FFFFFF"/>
        <w:spacing w:line="560" w:lineRule="atLeast"/>
        <w:ind w:firstLine="720"/>
        <w:jc w:val="left"/>
        <w:rPr>
          <w:rFonts w:ascii="微软雅黑" w:hAnsi="微软雅黑" w:eastAsia="微软雅黑" w:cs="宋体"/>
          <w:color w:val="555555"/>
          <w:kern w:val="0"/>
          <w:sz w:val="28"/>
          <w:szCs w:val="28"/>
        </w:rPr>
      </w:pPr>
      <w:r>
        <w:rPr>
          <w:rFonts w:hint="eastAsia" w:ascii="仿宋_GB2312" w:eastAsia="仿宋_GB2312"/>
          <w:color w:val="555555"/>
          <w:kern w:val="0"/>
          <w:sz w:val="28"/>
          <w:szCs w:val="28"/>
        </w:rPr>
        <w:t>（一）年度部门预算收入情况。</w:t>
      </w:r>
    </w:p>
    <w:p>
      <w:pPr>
        <w:widowControl/>
        <w:shd w:val="clear" w:color="auto" w:fill="FFFFFF"/>
        <w:spacing w:line="560" w:lineRule="atLeast"/>
        <w:ind w:firstLine="720"/>
        <w:jc w:val="left"/>
        <w:rPr>
          <w:rFonts w:ascii="仿宋_GB2312" w:eastAsia="仿宋_GB2312"/>
          <w:color w:val="555555"/>
          <w:kern w:val="0"/>
          <w:sz w:val="28"/>
          <w:szCs w:val="28"/>
        </w:rPr>
      </w:pPr>
      <w:r>
        <w:rPr>
          <w:rFonts w:hint="eastAsia" w:ascii="仿宋" w:hAnsi="仿宋" w:eastAsia="仿宋" w:cs="宋体"/>
          <w:color w:val="555555"/>
          <w:kern w:val="0"/>
          <w:sz w:val="28"/>
          <w:szCs w:val="28"/>
        </w:rPr>
        <w:t>雒城九小2019年初结转和结余为44.3万元，2019年预算收入总额为883.95万元，</w:t>
      </w:r>
      <w:r>
        <w:rPr>
          <w:rFonts w:hint="eastAsia" w:ascii="仿宋_GB2312" w:eastAsia="仿宋_GB2312"/>
          <w:color w:val="555555"/>
          <w:kern w:val="0"/>
          <w:sz w:val="28"/>
          <w:szCs w:val="28"/>
        </w:rPr>
        <w:t>其中：教育支出594.42万元，社会保障和就业支出163.36万元，医疗卫生与计划生育支出60.37万元，住房保障支出65.8万元。</w:t>
      </w:r>
    </w:p>
    <w:p>
      <w:pPr>
        <w:numPr>
          <w:ilvl w:val="0"/>
          <w:numId w:val="6"/>
        </w:numPr>
        <w:autoSpaceDE w:val="0"/>
        <w:autoSpaceDN w:val="0"/>
        <w:adjustRightInd w:val="0"/>
        <w:spacing w:line="580" w:lineRule="exact"/>
        <w:ind w:firstLine="560" w:firstLineChars="200"/>
        <w:jc w:val="left"/>
        <w:rPr>
          <w:rFonts w:ascii="仿宋_GB2312" w:eastAsia="仿宋_GB2312"/>
          <w:kern w:val="0"/>
          <w:sz w:val="28"/>
          <w:szCs w:val="28"/>
        </w:rPr>
      </w:pPr>
      <w:r>
        <w:rPr>
          <w:rFonts w:hint="eastAsia" w:ascii="楷体_GB2312" w:eastAsia="楷体_GB2312"/>
          <w:kern w:val="0"/>
          <w:sz w:val="28"/>
          <w:szCs w:val="28"/>
        </w:rPr>
        <w:t>预算执行情况。</w:t>
      </w:r>
    </w:p>
    <w:p>
      <w:pPr>
        <w:numPr>
          <w:ilvl w:val="0"/>
          <w:numId w:val="7"/>
        </w:numPr>
        <w:autoSpaceDE w:val="0"/>
        <w:autoSpaceDN w:val="0"/>
        <w:adjustRightInd w:val="0"/>
        <w:spacing w:line="580" w:lineRule="exact"/>
        <w:ind w:firstLine="840" w:firstLineChars="300"/>
        <w:jc w:val="left"/>
        <w:rPr>
          <w:rFonts w:ascii="仿宋_GB2312" w:eastAsia="仿宋_GB2312"/>
          <w:kern w:val="0"/>
          <w:sz w:val="28"/>
          <w:szCs w:val="28"/>
        </w:rPr>
      </w:pPr>
      <w:r>
        <w:rPr>
          <w:rFonts w:hint="eastAsia" w:ascii="仿宋_GB2312" w:eastAsia="仿宋_GB2312"/>
          <w:kern w:val="0"/>
          <w:sz w:val="28"/>
          <w:szCs w:val="28"/>
        </w:rPr>
        <w:t>基本支出情况</w:t>
      </w:r>
    </w:p>
    <w:p>
      <w:pPr>
        <w:autoSpaceDE w:val="0"/>
        <w:autoSpaceDN w:val="0"/>
        <w:adjustRightInd w:val="0"/>
        <w:spacing w:line="580" w:lineRule="exact"/>
        <w:ind w:firstLine="1120" w:firstLineChars="400"/>
        <w:jc w:val="left"/>
        <w:rPr>
          <w:rFonts w:ascii="仿宋_GB2312" w:eastAsia="仿宋_GB2312"/>
          <w:kern w:val="0"/>
          <w:sz w:val="28"/>
          <w:szCs w:val="28"/>
        </w:rPr>
      </w:pPr>
      <w:r>
        <w:rPr>
          <w:rFonts w:hint="eastAsia" w:ascii="仿宋" w:hAnsi="仿宋" w:eastAsia="仿宋" w:cs="宋体"/>
          <w:color w:val="555555"/>
          <w:kern w:val="0"/>
          <w:sz w:val="28"/>
          <w:szCs w:val="28"/>
        </w:rPr>
        <w:t>雒城九小2019年预算支出总额为1171.25万元，</w:t>
      </w:r>
      <w:r>
        <w:rPr>
          <w:rFonts w:hint="eastAsia" w:ascii="仿宋_GB2312" w:eastAsia="仿宋_GB2312"/>
          <w:color w:val="555555"/>
          <w:kern w:val="0"/>
          <w:sz w:val="28"/>
          <w:szCs w:val="28"/>
        </w:rPr>
        <w:t>其中：教育支出842.49万元，社会保障和就业支出206.67万元，医疗卫生与计划生育支出56.26万元，住房保障支出65.83万元。</w:t>
      </w:r>
    </w:p>
    <w:p>
      <w:pPr>
        <w:autoSpaceDE w:val="0"/>
        <w:autoSpaceDN w:val="0"/>
        <w:adjustRightInd w:val="0"/>
        <w:spacing w:line="580" w:lineRule="exact"/>
        <w:ind w:firstLine="560" w:firstLineChars="200"/>
        <w:jc w:val="left"/>
        <w:rPr>
          <w:rFonts w:ascii="仿宋_GB2312" w:eastAsia="仿宋_GB2312"/>
          <w:kern w:val="0"/>
          <w:sz w:val="28"/>
          <w:szCs w:val="28"/>
        </w:rPr>
      </w:pPr>
      <w:r>
        <w:rPr>
          <w:rFonts w:hint="eastAsia" w:ascii="仿宋_GB2312" w:eastAsia="仿宋_GB2312"/>
          <w:kern w:val="0"/>
          <w:sz w:val="28"/>
          <w:szCs w:val="28"/>
        </w:rPr>
        <w:t>2、项目支出：无</w:t>
      </w:r>
    </w:p>
    <w:p>
      <w:pPr>
        <w:widowControl/>
        <w:adjustRightInd w:val="0"/>
        <w:snapToGrid w:val="0"/>
        <w:spacing w:line="580" w:lineRule="exact"/>
        <w:ind w:firstLine="640" w:firstLineChars="200"/>
        <w:contextualSpacing/>
        <w:jc w:val="left"/>
        <w:rPr>
          <w:rFonts w:ascii="仿宋_GB2312" w:hAnsi="宋体" w:eastAsia="仿宋_GB2312" w:cs="宋体"/>
          <w:strike/>
          <w:color w:val="0000FF"/>
          <w:kern w:val="0"/>
          <w:sz w:val="32"/>
          <w:szCs w:val="32"/>
          <w:shd w:val="clear" w:color="auto" w:fill="FFFFFF"/>
          <w:lang w:val="zh-CN"/>
        </w:rPr>
      </w:pPr>
      <w:r>
        <w:rPr>
          <w:rFonts w:hint="eastAsia" w:ascii="仿宋_GB2312" w:hAnsi="宋体" w:eastAsia="仿宋_GB2312" w:cs="宋体"/>
          <w:strike/>
          <w:color w:val="0000FF"/>
          <w:kern w:val="0"/>
          <w:sz w:val="32"/>
          <w:szCs w:val="32"/>
          <w:shd w:val="clear" w:color="auto" w:fill="FFFFFF"/>
          <w:lang w:val="zh-CN"/>
        </w:rPr>
        <w:t>包括部门绩效目标制定、目标实现、预算编制准确、支出控制、预算动态调整、执行进度、预算完成情况和违规记录等情况。</w:t>
      </w:r>
    </w:p>
    <w:p>
      <w:pPr>
        <w:widowControl/>
        <w:adjustRightInd w:val="0"/>
        <w:snapToGrid w:val="0"/>
        <w:spacing w:line="580" w:lineRule="exact"/>
        <w:ind w:firstLine="640" w:firstLineChars="200"/>
        <w:contextualSpacing/>
        <w:jc w:val="left"/>
        <w:rPr>
          <w:rFonts w:ascii="仿宋_GB2312" w:hAnsi="宋体" w:eastAsia="仿宋_GB2312" w:cs="宋体"/>
          <w:kern w:val="0"/>
          <w:sz w:val="32"/>
          <w:szCs w:val="32"/>
          <w:shd w:val="clear" w:color="auto" w:fill="FFFFFF"/>
          <w:lang w:val="zh-CN"/>
        </w:rPr>
      </w:pPr>
      <w:r>
        <w:rPr>
          <w:rFonts w:hint="eastAsia" w:ascii="仿宋_GB2312" w:hAnsi="宋体" w:eastAsia="仿宋_GB2312" w:cs="宋体"/>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strike/>
          <w:color w:val="0000FF"/>
          <w:kern w:val="0"/>
          <w:sz w:val="32"/>
          <w:szCs w:val="32"/>
          <w:shd w:val="clear" w:color="auto" w:fill="FFFFFF"/>
          <w:lang w:val="zh-CN"/>
        </w:rPr>
      </w:pPr>
      <w:r>
        <w:rPr>
          <w:rFonts w:hint="eastAsia" w:ascii="仿宋_GB2312" w:hAnsi="宋体" w:eastAsia="仿宋_GB2312" w:cs="宋体"/>
          <w:strike/>
          <w:color w:val="0000FF"/>
          <w:kern w:val="0"/>
          <w:sz w:val="32"/>
          <w:szCs w:val="32"/>
          <w:shd w:val="clear" w:color="auto" w:fill="FFFFFF"/>
          <w:lang w:val="zh-CN"/>
        </w:rPr>
        <w:t>包括绩效自评公开、评价结果整改和应用结果反馈等情况。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rPr>
      </w:pPr>
      <w:r>
        <w:rPr>
          <w:rFonts w:hint="eastAsia" w:ascii="仿宋_GB2312" w:hAnsi="宋体" w:eastAsia="仿宋_GB2312" w:cs="宋体"/>
          <w:color w:val="000000"/>
          <w:kern w:val="0"/>
          <w:sz w:val="32"/>
          <w:szCs w:val="32"/>
          <w:shd w:val="clear" w:color="auto" w:fill="FFFFFF"/>
        </w:rPr>
        <w:t>2019年全年度严格按财政局相关预算文件编制预算，根据评估结果单位进行了整改。最终圆满的完成全年的绩效任务。</w:t>
      </w:r>
    </w:p>
    <w:p>
      <w:pPr>
        <w:widowControl/>
        <w:adjustRightInd w:val="0"/>
        <w:snapToGrid w:val="0"/>
        <w:spacing w:line="580" w:lineRule="exact"/>
        <w:ind w:firstLine="640" w:firstLineChars="200"/>
        <w:contextualSpacing/>
        <w:jc w:val="left"/>
        <w:rPr>
          <w:rFonts w:hint="eastAsia" w:ascii="黑体" w:hAnsi="宋体" w:eastAsia="黑体" w:cs="宋体"/>
          <w:color w:val="000000"/>
          <w:kern w:val="0"/>
          <w:sz w:val="32"/>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560" w:firstLineChars="200"/>
        <w:contextualSpacing/>
        <w:jc w:val="left"/>
        <w:rPr>
          <w:rFonts w:ascii="仿宋_GB2312" w:hAnsi="宋体" w:eastAsia="仿宋_GB2312" w:cs="宋体"/>
          <w:color w:val="000000"/>
          <w:kern w:val="0"/>
          <w:sz w:val="32"/>
          <w:szCs w:val="32"/>
          <w:shd w:val="clear" w:color="auto" w:fill="FFFFFF"/>
          <w:lang w:val="zh-CN"/>
        </w:rPr>
      </w:pPr>
      <w:r>
        <w:rPr>
          <w:rFonts w:eastAsia="方正小标宋简体"/>
          <w:kern w:val="0"/>
          <w:sz w:val="28"/>
          <w:szCs w:val="28"/>
        </w:rPr>
        <w:pict>
          <v:shape id="_x0000_s1026" o:spid="_x0000_s1026" o:spt="75" type="#_x0000_t75" style="position:absolute;left:0pt;margin-left:-33.35pt;margin-top:-15.3pt;height:730.75pt;width:482.05pt;mso-position-horizontal-relative:margin;mso-position-vertical-relative:margin;mso-wrap-distance-bottom:0pt;mso-wrap-distance-left:9pt;mso-wrap-distance-right:9pt;mso-wrap-distance-top:0pt;z-index:251684864;mso-width-relative:page;mso-height-relative:page;" o:ole="t" filled="f" o:preferrelative="t" stroked="f" coordsize="21600,21600">
            <v:path/>
            <v:fill on="f" focussize="0,0"/>
            <v:stroke on="f" joinstyle="miter"/>
            <v:imagedata r:id="rId14" o:title=""/>
            <o:lock v:ext="edit" aspectratio="t"/>
            <w10:wrap type="square"/>
          </v:shape>
          <o:OLEObject Type="Embed" ProgID="Excel.Sheet.12" ShapeID="_x0000_s1026" DrawAspect="Content" ObjectID="_1468075725" r:id="rId13">
            <o:LockedField>false</o:LockedField>
          </o:OLEObject>
        </w:pict>
      </w:r>
    </w:p>
    <w:p>
      <w:pPr>
        <w:widowControl/>
        <w:numPr>
          <w:ilvl w:val="0"/>
          <w:numId w:val="6"/>
        </w:numPr>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p>
    <w:p>
      <w:pPr>
        <w:widowControl/>
        <w:shd w:val="clear" w:color="auto" w:fill="FFFFFF"/>
        <w:spacing w:line="408" w:lineRule="auto"/>
        <w:ind w:firstLine="560" w:firstLineChars="200"/>
        <w:jc w:val="left"/>
        <w:rPr>
          <w:rFonts w:ascii="宋体" w:hAnsi="宋体" w:cs="宋体"/>
          <w:kern w:val="0"/>
          <w:sz w:val="28"/>
          <w:szCs w:val="28"/>
        </w:rPr>
      </w:pPr>
      <w:r>
        <w:rPr>
          <w:rFonts w:hint="eastAsia" w:ascii="宋体" w:hAnsi="宋体" w:cs="宋体"/>
          <w:color w:val="000000"/>
          <w:sz w:val="28"/>
          <w:szCs w:val="28"/>
        </w:rPr>
        <w:t>1、</w:t>
      </w:r>
      <w:r>
        <w:rPr>
          <w:rFonts w:hint="eastAsia" w:ascii="宋体" w:hAnsi="宋体" w:cs="宋体"/>
          <w:kern w:val="0"/>
          <w:sz w:val="28"/>
          <w:szCs w:val="28"/>
        </w:rPr>
        <w:t>预算编制工作有待细化。预算编制不够明确和细化，预算编制的合理性需要提高，预算执行力度还要进一步加强。</w:t>
      </w:r>
    </w:p>
    <w:p>
      <w:pPr>
        <w:widowControl/>
        <w:shd w:val="clear" w:color="auto" w:fill="FFFFFF"/>
        <w:spacing w:line="408" w:lineRule="auto"/>
        <w:ind w:firstLine="560" w:firstLineChars="200"/>
        <w:jc w:val="left"/>
        <w:rPr>
          <w:rFonts w:ascii="宋体" w:hAnsi="宋体" w:cs="宋体"/>
          <w:kern w:val="0"/>
          <w:sz w:val="28"/>
          <w:szCs w:val="28"/>
        </w:rPr>
      </w:pPr>
      <w:r>
        <w:rPr>
          <w:rFonts w:hint="eastAsia" w:ascii="宋体" w:hAnsi="宋体" w:cs="宋体"/>
          <w:kern w:val="0"/>
          <w:sz w:val="28"/>
          <w:szCs w:val="28"/>
        </w:rPr>
        <w:t>2、</w:t>
      </w:r>
      <w:r>
        <w:rPr>
          <w:rFonts w:hint="eastAsia" w:ascii="宋体" w:hAnsi="宋体" w:cs="宋体"/>
          <w:color w:val="000000"/>
          <w:sz w:val="28"/>
          <w:szCs w:val="28"/>
        </w:rPr>
        <w:t>因单位全额编制少导致经费不足：日常公用经费不足。</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widowControl/>
        <w:shd w:val="clear" w:color="auto" w:fill="FFFFFF"/>
        <w:spacing w:line="600" w:lineRule="atLeast"/>
        <w:ind w:firstLine="640"/>
        <w:jc w:val="left"/>
        <w:rPr>
          <w:rFonts w:ascii="宋体" w:hAnsi="宋体" w:cs="宋体"/>
          <w:kern w:val="0"/>
          <w:sz w:val="28"/>
          <w:szCs w:val="28"/>
        </w:rPr>
      </w:pPr>
      <w:r>
        <w:rPr>
          <w:rFonts w:hint="eastAsia" w:ascii="宋体" w:hAnsi="宋体" w:cs="宋体"/>
          <w:kern w:val="0"/>
          <w:sz w:val="28"/>
          <w:szCs w:val="28"/>
        </w:rPr>
        <w:t>针对上述存在的问题及对外整体支出管理工作的需要，拟实施的改进措施如下：</w:t>
      </w:r>
    </w:p>
    <w:p>
      <w:pPr>
        <w:widowControl/>
        <w:shd w:val="clear" w:color="auto" w:fill="FFFFFF"/>
        <w:spacing w:line="600" w:lineRule="atLeast"/>
        <w:ind w:firstLine="640"/>
        <w:jc w:val="left"/>
        <w:rPr>
          <w:rFonts w:ascii="宋体" w:hAnsi="宋体" w:cs="宋体"/>
          <w:kern w:val="0"/>
          <w:sz w:val="28"/>
          <w:szCs w:val="28"/>
        </w:rPr>
      </w:pPr>
      <w:r>
        <w:rPr>
          <w:rFonts w:hint="eastAsia" w:ascii="宋体" w:hAnsi="宋体" w:cs="宋体"/>
          <w:kern w:val="0"/>
          <w:sz w:val="28"/>
          <w:szCs w:val="28"/>
        </w:rPr>
        <w:t>1、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widowControl/>
        <w:shd w:val="clear" w:color="auto" w:fill="FFFFFF"/>
        <w:spacing w:line="600" w:lineRule="atLeast"/>
        <w:ind w:firstLine="640"/>
        <w:jc w:val="left"/>
        <w:rPr>
          <w:rFonts w:ascii="宋体" w:hAnsi="宋体" w:cs="宋体"/>
          <w:kern w:val="0"/>
          <w:sz w:val="28"/>
          <w:szCs w:val="28"/>
        </w:rPr>
      </w:pPr>
      <w:r>
        <w:rPr>
          <w:rFonts w:hint="eastAsia" w:ascii="宋体" w:hAnsi="宋体" w:cs="宋体"/>
          <w:kern w:val="0"/>
          <w:sz w:val="28"/>
          <w:szCs w:val="28"/>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widowControl/>
        <w:shd w:val="clear" w:color="auto" w:fill="FFFFFF"/>
        <w:spacing w:line="600" w:lineRule="atLeast"/>
        <w:ind w:firstLine="640"/>
        <w:jc w:val="left"/>
        <w:rPr>
          <w:rFonts w:ascii="宋体" w:hAnsi="宋体" w:cs="宋体"/>
          <w:kern w:val="0"/>
          <w:sz w:val="28"/>
          <w:szCs w:val="28"/>
        </w:rPr>
      </w:pPr>
      <w:r>
        <w:rPr>
          <w:rFonts w:hint="eastAsia" w:ascii="宋体" w:hAnsi="宋体" w:cs="宋体"/>
          <w:kern w:val="0"/>
          <w:sz w:val="28"/>
          <w:szCs w:val="28"/>
        </w:rPr>
        <w:t>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pPr>
        <w:widowControl/>
        <w:shd w:val="clear" w:color="auto" w:fill="FFFFFF"/>
        <w:spacing w:line="570" w:lineRule="atLeast"/>
        <w:ind w:firstLine="480"/>
        <w:jc w:val="left"/>
        <w:rPr>
          <w:rFonts w:ascii="宋体" w:hAnsi="宋体" w:cs="宋体"/>
          <w:kern w:val="0"/>
          <w:sz w:val="28"/>
          <w:szCs w:val="28"/>
        </w:rPr>
      </w:pPr>
      <w:r>
        <w:rPr>
          <w:rFonts w:hint="eastAsia" w:ascii="宋体" w:hAnsi="宋体" w:cs="宋体"/>
          <w:kern w:val="0"/>
          <w:sz w:val="28"/>
          <w:szCs w:val="28"/>
        </w:rPr>
        <w:t>4、对相关人员加强培训，特别是针对《预算法》、《行政事业单位会计制度》等学习培训，规范部门预算收支核算，切实提高部门预算收支管理水平。</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黑体" w:cs="仿宋_GB2312"/>
          <w:sz w:val="32"/>
          <w:szCs w:val="32"/>
        </w:rPr>
      </w:pPr>
      <w:r>
        <w:rPr>
          <w:rFonts w:hint="eastAsia" w:ascii="黑体" w:hAnsi="黑体" w:eastAsia="黑体" w:cs="黑体"/>
          <w:sz w:val="32"/>
          <w:szCs w:val="32"/>
        </w:rPr>
        <w:t>附件2</w:t>
      </w:r>
    </w:p>
    <w:p>
      <w:pPr>
        <w:spacing w:line="600" w:lineRule="exact"/>
        <w:jc w:val="center"/>
        <w:rPr>
          <w:rFonts w:hint="eastAsia" w:ascii="宋体" w:hAnsi="宋体" w:eastAsia="宋体" w:cs="宋体"/>
          <w:b/>
          <w:bCs/>
          <w:color w:val="000000"/>
          <w:kern w:val="0"/>
          <w:sz w:val="44"/>
          <w:szCs w:val="44"/>
          <w:lang w:val="zh-CN"/>
        </w:rPr>
      </w:pPr>
      <w:r>
        <w:rPr>
          <w:rFonts w:hint="eastAsia" w:ascii="宋体" w:hAnsi="宋体" w:eastAsia="宋体" w:cs="宋体"/>
          <w:b/>
          <w:bCs/>
          <w:sz w:val="44"/>
          <w:szCs w:val="44"/>
          <w:lang w:eastAsia="zh-CN"/>
        </w:rPr>
        <w:t>广汉市雒城镇第九小学</w:t>
      </w:r>
      <w:r>
        <w:rPr>
          <w:rFonts w:hint="eastAsia" w:ascii="宋体" w:hAnsi="宋体" w:cs="宋体"/>
          <w:b/>
          <w:bCs/>
          <w:sz w:val="44"/>
          <w:szCs w:val="44"/>
          <w:lang w:eastAsia="zh-CN"/>
        </w:rPr>
        <w:t>校</w:t>
      </w:r>
      <w:r>
        <w:rPr>
          <w:rFonts w:hint="eastAsia" w:ascii="宋体" w:hAnsi="宋体" w:eastAsia="宋体" w:cs="宋体"/>
          <w:b/>
          <w:bCs/>
          <w:color w:val="000000"/>
          <w:kern w:val="0"/>
          <w:sz w:val="44"/>
          <w:szCs w:val="44"/>
          <w:lang w:val="zh-CN"/>
        </w:rPr>
        <w:t>项目</w:t>
      </w:r>
    </w:p>
    <w:p>
      <w:pPr>
        <w:spacing w:line="600" w:lineRule="exact"/>
        <w:jc w:val="center"/>
        <w:rPr>
          <w:rFonts w:hint="eastAsia" w:ascii="宋体" w:hAnsi="宋体" w:eastAsia="宋体" w:cs="宋体"/>
          <w:b/>
          <w:bCs/>
          <w:color w:val="000000"/>
          <w:kern w:val="0"/>
          <w:sz w:val="44"/>
          <w:szCs w:val="44"/>
        </w:rPr>
      </w:pPr>
      <w:r>
        <w:rPr>
          <w:rFonts w:hint="eastAsia" w:ascii="宋体" w:hAnsi="宋体" w:eastAsia="宋体" w:cs="宋体"/>
          <w:b/>
          <w:bCs/>
          <w:color w:val="000000"/>
          <w:kern w:val="0"/>
          <w:sz w:val="44"/>
          <w:szCs w:val="44"/>
        </w:rPr>
        <w:t>2019年</w:t>
      </w:r>
      <w:r>
        <w:rPr>
          <w:rFonts w:hint="eastAsia" w:ascii="宋体" w:hAnsi="宋体" w:eastAsia="宋体" w:cs="宋体"/>
          <w:b/>
          <w:bCs/>
          <w:color w:val="000000"/>
          <w:kern w:val="0"/>
          <w:sz w:val="44"/>
          <w:szCs w:val="44"/>
          <w:lang w:val="zh-CN"/>
        </w:rPr>
        <w:t>绩效评价报告</w:t>
      </w:r>
    </w:p>
    <w:p>
      <w:pPr>
        <w:spacing w:line="600" w:lineRule="exact"/>
        <w:rPr>
          <w:rFonts w:hint="eastAsia" w:ascii="宋体" w:hAnsi="宋体" w:eastAsia="宋体" w:cs="宋体"/>
          <w:b/>
          <w:bCs/>
          <w:sz w:val="32"/>
          <w:szCs w:val="32"/>
          <w:lang w:val="zh-CN"/>
        </w:rPr>
      </w:pPr>
    </w:p>
    <w:p>
      <w:pPr>
        <w:autoSpaceDE w:val="0"/>
        <w:autoSpaceDN w:val="0"/>
        <w:adjustRightInd w:val="0"/>
        <w:spacing w:line="580" w:lineRule="exact"/>
        <w:ind w:firstLine="560" w:firstLineChars="200"/>
        <w:jc w:val="left"/>
        <w:rPr>
          <w:rFonts w:ascii="宋体" w:hAnsi="宋体" w:eastAsia="宋体" w:cs="黑体"/>
          <w:kern w:val="0"/>
          <w:sz w:val="28"/>
          <w:szCs w:val="28"/>
        </w:rPr>
      </w:pPr>
      <w:r>
        <w:rPr>
          <w:rFonts w:hint="eastAsia" w:ascii="宋体" w:hAnsi="宋体" w:eastAsia="宋体" w:cs="黑体"/>
          <w:kern w:val="0"/>
          <w:sz w:val="28"/>
          <w:szCs w:val="28"/>
        </w:rPr>
        <w:t>一、项目基本情况</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（一）</w:t>
      </w:r>
      <w:r>
        <w:rPr>
          <w:rFonts w:hint="eastAsia" w:ascii="宋体" w:hAnsi="宋体" w:cs="宋体"/>
          <w:color w:val="000000"/>
          <w:sz w:val="30"/>
          <w:szCs w:val="30"/>
        </w:rPr>
        <w:t>下达2019年省级扶持校园足球发展专项资金</w:t>
      </w:r>
      <w:r>
        <w:rPr>
          <w:rFonts w:hint="eastAsia" w:ascii="宋体" w:hAnsi="宋体" w:eastAsia="宋体" w:cs="Times New Roman"/>
          <w:b/>
          <w:sz w:val="28"/>
          <w:szCs w:val="28"/>
        </w:rPr>
        <w:t>2万元，主要用于足球发展的设施设备购置、维护 、支付聘用辅导教师的劳动报酬。</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（二）学校充分利用校园足球发展专项资金，做到专款专用，认真按规章制度办事，充分发挥校务委员会及代表 负责人作用，明确责任职责，做好工作。严格管理资金实施落实各环节，发挥其效能。</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（三）项目资金使用情况（建议表格体现）</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1. 项目资金年度预算、实际执行、执行率情况（含预算调整情况，项目资金结余结转）</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2019年度财政</w:t>
      </w:r>
      <w:r>
        <w:rPr>
          <w:rFonts w:hint="eastAsia" w:ascii="宋体" w:hAnsi="宋体" w:cs="宋体"/>
          <w:color w:val="000000"/>
          <w:sz w:val="30"/>
          <w:szCs w:val="30"/>
        </w:rPr>
        <w:t>下达2019年省级扶持校园足球发展专项资金</w:t>
      </w:r>
      <w:r>
        <w:rPr>
          <w:rFonts w:hint="eastAsia" w:ascii="宋体" w:hAnsi="宋体" w:eastAsia="宋体" w:cs="Times New Roman"/>
          <w:b/>
          <w:sz w:val="28"/>
          <w:szCs w:val="28"/>
        </w:rPr>
        <w:t>2万元，购置维护，由专人负责。补助的资金主要用于足球场建设维护，教师培训，聘请专业教师，办公用品购置等。</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2019年度支出足球场维护、办公用品、教师培训及聘请专业教师2万元。项目资金执行率100%。</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2.评价点位资金到位（如有配套资金，一并说明）及使用情况</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根据学校足球发展资金使用安排计划，维护及办公用品支出和教师培训及聘请专业教师支出均按照计划执行。</w:t>
      </w:r>
    </w:p>
    <w:p>
      <w:pPr>
        <w:spacing w:line="580" w:lineRule="exact"/>
        <w:ind w:firstLine="560" w:firstLineChars="200"/>
        <w:rPr>
          <w:rFonts w:ascii="宋体" w:hAnsi="宋体" w:eastAsia="宋体" w:cs="黑体"/>
          <w:kern w:val="0"/>
          <w:sz w:val="28"/>
          <w:szCs w:val="28"/>
        </w:rPr>
      </w:pPr>
      <w:r>
        <w:rPr>
          <w:rFonts w:hint="eastAsia" w:ascii="宋体" w:hAnsi="宋体" w:eastAsia="宋体" w:cs="黑体"/>
          <w:kern w:val="0"/>
          <w:sz w:val="28"/>
          <w:szCs w:val="28"/>
        </w:rPr>
        <w:t>二、评价工作基本情况</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（一）评价方法</w:t>
      </w:r>
    </w:p>
    <w:p>
      <w:pPr>
        <w:spacing w:line="58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学校依据预算安排利用财政资金依法依规，做到公开透明，依照制度规定，发挥其效能，满足师生的需求。</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（二）评价指标</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重点说明个性指标设置思路、评价内容及方法。</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我校2019年度足球发展资金项目支出绩效评价按评价指标体系中个性指标设置评价指标，主要反映社会效益和环境效益；同时按通用指标设置评价指标，主要反映该项目的决策 实施 完成结果情况。</w:t>
      </w:r>
    </w:p>
    <w:p>
      <w:pPr>
        <w:autoSpaceDE w:val="0"/>
        <w:autoSpaceDN w:val="0"/>
        <w:adjustRightInd w:val="0"/>
        <w:spacing w:line="580" w:lineRule="exact"/>
        <w:ind w:firstLine="560" w:firstLineChars="200"/>
        <w:jc w:val="left"/>
        <w:rPr>
          <w:rFonts w:ascii="宋体" w:hAnsi="宋体" w:eastAsia="宋体" w:cs="黑体"/>
          <w:kern w:val="0"/>
          <w:sz w:val="28"/>
          <w:szCs w:val="28"/>
        </w:rPr>
      </w:pPr>
      <w:r>
        <w:rPr>
          <w:rFonts w:hint="eastAsia" w:ascii="宋体" w:hAnsi="宋体" w:eastAsia="宋体" w:cs="黑体"/>
          <w:kern w:val="0"/>
          <w:sz w:val="28"/>
          <w:szCs w:val="28"/>
        </w:rPr>
        <w:t>三、评价结论及绩效分析</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（一）评价结论</w:t>
      </w:r>
    </w:p>
    <w:p>
      <w:pPr>
        <w:autoSpaceDE w:val="0"/>
        <w:autoSpaceDN w:val="0"/>
        <w:adjustRightInd w:val="0"/>
        <w:spacing w:line="580" w:lineRule="exact"/>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项目绩效评价总体结论（包括项目评价得分表）</w:t>
      </w:r>
    </w:p>
    <w:p>
      <w:pPr>
        <w:autoSpaceDE w:val="0"/>
        <w:autoSpaceDN w:val="0"/>
        <w:adjustRightInd w:val="0"/>
        <w:spacing w:line="580" w:lineRule="exact"/>
        <w:ind w:firstLine="562" w:firstLineChars="200"/>
        <w:jc w:val="left"/>
        <w:rPr>
          <w:rFonts w:ascii="宋体" w:hAnsi="宋体" w:eastAsia="宋体" w:cs="Times New Roman"/>
          <w:b/>
          <w:sz w:val="28"/>
          <w:szCs w:val="28"/>
        </w:rPr>
      </w:pPr>
      <w:r>
        <w:rPr>
          <w:rFonts w:hint="eastAsia" w:ascii="宋体" w:hAnsi="宋体" w:eastAsia="宋体" w:cs="Times New Roman"/>
          <w:b/>
          <w:sz w:val="28"/>
          <w:szCs w:val="28"/>
        </w:rPr>
        <w:t>我校2019年度足球发展专项经费支出绩效按照指标体系进行绩效评价，自评分为98分。</w:t>
      </w:r>
    </w:p>
    <w:p>
      <w:pPr>
        <w:spacing w:line="580" w:lineRule="exact"/>
        <w:ind w:firstLine="640"/>
        <w:rPr>
          <w:rFonts w:ascii="仿宋_GB2312" w:hAnsi="仿宋_GB2312" w:eastAsia="仿宋_GB2312" w:cs="仿宋_GB2312"/>
          <w:sz w:val="32"/>
          <w:szCs w:val="32"/>
        </w:rPr>
      </w:pPr>
      <w:bookmarkStart w:id="73" w:name="_GoBack"/>
      <w:bookmarkEnd w:id="73"/>
    </w:p>
    <w:p>
      <w:pPr>
        <w:widowControl/>
        <w:jc w:val="left"/>
        <w:rPr>
          <w:rStyle w:val="24"/>
          <w:rFonts w:ascii="黑体" w:hAnsi="黑体" w:eastAsia="黑体"/>
          <w:b w:val="0"/>
        </w:rPr>
      </w:pPr>
    </w:p>
    <w:p>
      <w:pPr>
        <w:widowControl/>
        <w:jc w:val="left"/>
        <w:rPr>
          <w:rStyle w:val="24"/>
          <w:rFonts w:ascii="黑体" w:hAnsi="黑体" w:eastAsia="黑体"/>
          <w:b w:val="0"/>
        </w:rPr>
      </w:pPr>
      <w:r>
        <w:rPr>
          <w:rStyle w:val="24"/>
          <w:rFonts w:ascii="黑体" w:hAnsi="黑体" w:eastAsia="黑体"/>
          <w:b w:val="0"/>
        </w:rPr>
        <w:br w:type="page"/>
      </w: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14:textFill>
            <w14:solidFill>
              <w14:schemeClr w14:val="tx1"/>
            </w14:solidFill>
          </w14:textFill>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ngsana New">
    <w:panose1 w:val="02020603050405020304"/>
    <w:charset w:val="00"/>
    <w:family w:val="roman"/>
    <w:pitch w:val="default"/>
    <w:sig w:usb0="81000003" w:usb1="00000000" w:usb2="00000000" w:usb3="00000000" w:csb0="0001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11</w:t>
        </w:r>
        <w:r>
          <w:rPr>
            <w:lang w:val="zh-CN"/>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79FDE"/>
    <w:multiLevelType w:val="singleLevel"/>
    <w:tmpl w:val="83A79FDE"/>
    <w:lvl w:ilvl="0" w:tentative="0">
      <w:start w:val="1"/>
      <w:numFmt w:val="chineseCounting"/>
      <w:suff w:val="nothing"/>
      <w:lvlText w:val="%1、"/>
      <w:lvlJc w:val="left"/>
      <w:rPr>
        <w:rFonts w:hint="eastAsia"/>
      </w:rPr>
    </w:lvl>
  </w:abstractNum>
  <w:abstractNum w:abstractNumId="1">
    <w:nsid w:val="C84AF7E0"/>
    <w:multiLevelType w:val="singleLevel"/>
    <w:tmpl w:val="C84AF7E0"/>
    <w:lvl w:ilvl="0" w:tentative="0">
      <w:start w:val="2"/>
      <w:numFmt w:val="chineseCounting"/>
      <w:suff w:val="nothing"/>
      <w:lvlText w:val="（%1）"/>
      <w:lvlJc w:val="left"/>
      <w:rPr>
        <w:rFonts w:hint="eastAsia"/>
      </w:rPr>
    </w:lvl>
  </w:abstractNum>
  <w:abstractNum w:abstractNumId="2">
    <w:nsid w:val="CF652CEC"/>
    <w:multiLevelType w:val="singleLevel"/>
    <w:tmpl w:val="CF652CEC"/>
    <w:lvl w:ilvl="0" w:tentative="0">
      <w:start w:val="9"/>
      <w:numFmt w:val="chineseCounting"/>
      <w:suff w:val="nothing"/>
      <w:lvlText w:val="%1、"/>
      <w:lvlJc w:val="left"/>
      <w:rPr>
        <w:rFonts w:hint="eastAsia"/>
      </w:rPr>
    </w:lvl>
  </w:abstractNum>
  <w:abstractNum w:abstractNumId="3">
    <w:nsid w:val="E2FA047D"/>
    <w:multiLevelType w:val="singleLevel"/>
    <w:tmpl w:val="E2FA047D"/>
    <w:lvl w:ilvl="0" w:tentative="0">
      <w:start w:val="3"/>
      <w:numFmt w:val="chineseCounting"/>
      <w:suff w:val="space"/>
      <w:lvlText w:val="第%1部分"/>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4DC0AEF9"/>
    <w:multiLevelType w:val="singleLevel"/>
    <w:tmpl w:val="4DC0AEF9"/>
    <w:lvl w:ilvl="0" w:tentative="0">
      <w:start w:val="2"/>
      <w:numFmt w:val="chineseCounting"/>
      <w:suff w:val="nothing"/>
      <w:lvlText w:val="（%1）"/>
      <w:lvlJc w:val="left"/>
      <w:rPr>
        <w:rFonts w:hint="eastAsia"/>
      </w:rPr>
    </w:lvl>
  </w:abstractNum>
  <w:abstractNum w:abstractNumId="6">
    <w:nsid w:val="7F5B2A19"/>
    <w:multiLevelType w:val="singleLevel"/>
    <w:tmpl w:val="7F5B2A19"/>
    <w:lvl w:ilvl="0" w:tentative="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0368F"/>
    <w:rsid w:val="000222C6"/>
    <w:rsid w:val="0002549F"/>
    <w:rsid w:val="000468DB"/>
    <w:rsid w:val="00056B93"/>
    <w:rsid w:val="0006487A"/>
    <w:rsid w:val="00065564"/>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3268F"/>
    <w:rsid w:val="00142216"/>
    <w:rsid w:val="001430B1"/>
    <w:rsid w:val="00144D6A"/>
    <w:rsid w:val="0014729F"/>
    <w:rsid w:val="00152F7E"/>
    <w:rsid w:val="00157BAB"/>
    <w:rsid w:val="001654D1"/>
    <w:rsid w:val="00174518"/>
    <w:rsid w:val="0018106D"/>
    <w:rsid w:val="001877A7"/>
    <w:rsid w:val="00191536"/>
    <w:rsid w:val="0019232B"/>
    <w:rsid w:val="00196687"/>
    <w:rsid w:val="001C0962"/>
    <w:rsid w:val="001D2F22"/>
    <w:rsid w:val="001D7531"/>
    <w:rsid w:val="001E737D"/>
    <w:rsid w:val="001F0592"/>
    <w:rsid w:val="001F18A2"/>
    <w:rsid w:val="001F7506"/>
    <w:rsid w:val="002006CD"/>
    <w:rsid w:val="0020135E"/>
    <w:rsid w:val="00202B36"/>
    <w:rsid w:val="00204B7A"/>
    <w:rsid w:val="00204CDE"/>
    <w:rsid w:val="0021101A"/>
    <w:rsid w:val="00213807"/>
    <w:rsid w:val="00220536"/>
    <w:rsid w:val="00221303"/>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149A2"/>
    <w:rsid w:val="003216A9"/>
    <w:rsid w:val="003345FE"/>
    <w:rsid w:val="00335A74"/>
    <w:rsid w:val="0034629D"/>
    <w:rsid w:val="00347F25"/>
    <w:rsid w:val="0036561B"/>
    <w:rsid w:val="0037013F"/>
    <w:rsid w:val="00374F9B"/>
    <w:rsid w:val="00380C92"/>
    <w:rsid w:val="0038628C"/>
    <w:rsid w:val="003905C0"/>
    <w:rsid w:val="003A484F"/>
    <w:rsid w:val="003A4883"/>
    <w:rsid w:val="003B0BE0"/>
    <w:rsid w:val="003B0C1B"/>
    <w:rsid w:val="003B688C"/>
    <w:rsid w:val="003C0291"/>
    <w:rsid w:val="003C39AE"/>
    <w:rsid w:val="003C7B60"/>
    <w:rsid w:val="003D0C0F"/>
    <w:rsid w:val="003D1FB2"/>
    <w:rsid w:val="003D66DA"/>
    <w:rsid w:val="003E1310"/>
    <w:rsid w:val="003E6F55"/>
    <w:rsid w:val="00400F9F"/>
    <w:rsid w:val="00401BA6"/>
    <w:rsid w:val="00406254"/>
    <w:rsid w:val="004168BA"/>
    <w:rsid w:val="00416CD4"/>
    <w:rsid w:val="004223DE"/>
    <w:rsid w:val="00430C76"/>
    <w:rsid w:val="00434489"/>
    <w:rsid w:val="00437085"/>
    <w:rsid w:val="00441BBD"/>
    <w:rsid w:val="00443880"/>
    <w:rsid w:val="004464F4"/>
    <w:rsid w:val="00465255"/>
    <w:rsid w:val="00471401"/>
    <w:rsid w:val="00473F31"/>
    <w:rsid w:val="0048263A"/>
    <w:rsid w:val="00487E5D"/>
    <w:rsid w:val="004958E9"/>
    <w:rsid w:val="004A711F"/>
    <w:rsid w:val="004B1076"/>
    <w:rsid w:val="004B199D"/>
    <w:rsid w:val="004B4690"/>
    <w:rsid w:val="004C439D"/>
    <w:rsid w:val="004D62AC"/>
    <w:rsid w:val="004D7DAF"/>
    <w:rsid w:val="004E0A2D"/>
    <w:rsid w:val="004E206B"/>
    <w:rsid w:val="004E6DF7"/>
    <w:rsid w:val="004F0FBD"/>
    <w:rsid w:val="004F403E"/>
    <w:rsid w:val="00505A47"/>
    <w:rsid w:val="00512FDA"/>
    <w:rsid w:val="00520DA0"/>
    <w:rsid w:val="00522D79"/>
    <w:rsid w:val="00544C39"/>
    <w:rsid w:val="00547E2F"/>
    <w:rsid w:val="00547EF0"/>
    <w:rsid w:val="00550176"/>
    <w:rsid w:val="00562B0B"/>
    <w:rsid w:val="005664BB"/>
    <w:rsid w:val="00566FFA"/>
    <w:rsid w:val="0057481D"/>
    <w:rsid w:val="00575F0B"/>
    <w:rsid w:val="0058486E"/>
    <w:rsid w:val="00585B33"/>
    <w:rsid w:val="0059014D"/>
    <w:rsid w:val="0059645E"/>
    <w:rsid w:val="005B5C64"/>
    <w:rsid w:val="005C4336"/>
    <w:rsid w:val="005C6BD0"/>
    <w:rsid w:val="005C6C4C"/>
    <w:rsid w:val="005D1C8B"/>
    <w:rsid w:val="005D468D"/>
    <w:rsid w:val="005D4935"/>
    <w:rsid w:val="005D5CED"/>
    <w:rsid w:val="005E411A"/>
    <w:rsid w:val="005F1A4C"/>
    <w:rsid w:val="005F7586"/>
    <w:rsid w:val="00605688"/>
    <w:rsid w:val="006070AF"/>
    <w:rsid w:val="00607E6C"/>
    <w:rsid w:val="006101B1"/>
    <w:rsid w:val="00614E44"/>
    <w:rsid w:val="0062270A"/>
    <w:rsid w:val="00622830"/>
    <w:rsid w:val="00623DA0"/>
    <w:rsid w:val="00630AEF"/>
    <w:rsid w:val="0063229B"/>
    <w:rsid w:val="006325F8"/>
    <w:rsid w:val="00633463"/>
    <w:rsid w:val="00634C9A"/>
    <w:rsid w:val="006440E4"/>
    <w:rsid w:val="006600C7"/>
    <w:rsid w:val="0066343B"/>
    <w:rsid w:val="00664777"/>
    <w:rsid w:val="00667F58"/>
    <w:rsid w:val="00673405"/>
    <w:rsid w:val="006748A4"/>
    <w:rsid w:val="00681A31"/>
    <w:rsid w:val="00682F8B"/>
    <w:rsid w:val="00683E73"/>
    <w:rsid w:val="006A3141"/>
    <w:rsid w:val="006A5E34"/>
    <w:rsid w:val="006B2422"/>
    <w:rsid w:val="006B2B9A"/>
    <w:rsid w:val="006C1937"/>
    <w:rsid w:val="006F020C"/>
    <w:rsid w:val="007127B7"/>
    <w:rsid w:val="0071798E"/>
    <w:rsid w:val="00727533"/>
    <w:rsid w:val="00727597"/>
    <w:rsid w:val="007416B6"/>
    <w:rsid w:val="00746F48"/>
    <w:rsid w:val="0075206F"/>
    <w:rsid w:val="0075404D"/>
    <w:rsid w:val="0076182A"/>
    <w:rsid w:val="0076391C"/>
    <w:rsid w:val="00767B7E"/>
    <w:rsid w:val="00775C86"/>
    <w:rsid w:val="007770C3"/>
    <w:rsid w:val="00784D24"/>
    <w:rsid w:val="00785FBA"/>
    <w:rsid w:val="00786E4A"/>
    <w:rsid w:val="007875EB"/>
    <w:rsid w:val="0079426B"/>
    <w:rsid w:val="007D1682"/>
    <w:rsid w:val="007D312A"/>
    <w:rsid w:val="007D3F19"/>
    <w:rsid w:val="007E1E0D"/>
    <w:rsid w:val="007E23B0"/>
    <w:rsid w:val="007F1991"/>
    <w:rsid w:val="007F2C2F"/>
    <w:rsid w:val="007F55FC"/>
    <w:rsid w:val="007F5665"/>
    <w:rsid w:val="00800112"/>
    <w:rsid w:val="00813348"/>
    <w:rsid w:val="008253BB"/>
    <w:rsid w:val="0082593B"/>
    <w:rsid w:val="00833962"/>
    <w:rsid w:val="0083706E"/>
    <w:rsid w:val="008408F6"/>
    <w:rsid w:val="008423A5"/>
    <w:rsid w:val="00850625"/>
    <w:rsid w:val="0085209A"/>
    <w:rsid w:val="00853718"/>
    <w:rsid w:val="00855221"/>
    <w:rsid w:val="00860645"/>
    <w:rsid w:val="00871F71"/>
    <w:rsid w:val="00872FD8"/>
    <w:rsid w:val="00885AF4"/>
    <w:rsid w:val="008939CD"/>
    <w:rsid w:val="008A472A"/>
    <w:rsid w:val="008B768C"/>
    <w:rsid w:val="008C4DB1"/>
    <w:rsid w:val="008C4EAF"/>
    <w:rsid w:val="008C5176"/>
    <w:rsid w:val="008C7FD0"/>
    <w:rsid w:val="008E1DE7"/>
    <w:rsid w:val="008E396F"/>
    <w:rsid w:val="008E707C"/>
    <w:rsid w:val="00900B08"/>
    <w:rsid w:val="00902155"/>
    <w:rsid w:val="009023BA"/>
    <w:rsid w:val="00902FA3"/>
    <w:rsid w:val="00923564"/>
    <w:rsid w:val="0092392E"/>
    <w:rsid w:val="009315F9"/>
    <w:rsid w:val="00933499"/>
    <w:rsid w:val="0093363A"/>
    <w:rsid w:val="00935C98"/>
    <w:rsid w:val="00946945"/>
    <w:rsid w:val="00951248"/>
    <w:rsid w:val="0095152F"/>
    <w:rsid w:val="00954C49"/>
    <w:rsid w:val="00955E37"/>
    <w:rsid w:val="0097099F"/>
    <w:rsid w:val="00971997"/>
    <w:rsid w:val="00971FFC"/>
    <w:rsid w:val="0098660A"/>
    <w:rsid w:val="009931C3"/>
    <w:rsid w:val="009B1D1B"/>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27A0"/>
    <w:rsid w:val="00A331C8"/>
    <w:rsid w:val="00A35117"/>
    <w:rsid w:val="00A40A00"/>
    <w:rsid w:val="00A4142F"/>
    <w:rsid w:val="00A422EB"/>
    <w:rsid w:val="00A45BB7"/>
    <w:rsid w:val="00A56DF2"/>
    <w:rsid w:val="00A56E6E"/>
    <w:rsid w:val="00A67AB5"/>
    <w:rsid w:val="00A733B2"/>
    <w:rsid w:val="00A73F9D"/>
    <w:rsid w:val="00A741C2"/>
    <w:rsid w:val="00A91760"/>
    <w:rsid w:val="00A93B00"/>
    <w:rsid w:val="00A93C21"/>
    <w:rsid w:val="00AB64C9"/>
    <w:rsid w:val="00AC3C6A"/>
    <w:rsid w:val="00AD0F83"/>
    <w:rsid w:val="00AD5620"/>
    <w:rsid w:val="00AD656B"/>
    <w:rsid w:val="00AD7C1B"/>
    <w:rsid w:val="00AE16BA"/>
    <w:rsid w:val="00AE1EBE"/>
    <w:rsid w:val="00AF4DBC"/>
    <w:rsid w:val="00B03C9D"/>
    <w:rsid w:val="00B060AE"/>
    <w:rsid w:val="00B10517"/>
    <w:rsid w:val="00B14E76"/>
    <w:rsid w:val="00B161B8"/>
    <w:rsid w:val="00B2048C"/>
    <w:rsid w:val="00B310B9"/>
    <w:rsid w:val="00B34D88"/>
    <w:rsid w:val="00B35F3F"/>
    <w:rsid w:val="00B36CBB"/>
    <w:rsid w:val="00B425E0"/>
    <w:rsid w:val="00B43E68"/>
    <w:rsid w:val="00B440AA"/>
    <w:rsid w:val="00B44B70"/>
    <w:rsid w:val="00B52ACE"/>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2E70"/>
    <w:rsid w:val="00C33E72"/>
    <w:rsid w:val="00C34650"/>
    <w:rsid w:val="00C354B2"/>
    <w:rsid w:val="00C35554"/>
    <w:rsid w:val="00C4214F"/>
    <w:rsid w:val="00C42709"/>
    <w:rsid w:val="00C43014"/>
    <w:rsid w:val="00C533CC"/>
    <w:rsid w:val="00C5751C"/>
    <w:rsid w:val="00C61BFC"/>
    <w:rsid w:val="00C62B85"/>
    <w:rsid w:val="00C65438"/>
    <w:rsid w:val="00C736AC"/>
    <w:rsid w:val="00C91CBB"/>
    <w:rsid w:val="00CB4E70"/>
    <w:rsid w:val="00CC09B6"/>
    <w:rsid w:val="00CC666F"/>
    <w:rsid w:val="00CD1E3F"/>
    <w:rsid w:val="00CE44F6"/>
    <w:rsid w:val="00CE49DA"/>
    <w:rsid w:val="00CE7B61"/>
    <w:rsid w:val="00CF2388"/>
    <w:rsid w:val="00D00095"/>
    <w:rsid w:val="00D114F0"/>
    <w:rsid w:val="00D20620"/>
    <w:rsid w:val="00D247A4"/>
    <w:rsid w:val="00D254F7"/>
    <w:rsid w:val="00D26091"/>
    <w:rsid w:val="00D2685C"/>
    <w:rsid w:val="00D34E7C"/>
    <w:rsid w:val="00D35489"/>
    <w:rsid w:val="00D36AFE"/>
    <w:rsid w:val="00D51276"/>
    <w:rsid w:val="00D7035F"/>
    <w:rsid w:val="00DA634F"/>
    <w:rsid w:val="00DA65AC"/>
    <w:rsid w:val="00DB1913"/>
    <w:rsid w:val="00DC0373"/>
    <w:rsid w:val="00DC410D"/>
    <w:rsid w:val="00DC5A81"/>
    <w:rsid w:val="00DC68CA"/>
    <w:rsid w:val="00DC7CBA"/>
    <w:rsid w:val="00DD73B7"/>
    <w:rsid w:val="00DE6F57"/>
    <w:rsid w:val="00DE75C2"/>
    <w:rsid w:val="00DF28BC"/>
    <w:rsid w:val="00DF2B49"/>
    <w:rsid w:val="00DF34B9"/>
    <w:rsid w:val="00DF50FD"/>
    <w:rsid w:val="00E01053"/>
    <w:rsid w:val="00E07ACF"/>
    <w:rsid w:val="00E331A1"/>
    <w:rsid w:val="00E33202"/>
    <w:rsid w:val="00E336A9"/>
    <w:rsid w:val="00E472B1"/>
    <w:rsid w:val="00E50624"/>
    <w:rsid w:val="00E51E0D"/>
    <w:rsid w:val="00E568DF"/>
    <w:rsid w:val="00E64269"/>
    <w:rsid w:val="00E66797"/>
    <w:rsid w:val="00E73D42"/>
    <w:rsid w:val="00E82267"/>
    <w:rsid w:val="00E853CE"/>
    <w:rsid w:val="00E867B6"/>
    <w:rsid w:val="00E868A9"/>
    <w:rsid w:val="00E87F08"/>
    <w:rsid w:val="00EA010F"/>
    <w:rsid w:val="00EA32E0"/>
    <w:rsid w:val="00EA78AE"/>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46D59"/>
    <w:rsid w:val="00F5170A"/>
    <w:rsid w:val="00F602DF"/>
    <w:rsid w:val="00F754A1"/>
    <w:rsid w:val="00F818D5"/>
    <w:rsid w:val="00F81FD9"/>
    <w:rsid w:val="00F841AA"/>
    <w:rsid w:val="00F84A94"/>
    <w:rsid w:val="00F87E96"/>
    <w:rsid w:val="00FA23E8"/>
    <w:rsid w:val="00FB164A"/>
    <w:rsid w:val="00FB2F09"/>
    <w:rsid w:val="00FC519A"/>
    <w:rsid w:val="00FD3CC1"/>
    <w:rsid w:val="00FF1E02"/>
    <w:rsid w:val="00FF30B4"/>
    <w:rsid w:val="0A042B3A"/>
    <w:rsid w:val="0A4C1D81"/>
    <w:rsid w:val="0A560D30"/>
    <w:rsid w:val="0A961678"/>
    <w:rsid w:val="0BDC14D5"/>
    <w:rsid w:val="0C1749E7"/>
    <w:rsid w:val="0F50024C"/>
    <w:rsid w:val="0F873FCD"/>
    <w:rsid w:val="0FE914D1"/>
    <w:rsid w:val="1028043C"/>
    <w:rsid w:val="109C64B9"/>
    <w:rsid w:val="10C055FF"/>
    <w:rsid w:val="124428EE"/>
    <w:rsid w:val="12912E00"/>
    <w:rsid w:val="131F0FCE"/>
    <w:rsid w:val="145A7297"/>
    <w:rsid w:val="163D691E"/>
    <w:rsid w:val="16BB723D"/>
    <w:rsid w:val="17E76AEB"/>
    <w:rsid w:val="193B4C81"/>
    <w:rsid w:val="1ABF0EE6"/>
    <w:rsid w:val="1D25789A"/>
    <w:rsid w:val="1E47247F"/>
    <w:rsid w:val="1F025F23"/>
    <w:rsid w:val="21907007"/>
    <w:rsid w:val="223164E7"/>
    <w:rsid w:val="2293278E"/>
    <w:rsid w:val="23685D34"/>
    <w:rsid w:val="240371BF"/>
    <w:rsid w:val="25184066"/>
    <w:rsid w:val="25B77BF8"/>
    <w:rsid w:val="26BD08B3"/>
    <w:rsid w:val="29FD04D3"/>
    <w:rsid w:val="2B1A189F"/>
    <w:rsid w:val="2BCB4CCF"/>
    <w:rsid w:val="2C534479"/>
    <w:rsid w:val="2E6B0073"/>
    <w:rsid w:val="319F7F4E"/>
    <w:rsid w:val="353B2CA0"/>
    <w:rsid w:val="377818EF"/>
    <w:rsid w:val="3B516F8E"/>
    <w:rsid w:val="3D121EE3"/>
    <w:rsid w:val="40D5348D"/>
    <w:rsid w:val="41894812"/>
    <w:rsid w:val="42771F98"/>
    <w:rsid w:val="43872192"/>
    <w:rsid w:val="4ECE2238"/>
    <w:rsid w:val="51286410"/>
    <w:rsid w:val="5A760B79"/>
    <w:rsid w:val="5E3D571D"/>
    <w:rsid w:val="5E790C07"/>
    <w:rsid w:val="5E946D9A"/>
    <w:rsid w:val="63C95992"/>
    <w:rsid w:val="64DB5BBA"/>
    <w:rsid w:val="66B37357"/>
    <w:rsid w:val="672F012C"/>
    <w:rsid w:val="6974532E"/>
    <w:rsid w:val="6F5D6D19"/>
    <w:rsid w:val="6FC55208"/>
    <w:rsid w:val="70D03849"/>
    <w:rsid w:val="71BF1426"/>
    <w:rsid w:val="72734D90"/>
    <w:rsid w:val="72F32027"/>
    <w:rsid w:val="782626A2"/>
    <w:rsid w:val="78E6482C"/>
    <w:rsid w:val="78F76168"/>
    <w:rsid w:val="7F4127E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21"/>
    <w:basedOn w:val="13"/>
    <w:qFormat/>
    <w:uiPriority w:val="0"/>
    <w:rPr>
      <w:rFonts w:hint="default" w:ascii="Times New Roman" w:eastAsia="楷体_GB2312" w:cs="楷体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收入</c:v>
                </c:pt>
                <c:pt idx="2">
                  <c:v>支出</c:v>
                </c:pt>
              </c:strCache>
            </c:strRef>
          </c:cat>
          <c:val>
            <c:numRef>
              <c:f>Sheet1!$B$2:$E$2</c:f>
              <c:numCache>
                <c:formatCode>General</c:formatCode>
                <c:ptCount val="4"/>
                <c:pt idx="0">
                  <c:v>1062.52</c:v>
                </c:pt>
                <c:pt idx="2">
                  <c:v>1039.65</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收入</c:v>
                </c:pt>
                <c:pt idx="2">
                  <c:v>支出</c:v>
                </c:pt>
              </c:strCache>
            </c:strRef>
          </c:cat>
          <c:val>
            <c:numRef>
              <c:f>Sheet1!$B$3:$E$3</c:f>
              <c:numCache>
                <c:formatCode>General</c:formatCode>
                <c:ptCount val="4"/>
                <c:pt idx="0">
                  <c:v>1201.56</c:v>
                </c:pt>
                <c:pt idx="2">
                  <c:v>1171.25</c:v>
                </c:pt>
              </c:numCache>
            </c:numRef>
          </c:val>
        </c:ser>
        <c:dLbls>
          <c:showLegendKey val="0"/>
          <c:showVal val="0"/>
          <c:showCatName val="0"/>
          <c:showSerName val="0"/>
          <c:showPercent val="0"/>
          <c:showBubbleSize val="0"/>
        </c:dLbls>
        <c:gapWidth val="219"/>
        <c:axId val="65391616"/>
        <c:axId val="134209536"/>
      </c:barChart>
      <c:catAx>
        <c:axId val="65391616"/>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4209536"/>
        <c:crosses val="autoZero"/>
        <c:auto val="1"/>
        <c:lblAlgn val="ctr"/>
        <c:lblOffset val="100"/>
        <c:noMultiLvlLbl val="0"/>
      </c:catAx>
      <c:valAx>
        <c:axId val="134209536"/>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5391616"/>
        <c:crosses val="autoZero"/>
        <c:crossBetween val="between"/>
      </c:valAx>
      <c:spPr>
        <a:noFill/>
        <a:ln>
          <a:noFill/>
        </a:ln>
        <a:effectLst/>
      </c:spPr>
    </c:plotArea>
    <c:legend>
      <c:legendPos val="b"/>
      <c:layout>
        <c:manualLayout>
          <c:xMode val="edge"/>
          <c:yMode val="edge"/>
          <c:x val="0.366881217086016"/>
          <c:y val="0.8660550458715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决算收入结构</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一般公共财政预算拨款</c:v>
                </c:pt>
                <c:pt idx="1">
                  <c:v>政府性基金预算财政拨款</c:v>
                </c:pt>
                <c:pt idx="2">
                  <c:v>事业收入</c:v>
                </c:pt>
                <c:pt idx="3">
                  <c:v>经营收入</c:v>
                </c:pt>
                <c:pt idx="4">
                  <c:v>附属单位上缴收入</c:v>
                </c:pt>
                <c:pt idx="5">
                  <c:v>其他收入</c:v>
                </c:pt>
              </c:strCache>
            </c:strRef>
          </c:cat>
          <c:val>
            <c:numRef>
              <c:f>Sheet1!$B$2:$B$7</c:f>
              <c:numCache>
                <c:formatCode>0.0%</c:formatCode>
                <c:ptCount val="6"/>
                <c:pt idx="0">
                  <c:v>0.9234</c:v>
                </c:pt>
                <c:pt idx="2">
                  <c:v>0.018</c:v>
                </c:pt>
                <c:pt idx="5">
                  <c:v>0.0586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决算支出结构</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0.0%</c:formatCode>
                <c:ptCount val="5"/>
                <c:pt idx="0">
                  <c:v>0.998</c:v>
                </c:pt>
                <c:pt idx="1">
                  <c:v>0.002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invertIfNegative val="0"/>
          <c:dLbls>
            <c:delete val="1"/>
          </c:dLbls>
          <c:cat>
            <c:strRef>
              <c:f>Sheet1!$B$1:$E$1</c:f>
              <c:strCache>
                <c:ptCount val="4"/>
                <c:pt idx="0">
                  <c:v>收入</c:v>
                </c:pt>
                <c:pt idx="2">
                  <c:v>支出</c:v>
                </c:pt>
              </c:strCache>
            </c:strRef>
          </c:cat>
          <c:val>
            <c:numRef>
              <c:f>Sheet1!$B$2:$E$2</c:f>
              <c:numCache>
                <c:formatCode>General</c:formatCode>
                <c:ptCount val="4"/>
                <c:pt idx="0">
                  <c:v>1062.52</c:v>
                </c:pt>
                <c:pt idx="2">
                  <c:v>1039.65</c:v>
                </c:pt>
              </c:numCache>
            </c:numRef>
          </c:val>
        </c:ser>
        <c:ser>
          <c:idx val="1"/>
          <c:order val="1"/>
          <c:tx>
            <c:strRef>
              <c:f>Sheet1!$A$3</c:f>
              <c:strCache>
                <c:ptCount val="1"/>
                <c:pt idx="0">
                  <c:v>2019年</c:v>
                </c:pt>
              </c:strCache>
            </c:strRef>
          </c:tx>
          <c:invertIfNegative val="0"/>
          <c:dLbls>
            <c:delete val="1"/>
          </c:dLbls>
          <c:cat>
            <c:strRef>
              <c:f>Sheet1!$B$1:$E$1</c:f>
              <c:strCache>
                <c:ptCount val="4"/>
                <c:pt idx="0">
                  <c:v>收入</c:v>
                </c:pt>
                <c:pt idx="2">
                  <c:v>支出</c:v>
                </c:pt>
              </c:strCache>
            </c:strRef>
          </c:cat>
          <c:val>
            <c:numRef>
              <c:f>Sheet1!$B$3:$E$3</c:f>
              <c:numCache>
                <c:formatCode>General</c:formatCode>
                <c:ptCount val="4"/>
                <c:pt idx="0">
                  <c:v>1109.56</c:v>
                </c:pt>
                <c:pt idx="2">
                  <c:v>1123.55</c:v>
                </c:pt>
              </c:numCache>
            </c:numRef>
          </c:val>
        </c:ser>
        <c:dLbls>
          <c:showLegendKey val="0"/>
          <c:showVal val="0"/>
          <c:showCatName val="0"/>
          <c:showSerName val="0"/>
          <c:showPercent val="0"/>
          <c:showBubbleSize val="0"/>
        </c:dLbls>
        <c:gapWidth val="219"/>
        <c:overlap val="-27"/>
        <c:axId val="221045888"/>
        <c:axId val="224653312"/>
      </c:barChart>
      <c:catAx>
        <c:axId val="221045888"/>
        <c:scaling>
          <c:orientation val="minMax"/>
        </c:scaling>
        <c:delete val="0"/>
        <c:axPos val="b"/>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24653312"/>
        <c:crosses val="autoZero"/>
        <c:auto val="1"/>
        <c:lblAlgn val="ctr"/>
        <c:lblOffset val="100"/>
        <c:noMultiLvlLbl val="0"/>
      </c:catAx>
      <c:valAx>
        <c:axId val="224653312"/>
        <c:scaling>
          <c:orientation val="minMax"/>
        </c:scaling>
        <c:delete val="0"/>
        <c:axPos val="l"/>
        <c:majorGridlines/>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21045888"/>
        <c:crosses val="autoZero"/>
        <c:crossBetween val="between"/>
      </c:valAx>
    </c:plotArea>
    <c:legend>
      <c:legendPos val="b"/>
      <c:layout>
        <c:manualLayout>
          <c:xMode val="edge"/>
          <c:yMode val="edge"/>
          <c:x val="0.366881217086016"/>
          <c:y val="0.86605504587156"/>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一般公共预算财政拨款支出决算变动</c:v>
                </c:pt>
              </c:strCache>
            </c:strRef>
          </c:cat>
          <c:val>
            <c:numRef>
              <c:f>Sheet1!$B$2:$E$2</c:f>
              <c:numCache>
                <c:formatCode>General</c:formatCode>
                <c:ptCount val="4"/>
                <c:pt idx="0">
                  <c:v>1039.65</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一般公共预算财政拨款支出决算变动</c:v>
                </c:pt>
              </c:strCache>
            </c:strRef>
          </c:cat>
          <c:val>
            <c:numRef>
              <c:f>Sheet1!$B$3:$E$3</c:f>
              <c:numCache>
                <c:formatCode>General</c:formatCode>
                <c:ptCount val="4"/>
                <c:pt idx="0">
                  <c:v>1123.55</c:v>
                </c:pt>
              </c:numCache>
            </c:numRef>
          </c:val>
        </c:ser>
        <c:dLbls>
          <c:showLegendKey val="0"/>
          <c:showVal val="0"/>
          <c:showCatName val="0"/>
          <c:showSerName val="0"/>
          <c:showPercent val="0"/>
          <c:showBubbleSize val="0"/>
        </c:dLbls>
        <c:gapWidth val="219"/>
        <c:overlap val="-27"/>
        <c:axId val="224764672"/>
        <c:axId val="224832512"/>
      </c:barChart>
      <c:catAx>
        <c:axId val="224764672"/>
        <c:scaling>
          <c:orientation val="minMax"/>
        </c:scaling>
        <c:delete val="1"/>
        <c:axPos val="b"/>
        <c:majorTickMark val="none"/>
        <c:minorTickMark val="none"/>
        <c:tickLblPos val="none"/>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24832512"/>
        <c:crosses val="autoZero"/>
        <c:auto val="1"/>
        <c:lblAlgn val="ctr"/>
        <c:lblOffset val="100"/>
        <c:noMultiLvlLbl val="0"/>
      </c:catAx>
      <c:valAx>
        <c:axId val="224832512"/>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24764672"/>
        <c:crosses val="autoZero"/>
        <c:crossBetween val="between"/>
      </c:valAx>
      <c:spPr>
        <a:noFill/>
        <a:ln>
          <a:noFill/>
        </a:ln>
        <a:effectLst/>
      </c:spPr>
    </c:plotArea>
    <c:legend>
      <c:legendPos val="b"/>
      <c:layout>
        <c:manualLayout>
          <c:xMode val="edge"/>
          <c:yMode val="edge"/>
          <c:x val="0.354488054692854"/>
          <c:y val="0.81752634498058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en-US"/>
                      <a:t>70.74</a:t>
                    </a:r>
                    <a:r>
                      <a:rPr altLang="en-US"/>
                      <a:t>%</a:t>
                    </a:r>
                    <a:endParaRPr altLang="en-US"/>
                  </a:p>
                </c:rich>
              </c:tx>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en-US"/>
                      <a:t>18.4</a:t>
                    </a:r>
                    <a:r>
                      <a:rPr altLang="en-US"/>
                      <a:t>%</a:t>
                    </a:r>
                    <a:endParaRPr altLang="en-US"/>
                  </a:p>
                </c:rich>
              </c:tx>
              <c:dLblPos val="bestFit"/>
              <c:showLegendKey val="0"/>
              <c:showVal val="1"/>
              <c:showCatName val="0"/>
              <c:showSerName val="0"/>
              <c:showPercent val="0"/>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en-US"/>
                      <a:t>5</a:t>
                    </a:r>
                    <a:r>
                      <a:rPr altLang="en-US"/>
                      <a:t>%</a:t>
                    </a:r>
                    <a:endParaRPr altLang="en-US"/>
                  </a:p>
                </c:rich>
              </c:tx>
              <c:dLblPos val="bestFit"/>
              <c:showLegendKey val="0"/>
              <c:showVal val="1"/>
              <c:showCatName val="0"/>
              <c:showSerName val="0"/>
              <c:showPercent val="0"/>
              <c:showBubbleSize val="0"/>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en-US"/>
                      <a:t>5.86</a:t>
                    </a:r>
                    <a:r>
                      <a:rPr altLang="en-US"/>
                      <a:t>%</a:t>
                    </a:r>
                    <a:endParaRPr altLang="en-US"/>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c:formatCode>
                <c:ptCount val="4"/>
                <c:pt idx="0">
                  <c:v>0.68</c:v>
                </c:pt>
                <c:pt idx="1">
                  <c:v>0.19</c:v>
                </c:pt>
                <c:pt idx="2">
                  <c:v>0.06</c:v>
                </c:pt>
                <c:pt idx="3">
                  <c:v>0.07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0860310111881606"/>
          <c:y val="0.76891031559100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“三公”经费财政拨款支出结构</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因公出国（境）费</c:v>
                </c:pt>
                <c:pt idx="1">
                  <c:v>公务用车购置及运行维护费</c:v>
                </c:pt>
                <c:pt idx="2">
                  <c:v>公务接待费</c:v>
                </c:pt>
              </c:strCache>
            </c:strRef>
          </c:cat>
          <c:val>
            <c:numRef>
              <c:f>Sheet1!$B$2:$B$4</c:f>
              <c:numCache>
                <c:formatCode>0%</c:formatCode>
                <c:ptCount val="3"/>
                <c:pt idx="0">
                  <c:v>0</c:v>
                </c:pt>
                <c:pt idx="1">
                  <c:v>0</c:v>
                </c:pt>
                <c:pt idx="2">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0860310111881606"/>
          <c:y val="0.76891031559100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C610B0-8F9A-441B-AA73-4B1145DCD87E}">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31</Pages>
  <Words>1844</Words>
  <Characters>10515</Characters>
  <Lines>87</Lines>
  <Paragraphs>24</Paragraphs>
  <TotalTime>0</TotalTime>
  <ScaleCrop>false</ScaleCrop>
  <LinksUpToDate>false</LinksUpToDate>
  <CharactersWithSpaces>12335</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Administrator</cp:lastModifiedBy>
  <cp:lastPrinted>2020-07-23T02:58:00Z</cp:lastPrinted>
  <dcterms:modified xsi:type="dcterms:W3CDTF">2020-11-02T02:51:43Z</dcterms:modified>
  <dc:title>四川省***</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