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r>
        <w:rPr>
          <w:rFonts w:hint="eastAsia" w:ascii="方正小标宋简体" w:hAnsi="宋体" w:eastAsia="方正小标宋简体"/>
          <w:color w:val="000000"/>
          <w:sz w:val="72"/>
          <w:szCs w:val="72"/>
        </w:rPr>
        <w:t xml:space="preserve"> </w:t>
      </w: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77425"/>
      <w:bookmarkStart w:id="2" w:name="_Toc15377193"/>
      <w:bookmarkStart w:id="3" w:name="_Toc15396597"/>
      <w:bookmarkStart w:id="4" w:name="_Toc15396475"/>
      <w:bookmarkStart w:id="5" w:name="_Toc15378441"/>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96476"/>
      <w:bookmarkStart w:id="7" w:name="_Toc15396598"/>
      <w:bookmarkStart w:id="8" w:name="_Toc15377426"/>
      <w:bookmarkStart w:id="9" w:name="_Toc15377194"/>
      <w:bookmarkStart w:id="10" w:name="_Toc15378442"/>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rPr>
        <w:t>广汉中学实验学校高新分校部门决算</w:t>
      </w:r>
      <w:bookmarkEnd w:id="6"/>
      <w:bookmarkEnd w:id="7"/>
      <w:bookmarkEnd w:id="8"/>
      <w:bookmarkEnd w:id="9"/>
      <w:bookmarkEnd w:id="10"/>
      <w:bookmarkEnd w:id="11"/>
    </w:p>
    <w:p>
      <w:pPr>
        <w:adjustRightInd w:val="0"/>
        <w:snapToGrid w:val="0"/>
        <w:spacing w:line="360" w:lineRule="auto"/>
        <w:jc w:val="center"/>
        <w:outlineLvl w:val="0"/>
        <w:rPr>
          <w:rFonts w:ascii="方正小标宋简体" w:hAnsi="宋体" w:eastAsia="方正小标宋简体"/>
          <w:color w:val="000000"/>
          <w:sz w:val="72"/>
          <w:szCs w:val="72"/>
        </w:rPr>
      </w:pPr>
      <w:r>
        <w:rPr>
          <w:rFonts w:hint="eastAsia" w:ascii="方正小标宋简体" w:hAnsi="宋体" w:eastAsia="方正小标宋简体"/>
          <w:color w:val="000000"/>
          <w:sz w:val="72"/>
          <w:szCs w:val="72"/>
        </w:rPr>
        <w:t>编制说明</w:t>
      </w:r>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cstheme="minorBidi"/>
          <w:sz w:val="24"/>
          <w:szCs w:val="24"/>
        </w:rPr>
      </w:pPr>
      <w:r>
        <w:rPr>
          <w:rFonts w:hint="eastAsia" w:ascii="Times New Roman" w:hAnsi="Times New Roman" w:eastAsia="宋体"/>
          <w:sz w:val="24"/>
          <w:szCs w:val="24"/>
        </w:rPr>
        <w:t>第一部分 部门概况.................................................................................................4页</w:t>
      </w:r>
    </w:p>
    <w:p>
      <w:pPr>
        <w:pStyle w:val="11"/>
        <w:adjustRightInd w:val="0"/>
        <w:snapToGrid w:val="0"/>
        <w:spacing w:line="440" w:lineRule="exact"/>
        <w:jc w:val="left"/>
        <w:rPr>
          <w:rFonts w:ascii="仿宋" w:hAnsi="仿宋"/>
          <w:sz w:val="24"/>
        </w:rPr>
      </w:pPr>
      <w:r>
        <w:rPr>
          <w:rFonts w:hint="eastAsia"/>
          <w:sz w:val="24"/>
        </w:rPr>
        <w:t>一、基本职能及主要工作................................................................................4页</w:t>
      </w:r>
    </w:p>
    <w:p>
      <w:pPr>
        <w:pStyle w:val="11"/>
        <w:adjustRightInd w:val="0"/>
        <w:snapToGrid w:val="0"/>
        <w:spacing w:line="440" w:lineRule="exact"/>
        <w:jc w:val="left"/>
        <w:rPr>
          <w:rFonts w:ascii="仿宋" w:hAnsi="仿宋" w:cstheme="minorBidi"/>
          <w:sz w:val="24"/>
        </w:rPr>
      </w:pPr>
      <w:r>
        <w:rPr>
          <w:rFonts w:hint="eastAsia"/>
          <w:sz w:val="24"/>
        </w:rPr>
        <w:t>二、机构设置....................................................................................................9页</w:t>
      </w:r>
    </w:p>
    <w:p>
      <w:pPr>
        <w:pStyle w:val="10"/>
        <w:adjustRightInd w:val="0"/>
        <w:snapToGrid w:val="0"/>
        <w:spacing w:before="0" w:line="440" w:lineRule="exact"/>
        <w:jc w:val="left"/>
        <w:rPr>
          <w:rFonts w:ascii="Times New Roman" w:hAnsi="Times New Roman" w:eastAsia="宋体"/>
          <w:sz w:val="24"/>
          <w:szCs w:val="24"/>
        </w:rPr>
      </w:pPr>
      <w:r>
        <w:rPr>
          <w:rFonts w:hint="eastAsia" w:ascii="Times New Roman" w:hAnsi="Times New Roman" w:eastAsia="宋体"/>
          <w:sz w:val="24"/>
          <w:szCs w:val="24"/>
        </w:rPr>
        <w:t>第二部分度部门决算情况说明</w:t>
      </w:r>
    </w:p>
    <w:p>
      <w:pPr>
        <w:pStyle w:val="11"/>
        <w:adjustRightInd w:val="0"/>
        <w:snapToGrid w:val="0"/>
        <w:spacing w:line="440" w:lineRule="exact"/>
        <w:jc w:val="left"/>
        <w:rPr>
          <w:rFonts w:ascii="仿宋" w:hAnsi="仿宋" w:cstheme="minorBidi"/>
          <w:sz w:val="24"/>
        </w:rPr>
      </w:pPr>
      <w:r>
        <w:rPr>
          <w:rFonts w:hint="eastAsia"/>
          <w:sz w:val="24"/>
        </w:rPr>
        <w:t>一、收入支出决算总体情况说明...................................................................10页</w:t>
      </w:r>
    </w:p>
    <w:p>
      <w:pPr>
        <w:pStyle w:val="11"/>
        <w:adjustRightInd w:val="0"/>
        <w:snapToGrid w:val="0"/>
        <w:spacing w:line="440" w:lineRule="exact"/>
        <w:jc w:val="left"/>
        <w:rPr>
          <w:rFonts w:ascii="仿宋" w:hAnsi="仿宋" w:cstheme="minorBidi"/>
          <w:sz w:val="24"/>
        </w:rPr>
      </w:pPr>
      <w:r>
        <w:rPr>
          <w:rFonts w:hint="eastAsia"/>
          <w:sz w:val="24"/>
        </w:rPr>
        <w:t>二、收入决算情况说明...................................................................................11页</w:t>
      </w:r>
    </w:p>
    <w:p>
      <w:pPr>
        <w:pStyle w:val="11"/>
        <w:adjustRightInd w:val="0"/>
        <w:snapToGrid w:val="0"/>
        <w:spacing w:line="440" w:lineRule="exact"/>
        <w:jc w:val="left"/>
        <w:rPr>
          <w:rFonts w:ascii="仿宋" w:hAnsi="仿宋" w:cstheme="minorBidi"/>
          <w:sz w:val="24"/>
        </w:rPr>
      </w:pPr>
      <w:r>
        <w:rPr>
          <w:rFonts w:hint="eastAsia"/>
          <w:sz w:val="24"/>
        </w:rPr>
        <w:t>三、支出决算情况说明...................................................................................12页</w:t>
      </w:r>
    </w:p>
    <w:p>
      <w:pPr>
        <w:pStyle w:val="11"/>
        <w:adjustRightInd w:val="0"/>
        <w:snapToGrid w:val="0"/>
        <w:spacing w:line="440" w:lineRule="exact"/>
        <w:jc w:val="left"/>
        <w:rPr>
          <w:rFonts w:ascii="仿宋" w:hAnsi="仿宋" w:cstheme="minorBidi"/>
          <w:sz w:val="24"/>
        </w:rPr>
      </w:pPr>
      <w:r>
        <w:rPr>
          <w:rFonts w:hint="eastAsia"/>
          <w:sz w:val="24"/>
        </w:rPr>
        <w:t>四、财政拨款收入支出决算总体情况说明...................................................13页</w:t>
      </w:r>
    </w:p>
    <w:p>
      <w:pPr>
        <w:pStyle w:val="11"/>
        <w:adjustRightInd w:val="0"/>
        <w:snapToGrid w:val="0"/>
        <w:spacing w:line="440" w:lineRule="exact"/>
        <w:jc w:val="left"/>
        <w:rPr>
          <w:rFonts w:ascii="仿宋" w:hAnsi="仿宋" w:cstheme="minorBidi"/>
          <w:sz w:val="24"/>
        </w:rPr>
      </w:pPr>
      <w:r>
        <w:rPr>
          <w:rFonts w:hint="eastAsia"/>
          <w:sz w:val="24"/>
        </w:rPr>
        <w:t>五、一般公共预算财政拨款支出决算情况说明...........................................14页</w:t>
      </w:r>
    </w:p>
    <w:p>
      <w:pPr>
        <w:pStyle w:val="11"/>
        <w:adjustRightInd w:val="0"/>
        <w:snapToGrid w:val="0"/>
        <w:spacing w:line="440" w:lineRule="exact"/>
        <w:jc w:val="left"/>
        <w:rPr>
          <w:rFonts w:ascii="仿宋" w:hAnsi="仿宋" w:cstheme="minorBidi"/>
          <w:sz w:val="24"/>
        </w:rPr>
      </w:pPr>
      <w:r>
        <w:rPr>
          <w:rFonts w:hint="eastAsia"/>
          <w:sz w:val="24"/>
        </w:rPr>
        <w:t>六、一般公共预算财政拨款基本支出决算情况说明...................................17页</w:t>
      </w:r>
    </w:p>
    <w:p>
      <w:pPr>
        <w:pStyle w:val="11"/>
        <w:adjustRightInd w:val="0"/>
        <w:snapToGrid w:val="0"/>
        <w:spacing w:line="440" w:lineRule="exact"/>
        <w:jc w:val="left"/>
        <w:rPr>
          <w:rFonts w:ascii="仿宋" w:hAnsi="仿宋" w:cstheme="minorBidi"/>
          <w:sz w:val="24"/>
        </w:rPr>
      </w:pPr>
      <w:r>
        <w:rPr>
          <w:rFonts w:hint="eastAsia"/>
          <w:sz w:val="24"/>
        </w:rPr>
        <w:t>七、</w:t>
      </w:r>
      <w:r>
        <w:rPr>
          <w:sz w:val="24"/>
        </w:rPr>
        <w:t>“</w:t>
      </w:r>
      <w:r>
        <w:rPr>
          <w:rFonts w:hint="eastAsia"/>
          <w:sz w:val="24"/>
        </w:rPr>
        <w:t>三公”经费财政拨款支出决算情况说明.............................................18页</w:t>
      </w:r>
    </w:p>
    <w:p>
      <w:pPr>
        <w:pStyle w:val="11"/>
        <w:adjustRightInd w:val="0"/>
        <w:snapToGrid w:val="0"/>
        <w:spacing w:line="440" w:lineRule="exact"/>
        <w:jc w:val="left"/>
        <w:rPr>
          <w:rFonts w:ascii="仿宋" w:hAnsi="仿宋" w:cstheme="minorBidi"/>
          <w:sz w:val="24"/>
        </w:rPr>
      </w:pPr>
      <w:r>
        <w:rPr>
          <w:rFonts w:hint="eastAsia"/>
          <w:sz w:val="24"/>
        </w:rPr>
        <w:t>八、政府性基金预算支出决算情况说明.......................................................20页</w:t>
      </w:r>
    </w:p>
    <w:p>
      <w:pPr>
        <w:pStyle w:val="11"/>
        <w:adjustRightInd w:val="0"/>
        <w:snapToGrid w:val="0"/>
        <w:spacing w:line="440" w:lineRule="exact"/>
        <w:ind w:leftChars="0"/>
        <w:jc w:val="left"/>
        <w:rPr>
          <w:rFonts w:ascii="仿宋" w:hAnsi="仿宋"/>
          <w:sz w:val="24"/>
        </w:rPr>
      </w:pPr>
      <w:r>
        <w:rPr>
          <w:rFonts w:hint="eastAsia" w:ascii="仿宋" w:hAnsi="仿宋" w:eastAsia="仿宋"/>
          <w:sz w:val="24"/>
        </w:rPr>
        <w:t>九、</w:t>
      </w:r>
      <w:r>
        <w:rPr>
          <w:sz w:val="24"/>
        </w:rPr>
        <w:t xml:space="preserve"> 国</w:t>
      </w:r>
      <w:r>
        <w:rPr>
          <w:rFonts w:hint="eastAsia"/>
          <w:sz w:val="24"/>
        </w:rPr>
        <w:t>有资本经营预算支出决算情况说明.................................................20页</w:t>
      </w:r>
    </w:p>
    <w:p>
      <w:pPr>
        <w:adjustRightInd w:val="0"/>
        <w:snapToGrid w:val="0"/>
        <w:spacing w:line="440" w:lineRule="exact"/>
        <w:ind w:firstLine="480" w:firstLineChars="200"/>
        <w:jc w:val="left"/>
        <w:rPr>
          <w:rFonts w:ascii="仿宋" w:hAnsi="仿宋" w:eastAsia="仿宋" w:cstheme="minorBidi"/>
          <w:sz w:val="24"/>
        </w:rPr>
      </w:pPr>
      <w:r>
        <w:rPr>
          <w:rStyle w:val="15"/>
          <w:rFonts w:hint="eastAsia" w:ascii="仿宋" w:hAnsi="仿宋" w:eastAsia="仿宋"/>
          <w:color w:val="000000" w:themeColor="text1"/>
          <w:sz w:val="24"/>
          <w:u w:val="none"/>
        </w:rPr>
        <w:t>十、</w:t>
      </w:r>
      <w:r>
        <w:rPr>
          <w:rFonts w:hint="eastAsia"/>
          <w:sz w:val="24"/>
        </w:rPr>
        <w:t>其他重要事项的情况说明</w:t>
      </w:r>
      <w:r>
        <w:rPr>
          <w:rFonts w:hint="eastAsia"/>
          <w:sz w:val="24"/>
        </w:rPr>
        <w:tab/>
      </w:r>
      <w:r>
        <w:rPr>
          <w:rFonts w:hint="eastAsia"/>
          <w:sz w:val="24"/>
        </w:rPr>
        <w:t>..................................................................</w:t>
      </w:r>
      <w:r>
        <w:rPr>
          <w:rFonts w:hint="eastAsia" w:ascii="宋体" w:hAnsi="宋体" w:cs="宋体"/>
          <w:sz w:val="24"/>
        </w:rPr>
        <w:t>20页</w:t>
      </w:r>
    </w:p>
    <w:p>
      <w:pPr>
        <w:pStyle w:val="10"/>
        <w:adjustRightInd w:val="0"/>
        <w:snapToGrid w:val="0"/>
        <w:spacing w:before="0" w:line="440" w:lineRule="exact"/>
        <w:jc w:val="left"/>
        <w:rPr>
          <w:rFonts w:ascii="宋体" w:hAnsi="宋体" w:eastAsia="宋体" w:cs="宋体"/>
          <w:sz w:val="24"/>
          <w:szCs w:val="24"/>
        </w:rPr>
      </w:pPr>
      <w:r>
        <w:rPr>
          <w:rFonts w:hint="eastAsia" w:ascii="宋体" w:hAnsi="宋体" w:eastAsia="宋体" w:cs="宋体"/>
          <w:sz w:val="24"/>
        </w:rPr>
        <w:t>第三部分 名词解释</w:t>
      </w:r>
      <w:r>
        <w:rPr>
          <w:rFonts w:hint="eastAsia" w:ascii="Times New Roman" w:hAnsi="Times New Roman" w:eastAsia="宋体"/>
          <w:sz w:val="24"/>
          <w:szCs w:val="24"/>
        </w:rPr>
        <w:t>...............................................................................................</w:t>
      </w:r>
      <w:r>
        <w:rPr>
          <w:rFonts w:hint="eastAsia" w:ascii="宋体" w:hAnsi="宋体" w:eastAsia="宋体" w:cs="宋体"/>
          <w:sz w:val="24"/>
        </w:rPr>
        <w:t>21页</w:t>
      </w:r>
    </w:p>
    <w:p>
      <w:pPr>
        <w:pStyle w:val="10"/>
        <w:adjustRightInd w:val="0"/>
        <w:snapToGrid w:val="0"/>
        <w:spacing w:before="0" w:line="440" w:lineRule="exact"/>
        <w:jc w:val="left"/>
        <w:rPr>
          <w:rFonts w:ascii="宋体" w:hAnsi="宋体" w:eastAsia="宋体" w:cs="宋体"/>
          <w:sz w:val="24"/>
          <w:szCs w:val="24"/>
        </w:rPr>
      </w:pPr>
      <w:r>
        <w:rPr>
          <w:rFonts w:hint="eastAsia" w:ascii="宋体" w:hAnsi="宋体" w:eastAsia="宋体" w:cs="宋体"/>
          <w:sz w:val="24"/>
        </w:rPr>
        <w:t>第四部分 附件</w:t>
      </w:r>
      <w:r>
        <w:rPr>
          <w:rFonts w:hint="eastAsia" w:ascii="Times New Roman" w:hAnsi="Times New Roman" w:eastAsia="宋体"/>
          <w:sz w:val="24"/>
          <w:szCs w:val="24"/>
        </w:rPr>
        <w:t>.......................................................................................................</w:t>
      </w:r>
      <w:r>
        <w:rPr>
          <w:rFonts w:hint="eastAsia" w:ascii="宋体" w:hAnsi="宋体" w:eastAsia="宋体" w:cs="宋体"/>
          <w:sz w:val="24"/>
        </w:rPr>
        <w:t>24页</w:t>
      </w:r>
    </w:p>
    <w:p>
      <w:pPr>
        <w:pStyle w:val="11"/>
        <w:adjustRightInd w:val="0"/>
        <w:snapToGrid w:val="0"/>
        <w:spacing w:line="440" w:lineRule="exact"/>
        <w:jc w:val="left"/>
        <w:rPr>
          <w:rFonts w:ascii="仿宋" w:hAnsi="仿宋" w:cstheme="minorBidi"/>
          <w:sz w:val="24"/>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cstheme="minorBidi"/>
          <w:sz w:val="24"/>
          <w:szCs w:val="24"/>
        </w:rPr>
      </w:pPr>
      <w:r>
        <w:rPr>
          <w:rFonts w:hint="eastAsia" w:ascii="宋体" w:hAnsi="宋体" w:eastAsia="宋体" w:cs="宋体"/>
          <w:sz w:val="24"/>
        </w:rPr>
        <w:t>第五部分 附表</w:t>
      </w:r>
      <w:r>
        <w:rPr>
          <w:rFonts w:hint="eastAsia" w:ascii="Times New Roman" w:hAnsi="Times New Roman" w:eastAsia="宋体"/>
          <w:sz w:val="24"/>
          <w:szCs w:val="24"/>
        </w:rPr>
        <w:t>.......................................................................................................</w:t>
      </w:r>
      <w:r>
        <w:rPr>
          <w:rFonts w:hint="eastAsia" w:ascii="宋体" w:hAnsi="宋体" w:eastAsia="宋体" w:cs="宋体"/>
          <w:sz w:val="24"/>
        </w:rPr>
        <w:t>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一、</w:t>
      </w:r>
      <w:r>
        <w:rPr>
          <w:rFonts w:hint="eastAsia"/>
          <w:sz w:val="24"/>
        </w:rPr>
        <w:t>收入支出决算总表..................................................................................47页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四、</w:t>
      </w:r>
      <w:r>
        <w:rPr>
          <w:rFonts w:hint="eastAsia"/>
          <w:sz w:val="24"/>
        </w:rPr>
        <w:t>财政拨款收入支出决算总表..................................................................47页</w:t>
      </w:r>
    </w:p>
    <w:p>
      <w:pPr>
        <w:pStyle w:val="11"/>
        <w:adjustRightInd w:val="0"/>
        <w:snapToGrid w:val="0"/>
        <w:spacing w:line="440" w:lineRule="exact"/>
        <w:jc w:val="left"/>
        <w:rPr>
          <w:rFonts w:ascii="宋体" w:hAnsi="宋体" w:cs="宋体"/>
          <w:sz w:val="24"/>
        </w:rPr>
      </w:pPr>
      <w:r>
        <w:rPr>
          <w:rFonts w:hint="eastAsia" w:ascii="宋体" w:hAnsi="宋体" w:cs="宋体"/>
          <w:sz w:val="24"/>
        </w:rPr>
        <w:t>五、财政拨款支出决算明细表</w:t>
      </w:r>
      <w:r>
        <w:rPr>
          <w:rFonts w:hint="eastAsia"/>
          <w:sz w:val="24"/>
        </w:rPr>
        <w:t>..................................................................... 47</w:t>
      </w:r>
      <w:r>
        <w:rPr>
          <w:rFonts w:hint="eastAsia" w:ascii="宋体" w:hAnsi="宋体" w:cs="宋体"/>
          <w:sz w:val="24"/>
        </w:rPr>
        <w:t>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六、</w:t>
      </w:r>
      <w:r>
        <w:rPr>
          <w:rFonts w:hint="eastAsia"/>
          <w:sz w:val="24"/>
        </w:rPr>
        <w:t>一般公共预算财政拨款支出决算表......................................................47页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七、</w:t>
      </w:r>
      <w:r>
        <w:rPr>
          <w:rFonts w:hint="eastAsia"/>
          <w:sz w:val="24"/>
        </w:rPr>
        <w:t>一般公共预算财政拨款支出决算明细表..............................................47页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八、</w:t>
      </w:r>
      <w:r>
        <w:rPr>
          <w:rFonts w:hint="eastAsia"/>
          <w:sz w:val="24"/>
        </w:rPr>
        <w:t>一般公共预算财政拨款基本支出决算表..............................................47页</w:t>
      </w:r>
    </w:p>
    <w:p>
      <w:pPr>
        <w:pStyle w:val="11"/>
        <w:adjustRightInd w:val="0"/>
        <w:snapToGrid w:val="0"/>
        <w:spacing w:line="440" w:lineRule="exact"/>
        <w:jc w:val="left"/>
        <w:rPr>
          <w:sz w:val="24"/>
        </w:rPr>
      </w:pPr>
      <w:r>
        <w:rPr>
          <w:rFonts w:hint="eastAsia" w:ascii="仿宋" w:hAnsi="仿宋" w:eastAsia="仿宋"/>
          <w:sz w:val="24"/>
        </w:rPr>
        <w:t>九、</w:t>
      </w:r>
      <w:r>
        <w:rPr>
          <w:rFonts w:hint="eastAsia"/>
          <w:sz w:val="24"/>
        </w:rPr>
        <w:t>一般公共预算财政拨款项目支出决算表..............................................47页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十、</w:t>
      </w:r>
      <w:r>
        <w:rPr>
          <w:rFonts w:hint="eastAsia"/>
          <w:sz w:val="24"/>
        </w:rPr>
        <w:t>一般公共预算财政拨款“三公”经费支出决算表..............................47页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十一、</w:t>
      </w:r>
      <w:r>
        <w:rPr>
          <w:rFonts w:hint="eastAsia"/>
          <w:sz w:val="24"/>
        </w:rPr>
        <w:t>政府性基金预算财政拨款收入支出决算表......................................47页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十二、</w:t>
      </w:r>
      <w:r>
        <w:rPr>
          <w:rFonts w:hint="eastAsia"/>
          <w:sz w:val="24"/>
        </w:rPr>
        <w:t>政府性基金预算财政拨款“三公”经费支出决算表......................47页</w:t>
      </w:r>
    </w:p>
    <w:p>
      <w:pPr>
        <w:pStyle w:val="11"/>
        <w:adjustRightInd w:val="0"/>
        <w:snapToGrid w:val="0"/>
        <w:spacing w:line="440" w:lineRule="exact"/>
        <w:jc w:val="left"/>
        <w:rPr>
          <w:rFonts w:ascii="仿宋" w:hAnsi="仿宋" w:cstheme="minorBidi"/>
          <w:sz w:val="24"/>
        </w:rPr>
      </w:pPr>
      <w:r>
        <w:rPr>
          <w:rFonts w:hint="eastAsia" w:ascii="仿宋" w:hAnsi="仿宋" w:eastAsia="仿宋"/>
          <w:sz w:val="24"/>
        </w:rPr>
        <w:t>十三、</w:t>
      </w:r>
      <w:r>
        <w:rPr>
          <w:rFonts w:hint="eastAsia"/>
          <w:sz w:val="24"/>
        </w:rPr>
        <w:t>国有资本经营预算支出决算表...........................................................47页</w:t>
      </w:r>
    </w:p>
    <w:p>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pPr>
        <w:pStyle w:val="2"/>
        <w:jc w:val="center"/>
        <w:rPr>
          <w:rStyle w:val="24"/>
          <w:rFonts w:ascii="黑体" w:hAnsi="黑体" w:eastAsia="黑体"/>
          <w:b/>
          <w:bCs w:val="0"/>
        </w:rPr>
      </w:pPr>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5"/>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ascii="仿宋" w:hAnsi="仿宋" w:eastAsia="仿宋"/>
          <w:bCs/>
          <w:color w:val="000000"/>
          <w:sz w:val="32"/>
          <w:szCs w:val="32"/>
        </w:rPr>
      </w:pPr>
      <w:bookmarkStart w:id="16" w:name="_Toc15377198"/>
      <w:bookmarkStart w:id="17" w:name="_Toc15378445"/>
      <w:r>
        <w:rPr>
          <w:rFonts w:hint="eastAsia" w:ascii="仿宋" w:hAnsi="仿宋" w:eastAsia="仿宋"/>
          <w:bCs/>
          <w:color w:val="000000"/>
          <w:sz w:val="32"/>
          <w:szCs w:val="32"/>
        </w:rPr>
        <w:t>（一）主要职能。</w:t>
      </w:r>
      <w:bookmarkEnd w:id="16"/>
      <w:bookmarkEnd w:id="17"/>
      <w:bookmarkStart w:id="18" w:name="_Toc15378446"/>
      <w:bookmarkStart w:id="19" w:name="_Toc15377199"/>
    </w:p>
    <w:p>
      <w:pPr>
        <w:spacing w:line="400" w:lineRule="exact"/>
        <w:ind w:firstLine="560" w:firstLineChars="200"/>
        <w:rPr>
          <w:rFonts w:ascii="宋体" w:hAnsi="宋体" w:cs="宋体"/>
          <w:sz w:val="28"/>
          <w:szCs w:val="28"/>
        </w:rPr>
      </w:pPr>
      <w:r>
        <w:rPr>
          <w:rFonts w:hint="eastAsia" w:ascii="宋体" w:hAnsi="宋体" w:cs="宋体"/>
          <w:sz w:val="28"/>
          <w:szCs w:val="28"/>
        </w:rPr>
        <w:t>学校总体情况：学校地址：四川省广汉市新丰镇海口路166号。邮政编码：618312 广汉中学实验学校高新分校位于广汉市新丰镇，是一所全日制公办初中学校。 校园（局域）名：</w:t>
      </w:r>
      <w:r>
        <w:fldChar w:fldCharType="begin"/>
      </w:r>
      <w:r>
        <w:instrText xml:space="preserve"> HYPERLINK "http://10.10.2/ghsxfzzxx" </w:instrText>
      </w:r>
      <w:r>
        <w:fldChar w:fldCharType="separate"/>
      </w:r>
      <w:r>
        <w:rPr>
          <w:rFonts w:hint="eastAsia" w:ascii="宋体" w:hAnsi="宋体" w:cs="宋体"/>
          <w:color w:val="0000FF"/>
          <w:sz w:val="28"/>
          <w:szCs w:val="28"/>
          <w:u w:val="single"/>
        </w:rPr>
        <w:t>http://10.10.2/ghsxfzzxx</w:t>
      </w:r>
      <w:r>
        <w:rPr>
          <w:rFonts w:hint="eastAsia" w:ascii="宋体" w:hAnsi="宋体" w:cs="宋体"/>
          <w:color w:val="0000FF"/>
          <w:sz w:val="28"/>
          <w:szCs w:val="28"/>
          <w:u w:val="single"/>
        </w:rPr>
        <w:fldChar w:fldCharType="end"/>
      </w:r>
      <w:r>
        <w:rPr>
          <w:rFonts w:hint="eastAsia" w:ascii="宋体" w:hAnsi="宋体" w:cs="宋体"/>
          <w:sz w:val="28"/>
          <w:szCs w:val="28"/>
        </w:rPr>
        <w:t xml:space="preserve">  单位电子信箱 ：</w:t>
      </w:r>
      <w:r>
        <w:fldChar w:fldCharType="begin"/>
      </w:r>
      <w:r>
        <w:instrText xml:space="preserve"> HYPERLINK "mailto:649117963@qq.com" </w:instrText>
      </w:r>
      <w:r>
        <w:fldChar w:fldCharType="separate"/>
      </w:r>
      <w:r>
        <w:rPr>
          <w:rFonts w:hint="eastAsia" w:ascii="宋体" w:hAnsi="宋体" w:cs="宋体"/>
          <w:color w:val="0000FF"/>
          <w:sz w:val="28"/>
          <w:szCs w:val="28"/>
          <w:u w:val="single"/>
        </w:rPr>
        <w:t>649117963@qq.com</w:t>
      </w:r>
      <w:r>
        <w:rPr>
          <w:rFonts w:hint="eastAsia" w:ascii="宋体" w:hAnsi="宋体" w:cs="宋体"/>
          <w:color w:val="0000FF"/>
          <w:sz w:val="28"/>
          <w:szCs w:val="28"/>
          <w:u w:val="single"/>
        </w:rPr>
        <w:fldChar w:fldCharType="end"/>
      </w:r>
      <w:r>
        <w:rPr>
          <w:rFonts w:hint="eastAsia" w:ascii="宋体" w:hAnsi="宋体" w:cs="宋体"/>
          <w:sz w:val="28"/>
          <w:szCs w:val="28"/>
        </w:rPr>
        <w:t xml:space="preserve">  主管部门：四川省德阳市广汉市教育局。2014年7月，为了满足广大市民对优质教育资源的需求，同时为了发挥广汉中学实验学校这所优质学校的辐射引领作用，广汉市教育局决定广汉中学实验学校与新丰中学联合办学，并经广汉市委编办批准在广汉市新丰中学增挂广汉中学实验学校高新区分校牌子；2017年经广汉市委编办批准广汉市新丰中学更名广汉中学实验学校高新分校</w:t>
      </w:r>
    </w:p>
    <w:p>
      <w:pPr>
        <w:spacing w:line="400" w:lineRule="exact"/>
        <w:ind w:firstLine="560" w:firstLineChars="200"/>
        <w:rPr>
          <w:rFonts w:ascii="宋体" w:hAnsi="宋体" w:cs="宋体"/>
          <w:sz w:val="28"/>
          <w:szCs w:val="28"/>
        </w:rPr>
      </w:pPr>
      <w:r>
        <w:rPr>
          <w:rFonts w:hint="eastAsia" w:ascii="宋体" w:hAnsi="宋体" w:cs="宋体"/>
          <w:sz w:val="28"/>
          <w:szCs w:val="28"/>
        </w:rPr>
        <w:t>来到2019年，广汉中学实验学校高新分校得到了更快更好的发展，成为了一所优质的农村初中学校，学校环境优美，设施齐备。校园占地面积18876平方米，绿化面积6000平方米，运动场地4000平方米；阅览室有图书15842册；计算机98台；教室21间，其中网络多媒体教室14间；学校固定资产935万元；其中教学仪器设备195万元；学校所有教室安装了“数字一体化电子白板”，实现了“班班通”；学校还装配有标准的物理、化学和生物实验室、电脑室、现代化的多媒体演示室、图书阅览室等功能教室。完善的教学设施，先进的教学设备，让农村学生同样能享受到优质的教育资源，为实现学生的全面发展奠定了坚实的物质基础。</w:t>
      </w:r>
    </w:p>
    <w:p>
      <w:pPr>
        <w:pStyle w:val="5"/>
        <w:adjustRightInd w:val="0"/>
        <w:snapToGrid w:val="0"/>
        <w:spacing w:before="93" w:line="600" w:lineRule="exact"/>
        <w:ind w:firstLine="588" w:firstLineChars="210"/>
        <w:outlineLvl w:val="2"/>
        <w:rPr>
          <w:rFonts w:ascii="仿宋" w:hAnsi="仿宋" w:eastAsia="仿宋"/>
          <w:bCs/>
          <w:color w:val="000000"/>
          <w:sz w:val="32"/>
          <w:szCs w:val="32"/>
        </w:rPr>
      </w:pPr>
      <w:r>
        <w:rPr>
          <w:rFonts w:hint="eastAsia" w:ascii="宋体" w:hAnsi="宋体" w:eastAsia="宋体" w:cs="宋体"/>
          <w:sz w:val="28"/>
          <w:szCs w:val="28"/>
        </w:rPr>
        <w:t>学校理念先进，全面育人。全校教职工以“爱学校，做主人；爱事业，做能人；爱学生，做善人”作为价值追求，围绕“培育三园文化品格、深化四大工程、丰富四个课堂、实现四个愿景”的目标要求，树立让每一个学生都能成人成才成功的办学思想，努力培养“德才兼备、身心两健”的创新人才。</w:t>
      </w:r>
    </w:p>
    <w:p>
      <w:pPr>
        <w:pStyle w:val="5"/>
        <w:adjustRightInd w:val="0"/>
        <w:snapToGrid w:val="0"/>
        <w:spacing w:before="93" w:line="600" w:lineRule="exact"/>
        <w:ind w:firstLine="672" w:firstLineChars="210"/>
        <w:outlineLvl w:val="2"/>
        <w:rPr>
          <w:rFonts w:ascii="仿宋" w:hAnsi="仿宋" w:eastAsia="仿宋"/>
          <w:bCs/>
          <w:color w:val="000000"/>
          <w:sz w:val="32"/>
          <w:szCs w:val="32"/>
        </w:rPr>
      </w:pPr>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widowControl/>
        <w:spacing w:line="560" w:lineRule="exact"/>
        <w:jc w:val="left"/>
        <w:rPr>
          <w:rFonts w:ascii="宋体" w:hAnsi="宋体" w:cs="宋体"/>
          <w:kern w:val="0"/>
          <w:sz w:val="28"/>
          <w:szCs w:val="28"/>
        </w:rPr>
      </w:pPr>
      <w:r>
        <w:rPr>
          <w:rFonts w:hint="eastAsia" w:ascii="宋体" w:hAnsi="宋体" w:cs="宋体"/>
          <w:kern w:val="0"/>
          <w:sz w:val="28"/>
          <w:szCs w:val="28"/>
        </w:rPr>
        <w:t>广汉中学实验学校高新分校2019年工作目标：砥砺前行勇担当 努力打造优质寄宿制学校。</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2019年，学校在广汉市教育工委的领导下，在广汉中学实验学校的指导和帮助下，全校教职工以“爱学校，做主人；爱事业，做能人；爱学生，做善人”作为价值追求，不忘教书育人初心，牢记立德树人使命，在建设“管理规范、特色鲜明、质量优异、吸引力强”的优质农村寄宿制初中学校的道路上砥砺前行。通过全校教职工的共同努力，学校的教育教学质量不断提升，并受到了上级主管部门的充分肯定和社会各界及家长的好评。</w:t>
      </w:r>
    </w:p>
    <w:p>
      <w:pPr>
        <w:widowControl/>
        <w:spacing w:line="44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一、教育教学成绩硕果累累，学校开始从“优质”走向“品质”。</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1、学生学业成绩突出。</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2019届学生参加中考，185人参考，有97人被广中、金中等省级示范高中录取，重点高中升学率达53%，重高升学率名列广汉前三名，人均总分在德阳市135个学校中名列第19名，德阳市乡镇初中第一名；2020届学生参加德阳市8年级期末统考，人均总分在德阳市名列第14名，乡镇初中第一名。2021届学生参加上期广汉市期末统考，人均总分以及优生率均名列广汉市第二名。</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2、学校艺体工作成绩显著。</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在今年举行的广汉市中小学生艺术节“五个一工程”舞蹈比赛中，学校舞蹈队已连续三年荣获一等奖。学校“舞动青春”舞蹈工作坊和“后印象手绘”工作坊均被评为2019年第二批德阳市优秀学生艺术社团。2021届4班代表学校参加全市主题班会评比，荣获一等奖，我校已连续五年在该项比赛中折取桂冠。</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3、教师专业成长迅速。</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易雪晴老师今年11月代表学校到自贡参加四川省第八届初中名师课博会，荣获初中语文组一等奖。在今年的教师节表彰会上，有1名教师被评为德阳市优秀教师，有14名教师分别被评为广汉市优秀校长、优秀管理干部、优秀班主任和优秀教师。另外，今年学校又有4名教师新评为广汉市学科带头人、骨干教师和教坛新秀，目前，学校有省市县三级骨干教师共16人。</w:t>
      </w:r>
    </w:p>
    <w:p>
      <w:pPr>
        <w:widowControl/>
        <w:spacing w:line="44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二、落实“三个措施”，抓好党建工作和党风廉政建设工作。</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一是构建了科学民主的决策机制。落实“三重一大”集体决策制度，凡是学校重大事项决定、重要制度的制订、重要维修项目的安排和资金使用，都要经过支委会到行政会、最终由教师大会讨论通过等环节。</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二是坚持党务、校务公开。对于晋职晋级、评优选先等教师敏感的事项，都按学校的方案进行评定，做到干部教师处理事情“不问领导问制度”。</w:t>
      </w:r>
    </w:p>
    <w:p>
      <w:pPr>
        <w:pStyle w:val="30"/>
        <w:shd w:val="clear" w:color="auto" w:fill="FFFFFF"/>
        <w:spacing w:before="0" w:beforeAutospacing="0" w:after="0" w:afterAutospacing="0" w:line="440" w:lineRule="exact"/>
        <w:ind w:firstLine="560" w:firstLineChars="200"/>
        <w:rPr>
          <w:color w:val="000000"/>
          <w:sz w:val="28"/>
          <w:szCs w:val="28"/>
        </w:rPr>
      </w:pPr>
      <w:r>
        <w:rPr>
          <w:rFonts w:hint="eastAsia"/>
          <w:sz w:val="28"/>
          <w:szCs w:val="28"/>
        </w:rPr>
        <w:t>三是</w:t>
      </w:r>
      <w:r>
        <w:rPr>
          <w:rFonts w:hint="eastAsia"/>
          <w:color w:val="000000"/>
          <w:sz w:val="28"/>
          <w:szCs w:val="28"/>
        </w:rPr>
        <w:t>抓好基层党建工作，筑牢战斗堡垒。充分发挥党组织的政治核心和监督保证作用，充分发挥党员的模范带头作用；不断完善党群联系制度，加强对青年教师的培养，吸引青年教师向党组织靠拢，今年有两名教师向党组织递交了入党申请书；</w:t>
      </w:r>
      <w:r>
        <w:rPr>
          <w:rFonts w:hint="eastAsia"/>
          <w:sz w:val="28"/>
          <w:szCs w:val="28"/>
        </w:rPr>
        <w:t>扎实开展“不忘初心、牢记使命”主题教育，认真学习党章、党规和习近平关于新时代中国特色社会主义理论的论述；</w:t>
      </w:r>
      <w:r>
        <w:rPr>
          <w:rFonts w:hint="eastAsia"/>
          <w:color w:val="000000"/>
          <w:sz w:val="28"/>
          <w:szCs w:val="28"/>
        </w:rPr>
        <w:t>抓好“三会一课”，夯实“两学一做”，</w:t>
      </w:r>
      <w:r>
        <w:rPr>
          <w:rFonts w:hint="eastAsia"/>
          <w:color w:val="000000"/>
          <w:sz w:val="28"/>
          <w:szCs w:val="28"/>
          <w:shd w:val="clear" w:color="auto" w:fill="FFFFFF"/>
        </w:rPr>
        <w:t>筑牢党支部这一战斗堡垒。</w:t>
      </w:r>
    </w:p>
    <w:p>
      <w:pPr>
        <w:widowControl/>
        <w:spacing w:line="44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三、抓住“三项重点”，落实意识形态工作。</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1、用主流价值观强化校园环境建设。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把</w:t>
      </w:r>
      <w:r>
        <w:rPr>
          <w:rFonts w:hint="eastAsia" w:ascii="宋体" w:hAnsi="宋体" w:cs="宋体"/>
          <w:kern w:val="0"/>
          <w:sz w:val="28"/>
          <w:szCs w:val="28"/>
          <w:lang w:val="en-US" w:eastAsia="zh-CN"/>
        </w:rPr>
        <w:t>党的</w:t>
      </w:r>
      <w:bookmarkStart w:id="77" w:name="_GoBack"/>
      <w:bookmarkEnd w:id="77"/>
      <w:r>
        <w:rPr>
          <w:rFonts w:hint="eastAsia" w:ascii="宋体" w:hAnsi="宋体" w:cs="宋体"/>
          <w:kern w:val="0"/>
          <w:sz w:val="28"/>
          <w:szCs w:val="28"/>
        </w:rPr>
        <w:t>十九大精神、中国梦、社会主义核心价值观等通过标语、文化墙、宣传栏等形式表现出来，使全体师生在环境中受到熏陶。开展“三个一”评选，即每周一次“文明班级”，每学期一次 “文明学生”、 “星级寝室”，每年一次“最美家长”、“最美教师”等身边好人评选活动，培树文明先进典型。在学生中开展“三进”志愿者服务活动，组织志愿者进食堂、进社区、进敬老院参加义务劳动，以实际行动践行雷锋精神。</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2、打造一支思想过硬的优秀教师队伍。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 xml:space="preserve">学校围绕新时代对教师队伍的要求和四有好老师的标准（有理想信念、有道德情操、有扎实学识、有仁爱之心），着力打造一支优秀的教师团队。特别是“一个优秀教师不只是上好课，更要做好课后辅导”的共识已深入每个教师心中。每天课间、午休、放学等休息时间，老师热情地为学生辅导或答疑解惑已成为学校一道亮丽的风景线。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3、以“立德树人”为根本，打造学校德育品牌。</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学校坚持“德育为首”的理念，走出了一条德育特色发展之路。一是德育常规每天坚持做到“五个一”，一次激情宣誓、一次10分钟静心书法、一次10分钟唱歌、一次5分钟演讲、三个一次1000米跑步。二是德育活动每年坚持办好“读书节、尊师节、合唱节、体育节、艺术节、英语节”等“六个节”。2019年，学校已成功的举办了几项影响深远的德育活动：3月，组织全校师生和部分家长到松林镇开展 “走进桃花山”为主题的登山远足拉练活动；5月，举办了第四届中华经典诵读大赛；6月，举行了端午纪念活动、2019届学生毕业典礼；9月，举办了“遇见最美的自己”开学典礼、第五届尊师大典、庆祝“中华人民共和国成立70周年”合唱比赛；10月，举行了第五届校园歌手大赛；11月，组织全校师生到青白江凤凰湖开展“亲近大自然”为主题的励志远足拉练活动。</w:t>
      </w:r>
    </w:p>
    <w:p>
      <w:pPr>
        <w:widowControl/>
        <w:spacing w:line="44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 xml:space="preserve">四、采取“三个举措”，推进教学常规管理走向规范化、制度化。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 xml:space="preserve">一是坚持“以课代训”，提升教师课堂教学技能。学校每位任课教师每期至少承担一节校内公开课或竞赛课，并定期与广汉中学实验学校和联盟学校开展联合教研和竞赛，以课代训，相互学习，共同提高。 </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二是向课堂40分钟要质量，努力提高课堂效率。认真落实教师备课检查制度，实行月检和随堂抽查制，并在教师中倡导使用手写教案。在课堂教学中落实“六环节”课堂教学要求，引导教师在新课的课堂教学中要做到有“目标导向，自主学习，小组讨论，评价点拨，练习检测，小结归纳”六个环节，让课堂教学效率更高。</w:t>
      </w:r>
    </w:p>
    <w:p>
      <w:pPr>
        <w:widowControl/>
        <w:spacing w:line="440" w:lineRule="exact"/>
        <w:ind w:firstLine="560" w:firstLineChars="200"/>
        <w:jc w:val="left"/>
        <w:rPr>
          <w:rFonts w:ascii="宋体" w:hAnsi="宋体" w:cs="宋体"/>
          <w:kern w:val="0"/>
          <w:sz w:val="28"/>
          <w:szCs w:val="28"/>
        </w:rPr>
      </w:pPr>
      <w:r>
        <w:rPr>
          <w:rFonts w:hint="eastAsia" w:ascii="宋体" w:hAnsi="宋体" w:cs="宋体"/>
          <w:kern w:val="0"/>
          <w:sz w:val="28"/>
          <w:szCs w:val="28"/>
        </w:rPr>
        <w:t>三是落实“三不三必”教学常规要求。要求师生在教学活动中要做到“不预习不讲，不批改不讲，不纠错不讲”，“有发必收，有收必改，有改必评”，教导处定期进行检查考核。</w:t>
      </w:r>
    </w:p>
    <w:p>
      <w:pPr>
        <w:widowControl/>
        <w:spacing w:line="480" w:lineRule="exact"/>
        <w:ind w:firstLine="601" w:firstLineChars="200"/>
        <w:jc w:val="left"/>
        <w:rPr>
          <w:rFonts w:ascii="华文楷体" w:hAnsi="华文楷体" w:eastAsia="华文楷体" w:cs="宋体"/>
          <w:b/>
          <w:kern w:val="0"/>
          <w:sz w:val="30"/>
          <w:szCs w:val="30"/>
        </w:rPr>
      </w:pPr>
      <w:r>
        <w:rPr>
          <w:rFonts w:hint="eastAsia" w:ascii="华文楷体" w:hAnsi="华文楷体" w:eastAsia="华文楷体" w:cs="宋体"/>
          <w:b/>
          <w:kern w:val="0"/>
          <w:sz w:val="30"/>
          <w:szCs w:val="30"/>
        </w:rPr>
        <w:t>五、擦亮“三张名片”，提升学校办学品质。</w:t>
      </w:r>
    </w:p>
    <w:p>
      <w:pPr>
        <w:widowControl/>
        <w:spacing w:line="480" w:lineRule="exact"/>
        <w:ind w:firstLine="561" w:firstLineChars="200"/>
        <w:jc w:val="left"/>
        <w:rPr>
          <w:rFonts w:ascii="宋体" w:hAnsi="宋体" w:cs="宋体"/>
          <w:b/>
          <w:kern w:val="0"/>
          <w:sz w:val="28"/>
          <w:szCs w:val="28"/>
        </w:rPr>
      </w:pPr>
      <w:r>
        <w:rPr>
          <w:rFonts w:hint="eastAsia" w:ascii="宋体" w:hAnsi="宋体" w:cs="宋体"/>
          <w:b/>
          <w:kern w:val="0"/>
          <w:sz w:val="28"/>
          <w:szCs w:val="28"/>
        </w:rPr>
        <w:t>1、“尊师大典”弘扬中华传统美德。</w:t>
      </w:r>
    </w:p>
    <w:p>
      <w:pPr>
        <w:widowControl/>
        <w:spacing w:line="480" w:lineRule="exact"/>
        <w:ind w:firstLine="560" w:firstLineChars="200"/>
        <w:jc w:val="left"/>
        <w:rPr>
          <w:rFonts w:ascii="宋体" w:hAnsi="宋体" w:cs="宋体"/>
          <w:kern w:val="0"/>
          <w:sz w:val="28"/>
          <w:szCs w:val="28"/>
        </w:rPr>
      </w:pPr>
      <w:r>
        <w:rPr>
          <w:rFonts w:hint="eastAsia" w:ascii="宋体" w:hAnsi="宋体" w:cs="宋体"/>
          <w:kern w:val="0"/>
          <w:sz w:val="28"/>
          <w:szCs w:val="28"/>
        </w:rPr>
        <w:t>2019年9月6日，主题为“千年古乐、感念师恩”的</w:t>
      </w:r>
      <w:r>
        <w:rPr>
          <w:rFonts w:ascii="宋体" w:hAnsi="宋体" w:cs="宋体"/>
          <w:kern w:val="0"/>
          <w:sz w:val="28"/>
          <w:szCs w:val="28"/>
        </w:rPr>
        <w:t>一场遵循古时礼仪的传统汉式尊师大典</w:t>
      </w:r>
      <w:r>
        <w:rPr>
          <w:rFonts w:hint="eastAsia" w:ascii="宋体" w:hAnsi="宋体" w:cs="宋体"/>
          <w:kern w:val="0"/>
          <w:sz w:val="28"/>
          <w:szCs w:val="28"/>
        </w:rPr>
        <w:t>在学校隆重举行，</w:t>
      </w:r>
      <w:r>
        <w:rPr>
          <w:rFonts w:ascii="宋体" w:hAnsi="宋体" w:cs="宋体"/>
          <w:kern w:val="0"/>
          <w:sz w:val="28"/>
          <w:szCs w:val="28"/>
        </w:rPr>
        <w:t>让</w:t>
      </w:r>
      <w:r>
        <w:rPr>
          <w:rFonts w:hint="eastAsia" w:ascii="宋体" w:hAnsi="宋体" w:cs="宋体"/>
          <w:kern w:val="0"/>
          <w:sz w:val="28"/>
          <w:szCs w:val="28"/>
        </w:rPr>
        <w:t>全校师生和家长</w:t>
      </w:r>
      <w:r>
        <w:rPr>
          <w:rFonts w:ascii="宋体" w:hAnsi="宋体" w:cs="宋体"/>
          <w:kern w:val="0"/>
          <w:sz w:val="28"/>
          <w:szCs w:val="28"/>
        </w:rPr>
        <w:t>感受到了来自千年前的拜师传统与尊师文化</w:t>
      </w:r>
      <w:r>
        <w:rPr>
          <w:rFonts w:hint="eastAsia" w:ascii="宋体" w:hAnsi="宋体" w:cs="宋体"/>
          <w:kern w:val="0"/>
          <w:sz w:val="28"/>
          <w:szCs w:val="28"/>
        </w:rPr>
        <w:t>，这</w:t>
      </w:r>
      <w:r>
        <w:rPr>
          <w:rFonts w:ascii="宋体" w:hAnsi="宋体" w:cs="宋体"/>
          <w:kern w:val="0"/>
          <w:sz w:val="28"/>
          <w:szCs w:val="28"/>
        </w:rPr>
        <w:t>不仅</w:t>
      </w:r>
      <w:r>
        <w:rPr>
          <w:rFonts w:hint="eastAsia" w:ascii="宋体" w:hAnsi="宋体" w:cs="宋体"/>
          <w:kern w:val="0"/>
          <w:sz w:val="28"/>
          <w:szCs w:val="28"/>
        </w:rPr>
        <w:t>是</w:t>
      </w:r>
      <w:r>
        <w:rPr>
          <w:rFonts w:ascii="宋体" w:hAnsi="宋体" w:cs="宋体"/>
          <w:kern w:val="0"/>
          <w:sz w:val="28"/>
          <w:szCs w:val="28"/>
        </w:rPr>
        <w:t>弘扬尊重教师</w:t>
      </w:r>
      <w:r>
        <w:rPr>
          <w:rFonts w:hint="eastAsia" w:ascii="宋体" w:hAnsi="宋体" w:cs="宋体"/>
          <w:kern w:val="0"/>
          <w:sz w:val="28"/>
          <w:szCs w:val="28"/>
        </w:rPr>
        <w:t>的</w:t>
      </w:r>
      <w:r>
        <w:rPr>
          <w:rFonts w:ascii="宋体" w:hAnsi="宋体" w:cs="宋体"/>
          <w:kern w:val="0"/>
          <w:sz w:val="28"/>
          <w:szCs w:val="28"/>
        </w:rPr>
        <w:t>传统美德</w:t>
      </w:r>
      <w:r>
        <w:rPr>
          <w:rFonts w:hint="eastAsia" w:ascii="宋体" w:hAnsi="宋体" w:cs="宋体"/>
          <w:kern w:val="0"/>
          <w:sz w:val="28"/>
          <w:szCs w:val="28"/>
        </w:rPr>
        <w:t>，</w:t>
      </w:r>
      <w:r>
        <w:rPr>
          <w:rFonts w:ascii="宋体" w:hAnsi="宋体" w:cs="宋体"/>
          <w:kern w:val="0"/>
          <w:sz w:val="28"/>
          <w:szCs w:val="28"/>
        </w:rPr>
        <w:t>更是表达对辛勤工作和诲人不倦的老师们最崇高的敬意</w:t>
      </w:r>
      <w:r>
        <w:rPr>
          <w:rFonts w:hint="eastAsia" w:ascii="宋体" w:hAnsi="宋体" w:cs="宋体"/>
          <w:kern w:val="0"/>
          <w:sz w:val="28"/>
          <w:szCs w:val="28"/>
        </w:rPr>
        <w:t>。四川卫视和德阳、广汉等多家地方媒体对本次活动进行了报道，并受到了社会的广泛赞誉。尊师大典，将孝亲文化和尊师重道之风深深地根植在了学生心中。</w:t>
      </w:r>
    </w:p>
    <w:p>
      <w:pPr>
        <w:widowControl/>
        <w:spacing w:line="480" w:lineRule="exact"/>
        <w:ind w:firstLine="561" w:firstLineChars="200"/>
        <w:jc w:val="left"/>
        <w:rPr>
          <w:rFonts w:ascii="宋体" w:hAnsi="宋体" w:cs="宋体"/>
          <w:b/>
          <w:kern w:val="0"/>
          <w:sz w:val="28"/>
          <w:szCs w:val="28"/>
        </w:rPr>
      </w:pPr>
      <w:r>
        <w:rPr>
          <w:rFonts w:hint="eastAsia" w:ascii="宋体" w:hAnsi="宋体" w:cs="宋体"/>
          <w:b/>
          <w:kern w:val="0"/>
          <w:sz w:val="28"/>
          <w:szCs w:val="28"/>
        </w:rPr>
        <w:t>2、“家校同心园”凝聚家校育人合力。</w:t>
      </w:r>
    </w:p>
    <w:p>
      <w:pPr>
        <w:widowControl/>
        <w:spacing w:line="480" w:lineRule="exact"/>
        <w:ind w:firstLine="560" w:firstLineChars="200"/>
        <w:jc w:val="left"/>
        <w:rPr>
          <w:rFonts w:ascii="宋体" w:hAnsi="宋体" w:cs="宋体"/>
          <w:kern w:val="0"/>
          <w:sz w:val="28"/>
          <w:szCs w:val="28"/>
        </w:rPr>
      </w:pPr>
      <w:r>
        <w:rPr>
          <w:rFonts w:hint="eastAsia" w:ascii="宋体" w:hAnsi="宋体" w:cs="宋体"/>
          <w:kern w:val="0"/>
          <w:sz w:val="28"/>
          <w:szCs w:val="28"/>
        </w:rPr>
        <w:t>2019年，学校开展了十项家校携手同心育人活动：在寒假组织全校教职工走进了近200名学生的家庭，关心学生成长，为家长送去家庭教育方法，为学生送去课外读物；开展了6次家长培训会和家庭教育交流会；3月和9月，分别开展了一次家长牵手学生走红地毯表彰会；3月和11月，组织部分家长参与了学生的</w:t>
      </w:r>
      <w:r>
        <w:rPr>
          <w:rFonts w:ascii="宋体" w:hAnsi="宋体" w:cs="宋体"/>
          <w:kern w:val="0"/>
          <w:sz w:val="28"/>
          <w:szCs w:val="28"/>
        </w:rPr>
        <w:t>20</w:t>
      </w:r>
      <w:r>
        <w:rPr>
          <w:rFonts w:hint="eastAsia" w:ascii="宋体" w:hAnsi="宋体" w:cs="宋体"/>
          <w:kern w:val="0"/>
          <w:sz w:val="28"/>
          <w:szCs w:val="28"/>
        </w:rPr>
        <w:t>公里拉练；4月，开展了校园开放日家长体验活动、家长与学生同台诵经典读书活动、亲子运动会；5月，组织全校学生在母亲节期间为母亲献爱心活动。学校的家校同心育人活动，成绩突出，目前已通过了广汉市规范化家长学校的验收，正在积极申报全国规范化家长学校。</w:t>
      </w:r>
    </w:p>
    <w:p>
      <w:pPr>
        <w:widowControl/>
        <w:spacing w:line="480" w:lineRule="exact"/>
        <w:ind w:firstLine="561" w:firstLineChars="200"/>
        <w:jc w:val="left"/>
        <w:rPr>
          <w:rFonts w:ascii="宋体" w:hAnsi="宋体" w:cs="宋体"/>
          <w:b/>
          <w:kern w:val="0"/>
          <w:sz w:val="28"/>
          <w:szCs w:val="28"/>
        </w:rPr>
      </w:pPr>
      <w:r>
        <w:rPr>
          <w:rFonts w:hint="eastAsia" w:ascii="宋体" w:hAnsi="宋体" w:cs="宋体"/>
          <w:b/>
          <w:kern w:val="0"/>
          <w:sz w:val="28"/>
          <w:szCs w:val="28"/>
        </w:rPr>
        <w:t>3、“科研强校”实现学校可持续发展。</w:t>
      </w:r>
    </w:p>
    <w:p>
      <w:pPr>
        <w:widowControl/>
        <w:spacing w:line="480" w:lineRule="exact"/>
        <w:ind w:firstLine="560" w:firstLineChars="200"/>
        <w:jc w:val="left"/>
        <w:rPr>
          <w:rFonts w:ascii="宋体" w:hAnsi="宋体" w:cs="宋体"/>
          <w:kern w:val="0"/>
          <w:sz w:val="28"/>
          <w:szCs w:val="28"/>
        </w:rPr>
      </w:pPr>
      <w:r>
        <w:rPr>
          <w:rFonts w:hint="eastAsia" w:ascii="宋体" w:hAnsi="宋体" w:cs="宋体"/>
          <w:kern w:val="0"/>
          <w:sz w:val="28"/>
          <w:szCs w:val="28"/>
        </w:rPr>
        <w:t>目前，学校有四川省教育科研课题《城乡学校协同发展机制的实践研究》，四川省教育科研子课题《广汉本土文化与学校课程建设融合的实践与研究》，德阳市教育科研课题《农村学校学生素质拓展5+1模式的实践与研究》和广汉市级教育科研课题四个，是全市学校中科研课题数量最多、级别最高的学校之一。学校现有从事科研课题研究的教师人数超过全校教师总数的60%，以课题研究为抓手，促进了教师的专业成长，同时也引领着学校可持续发展。</w:t>
      </w:r>
    </w:p>
    <w:p>
      <w:pPr>
        <w:pStyle w:val="5"/>
        <w:adjustRightInd w:val="0"/>
        <w:snapToGrid w:val="0"/>
        <w:spacing w:before="93" w:line="600" w:lineRule="exact"/>
        <w:ind w:firstLine="672" w:firstLineChars="210"/>
        <w:outlineLvl w:val="2"/>
        <w:rPr>
          <w:rFonts w:ascii="仿宋" w:hAnsi="仿宋" w:eastAsia="仿宋"/>
          <w:bCs/>
          <w:color w:val="000000"/>
          <w:sz w:val="32"/>
          <w:szCs w:val="32"/>
        </w:rPr>
      </w:pPr>
    </w:p>
    <w:p>
      <w:pPr>
        <w:pStyle w:val="3"/>
        <w:rPr>
          <w:rStyle w:val="25"/>
          <w:b w:val="0"/>
          <w:bCs w:val="0"/>
        </w:rPr>
      </w:pPr>
      <w:bookmarkStart w:id="20" w:name="_Toc15377200"/>
      <w:bookmarkStart w:id="21" w:name="_Toc15396601"/>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rPr>
        <w:t>构设置</w:t>
      </w:r>
      <w:bookmarkEnd w:id="20"/>
      <w:bookmarkEnd w:id="21"/>
    </w:p>
    <w:p>
      <w:pPr>
        <w:ind w:firstLine="800" w:firstLineChars="250"/>
        <w:rPr>
          <w:rFonts w:ascii="仿宋" w:hAnsi="仿宋" w:eastAsia="仿宋"/>
          <w:sz w:val="32"/>
          <w:szCs w:val="32"/>
        </w:rPr>
      </w:pPr>
      <w:r>
        <w:rPr>
          <w:rFonts w:hint="eastAsia" w:ascii="仿宋" w:hAnsi="仿宋" w:eastAsia="仿宋"/>
          <w:sz w:val="32"/>
          <w:szCs w:val="32"/>
        </w:rPr>
        <w:t>广汉中学实验学校高新分校下属二级单位0个，其中行政单位0个，参照公务员法管理的事业单位</w:t>
      </w:r>
      <w:r>
        <w:rPr>
          <w:rFonts w:hint="eastAsia" w:ascii="仿宋" w:hAnsi="仿宋" w:eastAsia="仿宋"/>
          <w:bCs/>
          <w:sz w:val="32"/>
          <w:szCs w:val="32"/>
        </w:rPr>
        <w:t>0</w:t>
      </w:r>
      <w:r>
        <w:rPr>
          <w:rFonts w:hint="eastAsia" w:ascii="仿宋" w:hAnsi="仿宋" w:eastAsia="仿宋"/>
          <w:sz w:val="32"/>
          <w:szCs w:val="32"/>
        </w:rPr>
        <w:t>个，其他事业单位0个。</w:t>
      </w:r>
    </w:p>
    <w:p>
      <w:pPr>
        <w:pStyle w:val="5"/>
        <w:adjustRightInd w:val="0"/>
        <w:snapToGrid w:val="0"/>
        <w:spacing w:before="93" w:line="600" w:lineRule="exact"/>
        <w:ind w:firstLine="672" w:firstLineChars="210"/>
        <w:rPr>
          <w:rFonts w:ascii="仿宋" w:hAnsi="仿宋" w:eastAsia="仿宋"/>
          <w:color w:val="000000"/>
          <w:sz w:val="32"/>
          <w:szCs w:val="32"/>
        </w:rPr>
      </w:pPr>
      <w:r>
        <w:rPr>
          <w:rFonts w:hint="eastAsia" w:ascii="仿宋" w:hAnsi="仿宋" w:eastAsia="仿宋"/>
          <w:color w:val="000000"/>
          <w:sz w:val="32"/>
          <w:szCs w:val="32"/>
        </w:rPr>
        <w:t>纳入</w:t>
      </w:r>
      <w:r>
        <w:rPr>
          <w:rFonts w:hint="eastAsia" w:ascii="仿宋" w:hAnsi="仿宋" w:eastAsia="仿宋"/>
          <w:sz w:val="32"/>
          <w:szCs w:val="32"/>
        </w:rPr>
        <w:t>广汉中学实验学校高新分校</w:t>
      </w:r>
      <w:r>
        <w:rPr>
          <w:rFonts w:hint="eastAsia" w:ascii="仿宋" w:hAnsi="仿宋" w:eastAsia="仿宋"/>
          <w:color w:val="000000"/>
          <w:sz w:val="32"/>
          <w:szCs w:val="32"/>
        </w:rPr>
        <w:t>2019年度部门决算编制范围的二级预算单位包括：</w:t>
      </w:r>
      <w:bookmarkStart w:id="22" w:name="_Toc15378449"/>
      <w:bookmarkStart w:id="23" w:name="_Toc15377202"/>
      <w:bookmarkStart w:id="24" w:name="_Toc15306276"/>
      <w:bookmarkStart w:id="25" w:name="_Toc15377433"/>
      <w:r>
        <w:rPr>
          <w:rFonts w:hint="eastAsia" w:ascii="仿宋" w:hAnsi="仿宋" w:eastAsia="仿宋"/>
          <w:color w:val="000000"/>
          <w:sz w:val="32"/>
          <w:szCs w:val="32"/>
        </w:rPr>
        <w:t>无</w:t>
      </w:r>
      <w:bookmarkEnd w:id="22"/>
      <w:bookmarkEnd w:id="23"/>
      <w:bookmarkEnd w:id="24"/>
      <w:bookmarkEnd w:id="25"/>
    </w:p>
    <w:p>
      <w:pPr>
        <w:widowControl/>
        <w:jc w:val="left"/>
        <w:rPr>
          <w:rFonts w:ascii="仿宋" w:hAnsi="仿宋" w:eastAsia="仿宋"/>
          <w:color w:val="000000"/>
          <w:kern w:val="0"/>
          <w:sz w:val="32"/>
          <w:szCs w:val="32"/>
        </w:rPr>
      </w:pPr>
      <w:r>
        <w:rPr>
          <w:rFonts w:hint="eastAsia" w:ascii="宋体" w:hAnsi="宋体" w:cs="宋体"/>
          <w:sz w:val="28"/>
          <w:szCs w:val="28"/>
        </w:rPr>
        <w:t>学校内部机构情况：学校管理规范，和谐发展。学校下设办公室、政教处、教导处、总务处四个处室，各处室中层干部全部通过广汉市教育局组织的非常定向统筹选拔干部的方式竞争产生。各处室在学校党支部的领导下、在学校工会的监督下创造性的开展工作，成效显著，并在2019年通过了德阳市义务教育素质督导评估的验收。</w:t>
      </w:r>
      <w:r>
        <w:rPr>
          <w:rFonts w:ascii="仿宋" w:hAnsi="仿宋" w:eastAsia="仿宋"/>
          <w:color w:val="000000"/>
          <w:sz w:val="32"/>
          <w:szCs w:val="32"/>
        </w:rPr>
        <w:br w:type="page"/>
      </w:r>
    </w:p>
    <w:p>
      <w:pPr>
        <w:pStyle w:val="2"/>
        <w:ind w:right="440"/>
        <w:jc w:val="right"/>
        <w:rPr>
          <w:rStyle w:val="24"/>
          <w:rFonts w:ascii="黑体" w:hAnsi="黑体" w:eastAsia="黑体"/>
          <w:b w:val="0"/>
          <w:bCs w:val="0"/>
        </w:rPr>
      </w:pPr>
      <w:bookmarkStart w:id="26" w:name="_Toc15396602"/>
      <w:bookmarkStart w:id="27" w:name="_Toc15377204"/>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6"/>
      <w:bookmarkEnd w:id="27"/>
    </w:p>
    <w:p/>
    <w:p>
      <w:pPr>
        <w:pStyle w:val="23"/>
        <w:numPr>
          <w:ilvl w:val="0"/>
          <w:numId w:val="1"/>
        </w:numPr>
        <w:spacing w:line="600" w:lineRule="exact"/>
        <w:ind w:firstLineChars="0"/>
        <w:outlineLvl w:val="1"/>
        <w:rPr>
          <w:rStyle w:val="25"/>
          <w:rFonts w:ascii="黑体" w:hAnsi="黑体" w:eastAsia="黑体"/>
          <w:b w:val="0"/>
        </w:rPr>
      </w:pPr>
      <w:bookmarkStart w:id="28" w:name="_Toc15377205"/>
      <w:bookmarkStart w:id="29" w:name="_Toc15396603"/>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8"/>
      <w:bookmarkEnd w:id="29"/>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2019年度收入总计843.2万元、支出总计806.75万元。与2018年相比，收入总计增加36.43万元，增长4.52%。支出总计各增加49.39万元，增长6.52</w:t>
      </w:r>
      <w:r>
        <w:rPr>
          <w:rFonts w:ascii="仿宋" w:hAnsi="仿宋" w:eastAsia="仿宋"/>
          <w:color w:val="000000"/>
          <w:sz w:val="32"/>
          <w:szCs w:val="32"/>
        </w:rPr>
        <w:t>%</w:t>
      </w:r>
      <w:r>
        <w:rPr>
          <w:rFonts w:hint="eastAsia" w:ascii="仿宋" w:hAnsi="仿宋" w:eastAsia="仿宋"/>
          <w:color w:val="000000"/>
          <w:sz w:val="32"/>
          <w:szCs w:val="32"/>
        </w:rPr>
        <w:t>。主要变动原因是学校办学规模增大，公用费用增大。财政从2019年执行调标工资增长，学校捐赠收入纳入预算财政拨款大幅增加。</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：2019年收、支决算总计变动情况图</w:t>
      </w:r>
    </w:p>
    <w:p>
      <w:pPr>
        <w:widowControl/>
        <w:jc w:val="left"/>
      </w:pPr>
    </w:p>
    <w:p>
      <w:pPr>
        <w:widowControl/>
        <w:jc w:val="left"/>
      </w:pPr>
      <w:r>
        <w:rPr>
          <w:rFonts w:ascii="宋体" w:hAnsi="宋体" w:cs="宋体"/>
          <w:kern w:val="0"/>
          <w:sz w:val="24"/>
        </w:rPr>
        <w:drawing>
          <wp:inline distT="0" distB="0" distL="114300" distR="114300">
            <wp:extent cx="4600575" cy="2752725"/>
            <wp:effectExtent l="0" t="0" r="9525" b="9525"/>
            <wp:docPr id="5"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6"/>
                    <pic:cNvPicPr>
                      <a:picLocks noChangeAspect="1"/>
                    </pic:cNvPicPr>
                  </pic:nvPicPr>
                  <pic:blipFill>
                    <a:blip r:embed="rId6"/>
                    <a:stretch>
                      <a:fillRect/>
                    </a:stretch>
                  </pic:blipFill>
                  <pic:spPr>
                    <a:xfrm>
                      <a:off x="0" y="0"/>
                      <a:ext cx="4600575" cy="2752725"/>
                    </a:xfrm>
                    <a:prstGeom prst="rect">
                      <a:avLst/>
                    </a:prstGeom>
                    <a:noFill/>
                    <a:ln w="9525">
                      <a:noFill/>
                    </a:ln>
                  </pic:spPr>
                </pic:pic>
              </a:graphicData>
            </a:graphic>
          </wp:inline>
        </w:drawing>
      </w:r>
    </w:p>
    <w:p>
      <w:pPr>
        <w:widowControl/>
        <w:jc w:val="left"/>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pStyle w:val="23"/>
        <w:numPr>
          <w:ilvl w:val="0"/>
          <w:numId w:val="1"/>
        </w:numPr>
        <w:spacing w:line="600" w:lineRule="exact"/>
        <w:ind w:firstLineChars="0"/>
        <w:outlineLvl w:val="1"/>
        <w:rPr>
          <w:rStyle w:val="25"/>
          <w:rFonts w:ascii="黑体" w:hAnsi="黑体" w:eastAsia="黑体"/>
          <w:b w:val="0"/>
        </w:rPr>
      </w:pPr>
      <w:bookmarkStart w:id="30" w:name="_Toc15377206"/>
      <w:bookmarkStart w:id="31" w:name="_Toc15396604"/>
      <w:r>
        <w:rPr>
          <w:rFonts w:hint="eastAsia" w:ascii="黑体" w:hAnsi="黑体" w:eastAsia="黑体"/>
          <w:color w:val="000000"/>
          <w:sz w:val="32"/>
          <w:szCs w:val="32"/>
        </w:rPr>
        <w:t>收</w:t>
      </w:r>
      <w:r>
        <w:rPr>
          <w:rStyle w:val="25"/>
          <w:rFonts w:hint="eastAsia" w:ascii="黑体" w:hAnsi="黑体" w:eastAsia="黑体"/>
          <w:b w:val="0"/>
        </w:rPr>
        <w:t>入决算情况说明</w:t>
      </w:r>
      <w:bookmarkEnd w:id="30"/>
      <w:bookmarkEnd w:id="31"/>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9年本年收入合计843.20万元，其中：一般公共预算财政拨款收入843.20万元，占100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；政府性基金预算财政拨款收入0万元，占0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；事业收入0万元，占0</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1"/>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（图2：收入决算结构图）（饼状图）</w:t>
      </w:r>
    </w:p>
    <w:p>
      <w:pPr>
        <w:widowControl/>
        <w:jc w:val="left"/>
      </w:pPr>
      <w:r>
        <w:rPr>
          <w:rFonts w:ascii="宋体" w:hAnsi="宋体" w:cs="宋体"/>
          <w:kern w:val="0"/>
          <w:sz w:val="24"/>
        </w:rPr>
        <w:drawing>
          <wp:inline distT="0" distB="0" distL="114300" distR="114300">
            <wp:extent cx="4438650" cy="2705100"/>
            <wp:effectExtent l="0" t="0" r="0" b="0"/>
            <wp:docPr id="6"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56"/>
                    <pic:cNvPicPr>
                      <a:picLocks noChangeAspect="1"/>
                    </pic:cNvPicPr>
                  </pic:nvPicPr>
                  <pic:blipFill>
                    <a:blip r:embed="rId7"/>
                    <a:stretch>
                      <a:fillRect/>
                    </a:stretch>
                  </pic:blipFill>
                  <pic:spPr>
                    <a:xfrm>
                      <a:off x="0" y="0"/>
                      <a:ext cx="4438650" cy="2705100"/>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pStyle w:val="23"/>
        <w:numPr>
          <w:ilvl w:val="0"/>
          <w:numId w:val="1"/>
        </w:numPr>
        <w:spacing w:line="600" w:lineRule="exact"/>
        <w:ind w:firstLineChars="0"/>
        <w:outlineLvl w:val="1"/>
        <w:rPr>
          <w:rStyle w:val="25"/>
          <w:rFonts w:ascii="黑体" w:hAnsi="黑体" w:eastAsia="黑体"/>
          <w:b w:val="0"/>
        </w:rPr>
      </w:pPr>
      <w:bookmarkStart w:id="32" w:name="_Toc15396605"/>
      <w:bookmarkStart w:id="33" w:name="_Toc15377207"/>
      <w:r>
        <w:rPr>
          <w:rFonts w:hint="eastAsia" w:ascii="黑体" w:hAnsi="黑体" w:eastAsia="黑体"/>
          <w:color w:val="000000"/>
          <w:sz w:val="32"/>
          <w:szCs w:val="32"/>
        </w:rPr>
        <w:t>支</w:t>
      </w:r>
      <w:r>
        <w:rPr>
          <w:rStyle w:val="25"/>
          <w:rFonts w:hint="eastAsia" w:ascii="黑体" w:hAnsi="黑体" w:eastAsia="黑体"/>
          <w:b w:val="0"/>
        </w:rPr>
        <w:t>出决算情况说明</w:t>
      </w:r>
      <w:bookmarkEnd w:id="32"/>
      <w:bookmarkEnd w:id="33"/>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9年本年支出合计806.75万元，其中：基本支出806.75万元，占100</w:t>
      </w:r>
      <w:r>
        <w:rPr>
          <w:rFonts w:ascii="仿宋" w:hAnsi="仿宋" w:eastAsia="仿宋"/>
          <w:color w:val="000000"/>
          <w:sz w:val="32"/>
          <w:szCs w:val="32"/>
        </w:rPr>
        <w:t>%</w:t>
      </w:r>
      <w:r>
        <w:rPr>
          <w:rFonts w:hint="eastAsia" w:ascii="仿宋" w:hAnsi="仿宋" w:eastAsia="仿宋"/>
          <w:color w:val="000000"/>
          <w:sz w:val="32"/>
          <w:szCs w:val="32"/>
        </w:rPr>
        <w:t>；项目支出0万元，占0</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（图3：支出决算结构图）（饼状图）</w:t>
      </w:r>
    </w:p>
    <w:p>
      <w:pPr>
        <w:widowControl/>
        <w:jc w:val="left"/>
      </w:pPr>
      <w:r>
        <w:rPr>
          <w:rFonts w:ascii="宋体" w:hAnsi="宋体" w:cs="宋体"/>
          <w:kern w:val="0"/>
          <w:sz w:val="24"/>
        </w:rPr>
        <w:drawing>
          <wp:inline distT="0" distB="0" distL="114300" distR="114300">
            <wp:extent cx="4505325" cy="2714625"/>
            <wp:effectExtent l="0" t="0" r="9525" b="9525"/>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6"/>
                    <pic:cNvPicPr>
                      <a:picLocks noChangeAspect="1"/>
                    </pic:cNvPicPr>
                  </pic:nvPicPr>
                  <pic:blipFill>
                    <a:blip r:embed="rId8"/>
                    <a:stretch>
                      <a:fillRect/>
                    </a:stretch>
                  </pic:blipFill>
                  <pic:spPr>
                    <a:xfrm>
                      <a:off x="0" y="0"/>
                      <a:ext cx="4505325" cy="2714625"/>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Fonts w:ascii="黑体" w:hAnsi="黑体" w:eastAsia="黑体"/>
          <w:color w:val="000000"/>
          <w:sz w:val="32"/>
          <w:szCs w:val="32"/>
        </w:rPr>
      </w:pPr>
      <w:bookmarkStart w:id="34" w:name="_Toc15396606"/>
      <w:bookmarkStart w:id="35" w:name="_Toc15377208"/>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4"/>
      <w:bookmarkEnd w:id="3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9年财政拨款收入总计843.20万元；支出总计806.75万元。与</w:t>
      </w:r>
      <w:r>
        <w:rPr>
          <w:rFonts w:ascii="仿宋" w:hAnsi="仿宋" w:eastAsia="仿宋"/>
          <w:color w:val="000000"/>
          <w:sz w:val="32"/>
          <w:szCs w:val="32"/>
        </w:rPr>
        <w:t>201</w:t>
      </w:r>
      <w:r>
        <w:rPr>
          <w:rFonts w:hint="eastAsia" w:ascii="仿宋" w:hAnsi="仿宋" w:eastAsia="仿宋"/>
          <w:color w:val="000000"/>
          <w:sz w:val="32"/>
          <w:szCs w:val="32"/>
        </w:rPr>
        <w:t>8年相比，财政拨款收入总计增加36.43万元，增长4.52</w:t>
      </w:r>
      <w:r>
        <w:rPr>
          <w:rFonts w:ascii="仿宋" w:hAnsi="仿宋" w:eastAsia="仿宋"/>
          <w:color w:val="000000"/>
          <w:sz w:val="32"/>
          <w:szCs w:val="32"/>
        </w:rPr>
        <w:t>%</w:t>
      </w:r>
      <w:r>
        <w:rPr>
          <w:rFonts w:hint="eastAsia" w:ascii="仿宋" w:hAnsi="仿宋" w:eastAsia="仿宋"/>
          <w:color w:val="000000"/>
          <w:sz w:val="32"/>
          <w:szCs w:val="32"/>
        </w:rPr>
        <w:t>；支总计增加49.39万元，增长6.52</w:t>
      </w:r>
      <w:r>
        <w:rPr>
          <w:rFonts w:ascii="仿宋" w:hAnsi="仿宋" w:eastAsia="仿宋"/>
          <w:color w:val="000000"/>
          <w:sz w:val="32"/>
          <w:szCs w:val="32"/>
        </w:rPr>
        <w:t>%</w:t>
      </w:r>
      <w:r>
        <w:rPr>
          <w:rFonts w:hint="eastAsia" w:ascii="仿宋" w:hAnsi="仿宋" w:eastAsia="仿宋"/>
          <w:color w:val="000000"/>
          <w:sz w:val="32"/>
          <w:szCs w:val="32"/>
        </w:rPr>
        <w:t>。主要变动原因是学校办学规模增大，公用费用增大；财政从2019年执行调标工资增长，学校捐赠收入纳入预算财政拨款大幅增加。</w:t>
      </w:r>
    </w:p>
    <w:p>
      <w:pPr>
        <w:spacing w:line="600" w:lineRule="exact"/>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p>
      <w:pPr>
        <w:widowControl/>
        <w:jc w:val="left"/>
      </w:pPr>
      <w:r>
        <w:rPr>
          <w:rFonts w:ascii="宋体" w:hAnsi="宋体" w:cs="宋体"/>
          <w:kern w:val="0"/>
          <w:sz w:val="24"/>
        </w:rPr>
        <w:drawing>
          <wp:inline distT="0" distB="0" distL="114300" distR="114300">
            <wp:extent cx="4533900" cy="2695575"/>
            <wp:effectExtent l="0" t="0" r="0" b="9525"/>
            <wp:docPr id="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56"/>
                    <pic:cNvPicPr>
                      <a:picLocks noChangeAspect="1"/>
                    </pic:cNvPicPr>
                  </pic:nvPicPr>
                  <pic:blipFill>
                    <a:blip r:embed="rId9"/>
                    <a:stretch>
                      <a:fillRect/>
                    </a:stretch>
                  </pic:blipFill>
                  <pic:spPr>
                    <a:xfrm>
                      <a:off x="0" y="0"/>
                      <a:ext cx="4533900" cy="2695575"/>
                    </a:xfrm>
                    <a:prstGeom prst="rect">
                      <a:avLst/>
                    </a:prstGeom>
                    <a:noFill/>
                    <a:ln w="9525">
                      <a:noFill/>
                    </a:ln>
                  </pic:spPr>
                </pic:pic>
              </a:graphicData>
            </a:graphic>
          </wp:inline>
        </w:drawing>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Fonts w:ascii="黑体" w:hAnsi="黑体" w:eastAsia="黑体"/>
          <w:color w:val="000000"/>
          <w:sz w:val="32"/>
          <w:szCs w:val="32"/>
        </w:rPr>
      </w:pPr>
      <w:bookmarkStart w:id="36" w:name="_Toc15377209"/>
      <w:bookmarkStart w:id="37" w:name="_Toc15396607"/>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Fonts w:ascii="黑体" w:hAnsi="黑体" w:eastAsia="黑体"/>
          <w:color w:val="000000"/>
          <w:sz w:val="32"/>
          <w:szCs w:val="32"/>
        </w:rPr>
      </w:pPr>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6"/>
      <w:bookmarkEnd w:id="37"/>
    </w:p>
    <w:p>
      <w:pPr>
        <w:spacing w:line="600" w:lineRule="exact"/>
        <w:ind w:firstLine="643" w:firstLineChars="200"/>
        <w:outlineLvl w:val="2"/>
        <w:rPr>
          <w:rFonts w:ascii="仿宋" w:hAnsi="仿宋" w:eastAsia="仿宋"/>
          <w:b/>
          <w:color w:val="000000"/>
          <w:sz w:val="32"/>
          <w:szCs w:val="32"/>
        </w:rPr>
      </w:pPr>
      <w:bookmarkStart w:id="38" w:name="_Toc15377210"/>
      <w:r>
        <w:rPr>
          <w:rFonts w:hint="eastAsia" w:ascii="仿宋" w:hAnsi="仿宋" w:eastAsia="仿宋"/>
          <w:b/>
          <w:color w:val="000000"/>
          <w:sz w:val="32"/>
          <w:szCs w:val="32"/>
        </w:rPr>
        <w:t>（一）一般公共预算财政拨款支出决算总体情况</w:t>
      </w:r>
      <w:bookmarkEnd w:id="38"/>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9年一般公共预算财政拨款支出806.75万元，占本年支出合计的100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8年相比，一般公共预算财政拨款支出增加49.39万元，增长6.52</w:t>
      </w:r>
      <w:r>
        <w:rPr>
          <w:rFonts w:ascii="仿宋" w:hAnsi="仿宋" w:eastAsia="仿宋"/>
          <w:color w:val="000000"/>
          <w:sz w:val="32"/>
          <w:szCs w:val="32"/>
        </w:rPr>
        <w:t>%</w:t>
      </w:r>
      <w:r>
        <w:rPr>
          <w:rFonts w:hint="eastAsia" w:ascii="仿宋" w:hAnsi="仿宋" w:eastAsia="仿宋"/>
          <w:color w:val="000000"/>
          <w:sz w:val="32"/>
          <w:szCs w:val="32"/>
        </w:rPr>
        <w:t>。主要变动原因是学校办学规模增大，公用费用增大；财政从2019年执行调标工资增长，学校捐赠收入纳入预算财政拨款大幅增加。</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p>
      <w:pPr>
        <w:widowControl/>
        <w:jc w:val="left"/>
      </w:pPr>
      <w:r>
        <w:rPr>
          <w:rFonts w:ascii="宋体" w:hAnsi="宋体" w:cs="宋体"/>
          <w:kern w:val="0"/>
          <w:sz w:val="24"/>
        </w:rPr>
        <w:drawing>
          <wp:inline distT="0" distB="0" distL="114300" distR="114300">
            <wp:extent cx="4562475" cy="2695575"/>
            <wp:effectExtent l="0" t="0" r="9525" b="9525"/>
            <wp:docPr id="9"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IMG_256"/>
                    <pic:cNvPicPr>
                      <a:picLocks noChangeAspect="1"/>
                    </pic:cNvPicPr>
                  </pic:nvPicPr>
                  <pic:blipFill>
                    <a:blip r:embed="rId10"/>
                    <a:stretch>
                      <a:fillRect/>
                    </a:stretch>
                  </pic:blipFill>
                  <pic:spPr>
                    <a:xfrm>
                      <a:off x="0" y="0"/>
                      <a:ext cx="4562475" cy="2695575"/>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3" w:firstLineChars="200"/>
        <w:outlineLvl w:val="2"/>
        <w:rPr>
          <w:rFonts w:ascii="仿宋" w:hAnsi="仿宋" w:eastAsia="仿宋"/>
          <w:b/>
          <w:color w:val="000000"/>
          <w:sz w:val="32"/>
          <w:szCs w:val="32"/>
        </w:rPr>
      </w:pPr>
      <w:bookmarkStart w:id="39" w:name="_Toc15377211"/>
      <w:r>
        <w:rPr>
          <w:rFonts w:hint="eastAsia" w:ascii="仿宋" w:hAnsi="仿宋" w:eastAsia="仿宋"/>
          <w:b/>
          <w:color w:val="000000"/>
          <w:sz w:val="32"/>
          <w:szCs w:val="32"/>
        </w:rPr>
        <w:t>（二）一般公共预算财政拨款支出决算结构情况</w:t>
      </w:r>
      <w:bookmarkEnd w:id="39"/>
    </w:p>
    <w:p>
      <w:pPr>
        <w:spacing w:line="600" w:lineRule="exact"/>
        <w:ind w:firstLine="640"/>
        <w:rPr>
          <w:rFonts w:ascii="仿宋" w:hAnsi="仿宋" w:eastAsia="仿宋"/>
          <w:b/>
          <w:color w:val="000000" w:themeColor="text1"/>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w:t>
      </w:r>
      <w:r>
        <w:rPr>
          <w:rFonts w:hint="eastAsia" w:ascii="仿宋" w:hAnsi="仿宋" w:eastAsia="仿宋"/>
          <w:color w:val="000000"/>
          <w:sz w:val="32"/>
          <w:szCs w:val="32"/>
        </w:rPr>
        <w:t>806.75</w:t>
      </w:r>
      <w:r>
        <w:rPr>
          <w:rFonts w:hint="eastAsia" w:ascii="仿宋" w:hAnsi="仿宋" w:eastAsia="仿宋"/>
          <w:color w:val="000000" w:themeColor="text1"/>
          <w:sz w:val="32"/>
          <w:szCs w:val="32"/>
        </w:rPr>
        <w:t>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一般公共服务（类）</w:t>
      </w:r>
      <w:r>
        <w:rPr>
          <w:rFonts w:hint="eastAsia" w:ascii="仿宋" w:hAnsi="仿宋" w:eastAsia="仿宋"/>
          <w:color w:val="000000" w:themeColor="text1"/>
          <w:sz w:val="32"/>
          <w:szCs w:val="32"/>
        </w:rPr>
        <w:t>支出0万元，占0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教育支出（类）</w:t>
      </w:r>
      <w:r>
        <w:rPr>
          <w:rFonts w:hint="eastAsia" w:ascii="仿宋" w:hAnsi="仿宋" w:eastAsia="仿宋"/>
          <w:color w:val="000000" w:themeColor="text1"/>
          <w:sz w:val="32"/>
          <w:szCs w:val="32"/>
        </w:rPr>
        <w:t>595.96万元，占73.87</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科学技术（类）</w:t>
      </w:r>
      <w:r>
        <w:rPr>
          <w:rFonts w:hint="eastAsia" w:ascii="仿宋" w:hAnsi="仿宋" w:eastAsia="仿宋"/>
          <w:color w:val="000000" w:themeColor="text1"/>
          <w:sz w:val="32"/>
          <w:szCs w:val="32"/>
        </w:rPr>
        <w:t>支出0万元，占0</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文化旅游体育与传媒（类）支出0万元，占0</w:t>
      </w:r>
      <w:r>
        <w:rPr>
          <w:rFonts w:ascii="仿宋" w:hAnsi="仿宋" w:eastAsia="仿宋"/>
          <w:b/>
          <w:bCs/>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社会保障和就业（类）</w:t>
      </w:r>
      <w:r>
        <w:rPr>
          <w:rFonts w:hint="eastAsia" w:ascii="仿宋" w:hAnsi="仿宋" w:eastAsia="仿宋"/>
          <w:color w:val="000000" w:themeColor="text1"/>
          <w:sz w:val="32"/>
          <w:szCs w:val="32"/>
        </w:rPr>
        <w:t>支出122.29万元，占15.16</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rPr>
        <w:t>37.74万元，占4.68%；住房保障支出50.76万元，占6.29%。</w:t>
      </w:r>
    </w:p>
    <w:p>
      <w:pPr>
        <w:spacing w:line="600" w:lineRule="exact"/>
        <w:ind w:firstLine="64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widowControl/>
        <w:jc w:val="left"/>
      </w:pPr>
      <w:r>
        <w:rPr>
          <w:rFonts w:ascii="宋体" w:hAnsi="宋体" w:cs="宋体"/>
          <w:kern w:val="0"/>
          <w:sz w:val="24"/>
        </w:rPr>
        <w:drawing>
          <wp:inline distT="0" distB="0" distL="114300" distR="114300">
            <wp:extent cx="5784215" cy="4132580"/>
            <wp:effectExtent l="0" t="0" r="6985" b="1270"/>
            <wp:docPr id="1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56"/>
                    <pic:cNvPicPr>
                      <a:picLocks noChangeAspect="1"/>
                    </pic:cNvPicPr>
                  </pic:nvPicPr>
                  <pic:blipFill>
                    <a:blip r:embed="rId11"/>
                    <a:stretch>
                      <a:fillRect/>
                    </a:stretch>
                  </pic:blipFill>
                  <pic:spPr>
                    <a:xfrm>
                      <a:off x="0" y="0"/>
                      <a:ext cx="5784215" cy="4132580"/>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40" w:name="_Toc15377212"/>
      <w:r>
        <w:rPr>
          <w:rFonts w:hint="eastAsia" w:ascii="仿宋" w:hAnsi="仿宋" w:eastAsia="仿宋"/>
          <w:b/>
          <w:color w:val="000000"/>
          <w:sz w:val="32"/>
          <w:szCs w:val="32"/>
        </w:rPr>
        <w:t>（三）一般公共预算财政拨款支出决算具体情况</w:t>
      </w:r>
      <w:bookmarkEnd w:id="40"/>
    </w:p>
    <w:p>
      <w:pPr>
        <w:spacing w:line="600" w:lineRule="exact"/>
        <w:ind w:firstLine="643" w:firstLineChars="200"/>
        <w:outlineLvl w:val="2"/>
        <w:rPr>
          <w:rFonts w:ascii="仿宋" w:hAnsi="仿宋" w:eastAsia="仿宋"/>
          <w:color w:val="FF0000"/>
          <w:sz w:val="32"/>
          <w:szCs w:val="32"/>
        </w:rPr>
      </w:pPr>
      <w:bookmarkStart w:id="41" w:name="_Toc15377444"/>
      <w:bookmarkStart w:id="42" w:name="_Toc15377213"/>
      <w:bookmarkStart w:id="43" w:name="_Toc15378460"/>
      <w:r>
        <w:rPr>
          <w:rFonts w:hint="eastAsia" w:ascii="仿宋" w:hAnsi="仿宋" w:eastAsia="仿宋"/>
          <w:b/>
          <w:color w:val="000000" w:themeColor="text1"/>
          <w:sz w:val="32"/>
          <w:szCs w:val="32"/>
        </w:rPr>
        <w:t>2019年一般公共预算支出决算数为806.75</w:t>
      </w:r>
      <w:r>
        <w:rPr>
          <w:rFonts w:hint="eastAsia" w:ascii="仿宋" w:hAnsi="仿宋" w:eastAsia="仿宋"/>
          <w:color w:val="000000" w:themeColor="text1"/>
          <w:sz w:val="32"/>
          <w:szCs w:val="32"/>
        </w:rPr>
        <w:t>，</w:t>
      </w:r>
      <w:r>
        <w:rPr>
          <w:rStyle w:val="14"/>
          <w:rFonts w:hint="eastAsia" w:ascii="仿宋" w:hAnsi="仿宋" w:eastAsia="仿宋"/>
          <w:bCs/>
          <w:color w:val="000000" w:themeColor="text1"/>
          <w:sz w:val="32"/>
          <w:szCs w:val="32"/>
        </w:rPr>
        <w:t>完成</w:t>
      </w:r>
      <w:r>
        <w:rPr>
          <w:rStyle w:val="14"/>
          <w:rFonts w:hint="eastAsia" w:ascii="仿宋" w:hAnsi="仿宋" w:eastAsia="仿宋"/>
          <w:bCs/>
          <w:color w:val="000000"/>
          <w:sz w:val="32"/>
          <w:szCs w:val="32"/>
        </w:rPr>
        <w:t>预算89.44</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41"/>
      <w:bookmarkEnd w:id="42"/>
      <w:bookmarkEnd w:id="43"/>
    </w:p>
    <w:p>
      <w:pPr>
        <w:spacing w:line="600" w:lineRule="exact"/>
        <w:ind w:firstLine="643" w:firstLineChars="200"/>
        <w:rPr>
          <w:rStyle w:val="14"/>
          <w:rFonts w:ascii="仿宋" w:hAnsi="仿宋" w:eastAsia="仿宋"/>
          <w:b w:val="0"/>
          <w:bCs/>
          <w:color w:val="000000"/>
          <w:sz w:val="32"/>
          <w:szCs w:val="32"/>
        </w:rPr>
      </w:pPr>
      <w:r>
        <w:rPr>
          <w:rStyle w:val="14"/>
          <w:rFonts w:hint="eastAsia" w:ascii="仿宋" w:hAnsi="仿宋" w:eastAsia="仿宋"/>
          <w:bCs/>
          <w:color w:val="000000"/>
          <w:sz w:val="32"/>
          <w:szCs w:val="32"/>
        </w:rPr>
        <w:t>1</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教育（类）普通教育（款）  初中教育（项）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支出决算为585.17万元，完成预算86.24</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，决算数小于预算数的主要原因是在职死亡职工抚恤金暂未领取以及个别维修维护费用暂未领取。</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rPr>
        <w:t>2.教育（类）成人教育（款）成人初等教育（项）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支出决算为10.79万元，完成预算100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Style w:val="14"/>
          <w:rFonts w:ascii="仿宋" w:hAnsi="仿宋" w:eastAsia="仿宋"/>
          <w:b w:val="0"/>
          <w:bCs/>
          <w:color w:val="000000"/>
          <w:sz w:val="32"/>
          <w:szCs w:val="32"/>
        </w:rPr>
      </w:pPr>
      <w:r>
        <w:rPr>
          <w:rStyle w:val="14"/>
          <w:rFonts w:hint="eastAsia" w:ascii="仿宋" w:hAnsi="仿宋" w:eastAsia="仿宋"/>
          <w:bCs/>
          <w:color w:val="000000"/>
          <w:sz w:val="32"/>
          <w:szCs w:val="32"/>
        </w:rPr>
        <w:t>3</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社会保障和就业（类）行政事业单位离退休（款）  事业单位离退休（项）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支出决算为26.94万元，完成预算100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rPr>
        <w:t>4.社会保障和就业（类）行政事业单位离退休（款）  机关事业单位基本养老保险缴费支出（项）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支出决算为65.24万元，完成预算100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rPr>
        <w:t>5.社会保障和就业（类）行政事业单位离退休（款）    机关事业单位职业年金缴费支出（项）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支出决算为30.11万元，完成预算100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6.</w:t>
      </w:r>
      <w:r>
        <w:rPr>
          <w:rFonts w:hint="eastAsia" w:ascii="仿宋" w:hAnsi="仿宋" w:eastAsia="仿宋"/>
          <w:b/>
          <w:bCs/>
          <w:color w:val="000000" w:themeColor="text1"/>
          <w:sz w:val="32"/>
          <w:szCs w:val="32"/>
        </w:rPr>
        <w:t>卫生健康</w:t>
      </w:r>
      <w:r>
        <w:rPr>
          <w:rStyle w:val="14"/>
          <w:rFonts w:hint="eastAsia" w:ascii="仿宋" w:hAnsi="仿宋" w:eastAsia="仿宋"/>
          <w:bCs/>
          <w:color w:val="000000"/>
          <w:sz w:val="32"/>
          <w:szCs w:val="32"/>
        </w:rPr>
        <w:t>（类）行政事业单位医疗（款）  事业单位医疗（项）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支出决算为23.21万元，完成预算100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rPr>
        <w:t>7.卫生健康</w:t>
      </w:r>
      <w:r>
        <w:rPr>
          <w:rStyle w:val="14"/>
          <w:rFonts w:hint="eastAsia" w:ascii="仿宋" w:hAnsi="仿宋" w:eastAsia="仿宋"/>
          <w:bCs/>
          <w:color w:val="000000"/>
          <w:sz w:val="32"/>
          <w:szCs w:val="32"/>
        </w:rPr>
        <w:t>（类）行政事业单位医疗（款）  公务员医疗补助（项）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支出决算为12.64万元，完成预算100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rPr>
        <w:t>8.卫生健康</w:t>
      </w:r>
      <w:r>
        <w:rPr>
          <w:rStyle w:val="14"/>
          <w:rFonts w:hint="eastAsia" w:ascii="仿宋" w:hAnsi="仿宋" w:eastAsia="仿宋"/>
          <w:bCs/>
          <w:color w:val="000000"/>
          <w:sz w:val="32"/>
          <w:szCs w:val="32"/>
        </w:rPr>
        <w:t>（类）其他卫生健康支出（款）  其他卫生健康支出（项）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支出决算为1.88万元，完成预算100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rPr>
        <w:t>9.住房保障支出</w:t>
      </w:r>
      <w:r>
        <w:rPr>
          <w:rStyle w:val="14"/>
          <w:rFonts w:hint="eastAsia" w:ascii="仿宋" w:hAnsi="仿宋" w:eastAsia="仿宋"/>
          <w:bCs/>
          <w:color w:val="000000"/>
          <w:sz w:val="32"/>
          <w:szCs w:val="32"/>
        </w:rPr>
        <w:t>（类）住房改革支出（款）   住房公积金（项）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支出决算为50.76万元，完成预算100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rPr>
          <w:rFonts w:ascii="仿宋" w:hAnsi="仿宋" w:eastAsia="仿宋"/>
          <w:b/>
          <w:color w:val="000000"/>
          <w:sz w:val="32"/>
          <w:szCs w:val="32"/>
        </w:rPr>
      </w:pPr>
    </w:p>
    <w:p>
      <w:pPr>
        <w:tabs>
          <w:tab w:val="right" w:pos="8306"/>
        </w:tabs>
        <w:spacing w:line="600" w:lineRule="exact"/>
        <w:ind w:firstLine="640"/>
        <w:outlineLvl w:val="1"/>
        <w:rPr>
          <w:rStyle w:val="25"/>
        </w:rPr>
      </w:pPr>
      <w:bookmarkStart w:id="44" w:name="_Toc15396608"/>
      <w:bookmarkStart w:id="45"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4"/>
      <w:bookmarkEnd w:id="45"/>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9年一般公共预算财政拨款基本支出806.75万元，其中：</w:t>
      </w:r>
    </w:p>
    <w:p>
      <w:pPr>
        <w:spacing w:line="600" w:lineRule="exact"/>
        <w:ind w:firstLine="645"/>
        <w:rPr>
          <w:rFonts w:ascii="仿宋" w:hAnsi="仿宋" w:eastAsia="仿宋"/>
          <w:color w:val="000000"/>
          <w:sz w:val="32"/>
          <w:szCs w:val="32"/>
        </w:rPr>
      </w:pPr>
      <w:r>
        <w:rPr>
          <w:rFonts w:hint="eastAsia" w:ascii="仿宋" w:hAnsi="仿宋" w:eastAsia="仿宋"/>
          <w:color w:val="000000"/>
          <w:sz w:val="32"/>
          <w:szCs w:val="32"/>
        </w:rPr>
        <w:t>人员经费607.24万元，主要包括：基本工资257.14、津贴补贴21.60、奖金万元、伙食补助费0万元、绩效工资143.52万元、机关事业单位基本养老保险缴费65.24万元、职业年金缴费30.11万元、职工基本医疗保险缴费23.21万元、公务员医疗补助缴费6.56万元、其他社会保障缴费5.18万元、住房公积金50.76万元、医疗0万元、其他工资福利支出0万元、离休费0万元、退休费0万元、退职（役）费0万元、抚恤0万元、生活补助23.58万元、救济费0万元、医疗费补助6.08万元、助学0万元、奖励金0.12万元、其他对个人和家庭的补助支出4.59万元。</w:t>
      </w:r>
      <w:r>
        <w:rPr>
          <w:rFonts w:ascii="仿宋" w:hAnsi="仿宋" w:eastAsia="仿宋"/>
          <w:color w:val="000000"/>
          <w:sz w:val="32"/>
          <w:szCs w:val="32"/>
        </w:rPr>
        <w:br w:type="textWrapping"/>
      </w:r>
      <w:r>
        <w:rPr>
          <w:rFonts w:hint="eastAsia" w:ascii="仿宋" w:hAnsi="仿宋" w:eastAsia="仿宋"/>
          <w:color w:val="000000"/>
          <w:sz w:val="32"/>
          <w:szCs w:val="32"/>
        </w:rPr>
        <w:t>　　日常公用经费153.9万元，主要包括：办公费23.13万元、印刷费0.99万元、咨询费0万元、手续费0.04万元、水费4.31万元、电费6.80万元、邮电费0.92万元、取暖费0万元、物业管理费0万元、差旅费12.64万元、因公出国（境）费用0万元、维修（护）费17.42万元、租赁费0万元、会议费0万元、培训费1.05万元、公务接待费0万元、专用材料费35.61万元、劳务费17.5万元、委托业务费0万元、工会经费31.42万元、福利费2.06万元、公务用车运行维护费0万元、其他交通费0万元、税金及附加费用0万元、其他商品和服务支出0万元、办公设备购置11.23万元、专用设备购置0万元、信息网络及软件购置更新0万元、其他资本性支出0万元等。</w:t>
      </w:r>
    </w:p>
    <w:p>
      <w:pPr>
        <w:spacing w:line="600" w:lineRule="exact"/>
        <w:ind w:firstLine="640"/>
        <w:outlineLvl w:val="1"/>
        <w:rPr>
          <w:rStyle w:val="25"/>
          <w:rFonts w:ascii="黑体" w:hAnsi="黑体" w:eastAsia="黑体"/>
          <w:b w:val="0"/>
        </w:rPr>
      </w:pPr>
      <w:bookmarkStart w:id="46" w:name="_Toc15396609"/>
      <w:bookmarkStart w:id="47" w:name="_Toc15377215"/>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6"/>
      <w:bookmarkEnd w:id="47"/>
    </w:p>
    <w:p>
      <w:pPr>
        <w:spacing w:line="600" w:lineRule="exact"/>
        <w:ind w:firstLine="640"/>
        <w:outlineLvl w:val="2"/>
        <w:rPr>
          <w:rFonts w:ascii="仿宋" w:hAnsi="仿宋" w:eastAsia="仿宋"/>
          <w:b/>
          <w:color w:val="000000"/>
          <w:sz w:val="32"/>
          <w:szCs w:val="32"/>
        </w:rPr>
      </w:pPr>
      <w:bookmarkStart w:id="48" w:name="_Toc15377216"/>
      <w:r>
        <w:rPr>
          <w:rFonts w:hint="eastAsia" w:ascii="仿宋" w:hAnsi="仿宋" w:eastAsia="仿宋"/>
          <w:b/>
          <w:color w:val="000000"/>
          <w:sz w:val="32"/>
          <w:szCs w:val="32"/>
        </w:rPr>
        <w:t>（一）“三公”经费财政拨款支出决算总体情况说明</w:t>
      </w:r>
      <w:bookmarkEnd w:id="48"/>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9年“三公”经费财政拨款支出决算为0万元，完成预算0</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，决算数小于预算数（或与预算数持平）的主要原因是无。</w:t>
      </w:r>
    </w:p>
    <w:p>
      <w:pPr>
        <w:spacing w:line="600" w:lineRule="exact"/>
        <w:ind w:firstLine="640"/>
        <w:outlineLvl w:val="2"/>
        <w:rPr>
          <w:rFonts w:ascii="仿宋" w:hAnsi="仿宋" w:eastAsia="仿宋"/>
          <w:b/>
          <w:color w:val="000000"/>
          <w:sz w:val="32"/>
          <w:szCs w:val="32"/>
        </w:rPr>
      </w:pPr>
      <w:bookmarkStart w:id="49" w:name="_Toc15377217"/>
      <w:r>
        <w:rPr>
          <w:rFonts w:hint="eastAsia" w:ascii="仿宋" w:hAnsi="仿宋" w:eastAsia="仿宋"/>
          <w:b/>
          <w:color w:val="000000"/>
          <w:sz w:val="32"/>
          <w:szCs w:val="32"/>
        </w:rPr>
        <w:t>（二）“三公”经费财政拨款支出决算具体情况说明</w:t>
      </w:r>
      <w:bookmarkEnd w:id="49"/>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9年“三公”经费财政拨款支出决算中，因公出国（境）费支出决算0万元，占0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；公务用车购置及运行维护费支出决算0万元，占0</w:t>
      </w:r>
      <w:r>
        <w:rPr>
          <w:rFonts w:ascii="仿宋" w:hAnsi="仿宋" w:eastAsia="仿宋"/>
          <w:color w:val="000000"/>
          <w:sz w:val="32"/>
          <w:szCs w:val="32"/>
        </w:rPr>
        <w:t>%</w:t>
      </w:r>
      <w:r>
        <w:rPr>
          <w:rFonts w:hint="eastAsia" w:ascii="仿宋" w:hAnsi="仿宋" w:eastAsia="仿宋"/>
          <w:color w:val="000000"/>
          <w:sz w:val="32"/>
          <w:szCs w:val="32"/>
        </w:rPr>
        <w:t>；公务接待费支出决算0万元，占0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widowControl/>
        <w:jc w:val="center"/>
      </w:pPr>
      <w:r>
        <w:rPr>
          <w:rFonts w:ascii="宋体" w:hAnsi="宋体" w:cs="宋体"/>
          <w:kern w:val="0"/>
          <w:sz w:val="24"/>
        </w:rPr>
        <w:drawing>
          <wp:inline distT="0" distB="0" distL="114300" distR="114300">
            <wp:extent cx="3681095" cy="1640840"/>
            <wp:effectExtent l="0" t="0" r="14605" b="16510"/>
            <wp:docPr id="1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6"/>
                    <pic:cNvPicPr>
                      <a:picLocks noChangeAspect="1"/>
                    </pic:cNvPicPr>
                  </pic:nvPicPr>
                  <pic:blipFill>
                    <a:blip r:embed="rId12"/>
                    <a:stretch>
                      <a:fillRect/>
                    </a:stretch>
                  </pic:blipFill>
                  <pic:spPr>
                    <a:xfrm>
                      <a:off x="0" y="0"/>
                      <a:ext cx="3681095" cy="1640840"/>
                    </a:xfrm>
                    <a:prstGeom prst="rect">
                      <a:avLst/>
                    </a:prstGeom>
                    <a:noFill/>
                    <a:ln w="9525">
                      <a:noFill/>
                    </a:ln>
                  </pic:spPr>
                </pic:pic>
              </a:graphicData>
            </a:graphic>
          </wp:inline>
        </w:drawing>
      </w:r>
    </w:p>
    <w:p>
      <w:pPr>
        <w:spacing w:line="600" w:lineRule="exact"/>
        <w:ind w:firstLine="640"/>
        <w:rPr>
          <w:rFonts w:ascii="仿宋" w:hAnsi="仿宋" w:eastAsia="仿宋"/>
          <w:color w:val="000000"/>
          <w:sz w:val="32"/>
          <w:szCs w:val="32"/>
        </w:rPr>
      </w:pP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全年安排因公出国（境）团组0次，出国（境）0人。因公出国（境）支出决算比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。主要原因是无</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开支内容包括：无</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。主要原因是无</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月底，单位共有公务用车0辆，其中：主要领导干部用车0辆、机要通信用车0辆、应急保障用车0辆、 执法执勤用车0辆。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0万元。主要用于（具体工作）等所需的公务用车燃料费、维修费、过路过桥费、保险费等支出。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rPr>
        <w:t>0万元，</w:t>
      </w:r>
      <w:r>
        <w:rPr>
          <w:rStyle w:val="14"/>
          <w:rFonts w:hint="eastAsia" w:ascii="仿宋" w:hAnsi="仿宋" w:eastAsia="仿宋"/>
          <w:b w:val="0"/>
          <w:bCs/>
          <w:color w:val="000000"/>
          <w:sz w:val="32"/>
          <w:szCs w:val="32"/>
        </w:rPr>
        <w:t>完成预算0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。主要原因是无，其中：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rPr>
        <w:t>0</w:t>
      </w:r>
      <w:r>
        <w:rPr>
          <w:rFonts w:hint="eastAsia" w:ascii="仿宋_GB2312" w:eastAsia="仿宋_GB2312"/>
          <w:color w:val="000000"/>
          <w:sz w:val="32"/>
          <w:szCs w:val="32"/>
        </w:rPr>
        <w:t>万元，主要用于0(执行公务、开展业务活动开支的交通费、住宿费、用餐费等)。国内公务接待0批次，0人次（不包括陪同人员），共计支出0万元，具体内容包括：无（接待具体项目、金额）。</w:t>
      </w:r>
    </w:p>
    <w:p>
      <w:pPr>
        <w:spacing w:line="600" w:lineRule="exact"/>
        <w:ind w:firstLine="643" w:firstLineChars="200"/>
        <w:rPr>
          <w:rFonts w:ascii="仿宋_GB2312" w:eastAsia="仿宋_GB2312"/>
          <w:color w:val="000000" w:themeColor="text1"/>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rPr>
        <w:t>，外事接待0批次，0人，共计支出0万元，主要用于接待：无（具体项目）</w:t>
      </w:r>
    </w:p>
    <w:p>
      <w:pPr>
        <w:spacing w:line="600" w:lineRule="exact"/>
        <w:ind w:firstLine="640"/>
        <w:outlineLvl w:val="1"/>
        <w:rPr>
          <w:rFonts w:ascii="黑体" w:eastAsia="黑体"/>
          <w:color w:val="000000"/>
          <w:sz w:val="32"/>
          <w:szCs w:val="32"/>
        </w:rPr>
      </w:pPr>
      <w:bookmarkStart w:id="50" w:name="_Toc15396610"/>
      <w:bookmarkStart w:id="51" w:name="_Toc15377218"/>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50"/>
      <w:bookmarkEnd w:id="51"/>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9年政府性基金预算拨款支出0万元。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25"/>
          <w:rFonts w:ascii="黑体" w:hAnsi="黑体" w:eastAsia="黑体"/>
          <w:b w:val="0"/>
        </w:rPr>
      </w:pPr>
      <w:bookmarkStart w:id="52" w:name="_Toc15396611"/>
      <w:bookmarkStart w:id="53" w:name="_Toc15377219"/>
      <w:r>
        <w:rPr>
          <w:rStyle w:val="25"/>
          <w:rFonts w:hint="eastAsia" w:ascii="黑体" w:hAnsi="黑体" w:eastAsia="黑体"/>
          <w:b w:val="0"/>
        </w:rPr>
        <w:t>国有资本经营预算支出决算情况说明</w:t>
      </w:r>
      <w:bookmarkEnd w:id="52"/>
      <w:bookmarkEnd w:id="53"/>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9年国有资本经营预算拨款支出0万元。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4" w:name="_Toc15377221"/>
      <w:bookmarkStart w:id="55" w:name="_Toc15396612"/>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4"/>
      <w:bookmarkEnd w:id="55"/>
    </w:p>
    <w:p>
      <w:pPr>
        <w:spacing w:line="600" w:lineRule="exact"/>
        <w:ind w:firstLine="643" w:firstLineChars="200"/>
        <w:outlineLvl w:val="2"/>
        <w:rPr>
          <w:rFonts w:ascii="仿宋" w:hAnsi="仿宋" w:eastAsia="仿宋"/>
          <w:color w:val="000000"/>
          <w:sz w:val="32"/>
          <w:szCs w:val="32"/>
        </w:rPr>
      </w:pPr>
      <w:bookmarkStart w:id="56" w:name="_Toc15377222"/>
      <w:r>
        <w:rPr>
          <w:rFonts w:hint="eastAsia" w:ascii="仿宋" w:hAnsi="仿宋" w:eastAsia="仿宋"/>
          <w:b/>
          <w:color w:val="000000"/>
          <w:sz w:val="32"/>
          <w:szCs w:val="32"/>
        </w:rPr>
        <w:t>（一）机关运行经费支出情况</w:t>
      </w:r>
      <w:bookmarkEnd w:id="56"/>
    </w:p>
    <w:p>
      <w:pPr>
        <w:spacing w:line="600" w:lineRule="exact"/>
        <w:ind w:firstLine="640" w:firstLineChars="200"/>
        <w:rPr>
          <w:rFonts w:ascii="仿宋_GB2312" w:eastAsia="仿宋_GB2312"/>
          <w:color w:val="000000" w:themeColor="text1"/>
          <w:sz w:val="32"/>
          <w:szCs w:val="32"/>
        </w:rPr>
      </w:pPr>
      <w:r>
        <w:rPr>
          <w:rFonts w:ascii="仿宋_GB2312" w:eastAsia="仿宋_GB2312"/>
          <w:color w:val="000000"/>
          <w:sz w:val="32"/>
          <w:szCs w:val="32"/>
        </w:rPr>
        <w:t>201</w:t>
      </w:r>
      <w:r>
        <w:rPr>
          <w:rFonts w:hint="eastAsia" w:ascii="仿宋_GB2312" w:eastAsia="仿宋_GB2312"/>
          <w:color w:val="000000"/>
          <w:sz w:val="32"/>
          <w:szCs w:val="32"/>
        </w:rPr>
        <w:t>9年，机关运行经费支出0万元，比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减少0万元，增长</w:t>
      </w:r>
      <w:r>
        <w:rPr>
          <w:rFonts w:ascii="仿宋_GB2312" w:eastAsia="仿宋_GB2312"/>
          <w:color w:val="000000"/>
          <w:sz w:val="32"/>
          <w:szCs w:val="32"/>
        </w:rPr>
        <w:t>/</w:t>
      </w:r>
      <w:r>
        <w:rPr>
          <w:rFonts w:hint="eastAsia" w:ascii="仿宋_GB2312" w:eastAsia="仿宋_GB2312"/>
          <w:color w:val="000000"/>
          <w:sz w:val="32"/>
          <w:szCs w:val="32"/>
        </w:rPr>
        <w:t>下降0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rPr>
        <w:t>主要原因是：无。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7" w:name="_Toc15377223"/>
      <w:r>
        <w:rPr>
          <w:rFonts w:hint="eastAsia" w:ascii="仿宋" w:hAnsi="仿宋" w:eastAsia="仿宋"/>
          <w:b/>
          <w:color w:val="000000"/>
          <w:sz w:val="32"/>
          <w:szCs w:val="32"/>
        </w:rPr>
        <w:t>（二）政府采购支出情况</w:t>
      </w:r>
      <w:bookmarkEnd w:id="57"/>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9年，本单位政府采购支出总额11.23万元，其中：政府采购货物支出11.23万元、政府采购工程支出0万元、政府采购服务支出0万元。主要用于办公设备购置。授予中小企业合同金额11.23万元，占政府采购支出总额的100</w:t>
      </w:r>
      <w:r>
        <w:rPr>
          <w:rFonts w:ascii="仿宋_GB2312" w:eastAsia="仿宋_GB2312"/>
          <w:color w:val="000000"/>
          <w:sz w:val="32"/>
          <w:szCs w:val="32"/>
        </w:rPr>
        <w:t>%</w:t>
      </w:r>
      <w:r>
        <w:rPr>
          <w:rFonts w:hint="eastAsia" w:ascii="仿宋_GB2312" w:eastAsia="仿宋_GB2312"/>
          <w:color w:val="000000"/>
          <w:sz w:val="32"/>
          <w:szCs w:val="32"/>
        </w:rPr>
        <w:t>，其中：授予小微企业合同金额11.23万元，占政府采购支出总额的100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8" w:name="_Toc15377224"/>
      <w:r>
        <w:rPr>
          <w:rFonts w:hint="eastAsia" w:ascii="仿宋" w:hAnsi="仿宋" w:eastAsia="仿宋"/>
          <w:b/>
          <w:color w:val="000000"/>
          <w:sz w:val="32"/>
          <w:szCs w:val="32"/>
        </w:rPr>
        <w:t>（三）国有资产占有使用情况</w:t>
      </w:r>
      <w:bookmarkEnd w:id="58"/>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日，本单位共有车辆0辆，其中：主要领导干部用车0辆、机要通信用车0辆、应急保障用车0辆、其他用车0辆.</w:t>
      </w:r>
      <w:r>
        <w:rPr>
          <w:rFonts w:hint="eastAsia" w:ascii="仿宋_GB2312" w:eastAsia="仿宋_GB2312"/>
          <w:color w:val="000000" w:themeColor="text1"/>
          <w:sz w:val="32"/>
          <w:szCs w:val="32"/>
        </w:rPr>
        <w:t>其他用车主要是用于：无。单价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万元以上通用设备0台（套），单价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1.根据预算绩效管理要求，本部门（单位）在年初预算编制阶段，本部门无专项预算项目，因此未组织开展项目支出绩效评价，本部门未组织开展项目支出绩效评价。</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本部门按要求对2019年部门整体支出开展绩效自评，从评价情况来看，总得分95分。</w:t>
      </w:r>
    </w:p>
    <w:p>
      <w:pPr>
        <w:spacing w:line="580" w:lineRule="exact"/>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本部门按要求对2019年部门整体支出绩效评价情况开展自评，《广汉中学实验学校高新分校部门2019年部门整体支出绩效评价报告》见附件（附件1）。</w:t>
      </w:r>
    </w:p>
    <w:p>
      <w:pPr>
        <w:spacing w:line="580" w:lineRule="exact"/>
        <w:ind w:firstLine="643" w:firstLineChars="200"/>
        <w:rPr>
          <w:rFonts w:ascii="仿宋_GB2312" w:eastAsia="仿宋_GB2312"/>
          <w:b/>
          <w:color w:val="000000"/>
          <w:sz w:val="32"/>
          <w:szCs w:val="32"/>
        </w:rPr>
      </w:pPr>
    </w:p>
    <w:p>
      <w:pPr>
        <w:numPr>
          <w:ilvl w:val="0"/>
          <w:numId w:val="3"/>
        </w:numPr>
        <w:spacing w:line="600" w:lineRule="exact"/>
        <w:ind w:firstLine="660" w:firstLineChars="150"/>
        <w:jc w:val="center"/>
        <w:outlineLvl w:val="0"/>
        <w:rPr>
          <w:rStyle w:val="24"/>
          <w:rFonts w:ascii="黑体" w:hAnsi="黑体" w:eastAsia="黑体"/>
          <w:b w:val="0"/>
        </w:rPr>
      </w:pPr>
      <w:bookmarkStart w:id="59" w:name="_Toc15396613"/>
      <w:bookmarkStart w:id="60" w:name="_Toc15377225"/>
      <w:r>
        <w:rPr>
          <w:rFonts w:hint="eastAsia" w:ascii="黑体" w:hAnsi="黑体" w:eastAsia="黑体"/>
          <w:color w:val="000000"/>
          <w:sz w:val="44"/>
          <w:szCs w:val="44"/>
        </w:rPr>
        <w:t>名</w:t>
      </w:r>
      <w:r>
        <w:rPr>
          <w:rStyle w:val="24"/>
          <w:rFonts w:hint="eastAsia" w:ascii="黑体" w:hAnsi="黑体" w:eastAsia="黑体"/>
          <w:b w:val="0"/>
        </w:rPr>
        <w:t>词解释</w:t>
      </w:r>
      <w:bookmarkEnd w:id="59"/>
      <w:bookmarkEnd w:id="60"/>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9</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10</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11</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hint="eastAsia" w:ascii="仿宋_GB2312" w:eastAsia="仿宋_GB2312"/>
          <w:sz w:val="32"/>
          <w:szCs w:val="32"/>
        </w:rPr>
        <w:t>12</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hint="eastAsia" w:ascii="仿宋_GB2312" w:eastAsia="仿宋_GB2312"/>
          <w:sz w:val="32"/>
          <w:szCs w:val="32"/>
        </w:rPr>
        <w:t>13</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cs="黑体"/>
          <w:sz w:val="32"/>
          <w:szCs w:val="32"/>
        </w:rPr>
      </w:pPr>
    </w:p>
    <w:p>
      <w:pPr>
        <w:spacing w:line="600" w:lineRule="exact"/>
        <w:jc w:val="center"/>
        <w:outlineLvl w:val="0"/>
        <w:rPr>
          <w:rStyle w:val="24"/>
          <w:rFonts w:ascii="黑体" w:hAnsi="黑体" w:eastAsia="黑体"/>
          <w:b w:val="0"/>
        </w:rPr>
      </w:pPr>
      <w:bookmarkStart w:id="61" w:name="_Toc15377226"/>
      <w:r>
        <w:rPr>
          <w:rFonts w:ascii="宋体"/>
          <w:b/>
          <w:color w:val="000000"/>
          <w:sz w:val="44"/>
          <w:szCs w:val="44"/>
        </w:rPr>
        <w:br w:type="page"/>
      </w:r>
      <w:bookmarkStart w:id="62"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62"/>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rPr>
        <w:t>广汉中学实验学校高新分校</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autoSpaceDE w:val="0"/>
        <w:autoSpaceDN w:val="0"/>
        <w:adjustRightInd w:val="0"/>
        <w:spacing w:line="580" w:lineRule="exact"/>
        <w:ind w:firstLine="643" w:firstLineChars="200"/>
        <w:jc w:val="left"/>
        <w:rPr>
          <w:rFonts w:ascii="仿宋" w:hAnsi="仿宋" w:eastAsia="仿宋" w:cs="仿宋"/>
          <w:b/>
          <w:bCs/>
          <w:kern w:val="0"/>
          <w:sz w:val="32"/>
          <w:szCs w:val="32"/>
        </w:rPr>
      </w:pPr>
      <w:r>
        <w:rPr>
          <w:rFonts w:hint="eastAsia" w:ascii="仿宋" w:hAnsi="仿宋" w:eastAsia="仿宋" w:cs="仿宋"/>
          <w:b/>
          <w:bCs/>
          <w:kern w:val="0"/>
          <w:sz w:val="32"/>
          <w:szCs w:val="32"/>
        </w:rPr>
        <w:t>一、部门（单位）概况</w:t>
      </w:r>
    </w:p>
    <w:p>
      <w:pPr>
        <w:spacing w:line="40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（一）</w:t>
      </w:r>
      <w:r>
        <w:rPr>
          <w:rFonts w:hint="eastAsia" w:ascii="仿宋" w:hAnsi="仿宋" w:eastAsia="仿宋" w:cs="仿宋"/>
          <w:b/>
          <w:bCs/>
          <w:sz w:val="28"/>
          <w:szCs w:val="28"/>
        </w:rPr>
        <w:t>1．主要职能</w:t>
      </w:r>
      <w:r>
        <w:rPr>
          <w:rFonts w:hint="eastAsia" w:ascii="仿宋" w:hAnsi="仿宋" w:eastAsia="仿宋" w:cs="仿宋"/>
          <w:sz w:val="28"/>
          <w:szCs w:val="28"/>
        </w:rPr>
        <w:t>：学校总体情况：学校地址：四川省广汉市新丰镇海口路166号。邮政编码：618312 广汉中学实验学校高新分校位于广汉市新丰镇，是一所全日制公办初中学校。 校园（局域）名：</w:t>
      </w:r>
      <w:r>
        <w:fldChar w:fldCharType="begin"/>
      </w:r>
      <w:r>
        <w:instrText xml:space="preserve"> HYPERLINK "http://10.10.2/ghsxfzzxx" </w:instrText>
      </w:r>
      <w:r>
        <w:fldChar w:fldCharType="separate"/>
      </w:r>
      <w:r>
        <w:rPr>
          <w:rStyle w:val="15"/>
          <w:rFonts w:hint="eastAsia" w:ascii="仿宋" w:hAnsi="仿宋" w:eastAsia="仿宋" w:cs="仿宋"/>
          <w:sz w:val="28"/>
          <w:szCs w:val="28"/>
        </w:rPr>
        <w:t>http://10.10.2/ghsxfzzxx</w:t>
      </w:r>
      <w:r>
        <w:rPr>
          <w:rStyle w:val="15"/>
          <w:rFonts w:hint="eastAsia" w:ascii="仿宋" w:hAnsi="仿宋" w:eastAsia="仿宋" w:cs="仿宋"/>
          <w:sz w:val="28"/>
          <w:szCs w:val="28"/>
        </w:rPr>
        <w:fldChar w:fldCharType="end"/>
      </w:r>
      <w:r>
        <w:rPr>
          <w:rFonts w:hint="eastAsia" w:ascii="仿宋" w:hAnsi="仿宋" w:eastAsia="仿宋" w:cs="仿宋"/>
          <w:sz w:val="28"/>
          <w:szCs w:val="28"/>
        </w:rPr>
        <w:t xml:space="preserve">  单位电子信箱 ：</w:t>
      </w:r>
      <w:r>
        <w:fldChar w:fldCharType="begin"/>
      </w:r>
      <w:r>
        <w:instrText xml:space="preserve"> HYPERLINK "mailto:649117963@qq.com" </w:instrText>
      </w:r>
      <w:r>
        <w:fldChar w:fldCharType="separate"/>
      </w:r>
      <w:r>
        <w:rPr>
          <w:rStyle w:val="15"/>
          <w:rFonts w:hint="eastAsia" w:ascii="仿宋" w:hAnsi="仿宋" w:eastAsia="仿宋" w:cs="仿宋"/>
          <w:sz w:val="28"/>
          <w:szCs w:val="28"/>
        </w:rPr>
        <w:t>649117963@qq.com</w:t>
      </w:r>
      <w:r>
        <w:rPr>
          <w:rStyle w:val="15"/>
          <w:rFonts w:hint="eastAsia" w:ascii="仿宋" w:hAnsi="仿宋" w:eastAsia="仿宋" w:cs="仿宋"/>
          <w:sz w:val="28"/>
          <w:szCs w:val="28"/>
        </w:rPr>
        <w:fldChar w:fldCharType="end"/>
      </w:r>
      <w:r>
        <w:rPr>
          <w:rFonts w:hint="eastAsia" w:ascii="仿宋" w:hAnsi="仿宋" w:eastAsia="仿宋" w:cs="仿宋"/>
          <w:sz w:val="28"/>
          <w:szCs w:val="28"/>
        </w:rPr>
        <w:t xml:space="preserve">  主管部门：四川省德阳市广汉市教育局。为了满足广大市民对优质教育资源的需求，同时为了发挥广汉中学实验学校这所优质学校的辐射引领作用，广汉市教育局决定广汉中学实验学校与新丰中学联合办学，并经广汉市委编办批准在广汉市新丰中学增挂广汉中学实验学校高新区分校牌子；经广汉市委编办批准广汉市新丰中学更名广汉中学实验学校高新分校</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来到2019年，广汉中学实验学校高新分校得到了更快更好的发展，成为了一所优质的农村初中学校，学校环境优美，设施齐备。校园占地面积18876平方米，绿化面积6000平方米，运动场地4000平方米；阅览室有图书15842册；计算机98台；教室21间，其中网络多媒体教室14间；学校固定资产935万元；其中教学仪器设备195万元；学校所有教室安装了“数字一体化电子白板”，实现了“班班通”；学校还装配有标准的物理、化学和生物实验室、电脑室、现代化的多媒体演示室、图书阅览室等功能教室。完善的教学设施，先进的教学设备，让农村学生同样能享受到优质的教育资源，为实现学生的全面发展奠定了坚实的物质基础。</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学校理念先进，全面育人。全校教职工以“爱学校，做主人；爱事业，做能人；爱学生，做善人”作为价值追求，围绕“培育三园文化品格、深化四大工程、丰富四个课堂、实现四个愿景”的目标要求，树立让每一个学生都能成人成才成功的办学思想，努力培养“德才兼备、身心两健”的创新人才。</w:t>
      </w:r>
    </w:p>
    <w:p>
      <w:pPr>
        <w:spacing w:line="400" w:lineRule="exact"/>
        <w:ind w:firstLine="560" w:firstLineChars="200"/>
        <w:rPr>
          <w:rFonts w:ascii="仿宋" w:hAnsi="仿宋" w:eastAsia="仿宋" w:cs="仿宋"/>
          <w:sz w:val="28"/>
          <w:szCs w:val="28"/>
        </w:rPr>
      </w:pPr>
    </w:p>
    <w:p>
      <w:pPr>
        <w:snapToGrid w:val="0"/>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2．机构情况：学校管理规范，和谐发展。学校下设办公室、政教处、教导处、总务处四个处室，各处室中层干部全部通过广汉市教育局组织的非常定向统筹选拔干部的方式竞争产生。各处室在学校党支部的领导下、在学校工会的监督下创造性的开展工作，成效显著，并在2019年通过了德阳市义务教育素质督导评估的验收。</w:t>
      </w:r>
    </w:p>
    <w:p>
      <w:pPr>
        <w:snapToGrid w:val="0"/>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3．人员情况：校园内文化气息浓郁、学习环境怡人，是学生成长的摇篮。学校在职教职工53人，中国共产党党员24人，其中副高级教师8人，中级教师20人，助理级教师24人.县级以上骨干教师8人，研究生毕业2人，本科毕业37人，专科毕业13人。本年度教师调入3人，减少教师自然减员1人，调出1人。2019年末学生就读人数610人，本年新招学生217人，毕业生数226人。</w:t>
      </w:r>
    </w:p>
    <w:p>
      <w:pPr>
        <w:snapToGrid w:val="0"/>
        <w:spacing w:line="520" w:lineRule="exact"/>
        <w:ind w:firstLine="560" w:firstLineChars="200"/>
        <w:rPr>
          <w:rFonts w:ascii="仿宋" w:hAnsi="仿宋" w:eastAsia="仿宋" w:cs="仿宋"/>
          <w:sz w:val="28"/>
          <w:szCs w:val="28"/>
        </w:rPr>
      </w:pPr>
    </w:p>
    <w:p>
      <w:pPr>
        <w:snapToGrid w:val="0"/>
        <w:spacing w:line="520" w:lineRule="exact"/>
        <w:ind w:firstLine="562" w:firstLineChars="200"/>
        <w:rPr>
          <w:rFonts w:ascii="仿宋" w:hAnsi="仿宋" w:eastAsia="仿宋" w:cs="仿宋"/>
          <w:b/>
          <w:sz w:val="28"/>
          <w:szCs w:val="28"/>
        </w:rPr>
      </w:pPr>
      <w:r>
        <w:rPr>
          <w:rFonts w:hint="eastAsia" w:ascii="仿宋" w:hAnsi="仿宋" w:eastAsia="仿宋" w:cs="仿宋"/>
          <w:b/>
          <w:sz w:val="28"/>
          <w:szCs w:val="28"/>
        </w:rPr>
        <w:t>（二）当年取得的主要事业成效。</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学校教师爱岗敬业，教育教学质量突出。以国家课程为核心的第一课堂成绩突出，2019年度初一年级优生比例居广汉市第二位。以怡情冶性为核心的第二课堂精彩纷呈，学校形成了四大健体工程——即科学的营养搭配工程、睡眠保障工程、每天不低于90分钟的体育锻炼工程、周到细致的卫生工程，德育常规“一日五个一”——即每天坚持做到一次晨练宣誓、一次三个1000米跑步、一次10分钟歌唱、一次班级学生轮流演讲、一次静心书法，德育活动“一年六个节”和两次外出拉练——即感恩节、体育节、艺术节、合唱节、英语节、读书节和每学期组织学生进行一次20公里的拉练。以“家校同心园”为路径的第三课堂成效显著，学校目前正在创建优秀家长学校。以区校联动为平台的第四课堂效果明显，广汉市敏捷顺机动车驾驶培训有限公司定向捐赠，在学校设立了奖励基金，广汉好印象爱心社在学校设立了爱心助学基金，用于奖励教学业绩突出的教师和成绩优秀的学生，促进了学校的快速发展。</w:t>
      </w:r>
    </w:p>
    <w:p>
      <w:pPr>
        <w:autoSpaceDE w:val="0"/>
        <w:autoSpaceDN w:val="0"/>
        <w:adjustRightInd w:val="0"/>
        <w:spacing w:line="580" w:lineRule="exact"/>
        <w:ind w:firstLine="560" w:firstLineChars="200"/>
        <w:jc w:val="left"/>
        <w:rPr>
          <w:rFonts w:ascii="仿宋" w:hAnsi="仿宋" w:eastAsia="仿宋" w:cs="仿宋"/>
          <w:kern w:val="0"/>
          <w:sz w:val="28"/>
          <w:szCs w:val="28"/>
        </w:rPr>
      </w:pPr>
    </w:p>
    <w:p>
      <w:pPr>
        <w:autoSpaceDE w:val="0"/>
        <w:autoSpaceDN w:val="0"/>
        <w:adjustRightInd w:val="0"/>
        <w:spacing w:line="580" w:lineRule="exact"/>
        <w:ind w:firstLine="640" w:firstLineChars="200"/>
        <w:jc w:val="left"/>
        <w:rPr>
          <w:rFonts w:ascii="楷体_GB2312" w:eastAsia="楷体_GB2312"/>
          <w:kern w:val="0"/>
          <w:sz w:val="32"/>
          <w:szCs w:val="32"/>
        </w:rPr>
      </w:pPr>
      <w:r>
        <w:rPr>
          <w:rFonts w:hint="eastAsia" w:ascii="楷体_GB2312" w:eastAsia="楷体_GB2312"/>
          <w:kern w:val="0"/>
          <w:sz w:val="32"/>
          <w:szCs w:val="32"/>
        </w:rPr>
        <w:t>（二）年度主要工作目标及重点工作。</w:t>
      </w:r>
    </w:p>
    <w:tbl>
      <w:tblPr>
        <w:tblStyle w:val="12"/>
        <w:tblW w:w="0" w:type="auto"/>
        <w:tblInd w:w="0" w:type="dxa"/>
        <w:tblLayout w:type="fixed"/>
        <w:tblCellMar>
          <w:top w:w="0" w:type="dxa"/>
          <w:left w:w="0" w:type="dxa"/>
          <w:bottom w:w="0" w:type="dxa"/>
          <w:right w:w="0" w:type="dxa"/>
        </w:tblCellMar>
      </w:tblPr>
      <w:tblGrid>
        <w:gridCol w:w="795"/>
        <w:gridCol w:w="1815"/>
        <w:gridCol w:w="4245"/>
        <w:gridCol w:w="870"/>
        <w:gridCol w:w="1050"/>
        <w:gridCol w:w="690"/>
      </w:tblGrid>
      <w:tr>
        <w:trPr>
          <w:trHeight w:val="600" w:hRule="atLeast"/>
        </w:trPr>
        <w:tc>
          <w:tcPr>
            <w:tcW w:w="795"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数据标识</w:t>
            </w:r>
          </w:p>
        </w:tc>
        <w:tc>
          <w:tcPr>
            <w:tcW w:w="1815"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主要任务</w:t>
            </w:r>
          </w:p>
        </w:tc>
        <w:tc>
          <w:tcPr>
            <w:tcW w:w="4245"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任务内容</w:t>
            </w:r>
          </w:p>
        </w:tc>
        <w:tc>
          <w:tcPr>
            <w:tcW w:w="2610" w:type="dxa"/>
            <w:gridSpan w:val="3"/>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预算金额（万元）</w:t>
            </w:r>
          </w:p>
        </w:tc>
      </w:tr>
      <w:tr>
        <w:trPr>
          <w:trHeight w:val="600" w:hRule="atLeast"/>
        </w:trPr>
        <w:tc>
          <w:tcPr>
            <w:tcW w:w="795"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ascii="Tahoma" w:hAnsi="Tahoma" w:eastAsia="Tahoma" w:cs="Tahoma"/>
                <w:color w:val="000000"/>
                <w:sz w:val="16"/>
                <w:szCs w:val="16"/>
              </w:rPr>
            </w:pPr>
          </w:p>
        </w:tc>
        <w:tc>
          <w:tcPr>
            <w:tcW w:w="1815"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ascii="Tahoma" w:hAnsi="Tahoma" w:eastAsia="Tahoma" w:cs="Tahoma"/>
                <w:color w:val="000000"/>
                <w:sz w:val="16"/>
                <w:szCs w:val="16"/>
              </w:rPr>
            </w:pPr>
          </w:p>
        </w:tc>
        <w:tc>
          <w:tcPr>
            <w:tcW w:w="4245"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ascii="Tahoma" w:hAnsi="Tahoma" w:eastAsia="Tahoma" w:cs="Tahoma"/>
                <w:color w:val="000000"/>
                <w:sz w:val="16"/>
                <w:szCs w:val="16"/>
              </w:rPr>
            </w:pPr>
          </w:p>
        </w:tc>
        <w:tc>
          <w:tcPr>
            <w:tcW w:w="870"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总额</w:t>
            </w:r>
          </w:p>
        </w:tc>
        <w:tc>
          <w:tcPr>
            <w:tcW w:w="1050"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财政拨款</w:t>
            </w:r>
          </w:p>
        </w:tc>
        <w:tc>
          <w:tcPr>
            <w:tcW w:w="690"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widowControl/>
              <w:jc w:val="center"/>
              <w:textAlignment w:val="center"/>
              <w:rPr>
                <w:rFonts w:ascii="Tahoma" w:hAnsi="Tahoma" w:eastAsia="Tahoma" w:cs="Tahoma"/>
                <w:color w:val="000000"/>
                <w:sz w:val="16"/>
                <w:szCs w:val="16"/>
              </w:rPr>
            </w:pPr>
            <w:r>
              <w:rPr>
                <w:rFonts w:ascii="Tahoma" w:hAnsi="Tahoma" w:eastAsia="Tahoma" w:cs="Tahoma"/>
                <w:color w:val="000000"/>
                <w:kern w:val="0"/>
                <w:sz w:val="16"/>
                <w:szCs w:val="16"/>
              </w:rPr>
              <w:t>其他资金</w:t>
            </w:r>
          </w:p>
        </w:tc>
      </w:tr>
      <w:tr>
        <w:trPr>
          <w:trHeight w:val="76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任务一</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执行国家教育政策，完成新丰镇地区的初中教育任务。</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学校教育教学，人员工资及公用经费支付。</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600.01</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600.01</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118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任务二</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教师家访任务</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家校同心圆创建活动，加入“全国规范化家长学校实验区”项目，为家长送育人知识，为学生送温暖与关爱，构建家校合力，扩大教育力度。</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任务三</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教师健身活动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学校工会开展“亲近自然健步走“健身活动，让每位教职工增强健身意识，增长健身知识，拥有强健的身体和饱满的工作精力。</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6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任务四</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庆祝“三八”妇女节活动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学校工会开展节日送祝福，节日送温暖，增进学校集体的凝聚力。</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6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任务五</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交流学习教育教研活动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学校科研课题《初中学生素质拓展5+1模式的实践与研究》立项，组织管理干部到成都七中培训。</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4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任务六</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课堂竞赛活动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组织教职工参加广汉中学实验学校举办的“立足课程标准，展示教学风采”教学技能展示活动，提升教学水平，提高教学质量，充分展示教师风采。</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8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任务七</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校园歌手大赛活动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学校举行校园歌手大赛，全校师生参加，争相展示个人风采，发展学生艺术潜质。</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8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任务八</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学校“三年影响学生一生”素质5+1活动</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学校“三年影响学生一生”素质5+1活动，提升学校办学的卓越质量，奠定学生梦想基础。五张证书，见证全面发展，引导学生健康成长。</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86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任务九</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教师办公笔记本电脑购置</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学校为改善办公条件，提高办公效率，改善教育手段，适应教育教学电子化信息化的要求，计划政府采购购置22台办公笔记本电脑。</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12.00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12.00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102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任务十</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校园建设“让阅读成为人生的一种习惯”书吧</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学校建设建设“让阅读成为人生的一种习惯”书吧，在学校的走廊，校园一角修建书屋，安装书桌，书櫈，置办书刊，培养学生一生阅读。</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25.00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25.00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9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任务十一</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学校食堂运行生活保障，学校教职工值班任务</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学校食堂运行生活保障，寄宿生生活上得到保障，食堂伙食，宿舍管理，早晚学生自习值班安排，保障学生生活安全。</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58.10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58.10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r>
        <w:trPr>
          <w:trHeight w:val="1000" w:hRule="atLeast"/>
        </w:trPr>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任务十二</w:t>
            </w:r>
          </w:p>
        </w:tc>
        <w:tc>
          <w:tcPr>
            <w:tcW w:w="181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家庭贫困寄宿生奖学金助学金生活补助</w:t>
            </w:r>
          </w:p>
        </w:tc>
        <w:tc>
          <w:tcPr>
            <w:tcW w:w="424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left"/>
              <w:textAlignment w:val="center"/>
              <w:rPr>
                <w:rFonts w:ascii="Tahoma" w:hAnsi="Tahoma" w:eastAsia="Tahoma" w:cs="Tahoma"/>
                <w:color w:val="000000"/>
                <w:sz w:val="18"/>
                <w:szCs w:val="18"/>
              </w:rPr>
            </w:pPr>
            <w:r>
              <w:rPr>
                <w:rFonts w:ascii="Tahoma" w:hAnsi="Tahoma" w:eastAsia="Tahoma" w:cs="Tahoma"/>
                <w:color w:val="000000"/>
                <w:kern w:val="0"/>
                <w:sz w:val="18"/>
                <w:szCs w:val="18"/>
              </w:rPr>
              <w:t>家庭贫困寄宿生奖学金助学金生活补助，关爱寄宿生，给与生活补助。</w:t>
            </w:r>
          </w:p>
        </w:tc>
        <w:tc>
          <w:tcPr>
            <w:tcW w:w="87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10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widowControl/>
              <w:jc w:val="right"/>
              <w:textAlignment w:val="center"/>
              <w:rPr>
                <w:rFonts w:ascii="Tahoma" w:hAnsi="Tahoma" w:eastAsia="Tahoma" w:cs="Tahoma"/>
                <w:color w:val="000000"/>
                <w:sz w:val="18"/>
                <w:szCs w:val="18"/>
              </w:rPr>
            </w:pPr>
            <w:r>
              <w:rPr>
                <w:rFonts w:ascii="Tahoma" w:hAnsi="Tahoma" w:eastAsia="Tahoma" w:cs="Tahoma"/>
                <w:color w:val="000000"/>
                <w:kern w:val="0"/>
                <w:sz w:val="18"/>
                <w:szCs w:val="18"/>
              </w:rPr>
              <w:t>1.00</w:t>
            </w:r>
          </w:p>
        </w:tc>
        <w:tc>
          <w:tcPr>
            <w:tcW w:w="69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ascii="Tahoma" w:hAnsi="Tahoma" w:eastAsia="Tahoma" w:cs="Tahoma"/>
                <w:color w:val="000000"/>
                <w:sz w:val="18"/>
                <w:szCs w:val="18"/>
              </w:rPr>
            </w:pPr>
          </w:p>
        </w:tc>
      </w:tr>
    </w:tbl>
    <w:p>
      <w:pPr>
        <w:autoSpaceDE w:val="0"/>
        <w:autoSpaceDN w:val="0"/>
        <w:adjustRightInd w:val="0"/>
        <w:spacing w:line="580" w:lineRule="exact"/>
        <w:ind w:firstLine="640" w:firstLineChars="200"/>
        <w:jc w:val="left"/>
        <w:rPr>
          <w:rFonts w:ascii="楷体_GB2312" w:eastAsia="楷体_GB2312"/>
          <w:kern w:val="0"/>
          <w:sz w:val="32"/>
          <w:szCs w:val="32"/>
        </w:rPr>
      </w:pP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二、预算管理情况</w:t>
      </w:r>
    </w:p>
    <w:p>
      <w:pPr>
        <w:autoSpaceDE w:val="0"/>
        <w:autoSpaceDN w:val="0"/>
        <w:adjustRightInd w:val="0"/>
        <w:spacing w:line="580" w:lineRule="exact"/>
        <w:ind w:firstLine="640" w:firstLineChars="200"/>
        <w:jc w:val="left"/>
        <w:rPr>
          <w:rFonts w:ascii="楷体_GB2312" w:eastAsia="楷体_GB2312"/>
          <w:kern w:val="0"/>
          <w:sz w:val="32"/>
          <w:szCs w:val="32"/>
        </w:rPr>
      </w:pPr>
      <w:r>
        <w:rPr>
          <w:rFonts w:hint="eastAsia" w:ascii="楷体_GB2312" w:eastAsia="楷体_GB2312"/>
          <w:kern w:val="0"/>
          <w:sz w:val="32"/>
          <w:szCs w:val="32"/>
        </w:rPr>
        <w:t>（一）预算编制情况：</w:t>
      </w:r>
    </w:p>
    <w:p>
      <w:pPr>
        <w:autoSpaceDE w:val="0"/>
        <w:autoSpaceDN w:val="0"/>
        <w:adjustRightInd w:val="0"/>
        <w:spacing w:line="5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学校严格按程序召开由各部门参加的预算工作会，全面细致的要求各个部门提供年度所需公用经费和项目支出明细。由校长会讨论，计划财务部门编制，最后通过召开学校教职工代表大会讨论确定。</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收入预算包括资金总收入及各收入构成情况：</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2019年非税征收951000元计划表</w:t>
      </w:r>
    </w:p>
    <w:tbl>
      <w:tblPr>
        <w:tblStyle w:val="12"/>
        <w:tblW w:w="0" w:type="auto"/>
        <w:tblInd w:w="0" w:type="dxa"/>
        <w:tblLayout w:type="fixed"/>
        <w:tblCellMar>
          <w:top w:w="15" w:type="dxa"/>
          <w:left w:w="15" w:type="dxa"/>
          <w:bottom w:w="15" w:type="dxa"/>
          <w:right w:w="15" w:type="dxa"/>
        </w:tblCellMar>
      </w:tblPr>
      <w:tblGrid>
        <w:gridCol w:w="2392"/>
        <w:gridCol w:w="1560"/>
        <w:gridCol w:w="1632"/>
        <w:gridCol w:w="1632"/>
        <w:gridCol w:w="1557"/>
      </w:tblGrid>
      <w:tr>
        <w:trPr>
          <w:trHeight w:val="286" w:hRule="atLeast"/>
        </w:trPr>
        <w:tc>
          <w:tcPr>
            <w:tcW w:w="2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收费科目</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征收计划数</w:t>
            </w:r>
          </w:p>
        </w:tc>
        <w:tc>
          <w:tcPr>
            <w:tcW w:w="482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教育填列</w:t>
            </w:r>
          </w:p>
        </w:tc>
      </w:tr>
      <w:tr>
        <w:trPr>
          <w:trHeight w:val="286" w:hRule="atLeast"/>
        </w:trPr>
        <w:tc>
          <w:tcPr>
            <w:tcW w:w="2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小计</w:t>
            </w: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非税收入</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教育收费</w:t>
            </w:r>
          </w:p>
        </w:tc>
      </w:tr>
      <w:tr>
        <w:trPr>
          <w:trHeight w:val="286" w:hRule="atLeast"/>
        </w:trPr>
        <w:tc>
          <w:tcPr>
            <w:tcW w:w="23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1039999－其他收入</w:t>
            </w:r>
          </w:p>
        </w:tc>
        <w:tc>
          <w:tcPr>
            <w:tcW w:w="1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950,000.00</w:t>
            </w: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950,000.00</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r>
      <w:tr>
        <w:trPr>
          <w:trHeight w:val="286" w:hRule="atLeast"/>
        </w:trPr>
        <w:tc>
          <w:tcPr>
            <w:tcW w:w="23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1030705－利息收入</w:t>
            </w:r>
          </w:p>
        </w:tc>
        <w:tc>
          <w:tcPr>
            <w:tcW w:w="1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1,000.00</w:t>
            </w:r>
          </w:p>
        </w:tc>
        <w:tc>
          <w:tcPr>
            <w:tcW w:w="1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1,000.00</w:t>
            </w:r>
          </w:p>
        </w:tc>
        <w:tc>
          <w:tcPr>
            <w:tcW w:w="1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r>
    </w:tbl>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2019年收入预算总收入7071181元。其各收入构成情况：</w:t>
      </w:r>
    </w:p>
    <w:tbl>
      <w:tblPr>
        <w:tblStyle w:val="12"/>
        <w:tblW w:w="0" w:type="auto"/>
        <w:tblInd w:w="0" w:type="dxa"/>
        <w:tblLayout w:type="fixed"/>
        <w:tblCellMar>
          <w:top w:w="0" w:type="dxa"/>
          <w:left w:w="0" w:type="dxa"/>
          <w:bottom w:w="0" w:type="dxa"/>
          <w:right w:w="0" w:type="dxa"/>
        </w:tblCellMar>
      </w:tblPr>
      <w:tblGrid>
        <w:gridCol w:w="1830"/>
        <w:gridCol w:w="1260"/>
        <w:gridCol w:w="1260"/>
        <w:gridCol w:w="1230"/>
        <w:gridCol w:w="1230"/>
        <w:gridCol w:w="1050"/>
        <w:gridCol w:w="675"/>
        <w:gridCol w:w="525"/>
      </w:tblGrid>
      <w:tr>
        <w:trPr>
          <w:trHeight w:val="270" w:hRule="atLeast"/>
        </w:trPr>
        <w:tc>
          <w:tcPr>
            <w:tcW w:w="183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项目类别</w:t>
            </w: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总计</w:t>
            </w:r>
          </w:p>
        </w:tc>
        <w:tc>
          <w:tcPr>
            <w:tcW w:w="597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当年财政拨款安排</w:t>
            </w:r>
          </w:p>
        </w:tc>
      </w:tr>
      <w:tr>
        <w:trPr>
          <w:trHeight w:val="27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财政拨款小计</w:t>
            </w:r>
          </w:p>
        </w:tc>
        <w:tc>
          <w:tcPr>
            <w:tcW w:w="35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一般公共预算拨款</w:t>
            </w:r>
          </w:p>
        </w:tc>
        <w:tc>
          <w:tcPr>
            <w:tcW w:w="6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政府性基金预算拨款</w:t>
            </w:r>
          </w:p>
        </w:tc>
        <w:tc>
          <w:tcPr>
            <w:tcW w:w="5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国有资本经营预算</w:t>
            </w:r>
          </w:p>
        </w:tc>
      </w:tr>
      <w:tr>
        <w:trPr>
          <w:trHeight w:val="45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一般公共预算小计</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经费拨款</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非税收入</w:t>
            </w:r>
          </w:p>
        </w:tc>
        <w:tc>
          <w:tcPr>
            <w:tcW w:w="6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工资性支出(事业)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社会保障缴费(事业)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住房公积金(事业)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奖励性绩效（事业）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日常公用经费（事业）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工会经费（事业）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离退休人员经费</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独子费</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遗属生活补助</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7,071,181.00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7,071,181.00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7,071,181.00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autoSpaceDE w:val="0"/>
        <w:autoSpaceDN w:val="0"/>
        <w:adjustRightInd w:val="0"/>
        <w:spacing w:line="580" w:lineRule="exact"/>
        <w:ind w:firstLine="640" w:firstLineChars="200"/>
        <w:jc w:val="left"/>
        <w:rPr>
          <w:rFonts w:ascii="仿宋_GB2312" w:eastAsia="仿宋_GB2312"/>
          <w:kern w:val="0"/>
          <w:sz w:val="32"/>
          <w:szCs w:val="32"/>
        </w:rPr>
      </w:pPr>
    </w:p>
    <w:p>
      <w:pPr>
        <w:autoSpaceDE w:val="0"/>
        <w:autoSpaceDN w:val="0"/>
        <w:adjustRightInd w:val="0"/>
        <w:spacing w:line="5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2、支出预算基本支出控制方面</w:t>
      </w:r>
    </w:p>
    <w:p>
      <w:pPr>
        <w:autoSpaceDE w:val="0"/>
        <w:autoSpaceDN w:val="0"/>
        <w:adjustRightInd w:val="0"/>
        <w:spacing w:line="580" w:lineRule="exact"/>
        <w:ind w:firstLine="560" w:firstLineChars="200"/>
        <w:rPr>
          <w:rFonts w:ascii="仿宋_GB2312" w:eastAsia="仿宋_GB2312"/>
          <w:kern w:val="0"/>
          <w:sz w:val="32"/>
          <w:szCs w:val="32"/>
        </w:rPr>
      </w:pPr>
      <w:r>
        <w:rPr>
          <w:rFonts w:hint="eastAsia" w:ascii="仿宋" w:hAnsi="仿宋" w:eastAsia="仿宋" w:cs="仿宋"/>
          <w:kern w:val="0"/>
          <w:sz w:val="28"/>
          <w:szCs w:val="28"/>
        </w:rPr>
        <w:t>为加强财务管理，充分发挥大兴勤俭节约之风，提高财政资金使用效益，分别制定了《财务管理制度》、《财务管理内控制度》、《财务经费厉行节约管理制度》，对资产管理、财务报销程序及权限、政府采购管理、建设项目管理等方面做出了明确规定，形成了比较完善系统的内部管理控制体系，并基本得到有效执行。各项资金基本由市财政支付局集中支付，严格执行公务卡消费报账制度。基本做到了支出分项归类，核算清晰完整，账务处理及时规范。</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支出预算包括资金总额及基本支出、项目支出情况。</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2019年支出预算资金总额7071181元。</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其中基本支出6120181元的构成情况：</w:t>
      </w:r>
    </w:p>
    <w:tbl>
      <w:tblPr>
        <w:tblStyle w:val="12"/>
        <w:tblW w:w="0" w:type="auto"/>
        <w:tblInd w:w="0" w:type="dxa"/>
        <w:tblLayout w:type="fixed"/>
        <w:tblCellMar>
          <w:top w:w="0" w:type="dxa"/>
          <w:left w:w="0" w:type="dxa"/>
          <w:bottom w:w="0" w:type="dxa"/>
          <w:right w:w="0" w:type="dxa"/>
        </w:tblCellMar>
      </w:tblPr>
      <w:tblGrid>
        <w:gridCol w:w="1830"/>
        <w:gridCol w:w="1260"/>
        <w:gridCol w:w="1260"/>
        <w:gridCol w:w="1230"/>
        <w:gridCol w:w="1230"/>
        <w:gridCol w:w="1050"/>
        <w:gridCol w:w="675"/>
        <w:gridCol w:w="525"/>
      </w:tblGrid>
      <w:tr>
        <w:trPr>
          <w:trHeight w:val="270" w:hRule="atLeast"/>
        </w:trPr>
        <w:tc>
          <w:tcPr>
            <w:tcW w:w="183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项目类别</w:t>
            </w: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总计</w:t>
            </w:r>
          </w:p>
        </w:tc>
        <w:tc>
          <w:tcPr>
            <w:tcW w:w="597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当年财政拨款安排</w:t>
            </w:r>
          </w:p>
        </w:tc>
      </w:tr>
      <w:tr>
        <w:trPr>
          <w:trHeight w:val="27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财政拨款小计</w:t>
            </w:r>
          </w:p>
        </w:tc>
        <w:tc>
          <w:tcPr>
            <w:tcW w:w="35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一般公共预算拨款</w:t>
            </w:r>
          </w:p>
        </w:tc>
        <w:tc>
          <w:tcPr>
            <w:tcW w:w="6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政府性基金预算拨款</w:t>
            </w:r>
          </w:p>
        </w:tc>
        <w:tc>
          <w:tcPr>
            <w:tcW w:w="5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国有资本经营预算</w:t>
            </w:r>
          </w:p>
        </w:tc>
      </w:tr>
      <w:tr>
        <w:trPr>
          <w:trHeight w:val="45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一般公共预算小计</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经费拨款</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非税收入</w:t>
            </w:r>
          </w:p>
        </w:tc>
        <w:tc>
          <w:tcPr>
            <w:tcW w:w="6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工资性支出(事业)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3,524,004.00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社会保障缴费(事业)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1,433,788.00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住房公积金(事业)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507,297.00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奖励性绩效（事业）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399,787.00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日常公用经费（事业）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61,600.00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工会经费（事业）</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52,000.00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离退休人员经费</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113,049.00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独子费</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遗属生活补助</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27,456.00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6,120,181.00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其中运转类项目支出（非专审）951000元的构成情况：</w:t>
      </w:r>
    </w:p>
    <w:tbl>
      <w:tblPr>
        <w:tblStyle w:val="12"/>
        <w:tblW w:w="0" w:type="auto"/>
        <w:tblInd w:w="0" w:type="dxa"/>
        <w:tblLayout w:type="fixed"/>
        <w:tblCellMar>
          <w:top w:w="0" w:type="dxa"/>
          <w:left w:w="0" w:type="dxa"/>
          <w:bottom w:w="0" w:type="dxa"/>
          <w:right w:w="0" w:type="dxa"/>
        </w:tblCellMar>
      </w:tblPr>
      <w:tblGrid>
        <w:gridCol w:w="1830"/>
        <w:gridCol w:w="1260"/>
        <w:gridCol w:w="1260"/>
        <w:gridCol w:w="1230"/>
        <w:gridCol w:w="1230"/>
        <w:gridCol w:w="1050"/>
        <w:gridCol w:w="675"/>
        <w:gridCol w:w="525"/>
      </w:tblGrid>
      <w:tr>
        <w:trPr>
          <w:trHeight w:val="270" w:hRule="atLeast"/>
        </w:trPr>
        <w:tc>
          <w:tcPr>
            <w:tcW w:w="183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项目类别</w:t>
            </w: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总计</w:t>
            </w:r>
          </w:p>
        </w:tc>
        <w:tc>
          <w:tcPr>
            <w:tcW w:w="597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当年财政拨款安排</w:t>
            </w:r>
          </w:p>
        </w:tc>
      </w:tr>
      <w:tr>
        <w:trPr>
          <w:trHeight w:val="27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财政拨款小计</w:t>
            </w:r>
          </w:p>
        </w:tc>
        <w:tc>
          <w:tcPr>
            <w:tcW w:w="35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一般公共预算拨款</w:t>
            </w:r>
          </w:p>
        </w:tc>
        <w:tc>
          <w:tcPr>
            <w:tcW w:w="6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政府性基金预算拨款</w:t>
            </w:r>
          </w:p>
        </w:tc>
        <w:tc>
          <w:tcPr>
            <w:tcW w:w="5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国有资本经营预算</w:t>
            </w:r>
          </w:p>
        </w:tc>
      </w:tr>
      <w:tr>
        <w:trPr>
          <w:trHeight w:val="450" w:hRule="atLeast"/>
        </w:trPr>
        <w:tc>
          <w:tcPr>
            <w:tcW w:w="18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一般公共预算小计</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经费拨款</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非税收入</w:t>
            </w:r>
          </w:p>
        </w:tc>
        <w:tc>
          <w:tcPr>
            <w:tcW w:w="6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120,000.00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581,000.00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运转类项目(非专审)</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250,000.00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r>
      <w:tr>
        <w:trPr>
          <w:trHeight w:val="270" w:hRule="atLeast"/>
        </w:trPr>
        <w:tc>
          <w:tcPr>
            <w:tcW w:w="18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951,000.00</w:t>
            </w:r>
          </w:p>
        </w:tc>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autoSpaceDE w:val="0"/>
        <w:autoSpaceDN w:val="0"/>
        <w:adjustRightInd w:val="0"/>
        <w:spacing w:line="580" w:lineRule="exact"/>
        <w:ind w:firstLine="640" w:firstLineChars="200"/>
        <w:jc w:val="left"/>
        <w:rPr>
          <w:rFonts w:ascii="仿宋_GB2312" w:eastAsia="仿宋_GB2312"/>
          <w:kern w:val="0"/>
          <w:sz w:val="32"/>
          <w:szCs w:val="32"/>
        </w:rPr>
      </w:pPr>
    </w:p>
    <w:p>
      <w:pPr>
        <w:autoSpaceDE w:val="0"/>
        <w:autoSpaceDN w:val="0"/>
        <w:adjustRightInd w:val="0"/>
        <w:spacing w:line="580" w:lineRule="exact"/>
        <w:ind w:firstLine="640" w:firstLineChars="200"/>
        <w:jc w:val="left"/>
        <w:rPr>
          <w:rFonts w:ascii="楷体_GB2312" w:eastAsia="楷体_GB2312"/>
          <w:kern w:val="0"/>
          <w:sz w:val="32"/>
          <w:szCs w:val="32"/>
        </w:rPr>
      </w:pPr>
      <w:r>
        <w:rPr>
          <w:rFonts w:hint="eastAsia" w:ascii="楷体_GB2312" w:eastAsia="楷体_GB2312"/>
          <w:kern w:val="0"/>
          <w:sz w:val="32"/>
          <w:szCs w:val="32"/>
        </w:rPr>
        <w:t>（二）预算执行情况。</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资金实现专款专用，在专用设备购置过程中，严格执行招投标及政府采购程序，并专门聘请了专家全程进行监管。</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三公经费控制方面:学校在各项制度中明确规定公务接待实施程序、陪餐人数控制、用餐标准、公务车辆用车程序、车辆保养维修程序、因公出国（境）审批程序、各项费用报销程序等，并得到了有效执行。</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资金整体执行决算本年支</w:t>
      </w:r>
      <w:r>
        <w:rPr>
          <w:rFonts w:hint="eastAsia" w:ascii="仿宋" w:hAnsi="仿宋" w:eastAsia="仿宋" w:cs="仿宋"/>
          <w:kern w:val="0"/>
          <w:sz w:val="32"/>
          <w:szCs w:val="32"/>
        </w:rPr>
        <w:t>出</w:t>
      </w:r>
      <w:r>
        <w:rPr>
          <w:rFonts w:hint="eastAsia" w:ascii="仿宋" w:hAnsi="仿宋" w:eastAsia="仿宋" w:cs="仿宋"/>
          <w:color w:val="000000"/>
          <w:kern w:val="0"/>
          <w:sz w:val="32"/>
          <w:szCs w:val="32"/>
        </w:rPr>
        <w:t>8,067,465.44元</w:t>
      </w:r>
      <w:r>
        <w:rPr>
          <w:rFonts w:hint="eastAsia" w:ascii="宋体" w:hAnsi="宋体" w:cs="宋体"/>
          <w:color w:val="000000"/>
          <w:kern w:val="0"/>
          <w:sz w:val="22"/>
          <w:szCs w:val="22"/>
        </w:rPr>
        <w:t>。</w:t>
      </w:r>
      <w:r>
        <w:rPr>
          <w:rFonts w:hint="eastAsia" w:ascii="仿宋_GB2312" w:eastAsia="仿宋_GB2312"/>
          <w:kern w:val="0"/>
          <w:sz w:val="32"/>
          <w:szCs w:val="32"/>
        </w:rPr>
        <w:t>基本支出</w:t>
      </w:r>
      <w:r>
        <w:rPr>
          <w:rFonts w:hint="eastAsia" w:ascii="仿宋" w:hAnsi="仿宋" w:eastAsia="仿宋" w:cs="仿宋"/>
          <w:color w:val="000000"/>
          <w:kern w:val="0"/>
          <w:sz w:val="32"/>
          <w:szCs w:val="32"/>
        </w:rPr>
        <w:t>8,067,465.44元。其中： 人员经费支出6,416,159.89元，日常公用经费1,651,305.55元。</w:t>
      </w:r>
    </w:p>
    <w:tbl>
      <w:tblPr>
        <w:tblStyle w:val="12"/>
        <w:tblpPr w:leftFromText="180" w:rightFromText="180" w:vertAnchor="text" w:horzAnchor="page" w:tblpX="1422" w:tblpY="5007"/>
        <w:tblOverlap w:val="never"/>
        <w:tblW w:w="0" w:type="auto"/>
        <w:tblInd w:w="0" w:type="dxa"/>
        <w:tblLayout w:type="fixed"/>
        <w:tblCellMar>
          <w:top w:w="0" w:type="dxa"/>
          <w:left w:w="0" w:type="dxa"/>
          <w:bottom w:w="0" w:type="dxa"/>
          <w:right w:w="0" w:type="dxa"/>
        </w:tblCellMar>
      </w:tblPr>
      <w:tblGrid>
        <w:gridCol w:w="968"/>
        <w:gridCol w:w="436"/>
        <w:gridCol w:w="1377"/>
        <w:gridCol w:w="1432"/>
        <w:gridCol w:w="1582"/>
        <w:gridCol w:w="423"/>
        <w:gridCol w:w="1650"/>
        <w:gridCol w:w="1848"/>
      </w:tblGrid>
      <w:tr>
        <w:trPr>
          <w:trHeight w:val="500" w:hRule="atLeast"/>
        </w:trPr>
        <w:tc>
          <w:tcPr>
            <w:tcW w:w="9716" w:type="dxa"/>
            <w:gridSpan w:val="8"/>
            <w:tcBorders>
              <w:top w:val="single" w:color="000000" w:sz="4" w:space="0"/>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支出</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项目(按功能分类)</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行次</w:t>
            </w:r>
          </w:p>
        </w:tc>
        <w:tc>
          <w:tcPr>
            <w:tcW w:w="1377"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调整预算数</w:t>
            </w:r>
          </w:p>
        </w:tc>
        <w:tc>
          <w:tcPr>
            <w:tcW w:w="143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决算数</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项目(按支出性质和经济分类)</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行次</w:t>
            </w:r>
          </w:p>
        </w:tc>
        <w:tc>
          <w:tcPr>
            <w:tcW w:w="1650"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调整预算数</w:t>
            </w:r>
          </w:p>
        </w:tc>
        <w:tc>
          <w:tcPr>
            <w:tcW w:w="1848" w:type="dxa"/>
            <w:tcBorders>
              <w:top w:val="nil"/>
              <w:left w:val="nil"/>
              <w:bottom w:val="single" w:color="000000" w:sz="4" w:space="0"/>
              <w:right w:val="single" w:color="000000" w:sz="8"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决算数</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栏次</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center"/>
              <w:rPr>
                <w:rFonts w:ascii="宋体" w:hAnsi="宋体" w:cs="宋体"/>
                <w:color w:val="000000"/>
                <w:sz w:val="22"/>
                <w:szCs w:val="22"/>
              </w:rPr>
            </w:pPr>
          </w:p>
        </w:tc>
        <w:tc>
          <w:tcPr>
            <w:tcW w:w="1377"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143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栏次</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center"/>
              <w:rPr>
                <w:rFonts w:ascii="宋体" w:hAnsi="宋体" w:cs="宋体"/>
                <w:color w:val="000000"/>
                <w:sz w:val="22"/>
                <w:szCs w:val="22"/>
              </w:rPr>
            </w:pPr>
          </w:p>
        </w:tc>
        <w:tc>
          <w:tcPr>
            <w:tcW w:w="1650"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w:t>
            </w:r>
          </w:p>
        </w:tc>
        <w:tc>
          <w:tcPr>
            <w:tcW w:w="1848" w:type="dxa"/>
            <w:tcBorders>
              <w:top w:val="nil"/>
              <w:left w:val="nil"/>
              <w:bottom w:val="single" w:color="000000" w:sz="4" w:space="0"/>
              <w:right w:val="single" w:color="000000" w:sz="8"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一、一般公共服务支出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31</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一、基本支出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56</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8,991,127.47</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8,067,465.44</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二、外交支出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32</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人员经费</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57</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6,416,159.89</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6,416,159.89</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三、国防支出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33</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日常公用经费</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58</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2,574,967.58</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1,651,305.55</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四、公共安全支出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34</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二、项目支出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59</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29,000.00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五、教育支出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35</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6,910,847.39</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5,959,628.76</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其中：基本建设类项目</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60</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六、科学技术支出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36</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三、上缴上级支出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61</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七、文化旅游体育与传媒支出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37</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四、经营支出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62</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八、社会保障和就业支出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38</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1,224,325.26</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1,222,881.86</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五、对附属单位补助支出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63</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九、卫生健康支出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39</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377,366.82</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377,366.82</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64</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十、节能环保支出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40</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65</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十一、城乡社区支出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41</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经济分类支出合计</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66</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8,067,465.44</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十二、农林水支出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42</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一、工资福利支出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67</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6,072,447.45</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十三、交通运输支出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43</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二、商品和服务支出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68</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1,538,985.55</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十四、资源勘探信息等支出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44</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三、对个人和家庭的补助</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69</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343,712.44</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十五、商业服务业等支出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45</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四、债务利息及费用支出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70</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十六、金融支出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46</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五、资本性支出（基本建设）</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71</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十七、援助其他地区支出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47</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六、资本性支出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72</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112,320.00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十八、自然资源海洋气象等支出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48</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七、对企业补助（基本建设）</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73</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十九、住房保障支出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49</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507,588.00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507,588.00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八、对企业补助</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74</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二十、粮油物资储备支出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50</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九、对社会保障基金补助</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75</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二十一、灾害防治及应急管理支出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51</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十、其他支出</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76</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二十二、其他支出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52</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77</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二十三、债务还本支出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53</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78</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二十四、债务付息支出</w:t>
            </w: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54</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79</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968"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36"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55</w:t>
            </w:r>
          </w:p>
        </w:tc>
        <w:tc>
          <w:tcPr>
            <w:tcW w:w="1377"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432"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582"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80</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5795" w:type="dxa"/>
            <w:gridSpan w:val="5"/>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本年支出合计</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81</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9,020,127.47</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8,067,465.44</w:t>
            </w:r>
          </w:p>
        </w:tc>
      </w:tr>
      <w:tr>
        <w:trPr>
          <w:trHeight w:val="500" w:hRule="atLeast"/>
        </w:trPr>
        <w:tc>
          <w:tcPr>
            <w:tcW w:w="5795" w:type="dxa"/>
            <w:gridSpan w:val="5"/>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结余分配</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82</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r>
      <w:tr>
        <w:trPr>
          <w:trHeight w:val="500" w:hRule="atLeast"/>
        </w:trPr>
        <w:tc>
          <w:tcPr>
            <w:tcW w:w="5795" w:type="dxa"/>
            <w:gridSpan w:val="5"/>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年末结转和结余</w:t>
            </w: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83</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0.00</w:t>
            </w: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952,662.03</w:t>
            </w:r>
          </w:p>
        </w:tc>
      </w:tr>
      <w:tr>
        <w:trPr>
          <w:trHeight w:val="500" w:hRule="atLeast"/>
        </w:trPr>
        <w:tc>
          <w:tcPr>
            <w:tcW w:w="5795" w:type="dxa"/>
            <w:gridSpan w:val="5"/>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jc w:val="left"/>
              <w:rPr>
                <w:rFonts w:ascii="宋体" w:hAnsi="宋体" w:cs="宋体"/>
                <w:color w:val="000000"/>
                <w:sz w:val="22"/>
                <w:szCs w:val="22"/>
              </w:rPr>
            </w:pPr>
          </w:p>
        </w:tc>
        <w:tc>
          <w:tcPr>
            <w:tcW w:w="423" w:type="dxa"/>
            <w:tcBorders>
              <w:top w:val="nil"/>
              <w:left w:val="nil"/>
              <w:bottom w:val="single" w:color="000000" w:sz="4"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84</w:t>
            </w:r>
          </w:p>
        </w:tc>
        <w:tc>
          <w:tcPr>
            <w:tcW w:w="1650" w:type="dxa"/>
            <w:tcBorders>
              <w:top w:val="nil"/>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c>
          <w:tcPr>
            <w:tcW w:w="1848"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jc w:val="right"/>
              <w:rPr>
                <w:rFonts w:ascii="宋体" w:hAnsi="宋体" w:cs="宋体"/>
                <w:color w:val="000000"/>
                <w:sz w:val="22"/>
                <w:szCs w:val="22"/>
              </w:rPr>
            </w:pPr>
          </w:p>
        </w:tc>
      </w:tr>
      <w:tr>
        <w:trPr>
          <w:trHeight w:val="500" w:hRule="atLeast"/>
        </w:trPr>
        <w:tc>
          <w:tcPr>
            <w:tcW w:w="5795" w:type="dxa"/>
            <w:gridSpan w:val="5"/>
            <w:tcBorders>
              <w:top w:val="nil"/>
              <w:left w:val="nil"/>
              <w:bottom w:val="single" w:color="000000" w:sz="8"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总计</w:t>
            </w:r>
          </w:p>
        </w:tc>
        <w:tc>
          <w:tcPr>
            <w:tcW w:w="423" w:type="dxa"/>
            <w:tcBorders>
              <w:top w:val="nil"/>
              <w:left w:val="nil"/>
              <w:bottom w:val="single" w:color="000000" w:sz="8" w:space="0"/>
              <w:right w:val="single" w:color="000000" w:sz="4" w:space="0"/>
            </w:tcBorders>
            <w:shd w:val="clear" w:color="FFFFFF"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85</w:t>
            </w:r>
          </w:p>
        </w:tc>
        <w:tc>
          <w:tcPr>
            <w:tcW w:w="1650" w:type="dxa"/>
            <w:tcBorders>
              <w:top w:val="nil"/>
              <w:left w:val="nil"/>
              <w:bottom w:val="single" w:color="000000" w:sz="8" w:space="0"/>
              <w:right w:val="single" w:color="000000" w:sz="4"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9,020,127.47</w:t>
            </w:r>
          </w:p>
        </w:tc>
        <w:tc>
          <w:tcPr>
            <w:tcW w:w="184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right"/>
              <w:textAlignment w:val="center"/>
              <w:rPr>
                <w:rFonts w:ascii="宋体" w:hAnsi="宋体" w:cs="宋体"/>
                <w:color w:val="000000"/>
                <w:sz w:val="22"/>
                <w:szCs w:val="22"/>
              </w:rPr>
            </w:pPr>
            <w:r>
              <w:rPr>
                <w:rFonts w:hint="eastAsia" w:ascii="宋体" w:hAnsi="宋体" w:cs="宋体"/>
                <w:color w:val="000000"/>
                <w:kern w:val="0"/>
                <w:sz w:val="22"/>
                <w:szCs w:val="22"/>
              </w:rPr>
              <w:t>9,020,127.47</w:t>
            </w:r>
          </w:p>
        </w:tc>
      </w:tr>
    </w:tbl>
    <w:p>
      <w:pPr>
        <w:autoSpaceDE w:val="0"/>
        <w:autoSpaceDN w:val="0"/>
        <w:adjustRightInd w:val="0"/>
        <w:spacing w:line="580" w:lineRule="exact"/>
        <w:ind w:firstLine="640" w:firstLineChars="200"/>
        <w:jc w:val="left"/>
        <w:rPr>
          <w:rFonts w:ascii="仿宋_GB2312" w:eastAsia="仿宋_GB2312"/>
          <w:kern w:val="0"/>
          <w:sz w:val="32"/>
          <w:szCs w:val="32"/>
        </w:rPr>
      </w:pP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无专项资金支出，无专项资金年度下达。</w:t>
      </w: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三、部门管理情况</w:t>
      </w:r>
    </w:p>
    <w:p>
      <w:pPr>
        <w:autoSpaceDE w:val="0"/>
        <w:autoSpaceDN w:val="0"/>
        <w:adjustRightInd w:val="0"/>
        <w:spacing w:line="58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管理制度建设：</w:t>
      </w:r>
    </w:p>
    <w:p>
      <w:pPr>
        <w:autoSpaceDE w:val="0"/>
        <w:autoSpaceDN w:val="0"/>
        <w:adjustRightInd w:val="0"/>
        <w:spacing w:line="5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我单位在学校党支部领导下，学校行政会，工会，教师代表大会制定了一系列内部管理制度：</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1.分事行权制度；对经济和业务活动的决策、执行、监督，明确分工、相互分离、分别行权。</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2.分岗设权制度；对涉及经济和业务活动的相关岗位，依职定岗、分岗定权、权责明确。</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3.分级授权制度；对管理层级和相关岗位，分别授权，明确授权范围、授权对象、授权期限、授权与行权责任、一般授权与特殊授权界限。</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4.定期轮岗制度；对重点领域的关键岗位，建立干部交流和定期轮岗制度。</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5.专项审计制度。不具备轮岗条件的单位，对关键岗位涉及的相关业务采用专项审计等控制措施。</w:t>
      </w:r>
    </w:p>
    <w:p>
      <w:pPr>
        <w:autoSpaceDE w:val="0"/>
        <w:autoSpaceDN w:val="0"/>
        <w:adjustRightInd w:val="0"/>
        <w:spacing w:line="580" w:lineRule="exact"/>
        <w:ind w:firstLine="640" w:firstLineChars="200"/>
        <w:jc w:val="left"/>
        <w:rPr>
          <w:rFonts w:ascii="仿宋" w:hAnsi="仿宋" w:eastAsia="仿宋" w:cs="仿宋"/>
          <w:sz w:val="32"/>
          <w:szCs w:val="32"/>
        </w:rPr>
      </w:pPr>
      <w:r>
        <w:rPr>
          <w:rFonts w:hint="eastAsia" w:ascii="仿宋_GB2312" w:eastAsia="仿宋_GB2312"/>
          <w:kern w:val="0"/>
          <w:sz w:val="32"/>
          <w:szCs w:val="32"/>
        </w:rPr>
        <w:t>在此基础上，制定了单位内部详细的各种业务涉及的管理制度及岗位职责：</w:t>
      </w:r>
      <w:r>
        <w:rPr>
          <w:rFonts w:hint="eastAsia" w:ascii="仿宋" w:hAnsi="仿宋" w:eastAsia="仿宋" w:cs="仿宋"/>
          <w:sz w:val="32"/>
          <w:szCs w:val="32"/>
        </w:rPr>
        <w:t>不相容职务分离制度、 财务收支审批制度、 财务牵制制度、财务公开制度、财产管理制度、资产清查制度、 固定资产管理制度、 教育收费专项议事制度、 收费管理制度、 财务稽核制度、 会计工作交接制度、 会计电算化管理制度、会计档案管理制度、票据管理制、 会计档案借阅制度、 会计电算化档案管理制度、 货币资金管理制、往来款项管理制度、印章管理使用制度、预借款管理制度、报销票据管理制度、差旅费管理规定、财务负责人岗位职责、会计员岗位职责、出纳员岗位职责、稽核员岗位职责、审核岗位职责、财政专项资金管理办法、基建、维修管理制度、内部稽核制度。 </w:t>
      </w:r>
    </w:p>
    <w:p>
      <w:pPr>
        <w:rPr>
          <w:rFonts w:ascii="仿宋" w:hAnsi="仿宋" w:eastAsia="仿宋" w:cs="仿宋"/>
          <w:sz w:val="32"/>
          <w:szCs w:val="32"/>
        </w:rPr>
      </w:pPr>
      <w:r>
        <w:rPr>
          <w:rFonts w:hint="eastAsia" w:ascii="仿宋" w:hAnsi="仿宋" w:eastAsia="仿宋" w:cs="仿宋"/>
          <w:sz w:val="32"/>
          <w:szCs w:val="32"/>
        </w:rPr>
        <w:t>财务管理：</w:t>
      </w:r>
    </w:p>
    <w:p>
      <w:pPr>
        <w:rPr>
          <w:sz w:val="28"/>
          <w:szCs w:val="28"/>
        </w:rPr>
      </w:pPr>
      <w:r>
        <w:rPr>
          <w:rFonts w:hint="eastAsia"/>
          <w:sz w:val="28"/>
          <w:szCs w:val="28"/>
        </w:rPr>
        <w:t>一）本单位遵照上级部门要求，认真进行财务预、决算组织、编报、审核及预决算公开工作。严格按照预算执行学校财务支付。</w:t>
      </w:r>
    </w:p>
    <w:p>
      <w:pPr>
        <w:rPr>
          <w:sz w:val="28"/>
          <w:szCs w:val="28"/>
        </w:rPr>
      </w:pPr>
      <w:r>
        <w:rPr>
          <w:rFonts w:hint="eastAsia"/>
          <w:sz w:val="28"/>
          <w:szCs w:val="28"/>
        </w:rPr>
        <w:t>（二）建立健全学校财务制度，严格按照制度规范学校财务行为，坚持公开公平公正原则，将学校经济活动置于全体教职员工监督之下。</w:t>
      </w:r>
    </w:p>
    <w:p>
      <w:pPr>
        <w:rPr>
          <w:sz w:val="28"/>
          <w:szCs w:val="28"/>
        </w:rPr>
      </w:pPr>
      <w:r>
        <w:rPr>
          <w:rFonts w:hint="eastAsia"/>
          <w:sz w:val="28"/>
          <w:szCs w:val="28"/>
        </w:rPr>
        <w:t>（三）建立健全内控制度，严格按照内控制度流程规范实施学校经济活动，充分发挥学校内审小组职能，每月按时对学校账务进行审核，发现问题，及时纠正。</w:t>
      </w:r>
    </w:p>
    <w:p>
      <w:pPr>
        <w:rPr>
          <w:sz w:val="28"/>
          <w:szCs w:val="28"/>
        </w:rPr>
      </w:pPr>
      <w:r>
        <w:rPr>
          <w:rFonts w:hint="eastAsia"/>
          <w:sz w:val="28"/>
          <w:szCs w:val="28"/>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“三公”经费控制：</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“三公”</w:t>
      </w:r>
      <w:r>
        <w:rPr>
          <w:rFonts w:hint="eastAsia" w:ascii="仿宋_GB2312" w:eastAsia="仿宋_GB2312" w:cs="仿宋_GB2312"/>
          <w:kern w:val="0"/>
          <w:sz w:val="32"/>
          <w:szCs w:val="32"/>
        </w:rPr>
        <w:t>经费支出情况：上下年对比2019年公务接待费0.00元，2018年公务接待费0.00元，学校严格把关，控制公务接待费的发生。</w:t>
      </w:r>
    </w:p>
    <w:p>
      <w:pPr>
        <w:autoSpaceDE w:val="0"/>
        <w:autoSpaceDN w:val="0"/>
        <w:adjustRightInd w:val="0"/>
        <w:spacing w:line="580" w:lineRule="exact"/>
        <w:jc w:val="left"/>
        <w:rPr>
          <w:rFonts w:ascii="仿宋_GB2312" w:eastAsia="仿宋_GB2312"/>
          <w:kern w:val="0"/>
          <w:sz w:val="32"/>
          <w:szCs w:val="32"/>
        </w:rPr>
      </w:pPr>
      <w:r>
        <w:rPr>
          <w:rFonts w:hint="eastAsia" w:ascii="仿宋_GB2312" w:eastAsia="仿宋_GB2312"/>
          <w:kern w:val="0"/>
          <w:sz w:val="32"/>
          <w:szCs w:val="32"/>
        </w:rPr>
        <w:t>资产管理：</w:t>
      </w:r>
    </w:p>
    <w:p>
      <w:pPr>
        <w:pStyle w:val="23"/>
        <w:numPr>
          <w:ilvl w:val="0"/>
          <w:numId w:val="4"/>
        </w:numPr>
        <w:ind w:firstLineChars="0"/>
        <w:rPr>
          <w:sz w:val="28"/>
          <w:szCs w:val="28"/>
        </w:rPr>
      </w:pPr>
      <w:r>
        <w:rPr>
          <w:rFonts w:hint="eastAsia"/>
          <w:sz w:val="28"/>
          <w:szCs w:val="28"/>
        </w:rPr>
        <w:t>建立健全资产管理领导小组，成立了以廖治刚校长为组长、总务处主任为副组长的资产管理领导小组；建立了资产管理上账以及相应资产报损的制度，严格做好一卡一物并登记造册制度，规范了报损程序，杜绝了国有资产的流失。</w:t>
      </w:r>
    </w:p>
    <w:p>
      <w:pPr>
        <w:pStyle w:val="23"/>
        <w:numPr>
          <w:ilvl w:val="0"/>
          <w:numId w:val="4"/>
        </w:numPr>
        <w:ind w:firstLineChars="0"/>
        <w:rPr>
          <w:sz w:val="28"/>
          <w:szCs w:val="28"/>
        </w:rPr>
      </w:pPr>
      <w:r>
        <w:rPr>
          <w:rFonts w:hint="eastAsia"/>
          <w:sz w:val="28"/>
          <w:szCs w:val="28"/>
        </w:rPr>
        <w:t>全面完成资产清查，每月按时向上级主管部门报告我校的资产月报，以及资产折旧；通过资产清查，摸清家底，规范以后的相应管理。</w:t>
      </w:r>
    </w:p>
    <w:p>
      <w:pPr>
        <w:pStyle w:val="23"/>
        <w:numPr>
          <w:ilvl w:val="0"/>
          <w:numId w:val="4"/>
        </w:numPr>
        <w:ind w:firstLineChars="0"/>
        <w:rPr>
          <w:sz w:val="28"/>
          <w:szCs w:val="28"/>
        </w:rPr>
      </w:pPr>
      <w:r>
        <w:rPr>
          <w:rFonts w:hint="eastAsia"/>
          <w:sz w:val="28"/>
          <w:szCs w:val="28"/>
        </w:rPr>
        <w:t>培训资产管理员的相关知识，使其能很好的管理好学校资产。</w:t>
      </w:r>
    </w:p>
    <w:p>
      <w:pPr>
        <w:pStyle w:val="23"/>
        <w:numPr>
          <w:ilvl w:val="0"/>
          <w:numId w:val="4"/>
        </w:numPr>
        <w:ind w:firstLineChars="0"/>
        <w:rPr>
          <w:rFonts w:ascii="仿宋_GB2312" w:eastAsia="仿宋_GB2312"/>
          <w:kern w:val="0"/>
          <w:sz w:val="32"/>
          <w:szCs w:val="32"/>
        </w:rPr>
      </w:pPr>
      <w:r>
        <w:rPr>
          <w:rFonts w:hint="eastAsia"/>
          <w:sz w:val="28"/>
          <w:szCs w:val="28"/>
        </w:rPr>
        <w:t>严格按照省财政厅采购目录管理要求，落实德阳市财政局、广汉市财政局相关采购管理要求，规范了学校的采购程序，杜绝了采购过程中出现的不合规项目。</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购买服务及信息公开等方面：</w:t>
      </w:r>
    </w:p>
    <w:p>
      <w:pPr>
        <w:autoSpaceDE w:val="0"/>
        <w:autoSpaceDN w:val="0"/>
        <w:adjustRightInd w:val="0"/>
        <w:spacing w:line="580" w:lineRule="exact"/>
        <w:ind w:firstLine="560" w:firstLineChars="200"/>
        <w:jc w:val="left"/>
        <w:rPr>
          <w:rFonts w:ascii="宋体" w:hAnsi="宋体" w:cs="宋体"/>
          <w:kern w:val="0"/>
          <w:sz w:val="28"/>
          <w:szCs w:val="28"/>
        </w:rPr>
      </w:pPr>
      <w:r>
        <w:rPr>
          <w:rFonts w:hint="eastAsia" w:ascii="宋体" w:hAnsi="宋体" w:cs="宋体"/>
          <w:kern w:val="0"/>
          <w:sz w:val="28"/>
          <w:szCs w:val="28"/>
        </w:rPr>
        <w:t>本单位厉行节约办事的作风，避免一切不必要的服务支出，所有的收支都透明，可以公布的信息都对外公开公布。</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专业技术业务工作方面：</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在业务教育工作中，注重教学经验的积累，加强名师工作</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室建设，培养专业领军人才、学科带头人和中青年骨干教师;</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加强教师培养，通过有计划委派参加国家、省市的培训以及</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到合作企业跟班实践，整体提高队伍素质。</w:t>
      </w:r>
    </w:p>
    <w:p>
      <w:pPr>
        <w:autoSpaceDE w:val="0"/>
        <w:autoSpaceDN w:val="0"/>
        <w:adjustRightInd w:val="0"/>
        <w:spacing w:line="580" w:lineRule="exact"/>
        <w:jc w:val="left"/>
        <w:rPr>
          <w:rFonts w:ascii="宋体" w:hAnsi="宋体" w:cs="宋体"/>
          <w:kern w:val="0"/>
          <w:sz w:val="28"/>
          <w:szCs w:val="28"/>
        </w:rPr>
      </w:pPr>
      <w:r>
        <w:rPr>
          <w:rFonts w:hint="eastAsia" w:ascii="宋体" w:hAnsi="宋体" w:cs="宋体"/>
          <w:kern w:val="0"/>
          <w:sz w:val="28"/>
          <w:szCs w:val="28"/>
        </w:rPr>
        <w:t>财务管理方面：</w:t>
      </w:r>
    </w:p>
    <w:p>
      <w:pPr>
        <w:autoSpaceDE w:val="0"/>
        <w:autoSpaceDN w:val="0"/>
        <w:adjustRightInd w:val="0"/>
        <w:spacing w:line="580" w:lineRule="exact"/>
        <w:ind w:firstLine="560" w:firstLineChars="200"/>
        <w:jc w:val="left"/>
        <w:rPr>
          <w:rFonts w:ascii="宋体" w:hAnsi="宋体" w:cs="宋体"/>
          <w:kern w:val="0"/>
          <w:sz w:val="28"/>
          <w:szCs w:val="28"/>
        </w:rPr>
      </w:pPr>
      <w:r>
        <w:rPr>
          <w:rFonts w:hint="eastAsia" w:ascii="宋体" w:hAnsi="宋体" w:cs="宋体"/>
          <w:kern w:val="0"/>
          <w:sz w:val="28"/>
          <w:szCs w:val="28"/>
        </w:rPr>
        <w:t>学校加强财务管理方面的工作，对于日常支出的账务处理应当及时同步，原始凭证应当以供货商提供发票等资料作为凭据，财务基础工作规范。</w:t>
      </w:r>
    </w:p>
    <w:p>
      <w:pPr>
        <w:autoSpaceDE w:val="0"/>
        <w:autoSpaceDN w:val="0"/>
        <w:adjustRightInd w:val="0"/>
        <w:spacing w:line="580" w:lineRule="exact"/>
        <w:ind w:firstLine="640" w:firstLineChars="200"/>
        <w:jc w:val="left"/>
        <w:rPr>
          <w:rFonts w:ascii="仿宋_GB2312" w:eastAsia="仿宋_GB2312"/>
          <w:kern w:val="0"/>
          <w:sz w:val="32"/>
          <w:szCs w:val="32"/>
        </w:rPr>
      </w:pPr>
    </w:p>
    <w:p>
      <w:pPr>
        <w:autoSpaceDE w:val="0"/>
        <w:autoSpaceDN w:val="0"/>
        <w:adjustRightInd w:val="0"/>
        <w:spacing w:line="580" w:lineRule="exact"/>
        <w:ind w:firstLine="640" w:firstLineChars="200"/>
        <w:jc w:val="left"/>
        <w:rPr>
          <w:rFonts w:ascii="黑体" w:eastAsia="黑体"/>
          <w:kern w:val="0"/>
          <w:sz w:val="32"/>
          <w:szCs w:val="32"/>
        </w:rPr>
      </w:pPr>
      <w:r>
        <w:rPr>
          <w:rFonts w:hint="eastAsia" w:ascii="黑体" w:eastAsia="黑体"/>
          <w:kern w:val="0"/>
          <w:sz w:val="32"/>
          <w:szCs w:val="32"/>
        </w:rPr>
        <w:t>四、部门履职效能</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（一）部门履职的年度总体目标。</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1:争创市级文明单位。</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2:进行学校制度改革，全面完成绩效管理。</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3:培养优秀师资力量，加强对教师业务培训力度。</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4:深化教学改革，力保教学质量全市优秀。</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5:推进校园文化建设进度。</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6:改革教师津补贴分配方案待遇方案，提高聘用老师待遇。</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(二）年度部门绩效目标</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全年完成招生任务招生200余人、在校学生合格率100%，</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初三合格率100%，中考成绩排名前2名。</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(三）年度部门绩效目标完成情况</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2019年度全年招收新生200余人;在校学生合格率100%，</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初三合格率100%，中考成绩排名前2名。全面完成2019年度绩效目标。</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（二）重点工作任务绩效目标完成情况。</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学校是一所初级中学，绩效主要社会效益，表现在以下方面:</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1、学校成立与开办，坚持以立德树人为根本，以服务</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发展为宗旨，培养各方面合格的初中生。</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2、学校积极推行学生综合素质的提高，基础知识的学习和综合实践的结合，提高了学生的学习兴趣及能力。经反馈，满意度为99%。</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3、学校设施设备齐全，教师队伍专业水平高，发展潜力大，后劲足，能对广汉地区九年义务基础教育事业形成长久的可持续影响。</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4、学校重视教师培训，积极提高教师专业化成长。以提高教师素质为重点，建立了教学（学科）带头人、骨干交税，教坛新秀。以及名师工作室、空间网络教师等教学培养形式。省、市培训共30人，外出参加各种专业研讨达40余人次。</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暑假安排了52余名专业教师进行继续教育，每学期对全校教师进行为期5天的校内培训。</w:t>
      </w:r>
    </w:p>
    <w:p>
      <w:pPr>
        <w:autoSpaceDE w:val="0"/>
        <w:autoSpaceDN w:val="0"/>
        <w:adjustRightInd w:val="0"/>
        <w:spacing w:line="580" w:lineRule="exact"/>
        <w:ind w:firstLine="560" w:firstLineChars="200"/>
        <w:jc w:val="left"/>
        <w:rPr>
          <w:rFonts w:ascii="宋体" w:hAnsi="宋体" w:cs="宋体"/>
          <w:kern w:val="0"/>
          <w:sz w:val="28"/>
          <w:szCs w:val="28"/>
        </w:rPr>
      </w:pPr>
      <w:r>
        <w:rPr>
          <w:rFonts w:hint="eastAsia" w:ascii="宋体" w:hAnsi="宋体" w:cs="宋体"/>
          <w:kern w:val="0"/>
          <w:sz w:val="28"/>
          <w:szCs w:val="28"/>
        </w:rPr>
        <w:t>五、评价结论及措施</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（一）评价结论</w:t>
      </w:r>
    </w:p>
    <w:p>
      <w:pPr>
        <w:spacing w:line="580" w:lineRule="exact"/>
        <w:ind w:firstLine="560" w:firstLineChars="200"/>
        <w:rPr>
          <w:rFonts w:ascii="宋体" w:hAnsi="宋体" w:cs="宋体"/>
          <w:kern w:val="0"/>
          <w:sz w:val="28"/>
          <w:szCs w:val="28"/>
        </w:rPr>
      </w:pPr>
      <w:r>
        <w:rPr>
          <w:rFonts w:hint="eastAsia" w:ascii="宋体" w:hAnsi="宋体" w:cs="宋体"/>
          <w:kern w:val="0"/>
          <w:sz w:val="28"/>
          <w:szCs w:val="28"/>
        </w:rPr>
        <w:t>绩效评价总体结论（包括指标体系及评分表）。</w:t>
      </w:r>
    </w:p>
    <w:p>
      <w:pPr>
        <w:spacing w:line="580" w:lineRule="exact"/>
        <w:ind w:firstLine="560" w:firstLineChars="200"/>
        <w:rPr>
          <w:rFonts w:ascii="仿宋_GB2312" w:eastAsia="仿宋_GB2312"/>
          <w:kern w:val="0"/>
          <w:sz w:val="32"/>
          <w:szCs w:val="32"/>
        </w:rPr>
      </w:pPr>
      <w:r>
        <w:rPr>
          <w:rFonts w:hint="eastAsia" w:ascii="宋体" w:hAnsi="宋体" w:cs="宋体"/>
          <w:kern w:val="0"/>
          <w:sz w:val="28"/>
          <w:szCs w:val="28"/>
        </w:rPr>
        <w:t>经综合评价,得分95分，评价结果为“优”。得分明细:</w:t>
      </w:r>
    </w:p>
    <w:tbl>
      <w:tblPr>
        <w:tblStyle w:val="12"/>
        <w:tblW w:w="0" w:type="auto"/>
        <w:tblInd w:w="0" w:type="dxa"/>
        <w:tblLayout w:type="fixed"/>
        <w:tblCellMar>
          <w:top w:w="0" w:type="dxa"/>
          <w:left w:w="0" w:type="dxa"/>
          <w:bottom w:w="0" w:type="dxa"/>
          <w:right w:w="0" w:type="dxa"/>
        </w:tblCellMar>
      </w:tblPr>
      <w:tblGrid>
        <w:gridCol w:w="643"/>
        <w:gridCol w:w="1923"/>
        <w:gridCol w:w="2727"/>
        <w:gridCol w:w="478"/>
        <w:gridCol w:w="491"/>
        <w:gridCol w:w="763"/>
        <w:gridCol w:w="1732"/>
      </w:tblGrid>
      <w:tr>
        <w:trPr>
          <w:trHeight w:val="439" w:hRule="atLeast"/>
        </w:trPr>
        <w:tc>
          <w:tcPr>
            <w:tcW w:w="2566" w:type="dxa"/>
            <w:gridSpan w:val="2"/>
            <w:tcBorders>
              <w:top w:val="nil"/>
              <w:left w:val="nil"/>
              <w:bottom w:val="nil"/>
              <w:right w:val="nil"/>
            </w:tcBorders>
            <w:tcMar>
              <w:top w:w="15" w:type="dxa"/>
              <w:left w:w="15" w:type="dxa"/>
              <w:right w:w="15" w:type="dxa"/>
            </w:tcMar>
            <w:vAlign w:val="center"/>
          </w:tcPr>
          <w:p>
            <w:pPr>
              <w:widowControl/>
              <w:jc w:val="left"/>
              <w:textAlignment w:val="center"/>
              <w:rPr>
                <w:rFonts w:ascii="方正黑体_GBK" w:hAnsi="方正黑体_GBK" w:eastAsia="方正黑体_GBK" w:cs="方正黑体_GBK"/>
                <w:color w:val="000000"/>
                <w:sz w:val="32"/>
                <w:szCs w:val="32"/>
              </w:rPr>
            </w:pPr>
            <w:r>
              <w:rPr>
                <w:rFonts w:ascii="方正黑体_GBK" w:hAnsi="方正黑体_GBK" w:eastAsia="方正黑体_GBK" w:cs="方正黑体_GBK"/>
                <w:color w:val="000000"/>
                <w:kern w:val="0"/>
                <w:sz w:val="32"/>
                <w:szCs w:val="32"/>
              </w:rPr>
              <w:t>附件8</w:t>
            </w:r>
          </w:p>
        </w:tc>
        <w:tc>
          <w:tcPr>
            <w:tcW w:w="2727" w:type="dxa"/>
            <w:tcBorders>
              <w:top w:val="nil"/>
              <w:left w:val="nil"/>
              <w:bottom w:val="nil"/>
              <w:right w:val="nil"/>
            </w:tcBorders>
            <w:tcMar>
              <w:top w:w="15" w:type="dxa"/>
              <w:left w:w="15" w:type="dxa"/>
              <w:right w:w="15" w:type="dxa"/>
            </w:tcMar>
            <w:vAlign w:val="bottom"/>
          </w:tcPr>
          <w:p>
            <w:pPr>
              <w:rPr>
                <w:rFonts w:ascii="宋体" w:hAnsi="宋体" w:cs="宋体"/>
                <w:color w:val="000000"/>
                <w:sz w:val="24"/>
              </w:rPr>
            </w:pPr>
          </w:p>
        </w:tc>
        <w:tc>
          <w:tcPr>
            <w:tcW w:w="478" w:type="dxa"/>
            <w:tcBorders>
              <w:top w:val="nil"/>
              <w:left w:val="nil"/>
              <w:bottom w:val="nil"/>
              <w:right w:val="nil"/>
            </w:tcBorders>
            <w:tcMar>
              <w:top w:w="15" w:type="dxa"/>
              <w:left w:w="15" w:type="dxa"/>
              <w:right w:w="15" w:type="dxa"/>
            </w:tcMar>
            <w:vAlign w:val="bottom"/>
          </w:tcPr>
          <w:p>
            <w:pPr>
              <w:jc w:val="center"/>
              <w:rPr>
                <w:rFonts w:ascii="宋体" w:hAnsi="宋体" w:cs="宋体"/>
                <w:color w:val="000000"/>
                <w:sz w:val="24"/>
              </w:rPr>
            </w:pPr>
          </w:p>
        </w:tc>
        <w:tc>
          <w:tcPr>
            <w:tcW w:w="491" w:type="dxa"/>
            <w:tcBorders>
              <w:top w:val="nil"/>
              <w:left w:val="nil"/>
              <w:bottom w:val="nil"/>
              <w:right w:val="nil"/>
            </w:tcBorders>
            <w:tcMar>
              <w:top w:w="15" w:type="dxa"/>
              <w:left w:w="15" w:type="dxa"/>
              <w:right w:w="15" w:type="dxa"/>
            </w:tcMar>
            <w:vAlign w:val="bottom"/>
          </w:tcPr>
          <w:p>
            <w:pPr>
              <w:jc w:val="center"/>
              <w:rPr>
                <w:rFonts w:ascii="宋体" w:hAnsi="宋体" w:cs="宋体"/>
                <w:color w:val="000000"/>
                <w:sz w:val="24"/>
              </w:rPr>
            </w:pPr>
          </w:p>
        </w:tc>
        <w:tc>
          <w:tcPr>
            <w:tcW w:w="763" w:type="dxa"/>
            <w:tcBorders>
              <w:top w:val="nil"/>
              <w:left w:val="nil"/>
              <w:bottom w:val="nil"/>
              <w:right w:val="nil"/>
            </w:tcBorders>
            <w:tcMar>
              <w:top w:w="15" w:type="dxa"/>
              <w:left w:w="15" w:type="dxa"/>
              <w:right w:w="15" w:type="dxa"/>
            </w:tcMar>
            <w:vAlign w:val="bottom"/>
          </w:tcPr>
          <w:p>
            <w:pPr>
              <w:rPr>
                <w:rFonts w:ascii="宋体" w:hAnsi="宋体" w:cs="宋体"/>
                <w:color w:val="000000"/>
                <w:sz w:val="24"/>
              </w:rPr>
            </w:pPr>
          </w:p>
        </w:tc>
        <w:tc>
          <w:tcPr>
            <w:tcW w:w="1732" w:type="dxa"/>
            <w:tcBorders>
              <w:top w:val="nil"/>
              <w:left w:val="nil"/>
              <w:bottom w:val="nil"/>
              <w:right w:val="nil"/>
            </w:tcBorders>
            <w:tcMar>
              <w:top w:w="15" w:type="dxa"/>
              <w:left w:w="15" w:type="dxa"/>
              <w:right w:w="15" w:type="dxa"/>
            </w:tcMar>
            <w:vAlign w:val="bottom"/>
          </w:tcPr>
          <w:p>
            <w:pPr>
              <w:rPr>
                <w:rFonts w:ascii="宋体" w:hAnsi="宋体" w:cs="宋体"/>
                <w:color w:val="000000"/>
                <w:sz w:val="24"/>
              </w:rPr>
            </w:pPr>
          </w:p>
        </w:tc>
      </w:tr>
      <w:tr>
        <w:trPr>
          <w:trHeight w:val="405" w:hRule="atLeast"/>
        </w:trPr>
        <w:tc>
          <w:tcPr>
            <w:tcW w:w="8757"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ascii="方正小标宋_GBK" w:hAnsi="方正小标宋_GBK" w:eastAsia="方正小标宋_GBK" w:cs="方正小标宋_GBK"/>
                <w:color w:val="000000"/>
                <w:sz w:val="32"/>
                <w:szCs w:val="32"/>
              </w:rPr>
            </w:pPr>
            <w:r>
              <w:rPr>
                <w:rFonts w:ascii="方正小标宋_GBK" w:hAnsi="方正小标宋_GBK" w:eastAsia="方正小标宋_GBK" w:cs="方正小标宋_GBK"/>
                <w:color w:val="000000"/>
                <w:kern w:val="0"/>
                <w:sz w:val="32"/>
                <w:szCs w:val="32"/>
              </w:rPr>
              <w:t>2020年部门整体支出绩效评价指标体系</w:t>
            </w:r>
          </w:p>
        </w:tc>
      </w:tr>
      <w:tr>
        <w:trPr>
          <w:trHeight w:val="450" w:hRule="atLeast"/>
        </w:trPr>
        <w:tc>
          <w:tcPr>
            <w:tcW w:w="6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一级指标</w:t>
            </w: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二级指标</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三级指标</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分值</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得分</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指标解释</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评分标准</w:t>
            </w:r>
          </w:p>
        </w:tc>
      </w:tr>
      <w:tr>
        <w:trPr>
          <w:trHeight w:val="1800" w:hRule="atLeast"/>
        </w:trPr>
        <w:tc>
          <w:tcPr>
            <w:tcW w:w="6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预算管理</w:t>
            </w: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预算编制（5分）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预算安排准确性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反映部门（单位）年初预算安排的准确性</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指标得分=（预算资金总来源-中期评估调整取消资金-预算结余注销资金）/预算资金总来源*指标分值，预算资金总来源是指年初预算与执行中追加预算（不含当年中央、省专款）总和</w:t>
            </w:r>
          </w:p>
        </w:tc>
      </w:tr>
      <w:tr>
        <w:trPr>
          <w:trHeight w:val="40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执行进度（5分）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部门总体执行进度</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部门（单位）按要求严格预算管理</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部门总体执行进度达96%以上，不扣分；达92%以上，按80%打分；达88%以上，按60%打分；未达到88%，不得分。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trPr>
          <w:trHeight w:val="1350" w:hRule="atLeast"/>
        </w:trPr>
        <w:tc>
          <w:tcPr>
            <w:tcW w:w="6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目标管理</w:t>
            </w: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Style w:val="31"/>
                <w:rFonts w:hint="default"/>
              </w:rPr>
              <w:t>绩效目标（10分）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目标填报</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考核部门是否按要求编制专项资金、部门专项类项目绩效目标</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应编制绩效目标的专项类项目、专项资金未按要求申报绩效目标，发现1个项目扣0.5分；填报内容不规范，发现1处扣0.5分。直至扣完</w:t>
            </w:r>
          </w:p>
        </w:tc>
      </w:tr>
      <w:tr>
        <w:trPr>
          <w:trHeight w:val="13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目标量化</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考核部门申报绩效目标的量化程度</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专项类项目、专项资金设定的产出指标均应量化，效果指标中应至少50%以上量化指标。发现1个项目未达到要求扣0.5分，直至扣完。</w:t>
            </w:r>
          </w:p>
        </w:tc>
      </w:tr>
      <w:tr>
        <w:trPr>
          <w:trHeight w:val="90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目标匹配</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考核部门申报的绩效目标是否与部门职能职责相关</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专项类项目、专项资金设定的绩效目标与部门职能职责不一致的，发现一个项目扣1分，直至扣完。</w:t>
            </w:r>
          </w:p>
        </w:tc>
      </w:tr>
      <w:tr>
        <w:trPr>
          <w:trHeight w:val="1800" w:hRule="atLeast"/>
        </w:trPr>
        <w:tc>
          <w:tcPr>
            <w:tcW w:w="6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Style w:val="31"/>
                <w:rFonts w:hint="default"/>
              </w:rPr>
              <w:t>（10分）</w:t>
            </w:r>
            <w:r>
              <w:rPr>
                <w:rStyle w:val="31"/>
                <w:rFonts w:hint="default"/>
              </w:rPr>
              <w:br w:type="textWrapping"/>
            </w:r>
            <w:r>
              <w:rPr>
                <w:rStyle w:val="31"/>
                <w:rFonts w:hint="default"/>
              </w:rPr>
              <w:t>部门管理</w:t>
            </w: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基础管理（4分）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管理制度健全性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部门（单位）为加强预算管理、推进厉行节约、规范财务行为而制定的管理制度是否健全完整</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是否已制定或具有预算资金管理办法、厉行节约管理措施、内部财务管理制度、会计核算制度等管理制度；相关管理制度是否合法、合规、完整；相关管理制度是否得到有效执行。定性评价。</w:t>
            </w:r>
          </w:p>
        </w:tc>
      </w:tr>
      <w:tr>
        <w:trPr>
          <w:trHeight w:val="24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资金使用合规性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部门（单位）使用预算资金是否符合相关的预算财务管理制度的规定</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财务监控有效性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考察部门是否对部门内部、各所属单位，专项资金分配的区（市）县或项目实施主体进行工作监督和定期考核。</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对部门内部、下属单位、分配的专项资金①制定明确的财务监控监督措施，得1分；②监控、监督措施执行有效，得1分。</w:t>
            </w:r>
          </w:p>
        </w:tc>
      </w:tr>
      <w:tr>
        <w:trPr>
          <w:trHeight w:val="90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行政成本（1分）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“三公”经费控制</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当年“三公”经费预算与当年决算比，反映“三公”经费控制情况</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部门“三公”经费决算数一项超预算扣0.5分，两项扣1分。</w:t>
            </w:r>
          </w:p>
        </w:tc>
      </w:tr>
      <w:tr>
        <w:trPr>
          <w:trHeight w:val="6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政府采购（1分）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采购规范性</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考察政府采购项目的采购程序、 采购方式的规范性</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采购方式、程序中每一点不规范，扣 0.5 分，直至扣完。</w:t>
            </w: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资产管理（2分）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固定资产在用率</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部门实际在用固定资产总额与所有固定资产总额的比率， 用以反映和考核部门固定资产使用效率及程度。</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固定资产在用率=（实际在用固定资产总额/所有固定资产总额）×100%。 固定资产在用率达到 95%以上得满分。 相较95%，每降低 5个百分点扣1分，直至扣完。</w:t>
            </w:r>
          </w:p>
        </w:tc>
      </w:tr>
      <w:tr>
        <w:trPr>
          <w:trHeight w:val="13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信息公开（2分）</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信息公开</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除涉密单位和信息外，考核部门（单位）是否按财政要求及时完成预算、决算、绩效等信息公开工作</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Style w:val="31"/>
                <w:rFonts w:hint="default"/>
              </w:rPr>
              <w:t>一项公开工作未完成的扣1分，直至扣完。</w:t>
            </w:r>
          </w:p>
        </w:tc>
      </w:tr>
      <w:tr>
        <w:trPr>
          <w:trHeight w:val="1575" w:hRule="atLeast"/>
        </w:trPr>
        <w:tc>
          <w:tcPr>
            <w:tcW w:w="64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履职效能</w:t>
            </w: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重点任务一：初中教育，促进基础教育发展，培养各方面合格的初中生。完善的教学设施，先进的教学设备，让农村学生同样能享受到优质的教育资源，为实现学生的全面发展奠定了坚实的物质基础。</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学校理念先进，全面育人。树立让每一个学生都能成人成才成功的办学思想，努力培养“德才兼备、身心两健”的创新人才。</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50</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50</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1.履职效能指标设定，由评价工作组根据部门职能职责、年度工作计划等梳理年度重点工作任务。各项重点任务分值，由评价工作组根据任务重要性在总权重分值（70分）中分配。</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服务对象(受益)对象满意度：99%</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根据满意度调查评分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关键绩效指标一：1、年度内师资力量达到52人。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关键绩效指标二：2、完成年度招生计划 160人。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关键绩效指标三：3、在校学生达到616人.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关键绩效指标四：4、初中生毕业率？100%。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关键绩效指标五：5、学校教育教学秩序良好</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关键绩效指标六：6、教学质量在市内同类学校中居第一位</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关键绩效指标七：7、毕业合格率达100%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关键绩效指标八：8、学校管理优化</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关键绩效指标九：9、学校声誉良好</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关键绩效指标十：10、学校绿化覆盖率</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关键绩效指标十一：11、实现文明单位</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关键绩效指标十二：12、实现环保单位</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重点任务二：教师家访任务。家校同心圆创建活动，加入“全国规范化家长学校实验区”项目，为家长送育人知识，为学生送温暖与关爱，构建家校合力，扩大教育力度。</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关键绩效指标一：.教师家访200人次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88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重点任务三：教师健身活动.学校工会开展“亲近自然健步走“健身活动，让每位教职工增强健身意识，增长健身知识，拥有强健的身体和饱满的工作精力。</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任务完成率：80%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服务对象或受益对象满意度：80%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关键绩效指标一：健步走活动4次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关键绩效指标二：体育锻炼150人次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重点任务四：庆祝“三八”妇女节活动。学校工会开展节日送祝福，节日送温暖，增进学校集体的凝聚力。</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关键绩效指标一：参加活动人次30人次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关键绩效指标二：工会活动经费1万元</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重点任务五：学校重视教师培训，积极提高教师专业化成长。学校科研课题《初中学生素质拓展5+1模式的实践与研究》立项，组织管理干部到成都七中培训。</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任务完成率:80%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服务对象或受益对象满意度：80%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关键绩效指标一：年度内师资力量达到52人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关键绩效指标三：交流学习教育教研520人次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关键绩效指标四：课堂竞赛30人次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重点任务六：课堂竞赛活动组织教职工参加广汉中学实验学校举办的“立足课程标准，展示教学风采”教学技能展示活动，提升教学水平，提高教学质量，充分展示教师风采。</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任务完成率:80%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服务对象或受益对象满意度：80%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关键绩效指标一：课堂竞赛30人次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关键绩效指标二：交流学习教育教研520人次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重点任务七：校园歌手大赛活动。学校举行校园歌手大赛，全校师生参加，争相展示个人风采，发展学生艺术潜质。</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服务对象或受益对象满意度：95%</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关键绩效指标一：参加活动人次620人次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关键绩效指标二：社区满意度95%以上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关键绩效指标二：学生满意度95%以上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重点任务八：学校积极推行学生综合素质的提高.学校“三年影响学生一生”素质5+1活动，提升学校办学的卓越质量，奠定学生梦想基础。五张证书，见证全面发展，引导学生健康成长。</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服务对象或受益对象满意度：99%</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关键绩效指标一:1、在校学生达到616人.</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关键绩效指标二：2、毕业合格率达100%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60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重点任务九：学校设施设备齐全。学校为改善办公条件，提高办公效率，改善教育手段，适应教育教学电子化信息化的要求，计划政府采购购置22台办公笔记本电脑。</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关键绩效指标一：办公笔记本电脑22台</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90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重点任务十：校园文化建设，校园建设“阅读成就人生”书吧。学校建设建设“阅读成就人生”书吧，在学校的走廊，校园一角修建书屋，安装书桌，书櫈，置办书刊，培养学生一生阅读。</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服务对象或受益对象满意度：95%</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关键绩效指标一：校园建设“书吧”8间</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关键绩效指标二：社区满意度95%以上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关键绩效指标三：家长满意度95%以上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关键绩效指标四：学生满意度95%以上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重点任务十一：学校食堂运行生活保障，学校教职工值班任务。学校食堂运行生活保障，寄宿生生活上得到保障，食堂伙食，宿舍管理，早晚学生自习值班安排，保障学生生活安全。</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服务对象或受益对象满意度：100%</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关键绩效指标一：宿舍建设及管理58.10万元</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关键绩效指标二：社区满意度95%以上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关键绩效指标三：家长满意度95%以上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关键绩效指标四：学生满意度95%以上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关键绩效指标五：教师满意度95%以上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36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157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重点任务十二：家庭贫困寄宿生奖学金助学金生活补助。家庭贫困寄宿生奖学金助学金生活补助，关爱寄宿生，给与生活补助。</w:t>
            </w: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任务完成率：:100%</w:t>
            </w:r>
          </w:p>
        </w:tc>
        <w:tc>
          <w:tcPr>
            <w:tcW w:w="4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得分=分值×实际完成任务量/绩效目标设定任务量×100%。实际完成任务量大于绩效目标设定任务量得满分。</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450"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服务对象或受益对象满意度：95%</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关键绩效指标一：参加活动人次620人次</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关键绩效指标二：社区满意度95%以上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关键绩效指标二：家长满意度95%以上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关键绩效指标二：学生满意度95%以上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关键绩效指标二：教师满意度95%以上</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9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7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4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4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7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64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6382"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173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18"/>
                <w:szCs w:val="18"/>
              </w:rPr>
            </w:pPr>
          </w:p>
        </w:tc>
      </w:tr>
      <w:tr>
        <w:trPr>
          <w:trHeight w:val="285" w:hRule="atLeast"/>
        </w:trPr>
        <w:tc>
          <w:tcPr>
            <w:tcW w:w="529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4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24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rPr>
          <w:trHeight w:val="285" w:hRule="atLeast"/>
        </w:trPr>
        <w:tc>
          <w:tcPr>
            <w:tcW w:w="643"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c>
          <w:tcPr>
            <w:tcW w:w="1923"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c>
          <w:tcPr>
            <w:tcW w:w="2727"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c>
          <w:tcPr>
            <w:tcW w:w="478" w:type="dxa"/>
            <w:tcBorders>
              <w:top w:val="nil"/>
              <w:left w:val="nil"/>
              <w:bottom w:val="nil"/>
              <w:right w:val="nil"/>
            </w:tcBorders>
            <w:tcMar>
              <w:top w:w="15" w:type="dxa"/>
              <w:left w:w="15" w:type="dxa"/>
              <w:right w:w="15" w:type="dxa"/>
            </w:tcMar>
            <w:vAlign w:val="bottom"/>
          </w:tcPr>
          <w:p>
            <w:pPr>
              <w:jc w:val="center"/>
              <w:rPr>
                <w:rFonts w:ascii="等线" w:hAnsi="等线" w:eastAsia="等线" w:cs="等线"/>
                <w:color w:val="000000"/>
                <w:sz w:val="22"/>
                <w:szCs w:val="22"/>
              </w:rPr>
            </w:pPr>
          </w:p>
        </w:tc>
        <w:tc>
          <w:tcPr>
            <w:tcW w:w="491" w:type="dxa"/>
            <w:tcBorders>
              <w:top w:val="nil"/>
              <w:left w:val="nil"/>
              <w:bottom w:val="nil"/>
              <w:right w:val="nil"/>
            </w:tcBorders>
            <w:tcMar>
              <w:top w:w="15" w:type="dxa"/>
              <w:left w:w="15" w:type="dxa"/>
              <w:right w:w="15" w:type="dxa"/>
            </w:tcMar>
            <w:vAlign w:val="bottom"/>
          </w:tcPr>
          <w:p>
            <w:pPr>
              <w:jc w:val="center"/>
              <w:rPr>
                <w:rFonts w:ascii="等线" w:hAnsi="等线" w:eastAsia="等线" w:cs="等线"/>
                <w:color w:val="000000"/>
                <w:sz w:val="22"/>
                <w:szCs w:val="22"/>
              </w:rPr>
            </w:pPr>
          </w:p>
        </w:tc>
        <w:tc>
          <w:tcPr>
            <w:tcW w:w="763"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c>
          <w:tcPr>
            <w:tcW w:w="1732" w:type="dxa"/>
            <w:tcBorders>
              <w:top w:val="nil"/>
              <w:left w:val="nil"/>
              <w:bottom w:val="nil"/>
              <w:right w:val="nil"/>
            </w:tcBorders>
            <w:tcMar>
              <w:top w:w="15" w:type="dxa"/>
              <w:left w:w="15" w:type="dxa"/>
              <w:right w:w="15" w:type="dxa"/>
            </w:tcMar>
            <w:vAlign w:val="bottom"/>
          </w:tcPr>
          <w:p>
            <w:pPr>
              <w:rPr>
                <w:rFonts w:ascii="等线" w:hAnsi="等线" w:eastAsia="等线" w:cs="等线"/>
                <w:color w:val="000000"/>
                <w:sz w:val="22"/>
                <w:szCs w:val="22"/>
              </w:rPr>
            </w:pPr>
          </w:p>
        </w:tc>
      </w:tr>
      <w:tr>
        <w:trPr>
          <w:trHeight w:val="499" w:hRule="atLeast"/>
        </w:trPr>
        <w:tc>
          <w:tcPr>
            <w:tcW w:w="8757" w:type="dxa"/>
            <w:gridSpan w:val="7"/>
            <w:tcBorders>
              <w:top w:val="nil"/>
              <w:left w:val="nil"/>
              <w:bottom w:val="nil"/>
              <w:right w:val="nil"/>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p>
      <w:pPr>
        <w:spacing w:line="580" w:lineRule="exact"/>
        <w:rPr>
          <w:rFonts w:ascii="楷体_GB2312" w:eastAsia="楷体_GB2312"/>
          <w:kern w:val="0"/>
          <w:sz w:val="32"/>
          <w:szCs w:val="32"/>
        </w:rPr>
      </w:pPr>
      <w:r>
        <w:rPr>
          <w:rFonts w:hint="eastAsia" w:ascii="楷体_GB2312" w:eastAsia="楷体_GB2312"/>
          <w:kern w:val="0"/>
          <w:sz w:val="32"/>
          <w:szCs w:val="32"/>
        </w:rPr>
        <w:t>（二）存在问题</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预算控制方面实际发生支出较预算有所增加预算控制欠佳。财务管理方面支付限额以外要严格执行转账，不座支现金。</w:t>
      </w:r>
    </w:p>
    <w:p>
      <w:pPr>
        <w:spacing w:line="580" w:lineRule="exact"/>
        <w:rPr>
          <w:rFonts w:ascii="楷体_GB2312" w:eastAsia="楷体_GB2312"/>
          <w:kern w:val="0"/>
          <w:sz w:val="32"/>
          <w:szCs w:val="32"/>
        </w:rPr>
      </w:pPr>
      <w:r>
        <w:rPr>
          <w:rFonts w:hint="eastAsia" w:ascii="楷体_GB2312" w:eastAsia="楷体_GB2312"/>
          <w:kern w:val="0"/>
          <w:sz w:val="32"/>
          <w:szCs w:val="32"/>
        </w:rPr>
        <w:t>（三）改进措施</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(一）预算控制方面</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在预算编制时应总结以往预算执行差异的原因，对来年工作计划进行详细的剖析和分析，充分全面的考虑预算变动因素，包括因学校师生规模的扩大导致的支出变化，保证预算编制的合理性与全面性。</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(二）年度绩效目标设定方面</w:t>
      </w:r>
    </w:p>
    <w:p>
      <w:pPr>
        <w:spacing w:line="580" w:lineRule="exact"/>
        <w:ind w:firstLine="640" w:firstLineChars="200"/>
        <w:rPr>
          <w:rFonts w:ascii="仿宋_GB2312" w:eastAsia="仿宋_GB2312"/>
          <w:kern w:val="0"/>
          <w:sz w:val="32"/>
          <w:szCs w:val="32"/>
        </w:rPr>
      </w:pPr>
      <w:r>
        <w:rPr>
          <w:rFonts w:hint="eastAsia" w:ascii="仿宋_GB2312" w:eastAsia="仿宋_GB2312"/>
          <w:kern w:val="0"/>
          <w:sz w:val="32"/>
          <w:szCs w:val="32"/>
        </w:rPr>
        <w:t>应从自身职责出发，综合考虑相关因素，全面系统的确定绩效目标，作为日后绩效评价的依据，充分体现绩效目标对工作的指导作用。</w:t>
      </w:r>
    </w:p>
    <w:p>
      <w:pPr>
        <w:spacing w:line="580" w:lineRule="exact"/>
        <w:ind w:firstLine="640" w:firstLineChars="200"/>
        <w:rPr>
          <w:rFonts w:ascii="仿宋_GB2312" w:eastAsia="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63"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61"/>
      <w:bookmarkEnd w:id="63"/>
    </w:p>
    <w:p>
      <w:pPr>
        <w:spacing w:line="600" w:lineRule="exact"/>
        <w:jc w:val="center"/>
        <w:outlineLvl w:val="0"/>
        <w:rPr>
          <w:rFonts w:ascii="仿宋" w:hAnsi="仿宋" w:eastAsia="仿宋"/>
          <w:b/>
          <w:color w:val="000000"/>
          <w:sz w:val="44"/>
          <w:szCs w:val="44"/>
        </w:rPr>
      </w:pPr>
    </w:p>
    <w:p>
      <w:pPr>
        <w:pStyle w:val="3"/>
        <w:numPr>
          <w:ilvl w:val="0"/>
          <w:numId w:val="5"/>
        </w:numPr>
      </w:pPr>
      <w:bookmarkStart w:id="64" w:name="_Toc15396619"/>
      <w:r>
        <w:rPr>
          <w:rFonts w:hint="eastAsia" w:ascii="仿宋" w:hAnsi="仿宋" w:eastAsia="仿宋"/>
          <w:b w:val="0"/>
          <w:color w:val="000000"/>
        </w:rPr>
        <w:t>收</w:t>
      </w:r>
      <w:r>
        <w:rPr>
          <w:rStyle w:val="25"/>
          <w:rFonts w:hint="eastAsia" w:ascii="仿宋" w:hAnsi="仿宋" w:eastAsia="仿宋"/>
          <w:b w:val="0"/>
          <w:bCs w:val="0"/>
        </w:rPr>
        <w:t>入支出决算总表</w:t>
      </w:r>
      <w:bookmarkEnd w:id="64"/>
    </w:p>
    <w:p>
      <w:pPr>
        <w:pStyle w:val="3"/>
        <w:numPr>
          <w:ilvl w:val="0"/>
          <w:numId w:val="5"/>
        </w:numPr>
      </w:pPr>
      <w:bookmarkStart w:id="65" w:name="_Toc15396620"/>
      <w:r>
        <w:rPr>
          <w:rFonts w:hint="eastAsia" w:ascii="仿宋" w:hAnsi="仿宋" w:eastAsia="仿宋"/>
          <w:b w:val="0"/>
          <w:color w:val="000000"/>
        </w:rPr>
        <w:t>收</w:t>
      </w:r>
      <w:r>
        <w:rPr>
          <w:rStyle w:val="25"/>
          <w:rFonts w:hint="eastAsia" w:ascii="仿宋" w:hAnsi="仿宋" w:eastAsia="仿宋"/>
          <w:b w:val="0"/>
          <w:bCs w:val="0"/>
        </w:rPr>
        <w:t>入决算表</w:t>
      </w:r>
      <w:bookmarkEnd w:id="65"/>
    </w:p>
    <w:p>
      <w:pPr>
        <w:pStyle w:val="3"/>
        <w:numPr>
          <w:ilvl w:val="0"/>
          <w:numId w:val="5"/>
        </w:numPr>
      </w:pPr>
      <w:bookmarkStart w:id="66" w:name="_Toc15396621"/>
      <w:r>
        <w:rPr>
          <w:rFonts w:hint="eastAsia" w:ascii="仿宋" w:hAnsi="仿宋" w:eastAsia="仿宋"/>
          <w:b w:val="0"/>
          <w:color w:val="000000"/>
        </w:rPr>
        <w:t>支</w:t>
      </w:r>
      <w:r>
        <w:rPr>
          <w:rStyle w:val="25"/>
          <w:rFonts w:hint="eastAsia" w:ascii="仿宋" w:hAnsi="仿宋" w:eastAsia="仿宋"/>
          <w:b w:val="0"/>
          <w:bCs w:val="0"/>
        </w:rPr>
        <w:t>出决算表</w:t>
      </w:r>
      <w:bookmarkEnd w:id="66"/>
    </w:p>
    <w:p>
      <w:pPr>
        <w:pStyle w:val="3"/>
        <w:numPr>
          <w:ilvl w:val="0"/>
          <w:numId w:val="5"/>
        </w:numPr>
      </w:pPr>
      <w:bookmarkStart w:id="67" w:name="_Toc15396622"/>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7"/>
    </w:p>
    <w:p>
      <w:pPr>
        <w:pStyle w:val="3"/>
        <w:numPr>
          <w:ilvl w:val="0"/>
          <w:numId w:val="5"/>
        </w:numPr>
      </w:pPr>
      <w:bookmarkStart w:id="68" w:name="_Toc15396623"/>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8"/>
      <w:bookmarkStart w:id="69" w:name="_Toc15396624"/>
    </w:p>
    <w:p>
      <w:pPr>
        <w:pStyle w:val="3"/>
        <w:numPr>
          <w:ilvl w:val="0"/>
          <w:numId w:val="5"/>
        </w:numPr>
      </w:pP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9"/>
    </w:p>
    <w:p>
      <w:pPr>
        <w:pStyle w:val="3"/>
        <w:numPr>
          <w:ilvl w:val="0"/>
          <w:numId w:val="5"/>
        </w:numPr>
      </w:pPr>
      <w:bookmarkStart w:id="70" w:name="_Toc15396625"/>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70"/>
    </w:p>
    <w:p>
      <w:pPr>
        <w:pStyle w:val="3"/>
        <w:numPr>
          <w:ilvl w:val="0"/>
          <w:numId w:val="5"/>
        </w:numPr>
      </w:pPr>
      <w:bookmarkStart w:id="71" w:name="_Toc15396626"/>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71"/>
    </w:p>
    <w:p>
      <w:pPr>
        <w:pStyle w:val="3"/>
        <w:numPr>
          <w:ilvl w:val="0"/>
          <w:numId w:val="5"/>
        </w:numPr>
      </w:pPr>
      <w:bookmarkStart w:id="72" w:name="_Toc15396627"/>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72"/>
    </w:p>
    <w:p>
      <w:pPr>
        <w:pStyle w:val="3"/>
        <w:numPr>
          <w:ilvl w:val="0"/>
          <w:numId w:val="5"/>
        </w:numPr>
      </w:pPr>
      <w:bookmarkStart w:id="73" w:name="_Toc15396628"/>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73"/>
    </w:p>
    <w:p>
      <w:pPr>
        <w:pStyle w:val="3"/>
        <w:numPr>
          <w:ilvl w:val="0"/>
          <w:numId w:val="5"/>
        </w:numPr>
      </w:pPr>
      <w:bookmarkStart w:id="74" w:name="_Toc15396629"/>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4"/>
    </w:p>
    <w:p>
      <w:pPr>
        <w:pStyle w:val="3"/>
        <w:numPr>
          <w:ilvl w:val="0"/>
          <w:numId w:val="5"/>
        </w:numPr>
      </w:pPr>
      <w:bookmarkStart w:id="75" w:name="_Toc15396630"/>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5"/>
    </w:p>
    <w:p>
      <w:pPr>
        <w:pStyle w:val="3"/>
        <w:numPr>
          <w:ilvl w:val="0"/>
          <w:numId w:val="5"/>
        </w:numPr>
        <w:rPr>
          <w:rStyle w:val="25"/>
          <w:rFonts w:ascii="仿宋" w:hAnsi="仿宋" w:eastAsia="仿宋"/>
          <w:b w:val="0"/>
          <w:bCs w:val="0"/>
        </w:rPr>
      </w:pPr>
      <w:bookmarkStart w:id="76" w:name="_Toc15396631"/>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6"/>
    </w:p>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altName w:val="汉仪书宋二KW"/>
    <w:panose1 w:val="00000000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80000287" w:usb1="280F3C52" w:usb2="00000016" w:usb3="00000000" w:csb0="0004001F" w:csb1="00000000"/>
  </w:font>
  <w:font w:name="楷体_GB2312">
    <w:altName w:val="汉仪楷体简"/>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AFF" w:usb1="C000605B" w:usb2="00000029" w:usb3="00000000" w:csb0="200101FF" w:csb1="20280000"/>
  </w:font>
  <w:font w:name="方正黑体_GBK">
    <w:altName w:val="汉仪中黑KW"/>
    <w:panose1 w:val="00000000000000000000"/>
    <w:charset w:val="00"/>
    <w:family w:val="auto"/>
    <w:pitch w:val="default"/>
    <w:sig w:usb0="00000000" w:usb1="00000000" w:usb2="00000000" w:usb3="00000000" w:csb0="00040001" w:csb1="00000000"/>
  </w:font>
  <w:font w:name="方正小标宋_GBK">
    <w:altName w:val="汉仪书宋二KW"/>
    <w:panose1 w:val="00000000000000000000"/>
    <w:charset w:val="00"/>
    <w:family w:val="auto"/>
    <w:pitch w:val="default"/>
    <w:sig w:usb0="00000000" w:usb1="00000000" w:usb2="00000000" w:usb3="00000000" w:csb0="00040001" w:csb1="00000000"/>
  </w:font>
  <w:font w:name="等线">
    <w:altName w:val="汉仪中等线KW"/>
    <w:panose1 w:val="02010600030101010101"/>
    <w:charset w:val="86"/>
    <w:family w:val="auto"/>
    <w:pitch w:val="default"/>
    <w:sig w:usb0="00000000" w:usb1="00000000" w:usb2="00000016" w:usb3="00000000" w:csb0="0004000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CFB"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宋体-简">
    <w:panose1 w:val="02010800040101010101"/>
    <w:charset w:val="86"/>
    <w:family w:val="auto"/>
    <w:pitch w:val="default"/>
    <w:sig w:usb0="00000001" w:usb1="080F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8"/>
          <w:jc w:val="center"/>
        </w:pPr>
        <w:r>
          <w:fldChar w:fldCharType="begin"/>
        </w:r>
        <w:r>
          <w:instrText xml:space="preserve">PAGE   \* MERGEFORMAT</w:instrText>
        </w:r>
        <w:r>
          <w:fldChar w:fldCharType="separate"/>
        </w:r>
        <w:r>
          <w:rPr>
            <w:lang w:val="zh-CN"/>
          </w:rPr>
          <w:t>34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022A82BC"/>
    <w:multiLevelType w:val="singleLevel"/>
    <w:tmpl w:val="022A82BC"/>
    <w:lvl w:ilvl="0" w:tentative="0">
      <w:start w:val="1"/>
      <w:numFmt w:val="chineseCounting"/>
      <w:suff w:val="nothing"/>
      <w:lvlText w:val="%1、"/>
      <w:lvlJc w:val="left"/>
      <w:rPr>
        <w:rFonts w:hint="eastAsia"/>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BD57D7C"/>
    <w:multiLevelType w:val="multilevel"/>
    <w:tmpl w:val="7BD57D7C"/>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D6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1040"/>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16FDD"/>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1113"/>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80A2FE6"/>
    <w:rsid w:val="10C055FF"/>
    <w:rsid w:val="1390244C"/>
    <w:rsid w:val="13C231D9"/>
    <w:rsid w:val="16BB723D"/>
    <w:rsid w:val="1A6B32BE"/>
    <w:rsid w:val="240371BF"/>
    <w:rsid w:val="282520E3"/>
    <w:rsid w:val="294C3FE9"/>
    <w:rsid w:val="29FD04D3"/>
    <w:rsid w:val="319F7F4E"/>
    <w:rsid w:val="391A7E30"/>
    <w:rsid w:val="395E6905"/>
    <w:rsid w:val="3B661333"/>
    <w:rsid w:val="4ECE2238"/>
    <w:rsid w:val="511F77D5"/>
    <w:rsid w:val="517A0D19"/>
    <w:rsid w:val="529D62A2"/>
    <w:rsid w:val="55FB0B02"/>
    <w:rsid w:val="58F10DED"/>
    <w:rsid w:val="6575268D"/>
    <w:rsid w:val="66220077"/>
    <w:rsid w:val="6B351F15"/>
    <w:rsid w:val="70DC7BDA"/>
    <w:rsid w:val="72734D90"/>
    <w:rsid w:val="77E648C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30">
    <w:name w:val="普通(网站)1"/>
    <w:qFormat/>
    <w:uiPriority w:val="0"/>
    <w:pPr>
      <w:spacing w:before="100" w:beforeAutospacing="1" w:after="100" w:afterAutospacing="1"/>
    </w:pPr>
    <w:rPr>
      <w:rFonts w:ascii="宋体" w:hAnsi="宋体" w:eastAsia="宋体" w:cs="宋体"/>
      <w:sz w:val="24"/>
      <w:szCs w:val="24"/>
      <w:lang w:val="en-US" w:eastAsia="zh-CN" w:bidi="ar-SA"/>
    </w:rPr>
  </w:style>
  <w:style w:type="character" w:customStyle="1" w:styleId="31">
    <w:name w:val="font1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四川省财政厅</Company>
  <Pages>48</Pages>
  <Words>3942</Words>
  <Characters>22474</Characters>
  <Lines>187</Lines>
  <Paragraphs>52</Paragraphs>
  <TotalTime>50</TotalTime>
  <ScaleCrop>false</ScaleCrop>
  <LinksUpToDate>false</LinksUpToDate>
  <CharactersWithSpaces>26364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2020-08-04T09:49:00Z</dcterms:created>
  <dc:creator>曹颖</dc:creator>
  <cp:lastModifiedBy>nemoya</cp:lastModifiedBy>
  <cp:lastPrinted>2020-11-02T16:23:00Z</cp:lastPrinted>
  <dcterms:modified xsi:type="dcterms:W3CDTF">2025-03-03T14:37:04Z</dcterms:modified>
  <dc:title>四川省***</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FB9E627D25453BF4104EC567432B4AD0_42</vt:lpwstr>
  </property>
</Properties>
</file>