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6204D1">
        <w:rPr>
          <w:rFonts w:ascii="方正小标宋简体" w:eastAsia="方正小标宋简体" w:hAnsi="宋体" w:hint="eastAsia"/>
          <w:color w:val="000000"/>
          <w:sz w:val="72"/>
          <w:szCs w:val="72"/>
        </w:rPr>
        <w:t>广汉市高坪中学</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5B5C64">
      <w:pPr>
        <w:adjustRightInd w:val="0"/>
        <w:snapToGrid w:val="0"/>
        <w:spacing w:line="360" w:lineRule="auto"/>
        <w:jc w:val="center"/>
        <w:outlineLvl w:val="0"/>
        <w:rPr>
          <w:rFonts w:ascii="方正小标宋简体" w:eastAsia="方正小标宋简体" w:hAnsi="宋体"/>
          <w:color w:val="000000"/>
          <w:sz w:val="52"/>
          <w:szCs w:val="52"/>
        </w:rPr>
      </w:pP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204CDE" w:rsidP="00F91951">
      <w:pPr>
        <w:ind w:firstLineChars="1050" w:firstLine="2205"/>
      </w:pPr>
      <w:r>
        <w:rPr>
          <w:rFonts w:hint="eastAsia"/>
        </w:rPr>
        <w:t>公开时间：</w:t>
      </w:r>
      <w:r>
        <w:rPr>
          <w:rFonts w:hint="eastAsia"/>
        </w:rPr>
        <w:t>2020</w:t>
      </w:r>
      <w:r>
        <w:rPr>
          <w:rFonts w:hint="eastAsia"/>
        </w:rPr>
        <w:t>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adjustRightInd w:val="0"/>
        <w:snapToGrid w:val="0"/>
        <w:spacing w:line="440" w:lineRule="exact"/>
        <w:jc w:val="left"/>
        <w:rPr>
          <w:rFonts w:cstheme="minorBidi"/>
          <w:sz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adjustRightInd w:val="0"/>
        <w:snapToGrid w:val="0"/>
        <w:spacing w:line="440" w:lineRule="exact"/>
        <w:jc w:val="left"/>
        <w:rPr>
          <w:rFonts w:ascii="仿宋" w:eastAsia="仿宋" w:hAnsi="仿宋"/>
          <w:sz w:val="24"/>
        </w:rPr>
      </w:pPr>
      <w:r w:rsidRPr="00833962">
        <w:rPr>
          <w:rFonts w:hint="eastAsia"/>
          <w:sz w:val="24"/>
        </w:rPr>
        <w:t>一、基本职能及主要工作</w:t>
      </w:r>
      <w:r w:rsidR="00446565">
        <w:rPr>
          <w:rFonts w:hint="eastAsia"/>
          <w:sz w:val="24"/>
        </w:rPr>
        <w:t>………………………………………………………</w:t>
      </w:r>
      <w:r w:rsidR="00446565">
        <w:rPr>
          <w:rFonts w:hint="eastAsia"/>
          <w:sz w:val="24"/>
        </w:rPr>
        <w:t>4</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二、机构设置</w:t>
      </w:r>
      <w:r w:rsidR="00446565">
        <w:rPr>
          <w:rFonts w:hint="eastAsia"/>
          <w:sz w:val="24"/>
        </w:rPr>
        <w:t>……………………………………………………………………</w:t>
      </w:r>
      <w:r w:rsidR="00446565">
        <w:rPr>
          <w:rFonts w:hint="eastAsia"/>
          <w:sz w:val="24"/>
        </w:rPr>
        <w:t>4</w:t>
      </w:r>
    </w:p>
    <w:p w:rsidR="00416CD4" w:rsidRDefault="00833962">
      <w:pPr>
        <w:adjustRightInd w:val="0"/>
        <w:snapToGrid w:val="0"/>
        <w:spacing w:line="440" w:lineRule="exact"/>
        <w:jc w:val="left"/>
        <w:rPr>
          <w:sz w:val="24"/>
        </w:rPr>
      </w:pPr>
      <w:r w:rsidRPr="00833962">
        <w:rPr>
          <w:rFonts w:hint="eastAsia"/>
          <w:sz w:val="24"/>
        </w:rPr>
        <w:t>第二部分度部门决算情况说明</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r w:rsidR="00446565">
        <w:rPr>
          <w:rFonts w:hint="eastAsia"/>
          <w:sz w:val="24"/>
        </w:rPr>
        <w:t>………………………………………………</w:t>
      </w:r>
      <w:r w:rsidR="00446565">
        <w:rPr>
          <w:rFonts w:hint="eastAsia"/>
          <w:sz w:val="24"/>
        </w:rPr>
        <w:t>5</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r w:rsidR="00446565">
        <w:rPr>
          <w:rFonts w:hint="eastAsia"/>
          <w:sz w:val="24"/>
        </w:rPr>
        <w:t>…………………………………………………………</w:t>
      </w:r>
      <w:r w:rsidR="00446565">
        <w:rPr>
          <w:rFonts w:hint="eastAsia"/>
          <w:sz w:val="24"/>
        </w:rPr>
        <w:t>5</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r w:rsidR="00446565">
        <w:rPr>
          <w:rFonts w:hint="eastAsia"/>
          <w:sz w:val="24"/>
        </w:rPr>
        <w:t>…………………………………………………………</w:t>
      </w:r>
      <w:r w:rsidR="00446565">
        <w:rPr>
          <w:rFonts w:hint="eastAsia"/>
          <w:sz w:val="24"/>
        </w:rPr>
        <w:t>6</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r w:rsidR="00446565">
        <w:rPr>
          <w:rFonts w:hint="eastAsia"/>
          <w:sz w:val="24"/>
        </w:rPr>
        <w:t>……………………………………</w:t>
      </w:r>
      <w:r w:rsidR="00446565">
        <w:rPr>
          <w:rFonts w:hint="eastAsia"/>
          <w:sz w:val="24"/>
        </w:rPr>
        <w:t>6</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r w:rsidR="00446565">
        <w:rPr>
          <w:rFonts w:hint="eastAsia"/>
          <w:sz w:val="24"/>
        </w:rPr>
        <w:t>………………………………</w:t>
      </w:r>
      <w:r w:rsidR="00446565">
        <w:rPr>
          <w:rFonts w:hint="eastAsia"/>
          <w:sz w:val="24"/>
        </w:rPr>
        <w:t>7</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r w:rsidR="00446565">
        <w:rPr>
          <w:rFonts w:hint="eastAsia"/>
          <w:sz w:val="24"/>
        </w:rPr>
        <w:t>…………………………</w:t>
      </w:r>
      <w:r w:rsidR="00446565">
        <w:rPr>
          <w:rFonts w:hint="eastAsia"/>
          <w:sz w:val="24"/>
        </w:rPr>
        <w:t>9</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r w:rsidR="00446565">
        <w:rPr>
          <w:rFonts w:hint="eastAsia"/>
          <w:sz w:val="24"/>
        </w:rPr>
        <w:t>………………………………</w:t>
      </w:r>
      <w:r w:rsidR="00446565">
        <w:rPr>
          <w:rFonts w:hint="eastAsia"/>
          <w:sz w:val="24"/>
        </w:rPr>
        <w:t>10</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r w:rsidR="00446565">
        <w:rPr>
          <w:rFonts w:hint="eastAsia"/>
          <w:sz w:val="24"/>
        </w:rPr>
        <w:t>………………………………………</w:t>
      </w:r>
      <w:r w:rsidR="00446565">
        <w:rPr>
          <w:rFonts w:hint="eastAsia"/>
          <w:sz w:val="24"/>
        </w:rPr>
        <w:t>12</w:t>
      </w:r>
    </w:p>
    <w:p w:rsidR="00416CD4" w:rsidRDefault="00833962">
      <w:pPr>
        <w:adjustRightInd w:val="0"/>
        <w:snapToGrid w:val="0"/>
        <w:spacing w:line="440" w:lineRule="exact"/>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r w:rsidR="00446565">
        <w:rPr>
          <w:rFonts w:hint="eastAsia"/>
          <w:sz w:val="24"/>
        </w:rPr>
        <w:t>…………………………………</w:t>
      </w:r>
      <w:r w:rsidR="00446565">
        <w:rPr>
          <w:rFonts w:hint="eastAsia"/>
          <w:sz w:val="24"/>
        </w:rPr>
        <w:t>12</w:t>
      </w:r>
    </w:p>
    <w:p w:rsidR="00416CD4" w:rsidRPr="00446565" w:rsidRDefault="00833962" w:rsidP="00446565">
      <w:pPr>
        <w:adjustRightInd w:val="0"/>
        <w:snapToGrid w:val="0"/>
        <w:spacing w:line="440" w:lineRule="exact"/>
        <w:ind w:firstLineChars="200" w:firstLine="480"/>
        <w:jc w:val="left"/>
        <w:rPr>
          <w:sz w:val="24"/>
        </w:rPr>
      </w:pPr>
      <w:r w:rsidRPr="00833962">
        <w:rPr>
          <w:rFonts w:ascii="仿宋" w:eastAsia="仿宋" w:hAnsi="仿宋" w:hint="eastAsia"/>
          <w:color w:val="000000" w:themeColor="text1"/>
          <w:sz w:val="24"/>
        </w:rPr>
        <w:t>十、</w:t>
      </w:r>
      <w:r w:rsidRPr="00833962">
        <w:rPr>
          <w:rFonts w:hint="eastAsia"/>
          <w:sz w:val="24"/>
        </w:rPr>
        <w:t>其他重要事项的情况说明</w:t>
      </w:r>
      <w:r w:rsidR="00446565">
        <w:rPr>
          <w:rFonts w:hint="eastAsia"/>
          <w:sz w:val="24"/>
        </w:rPr>
        <w:t xml:space="preserve"> </w:t>
      </w:r>
      <w:r w:rsidRPr="00833962">
        <w:rPr>
          <w:rFonts w:ascii="仿宋" w:eastAsia="仿宋" w:hAnsi="仿宋"/>
          <w:sz w:val="24"/>
        </w:rPr>
        <w:tab/>
      </w:r>
      <w:r w:rsidR="00446565" w:rsidRPr="00446565">
        <w:rPr>
          <w:rFonts w:hint="eastAsia"/>
          <w:sz w:val="24"/>
        </w:rPr>
        <w:t>……………………………………………</w:t>
      </w:r>
      <w:r w:rsidR="00446565" w:rsidRPr="00446565">
        <w:rPr>
          <w:rFonts w:hint="eastAsia"/>
          <w:sz w:val="24"/>
        </w:rPr>
        <w:t>12</w:t>
      </w:r>
    </w:p>
    <w:p w:rsidR="00416CD4" w:rsidRDefault="00833962">
      <w:pPr>
        <w:adjustRightInd w:val="0"/>
        <w:snapToGrid w:val="0"/>
        <w:spacing w:line="440" w:lineRule="exact"/>
        <w:jc w:val="left"/>
        <w:rPr>
          <w:rFonts w:cstheme="minorBidi"/>
          <w:sz w:val="24"/>
        </w:rPr>
      </w:pPr>
      <w:r w:rsidRPr="00833962">
        <w:rPr>
          <w:rFonts w:hint="eastAsia"/>
          <w:sz w:val="24"/>
        </w:rPr>
        <w:t>第三部分</w:t>
      </w:r>
      <w:r w:rsidRPr="00833962">
        <w:rPr>
          <w:sz w:val="24"/>
        </w:rPr>
        <w:t xml:space="preserve"> </w:t>
      </w:r>
      <w:r w:rsidRPr="00833962">
        <w:rPr>
          <w:rFonts w:hint="eastAsia"/>
          <w:sz w:val="24"/>
        </w:rPr>
        <w:t>名词解释</w:t>
      </w:r>
      <w:r w:rsidR="00446565">
        <w:rPr>
          <w:rFonts w:hint="eastAsia"/>
          <w:sz w:val="24"/>
        </w:rPr>
        <w:t>…………………………………………………………………</w:t>
      </w:r>
      <w:r w:rsidR="00446565">
        <w:rPr>
          <w:rFonts w:hint="eastAsia"/>
          <w:sz w:val="24"/>
        </w:rPr>
        <w:t>17</w:t>
      </w:r>
    </w:p>
    <w:p w:rsidR="00416CD4" w:rsidRDefault="00833962">
      <w:pPr>
        <w:adjustRightInd w:val="0"/>
        <w:snapToGrid w:val="0"/>
        <w:spacing w:line="440" w:lineRule="exact"/>
        <w:jc w:val="left"/>
        <w:rPr>
          <w:rFonts w:cstheme="minorBidi"/>
          <w:sz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r w:rsidR="00446565">
        <w:rPr>
          <w:rFonts w:hint="eastAsia"/>
          <w:sz w:val="24"/>
        </w:rPr>
        <w:t>……………………………………………………………………………</w:t>
      </w:r>
      <w:r w:rsidR="00A839C4">
        <w:rPr>
          <w:rFonts w:hint="eastAsia"/>
          <w:sz w:val="24"/>
        </w:rPr>
        <w:t>21</w:t>
      </w:r>
    </w:p>
    <w:p w:rsidR="00416CD4" w:rsidRDefault="00833962">
      <w:pPr>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r w:rsidR="00446565">
        <w:rPr>
          <w:rFonts w:hint="eastAsia"/>
          <w:sz w:val="24"/>
        </w:rPr>
        <w:t>……………………………………………………………………………</w:t>
      </w:r>
      <w:r w:rsidR="00A839C4">
        <w:rPr>
          <w:rFonts w:hint="eastAsia"/>
          <w:sz w:val="24"/>
        </w:rPr>
        <w:t>22</w:t>
      </w:r>
      <w:bookmarkStart w:id="12" w:name="_GoBack"/>
      <w:bookmarkEnd w:id="12"/>
    </w:p>
    <w:p w:rsidR="00416CD4" w:rsidRDefault="00833962">
      <w:pPr>
        <w:adjustRightInd w:val="0"/>
        <w:snapToGrid w:val="0"/>
        <w:spacing w:line="440" w:lineRule="exact"/>
        <w:jc w:val="left"/>
        <w:rPr>
          <w:rFonts w:cstheme="minorBidi"/>
          <w:sz w:val="24"/>
        </w:rPr>
      </w:pPr>
      <w:r w:rsidRPr="00833962">
        <w:rPr>
          <w:rFonts w:hint="eastAsia"/>
          <w:sz w:val="24"/>
        </w:rPr>
        <w:t>第五部分</w:t>
      </w:r>
      <w:r w:rsidRPr="00833962">
        <w:rPr>
          <w:sz w:val="24"/>
        </w:rPr>
        <w:t xml:space="preserve"> </w:t>
      </w:r>
      <w:r w:rsidRPr="00833962">
        <w:rPr>
          <w:rFonts w:hint="eastAsia"/>
          <w:sz w:val="24"/>
        </w:rPr>
        <w:t>附表</w:t>
      </w:r>
      <w:r w:rsidR="00A839C4">
        <w:rPr>
          <w:rFonts w:hint="eastAsia"/>
          <w:sz w:val="24"/>
        </w:rPr>
        <w:t>……………………………………………………………………</w:t>
      </w:r>
      <w:r w:rsidR="00A839C4">
        <w:rPr>
          <w:rFonts w:hint="eastAsia"/>
          <w:sz w:val="24"/>
        </w:rPr>
        <w:t>26</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十、</w:t>
      </w:r>
      <w:r w:rsidRPr="00833962">
        <w:rPr>
          <w:rFonts w:hint="eastAsia"/>
          <w:sz w:val="24"/>
        </w:rPr>
        <w:t>一般公共预算财政拨款“三公”经费支出决算表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r w:rsidRPr="00833962">
        <w:rPr>
          <w:rFonts w:ascii="仿宋" w:eastAsia="仿宋" w:hAnsi="仿宋"/>
          <w:b/>
          <w:sz w:val="24"/>
        </w:rPr>
        <w:br w:type="page"/>
      </w:r>
    </w:p>
    <w:p w:rsidR="005B5C64" w:rsidRDefault="00204CDE">
      <w:pPr>
        <w:pStyle w:val="1"/>
        <w:jc w:val="center"/>
        <w:rPr>
          <w:rFonts w:ascii="黑体" w:eastAsia="黑体" w:hAnsi="黑体"/>
          <w:b w:val="0"/>
        </w:rPr>
      </w:pPr>
      <w:r>
        <w:rPr>
          <w:rFonts w:ascii="黑体" w:eastAsia="黑体" w:hAnsi="黑体" w:hint="eastAsia"/>
          <w:b w:val="0"/>
        </w:rPr>
        <w:lastRenderedPageBreak/>
        <w:t xml:space="preserve">第一部分 </w:t>
      </w:r>
      <w:r>
        <w:rP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Fonts w:ascii="仿宋" w:eastAsia="仿宋" w:hAnsi="仿宋"/>
        </w:rPr>
      </w:pPr>
      <w:bookmarkStart w:id="15" w:name="_Toc15396600"/>
      <w:bookmarkStart w:id="16" w:name="_Toc15377197"/>
      <w:r>
        <w:rPr>
          <w:rFonts w:ascii="黑体" w:eastAsia="黑体" w:hAnsi="黑体" w:hint="eastAsia"/>
          <w:b w:val="0"/>
          <w:color w:val="000000"/>
        </w:rPr>
        <w:t>一、基</w:t>
      </w:r>
      <w:r>
        <w:rPr>
          <w:rFonts w:ascii="黑体" w:eastAsia="黑体" w:hAnsi="黑体" w:hint="eastAsia"/>
        </w:rPr>
        <w:t>本职能及主要工作</w:t>
      </w:r>
      <w:bookmarkEnd w:id="15"/>
      <w:bookmarkEnd w:id="16"/>
    </w:p>
    <w:p w:rsidR="006204D1" w:rsidRDefault="00204CDE" w:rsidP="006204D1">
      <w:pPr>
        <w:snapToGrid w:val="0"/>
        <w:spacing w:line="520" w:lineRule="exact"/>
        <w:ind w:firstLineChars="200" w:firstLine="640"/>
        <w:rPr>
          <w:rFonts w:ascii="仿宋_GB2312" w:eastAsia="仿宋_GB2312" w:hAnsi="仿宋"/>
          <w:sz w:val="32"/>
          <w:szCs w:val="32"/>
        </w:rPr>
      </w:pPr>
      <w:bookmarkStart w:id="17" w:name="_Toc15378445"/>
      <w:bookmarkStart w:id="18" w:name="_Toc15377198"/>
      <w:r>
        <w:rPr>
          <w:rFonts w:ascii="仿宋" w:eastAsia="仿宋" w:hAnsi="仿宋" w:hint="eastAsia"/>
          <w:bCs/>
          <w:color w:val="000000"/>
          <w:sz w:val="32"/>
          <w:szCs w:val="32"/>
        </w:rPr>
        <w:t>（一）主要职能。</w:t>
      </w:r>
      <w:r w:rsidR="006204D1">
        <w:rPr>
          <w:rFonts w:ascii="仿宋_GB2312" w:eastAsia="仿宋_GB2312" w:hAnsi="仿宋" w:hint="eastAsia"/>
          <w:sz w:val="32"/>
          <w:szCs w:val="32"/>
        </w:rPr>
        <w:t>教育</w:t>
      </w:r>
    </w:p>
    <w:p w:rsidR="005B5C64" w:rsidRDefault="00204CDE">
      <w:pPr>
        <w:pStyle w:val="a5"/>
        <w:adjustRightIn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（职能参照省政府批准的三定方案）</w:t>
      </w:r>
      <w:bookmarkEnd w:id="17"/>
      <w:bookmarkEnd w:id="18"/>
    </w:p>
    <w:p w:rsidR="005B5C64" w:rsidRDefault="00204CDE">
      <w:pPr>
        <w:pStyle w:val="a5"/>
        <w:adjustRightIn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6204D1" w:rsidRPr="006204D1" w:rsidRDefault="00660819" w:rsidP="00660819">
      <w:pPr>
        <w:snapToGrid w:val="0"/>
        <w:spacing w:line="520" w:lineRule="exact"/>
        <w:ind w:firstLineChars="200" w:firstLine="640"/>
        <w:rPr>
          <w:rFonts w:ascii="仿宋_GB2312" w:eastAsia="仿宋_GB2312" w:hAnsi="仿宋"/>
          <w:sz w:val="32"/>
          <w:szCs w:val="32"/>
        </w:rPr>
      </w:pPr>
      <w:r w:rsidRPr="00660819">
        <w:rPr>
          <w:rFonts w:ascii="仿宋_GB2312" w:eastAsia="仿宋_GB2312" w:hAnsi="仿宋" w:hint="eastAsia"/>
          <w:sz w:val="32"/>
          <w:szCs w:val="32"/>
        </w:rPr>
        <w:t>2019年</w:t>
      </w:r>
      <w:r w:rsidR="006204D1">
        <w:rPr>
          <w:rFonts w:ascii="仿宋_GB2312" w:eastAsia="仿宋_GB2312" w:hAnsi="仿宋" w:hint="eastAsia"/>
          <w:sz w:val="32"/>
          <w:szCs w:val="32"/>
        </w:rPr>
        <w:t>开展了成人开放教育招生宣传及实施工作，举行了教育教学工作及面授等工作，聘请了专业教师进行社会实践活动，培训了教师，提高了师资队伍素质，尽力增添了远程教育教学的硬件设施设备，为学员提供服务支持，开展了考试考务工作。</w:t>
      </w:r>
    </w:p>
    <w:p w:rsidR="005B5C64" w:rsidRDefault="00204CDE">
      <w:pPr>
        <w:pStyle w:val="2"/>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Fonts w:ascii="黑体" w:eastAsia="黑体" w:hAnsi="黑体" w:hint="eastAsia"/>
        </w:rPr>
        <w:t>构设置</w:t>
      </w:r>
      <w:bookmarkEnd w:id="21"/>
      <w:bookmarkEnd w:id="22"/>
    </w:p>
    <w:p w:rsidR="005B5C64" w:rsidRDefault="006204D1">
      <w:pPr>
        <w:ind w:firstLineChars="250" w:firstLine="800"/>
        <w:rPr>
          <w:rFonts w:ascii="仿宋" w:eastAsia="仿宋" w:hAnsi="仿宋"/>
          <w:sz w:val="32"/>
          <w:szCs w:val="32"/>
        </w:rPr>
      </w:pPr>
      <w:r>
        <w:rPr>
          <w:rFonts w:ascii="仿宋" w:eastAsia="仿宋" w:hAnsi="仿宋" w:hint="eastAsia"/>
          <w:sz w:val="32"/>
          <w:szCs w:val="32"/>
        </w:rPr>
        <w:t>广汉市高坪中学</w:t>
      </w:r>
      <w:r w:rsidR="00204CDE">
        <w:rPr>
          <w:rFonts w:ascii="仿宋" w:eastAsia="仿宋" w:hAnsi="仿宋" w:hint="eastAsia"/>
          <w:sz w:val="32"/>
          <w:szCs w:val="32"/>
        </w:rPr>
        <w:t>下属二级单位</w:t>
      </w:r>
      <w:r>
        <w:rPr>
          <w:rFonts w:ascii="仿宋" w:eastAsia="仿宋" w:hAnsi="仿宋" w:hint="eastAsia"/>
          <w:sz w:val="32"/>
          <w:szCs w:val="32"/>
        </w:rPr>
        <w:t>1</w:t>
      </w:r>
      <w:r w:rsidR="00204CDE">
        <w:rPr>
          <w:rFonts w:ascii="仿宋" w:eastAsia="仿宋" w:hAnsi="仿宋" w:hint="eastAsia"/>
          <w:sz w:val="32"/>
          <w:szCs w:val="32"/>
        </w:rPr>
        <w:t>个，其中行政单位</w:t>
      </w:r>
      <w:r>
        <w:rPr>
          <w:rFonts w:ascii="仿宋" w:eastAsia="仿宋" w:hAnsi="仿宋" w:hint="eastAsia"/>
          <w:sz w:val="32"/>
          <w:szCs w:val="32"/>
        </w:rPr>
        <w:t>1</w:t>
      </w:r>
      <w:r w:rsidR="00204CDE">
        <w:rPr>
          <w:rFonts w:ascii="仿宋" w:eastAsia="仿宋" w:hAnsi="仿宋" w:hint="eastAsia"/>
          <w:sz w:val="32"/>
          <w:szCs w:val="32"/>
        </w:rPr>
        <w:t>个，参照公务员法管理的事业单位</w:t>
      </w:r>
      <w:r>
        <w:rPr>
          <w:rFonts w:ascii="仿宋" w:eastAsia="仿宋" w:hAnsi="仿宋" w:hint="eastAsia"/>
          <w:bCs/>
          <w:sz w:val="32"/>
          <w:szCs w:val="32"/>
        </w:rPr>
        <w:t>1</w:t>
      </w:r>
      <w:r w:rsidR="00204CDE">
        <w:rPr>
          <w:rFonts w:ascii="仿宋" w:eastAsia="仿宋" w:hAnsi="仿宋" w:hint="eastAsia"/>
          <w:sz w:val="32"/>
          <w:szCs w:val="32"/>
        </w:rPr>
        <w:t>个，其他事业单位</w:t>
      </w:r>
      <w:r>
        <w:rPr>
          <w:rFonts w:ascii="仿宋" w:eastAsia="仿宋" w:hAnsi="仿宋" w:hint="eastAsia"/>
          <w:sz w:val="32"/>
          <w:szCs w:val="32"/>
        </w:rPr>
        <w:t>0</w:t>
      </w:r>
      <w:r w:rsidR="00204CDE">
        <w:rPr>
          <w:rFonts w:ascii="仿宋" w:eastAsia="仿宋" w:hAnsi="仿宋" w:hint="eastAsia"/>
          <w:sz w:val="32"/>
          <w:szCs w:val="32"/>
        </w:rPr>
        <w:t>个。</w:t>
      </w:r>
    </w:p>
    <w:p w:rsidR="005B5C64" w:rsidRDefault="00204CDE">
      <w:pPr>
        <w:pStyle w:val="a5"/>
        <w:adjustRightIn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sidR="006204D1">
        <w:rPr>
          <w:rFonts w:ascii="仿宋" w:eastAsia="仿宋" w:hAnsi="仿宋" w:hint="eastAsia"/>
          <w:sz w:val="32"/>
          <w:szCs w:val="32"/>
        </w:rPr>
        <w:t>广汉市高坪中学</w:t>
      </w:r>
      <w:r>
        <w:rPr>
          <w:rFonts w:ascii="仿宋" w:eastAsia="仿宋" w:hAnsi="仿宋" w:hint="eastAsia"/>
          <w:color w:val="000000"/>
          <w:sz w:val="32"/>
          <w:szCs w:val="32"/>
        </w:rPr>
        <w:t>2019年度部门决算编制范围的二级预算单位包括：</w:t>
      </w:r>
    </w:p>
    <w:p w:rsidR="005B5C64" w:rsidRDefault="006204D1">
      <w:pPr>
        <w:pStyle w:val="a5"/>
        <w:numPr>
          <w:ilvl w:val="0"/>
          <w:numId w:val="1"/>
        </w:numPr>
        <w:adjustRightInd w:val="0"/>
        <w:spacing w:before="93" w:line="600" w:lineRule="exact"/>
        <w:outlineLvl w:val="2"/>
        <w:rPr>
          <w:rFonts w:ascii="仿宋" w:eastAsia="仿宋" w:hAnsi="仿宋"/>
          <w:color w:val="000000"/>
          <w:sz w:val="32"/>
          <w:szCs w:val="32"/>
        </w:rPr>
      </w:pPr>
      <w:r>
        <w:rPr>
          <w:rFonts w:ascii="仿宋" w:eastAsia="仿宋" w:hAnsi="仿宋" w:hint="eastAsia"/>
          <w:sz w:val="32"/>
          <w:szCs w:val="32"/>
        </w:rPr>
        <w:t>广汉市高坪中学</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Fonts w:ascii="黑体" w:eastAsia="黑体" w:hAnsi="黑体" w:hint="eastAsia"/>
        </w:rPr>
        <w:t>2019年度部门决算情况说明</w:t>
      </w:r>
      <w:bookmarkEnd w:id="23"/>
      <w:bookmarkEnd w:id="24"/>
    </w:p>
    <w:p w:rsidR="005B5C64" w:rsidRDefault="005B5C64"/>
    <w:p w:rsidR="005B5C64" w:rsidRPr="00F91951" w:rsidRDefault="00204CDE">
      <w:pPr>
        <w:numPr>
          <w:ilvl w:val="0"/>
          <w:numId w:val="2"/>
        </w:numPr>
        <w:spacing w:line="600" w:lineRule="exact"/>
        <w:outlineLvl w:val="1"/>
        <w:rPr>
          <w:rFonts w:ascii="黑体" w:eastAsia="黑体" w:hAnsi="黑体"/>
          <w:color w:val="000000"/>
          <w:sz w:val="32"/>
          <w:szCs w:val="32"/>
        </w:rPr>
      </w:pPr>
      <w:bookmarkStart w:id="25" w:name="_Toc15377205"/>
      <w:bookmarkStart w:id="26" w:name="_Toc15396603"/>
      <w:r>
        <w:rPr>
          <w:rFonts w:ascii="黑体" w:eastAsia="黑体" w:hAnsi="黑体" w:hint="eastAsia"/>
          <w:color w:val="000000"/>
          <w:sz w:val="32"/>
          <w:szCs w:val="32"/>
        </w:rPr>
        <w:t>收</w:t>
      </w:r>
      <w:r w:rsidRPr="00F91951">
        <w:rPr>
          <w:rFonts w:ascii="黑体" w:eastAsia="黑体" w:hAnsi="黑体" w:hint="eastAsia"/>
          <w:color w:val="000000"/>
          <w:sz w:val="32"/>
          <w:szCs w:val="32"/>
        </w:rPr>
        <w:t>入支出决算总体情况说明</w:t>
      </w:r>
      <w:bookmarkEnd w:id="25"/>
      <w:bookmarkEnd w:id="26"/>
    </w:p>
    <w:p w:rsidR="005B5C64" w:rsidRDefault="00204CDE" w:rsidP="00D67123">
      <w:pPr>
        <w:snapToGrid w:val="0"/>
        <w:spacing w:line="520" w:lineRule="exact"/>
        <w:ind w:firstLineChars="200" w:firstLine="640"/>
        <w:rPr>
          <w:rFonts w:ascii="仿宋_GB2312" w:eastAsia="仿宋_GB2312" w:cs="仿宋_GB2312"/>
          <w:kern w:val="0"/>
          <w:sz w:val="32"/>
          <w:szCs w:val="32"/>
        </w:rPr>
      </w:pPr>
      <w:r>
        <w:rPr>
          <w:rFonts w:ascii="仿宋" w:eastAsia="仿宋" w:hAnsi="仿宋" w:hint="eastAsia"/>
          <w:color w:val="000000"/>
          <w:sz w:val="32"/>
          <w:szCs w:val="32"/>
        </w:rPr>
        <w:t>2019年度收</w:t>
      </w:r>
      <w:r w:rsidR="00D67123">
        <w:rPr>
          <w:rFonts w:ascii="仿宋" w:eastAsia="仿宋" w:hAnsi="仿宋" w:hint="eastAsia"/>
          <w:color w:val="000000"/>
          <w:sz w:val="32"/>
          <w:szCs w:val="32"/>
        </w:rPr>
        <w:t>总计745.63万元</w:t>
      </w:r>
      <w:r>
        <w:rPr>
          <w:rFonts w:ascii="仿宋" w:eastAsia="仿宋" w:hAnsi="仿宋" w:hint="eastAsia"/>
          <w:color w:val="000000"/>
          <w:sz w:val="32"/>
          <w:szCs w:val="32"/>
        </w:rPr>
        <w:t>、支总计</w:t>
      </w:r>
      <w:r w:rsidR="00D67123">
        <w:rPr>
          <w:rFonts w:ascii="仿宋" w:eastAsia="仿宋" w:hAnsi="仿宋" w:hint="eastAsia"/>
          <w:color w:val="000000"/>
          <w:sz w:val="32"/>
          <w:szCs w:val="32"/>
        </w:rPr>
        <w:t>752.77</w:t>
      </w:r>
      <w:r>
        <w:rPr>
          <w:rFonts w:ascii="仿宋" w:eastAsia="仿宋" w:hAnsi="仿宋" w:hint="eastAsia"/>
          <w:color w:val="000000"/>
          <w:sz w:val="32"/>
          <w:szCs w:val="32"/>
        </w:rPr>
        <w:t>万元。与2018年相比，收</w:t>
      </w:r>
      <w:r w:rsidR="00D67123">
        <w:rPr>
          <w:rFonts w:ascii="仿宋" w:eastAsia="仿宋" w:hAnsi="仿宋" w:hint="eastAsia"/>
          <w:color w:val="000000"/>
          <w:sz w:val="32"/>
          <w:szCs w:val="32"/>
        </w:rPr>
        <w:t>总计增加14.94万元、支总计</w:t>
      </w:r>
      <w:r>
        <w:rPr>
          <w:rFonts w:ascii="仿宋" w:eastAsia="仿宋" w:hAnsi="仿宋" w:hint="eastAsia"/>
          <w:color w:val="000000"/>
          <w:sz w:val="32"/>
          <w:szCs w:val="32"/>
        </w:rPr>
        <w:t>增加</w:t>
      </w:r>
      <w:r w:rsidR="00D67123">
        <w:rPr>
          <w:rFonts w:ascii="仿宋" w:eastAsia="仿宋" w:hAnsi="仿宋" w:hint="eastAsia"/>
          <w:color w:val="000000"/>
          <w:sz w:val="32"/>
          <w:szCs w:val="32"/>
        </w:rPr>
        <w:t>22.08</w:t>
      </w:r>
      <w:r>
        <w:rPr>
          <w:rFonts w:ascii="仿宋" w:eastAsia="仿宋" w:hAnsi="仿宋" w:hint="eastAsia"/>
          <w:color w:val="000000"/>
          <w:sz w:val="32"/>
          <w:szCs w:val="32"/>
        </w:rPr>
        <w:t>万元，增长</w:t>
      </w:r>
      <w:r w:rsidR="00D67123">
        <w:rPr>
          <w:rFonts w:ascii="仿宋" w:eastAsia="仿宋" w:hAnsi="仿宋" w:hint="eastAsia"/>
          <w:color w:val="000000"/>
          <w:sz w:val="32"/>
          <w:szCs w:val="32"/>
        </w:rPr>
        <w:t>2.04</w:t>
      </w:r>
      <w:r w:rsidR="00D67123">
        <w:rPr>
          <w:rFonts w:ascii="仿宋" w:eastAsia="仿宋" w:hAnsi="仿宋"/>
          <w:color w:val="000000"/>
          <w:sz w:val="32"/>
          <w:szCs w:val="32"/>
        </w:rPr>
        <w:t>%</w:t>
      </w:r>
      <w:r w:rsidR="00D67123">
        <w:rPr>
          <w:rFonts w:ascii="仿宋" w:eastAsia="仿宋" w:hAnsi="仿宋" w:hint="eastAsia"/>
          <w:color w:val="000000"/>
          <w:sz w:val="32"/>
          <w:szCs w:val="32"/>
        </w:rPr>
        <w:t>，3.02</w:t>
      </w:r>
      <w:r>
        <w:rPr>
          <w:rFonts w:ascii="仿宋" w:eastAsia="仿宋" w:hAnsi="仿宋"/>
          <w:color w:val="000000"/>
          <w:sz w:val="32"/>
          <w:szCs w:val="32"/>
        </w:rPr>
        <w:t>%</w:t>
      </w:r>
      <w:r w:rsidR="00D67123">
        <w:rPr>
          <w:rFonts w:ascii="仿宋" w:eastAsia="仿宋" w:hAnsi="仿宋" w:hint="eastAsia"/>
          <w:color w:val="000000"/>
          <w:sz w:val="32"/>
          <w:szCs w:val="32"/>
        </w:rPr>
        <w:t>。主要变动原因</w:t>
      </w:r>
      <w:r w:rsidR="00D67123">
        <w:rPr>
          <w:rFonts w:ascii="仿宋_GB2312" w:eastAsia="仿宋_GB2312" w:hAnsi="仿宋" w:hint="eastAsia"/>
          <w:sz w:val="32"/>
          <w:szCs w:val="32"/>
        </w:rPr>
        <w:t>是1.调资增加及招生人数增加以及收取课后延时服务费。2.</w:t>
      </w:r>
      <w:r w:rsidR="00D67123">
        <w:rPr>
          <w:rFonts w:ascii="仿宋_GB2312" w:eastAsia="仿宋_GB2312" w:cs="仿宋_GB2312" w:hint="eastAsia"/>
          <w:kern w:val="0"/>
          <w:sz w:val="32"/>
          <w:szCs w:val="32"/>
        </w:rPr>
        <w:t>本年教师基本工资上调及各项保险基数上调及增加公用经费使用，还有支教师的课后服务费。</w:t>
      </w:r>
    </w:p>
    <w:p w:rsidR="003B15C6" w:rsidRDefault="00865611" w:rsidP="00D67123">
      <w:pPr>
        <w:snapToGrid w:val="0"/>
        <w:spacing w:line="520" w:lineRule="exact"/>
        <w:ind w:firstLineChars="200" w:firstLine="640"/>
        <w:rPr>
          <w:rFonts w:ascii="仿宋_GB2312" w:eastAsia="仿宋_GB2312" w:cs="仿宋_GB2312"/>
          <w:kern w:val="0"/>
          <w:sz w:val="32"/>
          <w:szCs w:val="32"/>
        </w:rPr>
      </w:pPr>
      <w:r>
        <w:rPr>
          <w:rFonts w:ascii="仿宋_GB2312" w:eastAsia="仿宋_GB2312" w:cs="仿宋_GB2312" w:hint="eastAsia"/>
          <w:noProof/>
          <w:kern w:val="0"/>
          <w:sz w:val="32"/>
          <w:szCs w:val="32"/>
        </w:rPr>
        <w:drawing>
          <wp:anchor distT="0" distB="0" distL="114300" distR="114300" simplePos="0" relativeHeight="251658240" behindDoc="1" locked="0" layoutInCell="1" allowOverlap="1">
            <wp:simplePos x="0" y="0"/>
            <wp:positionH relativeFrom="column">
              <wp:posOffset>-63500</wp:posOffset>
            </wp:positionH>
            <wp:positionV relativeFrom="paragraph">
              <wp:posOffset>19050</wp:posOffset>
            </wp:positionV>
            <wp:extent cx="3188335" cy="2146300"/>
            <wp:effectExtent l="0" t="0" r="0" b="6350"/>
            <wp:wrapTight wrapText="bothSides">
              <wp:wrapPolygon edited="0">
                <wp:start x="0" y="0"/>
                <wp:lineTo x="0" y="21664"/>
                <wp:lineTo x="21553" y="21664"/>
                <wp:lineTo x="21553" y="0"/>
                <wp:lineTo x="0" y="0"/>
              </wp:wrapPolygon>
            </wp:wrapTight>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3B15C6" w:rsidRPr="00D67123" w:rsidRDefault="003B15C6" w:rsidP="00D67123">
      <w:pPr>
        <w:snapToGrid w:val="0"/>
        <w:spacing w:line="520" w:lineRule="exact"/>
        <w:ind w:firstLineChars="200" w:firstLine="640"/>
        <w:rPr>
          <w:rFonts w:ascii="仿宋_GB2312" w:eastAsia="仿宋_GB2312" w:hAnsi="仿宋"/>
          <w:sz w:val="32"/>
          <w:szCs w:val="32"/>
        </w:rPr>
      </w:pPr>
    </w:p>
    <w:p w:rsidR="00B41F27" w:rsidRDefault="00B41F27">
      <w:pPr>
        <w:spacing w:line="600" w:lineRule="exact"/>
        <w:ind w:firstLineChars="200" w:firstLine="640"/>
        <w:rPr>
          <w:rFonts w:ascii="仿宋" w:eastAsia="仿宋" w:hAnsi="仿宋"/>
          <w:color w:val="000000" w:themeColor="text1"/>
          <w:sz w:val="32"/>
          <w:szCs w:val="32"/>
        </w:rPr>
      </w:pPr>
    </w:p>
    <w:p w:rsidR="00B41F27" w:rsidRDefault="00B41F27">
      <w:pPr>
        <w:spacing w:line="600" w:lineRule="exact"/>
        <w:ind w:firstLineChars="200" w:firstLine="640"/>
        <w:rPr>
          <w:rFonts w:ascii="仿宋" w:eastAsia="仿宋" w:hAnsi="仿宋"/>
          <w:color w:val="000000" w:themeColor="text1"/>
          <w:sz w:val="32"/>
          <w:szCs w:val="32"/>
        </w:rPr>
      </w:pPr>
    </w:p>
    <w:p w:rsidR="00B41F27" w:rsidRDefault="00B41F27">
      <w:pPr>
        <w:spacing w:line="600" w:lineRule="exact"/>
        <w:ind w:firstLineChars="200" w:firstLine="640"/>
        <w:rPr>
          <w:rFonts w:ascii="仿宋" w:eastAsia="仿宋" w:hAnsi="仿宋"/>
          <w:color w:val="000000" w:themeColor="text1"/>
          <w:sz w:val="32"/>
          <w:szCs w:val="32"/>
        </w:rPr>
      </w:pPr>
    </w:p>
    <w:p w:rsidR="00B41F27" w:rsidRDefault="00B41F27">
      <w:pPr>
        <w:spacing w:line="600" w:lineRule="exact"/>
        <w:ind w:firstLineChars="200" w:firstLine="640"/>
        <w:rPr>
          <w:rFonts w:ascii="仿宋" w:eastAsia="仿宋" w:hAnsi="仿宋"/>
          <w:color w:val="000000" w:themeColor="text1"/>
          <w:sz w:val="32"/>
          <w:szCs w:val="32"/>
        </w:rPr>
      </w:pPr>
    </w:p>
    <w:p w:rsidR="005B5C64" w:rsidRPr="00B41F27" w:rsidRDefault="00204CDE" w:rsidP="00B41F27">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5B5C64" w:rsidRPr="00B41F27" w:rsidRDefault="00204CDE">
      <w:pPr>
        <w:numPr>
          <w:ilvl w:val="0"/>
          <w:numId w:val="2"/>
        </w:numPr>
        <w:spacing w:line="600" w:lineRule="exact"/>
        <w:outlineLvl w:val="1"/>
        <w:rPr>
          <w:rFonts w:ascii="黑体" w:eastAsia="黑体" w:hAnsi="黑体"/>
          <w:color w:val="000000"/>
          <w:sz w:val="32"/>
          <w:szCs w:val="32"/>
        </w:rPr>
      </w:pPr>
      <w:bookmarkStart w:id="27" w:name="_Toc15396604"/>
      <w:bookmarkStart w:id="28" w:name="_Toc15377206"/>
      <w:r>
        <w:rPr>
          <w:rFonts w:ascii="黑体" w:eastAsia="黑体" w:hAnsi="黑体" w:hint="eastAsia"/>
          <w:color w:val="000000"/>
          <w:sz w:val="32"/>
          <w:szCs w:val="32"/>
        </w:rPr>
        <w:t>收</w:t>
      </w:r>
      <w:r w:rsidRPr="00B41F27">
        <w:rPr>
          <w:rFonts w:ascii="黑体" w:eastAsia="黑体" w:hAnsi="黑体" w:hint="eastAsia"/>
          <w:color w:val="000000"/>
          <w:sz w:val="32"/>
          <w:szCs w:val="32"/>
        </w:rPr>
        <w:t>入决算情况说明</w:t>
      </w:r>
      <w:bookmarkEnd w:id="27"/>
      <w:bookmarkEnd w:id="28"/>
    </w:p>
    <w:p w:rsidR="00E472B1" w:rsidRDefault="00204CDE">
      <w:pPr>
        <w:spacing w:line="600" w:lineRule="exact"/>
        <w:ind w:firstLineChars="200" w:firstLine="640"/>
        <w:outlineLvl w:val="1"/>
        <w:rPr>
          <w:rFonts w:ascii="仿宋" w:eastAsia="仿宋" w:hAnsi="仿宋"/>
          <w:color w:val="000000"/>
          <w:sz w:val="32"/>
          <w:szCs w:val="32"/>
        </w:rPr>
      </w:pPr>
      <w:r w:rsidRPr="00B41F27">
        <w:rPr>
          <w:rFonts w:ascii="仿宋" w:eastAsia="仿宋" w:hAnsi="仿宋"/>
          <w:color w:val="000000"/>
          <w:sz w:val="32"/>
          <w:szCs w:val="32"/>
        </w:rPr>
        <w:t>201</w:t>
      </w:r>
      <w:r w:rsidRPr="00B41F27">
        <w:rPr>
          <w:rFonts w:ascii="仿宋" w:eastAsia="仿宋" w:hAnsi="仿宋" w:hint="eastAsia"/>
          <w:color w:val="000000"/>
          <w:sz w:val="32"/>
          <w:szCs w:val="32"/>
        </w:rPr>
        <w:t>9年本年收入</w:t>
      </w:r>
      <w:r w:rsidRPr="00B41F27">
        <w:rPr>
          <w:rFonts w:ascii="黑体" w:eastAsia="黑体" w:hAnsi="黑体" w:hint="eastAsia"/>
          <w:color w:val="000000"/>
          <w:sz w:val="32"/>
          <w:szCs w:val="32"/>
        </w:rPr>
        <w:t>合</w:t>
      </w:r>
      <w:r>
        <w:rPr>
          <w:rFonts w:ascii="仿宋" w:eastAsia="仿宋" w:hAnsi="仿宋" w:hint="eastAsia"/>
          <w:color w:val="000000"/>
          <w:sz w:val="32"/>
          <w:szCs w:val="32"/>
        </w:rPr>
        <w:t>计</w:t>
      </w:r>
      <w:r w:rsidR="00D67123">
        <w:rPr>
          <w:rFonts w:ascii="仿宋" w:eastAsia="仿宋" w:hAnsi="仿宋" w:hint="eastAsia"/>
          <w:color w:val="000000"/>
          <w:sz w:val="32"/>
          <w:szCs w:val="32"/>
        </w:rPr>
        <w:t>745.63</w:t>
      </w:r>
      <w:r>
        <w:rPr>
          <w:rFonts w:ascii="仿宋" w:eastAsia="仿宋" w:hAnsi="仿宋" w:hint="eastAsia"/>
          <w:color w:val="000000"/>
          <w:sz w:val="32"/>
          <w:szCs w:val="32"/>
        </w:rPr>
        <w:t>万元，其中：一般公共预算财政拨款收入</w:t>
      </w:r>
      <w:r w:rsidR="00D67123">
        <w:rPr>
          <w:rFonts w:ascii="仿宋" w:eastAsia="仿宋" w:hAnsi="仿宋" w:hint="eastAsia"/>
          <w:color w:val="000000"/>
          <w:sz w:val="32"/>
          <w:szCs w:val="32"/>
        </w:rPr>
        <w:t>739.01</w:t>
      </w:r>
      <w:r>
        <w:rPr>
          <w:rFonts w:ascii="仿宋" w:eastAsia="仿宋" w:hAnsi="仿宋" w:hint="eastAsia"/>
          <w:color w:val="000000"/>
          <w:sz w:val="32"/>
          <w:szCs w:val="32"/>
        </w:rPr>
        <w:t>万元，占</w:t>
      </w:r>
      <w:r w:rsidR="00D67123">
        <w:rPr>
          <w:rFonts w:ascii="仿宋" w:eastAsia="仿宋" w:hAnsi="仿宋" w:hint="eastAsia"/>
          <w:color w:val="000000"/>
          <w:sz w:val="32"/>
          <w:szCs w:val="32"/>
        </w:rPr>
        <w:t>99.11</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D67123">
        <w:rPr>
          <w:rFonts w:ascii="仿宋" w:eastAsia="仿宋" w:hAnsi="仿宋" w:hint="eastAsia"/>
          <w:color w:val="000000"/>
          <w:sz w:val="32"/>
          <w:szCs w:val="32"/>
        </w:rPr>
        <w:t>0</w:t>
      </w:r>
      <w:r>
        <w:rPr>
          <w:rFonts w:ascii="仿宋" w:eastAsia="仿宋" w:hAnsi="仿宋" w:hint="eastAsia"/>
          <w:color w:val="000000"/>
          <w:sz w:val="32"/>
          <w:szCs w:val="32"/>
        </w:rPr>
        <w:t>万元，占</w:t>
      </w:r>
      <w:r w:rsidR="00D67123">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3B15C6">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3B15C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3B15C6">
        <w:rPr>
          <w:rFonts w:ascii="仿宋" w:eastAsia="仿宋" w:hAnsi="仿宋" w:hint="eastAsia"/>
          <w:color w:val="000000"/>
          <w:sz w:val="32"/>
          <w:szCs w:val="32"/>
        </w:rPr>
        <w:t>0</w:t>
      </w:r>
      <w:r>
        <w:rPr>
          <w:rFonts w:ascii="仿宋" w:eastAsia="仿宋" w:hAnsi="仿宋" w:hint="eastAsia"/>
          <w:color w:val="000000"/>
          <w:sz w:val="32"/>
          <w:szCs w:val="32"/>
        </w:rPr>
        <w:t>万元，占</w:t>
      </w:r>
      <w:r w:rsidR="003B15C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3B15C6">
        <w:rPr>
          <w:rFonts w:ascii="仿宋" w:eastAsia="仿宋" w:hAnsi="仿宋" w:hint="eastAsia"/>
          <w:color w:val="000000"/>
          <w:sz w:val="32"/>
          <w:szCs w:val="32"/>
        </w:rPr>
        <w:t>0</w:t>
      </w:r>
      <w:r>
        <w:rPr>
          <w:rFonts w:ascii="仿宋" w:eastAsia="仿宋" w:hAnsi="仿宋" w:hint="eastAsia"/>
          <w:color w:val="000000"/>
          <w:sz w:val="32"/>
          <w:szCs w:val="32"/>
        </w:rPr>
        <w:t>万元，占</w:t>
      </w:r>
      <w:r w:rsidR="003B15C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3B15C6">
        <w:rPr>
          <w:rFonts w:ascii="仿宋" w:eastAsia="仿宋" w:hAnsi="仿宋" w:hint="eastAsia"/>
          <w:color w:val="000000"/>
          <w:sz w:val="32"/>
          <w:szCs w:val="32"/>
        </w:rPr>
        <w:t>0</w:t>
      </w:r>
      <w:r>
        <w:rPr>
          <w:rFonts w:ascii="仿宋" w:eastAsia="仿宋" w:hAnsi="仿宋" w:hint="eastAsia"/>
          <w:color w:val="000000"/>
          <w:sz w:val="32"/>
          <w:szCs w:val="32"/>
        </w:rPr>
        <w:t>万元，占</w:t>
      </w:r>
      <w:r w:rsidR="003B15C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3B15C6">
        <w:rPr>
          <w:rFonts w:ascii="仿宋" w:eastAsia="仿宋" w:hAnsi="仿宋" w:hint="eastAsia"/>
          <w:color w:val="000000"/>
          <w:sz w:val="32"/>
          <w:szCs w:val="32"/>
        </w:rPr>
        <w:t>6.62</w:t>
      </w:r>
      <w:r>
        <w:rPr>
          <w:rFonts w:ascii="仿宋" w:eastAsia="仿宋" w:hAnsi="仿宋" w:hint="eastAsia"/>
          <w:color w:val="000000"/>
          <w:sz w:val="32"/>
          <w:szCs w:val="32"/>
        </w:rPr>
        <w:t>万元，占</w:t>
      </w:r>
      <w:r w:rsidR="003B15C6">
        <w:rPr>
          <w:rFonts w:ascii="仿宋" w:eastAsia="仿宋" w:hAnsi="仿宋" w:hint="eastAsia"/>
          <w:color w:val="000000"/>
          <w:sz w:val="32"/>
          <w:szCs w:val="32"/>
        </w:rPr>
        <w:t>0.89</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585B33">
      <w:pPr>
        <w:spacing w:line="600" w:lineRule="exact"/>
        <w:ind w:firstLineChars="200" w:firstLine="640"/>
        <w:outlineLvl w:val="1"/>
        <w:rPr>
          <w:rFonts w:ascii="仿宋" w:eastAsia="仿宋" w:hAnsi="仿宋"/>
          <w:color w:val="000000"/>
          <w:sz w:val="32"/>
          <w:szCs w:val="32"/>
        </w:rPr>
      </w:pPr>
    </w:p>
    <w:p w:rsidR="003B15C6" w:rsidRDefault="003B15C6">
      <w:pPr>
        <w:spacing w:line="600" w:lineRule="exact"/>
        <w:ind w:firstLineChars="200" w:firstLine="640"/>
        <w:rPr>
          <w:rFonts w:ascii="仿宋" w:eastAsia="仿宋" w:hAnsi="仿宋"/>
          <w:color w:val="000000" w:themeColor="text1"/>
          <w:sz w:val="32"/>
          <w:szCs w:val="32"/>
        </w:rPr>
      </w:pPr>
    </w:p>
    <w:p w:rsidR="003B15C6" w:rsidRDefault="003B15C6">
      <w:pPr>
        <w:spacing w:line="600" w:lineRule="exact"/>
        <w:ind w:firstLineChars="200" w:firstLine="640"/>
        <w:rPr>
          <w:rFonts w:ascii="仿宋" w:eastAsia="仿宋" w:hAnsi="仿宋"/>
          <w:color w:val="000000" w:themeColor="text1"/>
          <w:sz w:val="32"/>
          <w:szCs w:val="32"/>
        </w:rPr>
      </w:pPr>
    </w:p>
    <w:p w:rsidR="003B15C6" w:rsidRDefault="00644895">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59264" behindDoc="1" locked="0" layoutInCell="1" allowOverlap="1">
            <wp:simplePos x="0" y="0"/>
            <wp:positionH relativeFrom="column">
              <wp:posOffset>891540</wp:posOffset>
            </wp:positionH>
            <wp:positionV relativeFrom="paragraph">
              <wp:posOffset>-95885</wp:posOffset>
            </wp:positionV>
            <wp:extent cx="2734945" cy="1788795"/>
            <wp:effectExtent l="0" t="0" r="8255" b="1905"/>
            <wp:wrapTight wrapText="bothSides">
              <wp:wrapPolygon edited="0">
                <wp:start x="0" y="0"/>
                <wp:lineTo x="0" y="21623"/>
                <wp:lineTo x="21665" y="21623"/>
                <wp:lineTo x="21665" y="0"/>
                <wp:lineTo x="0" y="0"/>
              </wp:wrapPolygon>
            </wp:wrapTight>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296646" w:rsidRDefault="00296646">
      <w:pPr>
        <w:spacing w:line="600" w:lineRule="exact"/>
        <w:ind w:firstLineChars="200" w:firstLine="640"/>
        <w:rPr>
          <w:rFonts w:ascii="仿宋" w:eastAsia="仿宋" w:hAnsi="仿宋"/>
          <w:color w:val="000000" w:themeColor="text1"/>
          <w:sz w:val="32"/>
          <w:szCs w:val="32"/>
        </w:rPr>
      </w:pPr>
    </w:p>
    <w:p w:rsidR="00296646" w:rsidRDefault="00296646">
      <w:pPr>
        <w:spacing w:line="600" w:lineRule="exact"/>
        <w:ind w:firstLineChars="200" w:firstLine="640"/>
        <w:rPr>
          <w:rFonts w:ascii="仿宋" w:eastAsia="仿宋" w:hAnsi="仿宋"/>
          <w:color w:val="000000" w:themeColor="text1"/>
          <w:sz w:val="32"/>
          <w:szCs w:val="32"/>
        </w:rPr>
      </w:pPr>
    </w:p>
    <w:p w:rsidR="00296646" w:rsidRDefault="00296646">
      <w:pPr>
        <w:spacing w:line="600" w:lineRule="exact"/>
        <w:ind w:firstLineChars="200" w:firstLine="640"/>
        <w:rPr>
          <w:rFonts w:ascii="仿宋" w:eastAsia="仿宋" w:hAnsi="仿宋"/>
          <w:color w:val="000000" w:themeColor="text1"/>
          <w:sz w:val="32"/>
          <w:szCs w:val="32"/>
        </w:rPr>
      </w:pPr>
    </w:p>
    <w:p w:rsidR="00296646" w:rsidRDefault="00296646">
      <w:pPr>
        <w:spacing w:line="600" w:lineRule="exact"/>
        <w:ind w:firstLineChars="200" w:firstLine="640"/>
        <w:rPr>
          <w:rFonts w:ascii="仿宋" w:eastAsia="仿宋" w:hAnsi="仿宋"/>
          <w:color w:val="000000" w:themeColor="text1"/>
          <w:sz w:val="32"/>
          <w:szCs w:val="32"/>
        </w:rPr>
      </w:pPr>
    </w:p>
    <w:p w:rsidR="00644895" w:rsidRPr="00296646" w:rsidRDefault="00204CDE" w:rsidP="00296646">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p w:rsidR="005B5C64" w:rsidRPr="00B41F27" w:rsidRDefault="00204CDE" w:rsidP="00644895">
      <w:pPr>
        <w:numPr>
          <w:ilvl w:val="0"/>
          <w:numId w:val="2"/>
        </w:numPr>
        <w:spacing w:line="600" w:lineRule="exact"/>
        <w:outlineLvl w:val="1"/>
        <w:rPr>
          <w:rFonts w:ascii="黑体" w:eastAsia="黑体" w:hAnsi="黑体"/>
          <w:color w:val="000000"/>
          <w:sz w:val="32"/>
          <w:szCs w:val="32"/>
        </w:rPr>
      </w:pPr>
      <w:bookmarkStart w:id="29" w:name="_Toc15377207"/>
      <w:bookmarkStart w:id="30" w:name="_Toc15396605"/>
      <w:r w:rsidRPr="00644895">
        <w:rPr>
          <w:rFonts w:ascii="黑体" w:eastAsia="黑体" w:hAnsi="黑体" w:hint="eastAsia"/>
          <w:color w:val="000000"/>
          <w:sz w:val="32"/>
          <w:szCs w:val="32"/>
        </w:rPr>
        <w:t>支</w:t>
      </w:r>
      <w:r w:rsidRPr="00B41F27">
        <w:rPr>
          <w:rFonts w:ascii="黑体" w:eastAsia="黑体" w:hAnsi="黑体" w:hint="eastAsia"/>
          <w:color w:val="000000"/>
          <w:sz w:val="32"/>
          <w:szCs w:val="32"/>
        </w:rPr>
        <w:t>出决算情况说明</w:t>
      </w:r>
      <w:bookmarkEnd w:id="29"/>
      <w:bookmarkEnd w:id="30"/>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644895">
        <w:rPr>
          <w:rFonts w:ascii="仿宋" w:eastAsia="仿宋" w:hAnsi="仿宋" w:hint="eastAsia"/>
          <w:color w:val="000000"/>
          <w:sz w:val="32"/>
          <w:szCs w:val="32"/>
        </w:rPr>
        <w:t>752.77</w:t>
      </w:r>
      <w:r>
        <w:rPr>
          <w:rFonts w:ascii="仿宋" w:eastAsia="仿宋" w:hAnsi="仿宋" w:hint="eastAsia"/>
          <w:color w:val="000000"/>
          <w:sz w:val="32"/>
          <w:szCs w:val="32"/>
        </w:rPr>
        <w:t>万元，其中：基本支出</w:t>
      </w:r>
      <w:r w:rsidR="00644895">
        <w:rPr>
          <w:rFonts w:ascii="仿宋" w:eastAsia="仿宋" w:hAnsi="仿宋" w:hint="eastAsia"/>
          <w:color w:val="000000"/>
          <w:sz w:val="32"/>
          <w:szCs w:val="32"/>
        </w:rPr>
        <w:t>752.77</w:t>
      </w:r>
      <w:r>
        <w:rPr>
          <w:rFonts w:ascii="仿宋" w:eastAsia="仿宋" w:hAnsi="仿宋" w:hint="eastAsia"/>
          <w:color w:val="000000"/>
          <w:sz w:val="32"/>
          <w:szCs w:val="32"/>
        </w:rPr>
        <w:t>万元，占</w:t>
      </w:r>
      <w:r w:rsidR="00644895">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644895">
        <w:rPr>
          <w:rFonts w:ascii="仿宋" w:eastAsia="仿宋" w:hAnsi="仿宋" w:hint="eastAsia"/>
          <w:color w:val="000000"/>
          <w:sz w:val="32"/>
          <w:szCs w:val="32"/>
        </w:rPr>
        <w:t>0</w:t>
      </w:r>
      <w:r>
        <w:rPr>
          <w:rFonts w:ascii="仿宋" w:eastAsia="仿宋" w:hAnsi="仿宋" w:hint="eastAsia"/>
          <w:color w:val="000000"/>
          <w:sz w:val="32"/>
          <w:szCs w:val="32"/>
        </w:rPr>
        <w:t>万元，占</w:t>
      </w:r>
      <w:r w:rsidR="0064489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644895">
        <w:rPr>
          <w:rFonts w:ascii="仿宋" w:eastAsia="仿宋" w:hAnsi="仿宋"/>
          <w:color w:val="000000"/>
          <w:sz w:val="32"/>
          <w:szCs w:val="32"/>
        </w:rPr>
        <w:t>0</w:t>
      </w:r>
      <w:r>
        <w:rPr>
          <w:rFonts w:ascii="仿宋" w:eastAsia="仿宋" w:hAnsi="仿宋" w:hint="eastAsia"/>
          <w:color w:val="000000"/>
          <w:sz w:val="32"/>
          <w:szCs w:val="32"/>
        </w:rPr>
        <w:t>万元，占</w:t>
      </w:r>
      <w:r w:rsidR="0064489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644895">
        <w:rPr>
          <w:rFonts w:ascii="仿宋" w:eastAsia="仿宋" w:hAnsi="仿宋" w:hint="eastAsia"/>
          <w:color w:val="000000"/>
          <w:sz w:val="32"/>
          <w:szCs w:val="32"/>
        </w:rPr>
        <w:t>0</w:t>
      </w:r>
      <w:r>
        <w:rPr>
          <w:rFonts w:ascii="仿宋" w:eastAsia="仿宋" w:hAnsi="仿宋" w:hint="eastAsia"/>
          <w:color w:val="000000"/>
          <w:sz w:val="32"/>
          <w:szCs w:val="32"/>
        </w:rPr>
        <w:t>万元，占</w:t>
      </w:r>
      <w:r w:rsidR="0064489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644895">
        <w:rPr>
          <w:rFonts w:ascii="仿宋" w:eastAsia="仿宋" w:hAnsi="仿宋" w:hint="eastAsia"/>
          <w:color w:val="000000"/>
          <w:sz w:val="32"/>
          <w:szCs w:val="32"/>
        </w:rPr>
        <w:t>0</w:t>
      </w:r>
      <w:r>
        <w:rPr>
          <w:rFonts w:ascii="仿宋" w:eastAsia="仿宋" w:hAnsi="仿宋" w:hint="eastAsia"/>
          <w:color w:val="000000"/>
          <w:sz w:val="32"/>
          <w:szCs w:val="32"/>
        </w:rPr>
        <w:t>万元，占</w:t>
      </w:r>
      <w:r w:rsidR="0064489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644895" w:rsidRDefault="00644895">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0288" behindDoc="1" locked="0" layoutInCell="1" allowOverlap="1">
            <wp:simplePos x="0" y="0"/>
            <wp:positionH relativeFrom="column">
              <wp:posOffset>1099185</wp:posOffset>
            </wp:positionH>
            <wp:positionV relativeFrom="paragraph">
              <wp:posOffset>117475</wp:posOffset>
            </wp:positionV>
            <wp:extent cx="2909570" cy="1709420"/>
            <wp:effectExtent l="0" t="0" r="5080" b="5080"/>
            <wp:wrapTight wrapText="bothSides">
              <wp:wrapPolygon edited="0">
                <wp:start x="0" y="0"/>
                <wp:lineTo x="0" y="21664"/>
                <wp:lineTo x="21638" y="21664"/>
                <wp:lineTo x="21638" y="0"/>
                <wp:lineTo x="0" y="0"/>
              </wp:wrapPolygon>
            </wp:wrapTight>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644895" w:rsidRDefault="00644895">
      <w:pPr>
        <w:spacing w:line="600" w:lineRule="exact"/>
        <w:ind w:firstLineChars="200" w:firstLine="640"/>
        <w:rPr>
          <w:rFonts w:ascii="仿宋" w:eastAsia="仿宋" w:hAnsi="仿宋"/>
          <w:color w:val="000000" w:themeColor="text1"/>
          <w:sz w:val="32"/>
          <w:szCs w:val="32"/>
        </w:rPr>
      </w:pPr>
    </w:p>
    <w:p w:rsidR="00296646" w:rsidRDefault="00296646" w:rsidP="00296646">
      <w:pPr>
        <w:spacing w:line="600" w:lineRule="exact"/>
        <w:rPr>
          <w:rFonts w:ascii="仿宋" w:eastAsia="仿宋" w:hAnsi="仿宋"/>
          <w:color w:val="000000" w:themeColor="text1"/>
          <w:sz w:val="32"/>
          <w:szCs w:val="32"/>
        </w:rPr>
      </w:pPr>
    </w:p>
    <w:p w:rsidR="00296646" w:rsidRDefault="00296646" w:rsidP="00296646">
      <w:pPr>
        <w:spacing w:line="600" w:lineRule="exact"/>
        <w:rPr>
          <w:rFonts w:ascii="仿宋" w:eastAsia="仿宋" w:hAnsi="仿宋"/>
          <w:color w:val="000000" w:themeColor="text1"/>
          <w:sz w:val="32"/>
          <w:szCs w:val="32"/>
        </w:rPr>
      </w:pPr>
    </w:p>
    <w:p w:rsidR="00296646" w:rsidRDefault="00296646" w:rsidP="00296646">
      <w:pPr>
        <w:spacing w:line="600" w:lineRule="exact"/>
        <w:rPr>
          <w:rFonts w:ascii="仿宋" w:eastAsia="仿宋" w:hAnsi="仿宋"/>
          <w:color w:val="000000" w:themeColor="text1"/>
          <w:sz w:val="32"/>
          <w:szCs w:val="32"/>
        </w:rPr>
      </w:pPr>
    </w:p>
    <w:p w:rsidR="005B5C64" w:rsidRPr="00296646" w:rsidRDefault="00204CDE" w:rsidP="00296646">
      <w:pPr>
        <w:spacing w:line="600" w:lineRule="exact"/>
        <w:ind w:firstLineChars="500" w:firstLine="160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5B5C64" w:rsidRPr="00B41F27" w:rsidRDefault="00204CDE">
      <w:pPr>
        <w:spacing w:line="600" w:lineRule="exact"/>
        <w:ind w:firstLineChars="200" w:firstLine="640"/>
        <w:outlineLvl w:val="1"/>
        <w:rPr>
          <w:rFonts w:ascii="黑体" w:eastAsia="黑体" w:hAnsi="黑体"/>
          <w:color w:val="000000"/>
          <w:sz w:val="32"/>
          <w:szCs w:val="32"/>
        </w:rPr>
      </w:pPr>
      <w:bookmarkStart w:id="31" w:name="_Toc15377208"/>
      <w:bookmarkStart w:id="32" w:name="_Toc15396606"/>
      <w:r>
        <w:rPr>
          <w:rFonts w:ascii="黑体" w:eastAsia="黑体" w:hAnsi="黑体" w:hint="eastAsia"/>
          <w:color w:val="000000"/>
          <w:sz w:val="32"/>
          <w:szCs w:val="32"/>
        </w:rPr>
        <w:t>四、财</w:t>
      </w:r>
      <w:r w:rsidRPr="00B41F27">
        <w:rPr>
          <w:rFonts w:ascii="黑体" w:eastAsia="黑体" w:hAnsi="黑体" w:hint="eastAsia"/>
          <w:color w:val="000000"/>
          <w:sz w:val="32"/>
          <w:szCs w:val="32"/>
        </w:rPr>
        <w:t>政拨款收入支出决算总体情况说明</w:t>
      </w:r>
      <w:bookmarkEnd w:id="31"/>
      <w:bookmarkEnd w:id="32"/>
    </w:p>
    <w:p w:rsidR="00416CD4" w:rsidRDefault="00204CDE" w:rsidP="005404E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296646">
        <w:rPr>
          <w:rFonts w:ascii="仿宋" w:eastAsia="仿宋" w:hAnsi="仿宋" w:hint="eastAsia"/>
          <w:color w:val="000000"/>
          <w:sz w:val="32"/>
          <w:szCs w:val="32"/>
        </w:rPr>
        <w:t>总计739.01万元</w:t>
      </w:r>
      <w:r>
        <w:rPr>
          <w:rFonts w:ascii="仿宋" w:eastAsia="仿宋" w:hAnsi="仿宋" w:hint="eastAsia"/>
          <w:color w:val="000000"/>
          <w:sz w:val="32"/>
          <w:szCs w:val="32"/>
        </w:rPr>
        <w:t>、支总计</w:t>
      </w:r>
      <w:r w:rsidR="00296646">
        <w:rPr>
          <w:rFonts w:ascii="仿宋" w:eastAsia="仿宋" w:hAnsi="仿宋" w:hint="eastAsia"/>
          <w:color w:val="000000"/>
          <w:sz w:val="32"/>
          <w:szCs w:val="32"/>
        </w:rPr>
        <w:t>750.89</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484767">
        <w:rPr>
          <w:rFonts w:ascii="仿宋" w:eastAsia="仿宋" w:hAnsi="仿宋" w:hint="eastAsia"/>
          <w:color w:val="000000"/>
          <w:sz w:val="32"/>
          <w:szCs w:val="32"/>
        </w:rPr>
        <w:t>增加8.32万元，增长1.14</w:t>
      </w:r>
      <w:r w:rsidR="00484767">
        <w:rPr>
          <w:rFonts w:ascii="仿宋" w:eastAsia="仿宋" w:hAnsi="仿宋"/>
          <w:color w:val="000000"/>
          <w:sz w:val="32"/>
          <w:szCs w:val="32"/>
        </w:rPr>
        <w:t>%</w:t>
      </w:r>
      <w:r w:rsidR="00484767">
        <w:rPr>
          <w:rFonts w:ascii="仿宋" w:eastAsia="仿宋" w:hAnsi="仿宋" w:hint="eastAsia"/>
          <w:color w:val="000000"/>
          <w:sz w:val="32"/>
          <w:szCs w:val="32"/>
        </w:rPr>
        <w:t>、支总计</w:t>
      </w:r>
      <w:r>
        <w:rPr>
          <w:rFonts w:ascii="仿宋" w:eastAsia="仿宋" w:hAnsi="仿宋" w:hint="eastAsia"/>
          <w:color w:val="000000"/>
          <w:sz w:val="32"/>
          <w:szCs w:val="32"/>
        </w:rPr>
        <w:t>增加</w:t>
      </w:r>
      <w:r w:rsidR="00484767">
        <w:rPr>
          <w:rFonts w:ascii="仿宋" w:eastAsia="仿宋" w:hAnsi="仿宋" w:hint="eastAsia"/>
          <w:color w:val="000000"/>
          <w:sz w:val="32"/>
          <w:szCs w:val="32"/>
        </w:rPr>
        <w:t>20.20</w:t>
      </w:r>
      <w:r>
        <w:rPr>
          <w:rFonts w:ascii="仿宋" w:eastAsia="仿宋" w:hAnsi="仿宋" w:hint="eastAsia"/>
          <w:color w:val="000000"/>
          <w:sz w:val="32"/>
          <w:szCs w:val="32"/>
        </w:rPr>
        <w:t>万元，增长</w:t>
      </w:r>
      <w:r w:rsidR="00484767">
        <w:rPr>
          <w:rFonts w:ascii="仿宋" w:eastAsia="仿宋" w:hAnsi="仿宋" w:hint="eastAsia"/>
          <w:color w:val="000000"/>
          <w:sz w:val="32"/>
          <w:szCs w:val="32"/>
        </w:rPr>
        <w:t>2.76</w:t>
      </w:r>
      <w:r>
        <w:rPr>
          <w:rFonts w:ascii="仿宋" w:eastAsia="仿宋" w:hAnsi="仿宋"/>
          <w:color w:val="000000"/>
          <w:sz w:val="32"/>
          <w:szCs w:val="32"/>
        </w:rPr>
        <w:t>%</w:t>
      </w:r>
      <w:r>
        <w:rPr>
          <w:rFonts w:ascii="仿宋" w:eastAsia="仿宋" w:hAnsi="仿宋" w:hint="eastAsia"/>
          <w:color w:val="000000"/>
          <w:sz w:val="32"/>
          <w:szCs w:val="32"/>
        </w:rPr>
        <w:t>。主要变动原因是</w:t>
      </w:r>
      <w:r w:rsidR="00484767">
        <w:rPr>
          <w:rFonts w:ascii="仿宋_GB2312" w:eastAsia="仿宋_GB2312" w:cs="仿宋_GB2312" w:hint="eastAsia"/>
          <w:kern w:val="0"/>
          <w:sz w:val="32"/>
          <w:szCs w:val="32"/>
        </w:rPr>
        <w:t>年教</w:t>
      </w:r>
      <w:r w:rsidR="00B41F27">
        <w:rPr>
          <w:rFonts w:ascii="仿宋" w:eastAsia="仿宋" w:hAnsi="仿宋"/>
          <w:noProof/>
          <w:color w:val="000000"/>
          <w:sz w:val="32"/>
          <w:szCs w:val="32"/>
        </w:rPr>
        <w:lastRenderedPageBreak/>
        <w:drawing>
          <wp:anchor distT="0" distB="0" distL="114300" distR="114300" simplePos="0" relativeHeight="251661312" behindDoc="0" locked="0" layoutInCell="1" allowOverlap="1">
            <wp:simplePos x="0" y="0"/>
            <wp:positionH relativeFrom="column">
              <wp:posOffset>168275</wp:posOffset>
            </wp:positionH>
            <wp:positionV relativeFrom="paragraph">
              <wp:posOffset>928370</wp:posOffset>
            </wp:positionV>
            <wp:extent cx="5040630" cy="1876425"/>
            <wp:effectExtent l="0" t="0" r="7620" b="0"/>
            <wp:wrapSquare wrapText="bothSides"/>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484767">
        <w:rPr>
          <w:rFonts w:ascii="仿宋_GB2312" w:eastAsia="仿宋_GB2312" w:cs="仿宋_GB2312" w:hint="eastAsia"/>
          <w:kern w:val="0"/>
          <w:sz w:val="32"/>
          <w:szCs w:val="32"/>
        </w:rPr>
        <w:t>师基本工资上调及各项保险基数上调及增加公用经费使用，还有支教师课后服务费.</w:t>
      </w:r>
    </w:p>
    <w:p w:rsidR="005404E3" w:rsidRPr="005404E3" w:rsidRDefault="00204CDE" w:rsidP="005404E3">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bookmarkStart w:id="33" w:name="_Toc15377209"/>
      <w:bookmarkStart w:id="34" w:name="_Toc15396607"/>
    </w:p>
    <w:p w:rsidR="005B5C64" w:rsidRPr="00B41F27" w:rsidRDefault="00204CDE">
      <w:pPr>
        <w:spacing w:line="600" w:lineRule="exact"/>
        <w:ind w:firstLineChars="200" w:firstLine="640"/>
        <w:outlineLvl w:val="1"/>
        <w:rPr>
          <w:rFonts w:ascii="黑体" w:eastAsia="黑体" w:hAnsi="黑体"/>
          <w:color w:val="000000"/>
          <w:sz w:val="32"/>
          <w:szCs w:val="32"/>
        </w:rPr>
      </w:pPr>
      <w:r>
        <w:rPr>
          <w:rFonts w:ascii="黑体" w:eastAsia="黑体" w:hAnsi="黑体" w:hint="eastAsia"/>
          <w:color w:val="000000"/>
          <w:sz w:val="32"/>
          <w:szCs w:val="32"/>
        </w:rPr>
        <w:t>五、</w:t>
      </w:r>
      <w:r w:rsidRPr="00B41F27">
        <w:rPr>
          <w:rFonts w:ascii="黑体" w:eastAsia="黑体" w:hAnsi="黑体" w:hint="eastAsia"/>
          <w:color w:val="000000"/>
          <w:sz w:val="32"/>
          <w:szCs w:val="32"/>
        </w:rPr>
        <w:t>一般公共预算财政拨款支出决算情况说明</w:t>
      </w:r>
      <w:bookmarkEnd w:id="33"/>
      <w:bookmarkEnd w:id="34"/>
    </w:p>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00684F" w:rsidRPr="0000684F" w:rsidRDefault="00204CDE" w:rsidP="0000684F">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197A27">
        <w:rPr>
          <w:rFonts w:ascii="仿宋" w:eastAsia="仿宋" w:hAnsi="仿宋" w:hint="eastAsia"/>
          <w:color w:val="000000"/>
          <w:sz w:val="32"/>
          <w:szCs w:val="32"/>
        </w:rPr>
        <w:t>752.77</w:t>
      </w:r>
      <w:r>
        <w:rPr>
          <w:rFonts w:ascii="仿宋" w:eastAsia="仿宋" w:hAnsi="仿宋" w:hint="eastAsia"/>
          <w:color w:val="000000"/>
          <w:sz w:val="32"/>
          <w:szCs w:val="32"/>
        </w:rPr>
        <w:t>万元，占本年支出合计的</w:t>
      </w:r>
      <w:r w:rsidR="00197A27">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197A27">
        <w:rPr>
          <w:rFonts w:ascii="仿宋" w:eastAsia="仿宋" w:hAnsi="仿宋" w:hint="eastAsia"/>
          <w:color w:val="000000"/>
          <w:sz w:val="32"/>
          <w:szCs w:val="32"/>
        </w:rPr>
        <w:t>22.08</w:t>
      </w:r>
      <w:r>
        <w:rPr>
          <w:rFonts w:ascii="仿宋" w:eastAsia="仿宋" w:hAnsi="仿宋" w:hint="eastAsia"/>
          <w:color w:val="000000"/>
          <w:sz w:val="32"/>
          <w:szCs w:val="32"/>
        </w:rPr>
        <w:t>万元，增长</w:t>
      </w:r>
      <w:r w:rsidR="00197A27">
        <w:rPr>
          <w:rFonts w:ascii="仿宋" w:eastAsia="仿宋" w:hAnsi="仿宋" w:hint="eastAsia"/>
          <w:color w:val="000000"/>
          <w:sz w:val="32"/>
          <w:szCs w:val="32"/>
        </w:rPr>
        <w:t>3.02</w:t>
      </w:r>
      <w:r>
        <w:rPr>
          <w:rFonts w:ascii="仿宋" w:eastAsia="仿宋" w:hAnsi="仿宋"/>
          <w:color w:val="000000"/>
          <w:sz w:val="32"/>
          <w:szCs w:val="32"/>
        </w:rPr>
        <w:t>%</w:t>
      </w:r>
      <w:r>
        <w:rPr>
          <w:rFonts w:ascii="仿宋" w:eastAsia="仿宋" w:hAnsi="仿宋" w:hint="eastAsia"/>
          <w:color w:val="000000"/>
          <w:sz w:val="32"/>
          <w:szCs w:val="32"/>
        </w:rPr>
        <w:t>。主要变动原因是</w:t>
      </w:r>
      <w:r w:rsidR="00197A27">
        <w:rPr>
          <w:rFonts w:ascii="仿宋_GB2312" w:eastAsia="仿宋_GB2312" w:cs="仿宋_GB2312" w:hint="eastAsia"/>
          <w:kern w:val="0"/>
          <w:sz w:val="32"/>
          <w:szCs w:val="32"/>
        </w:rPr>
        <w:t>年教师基本工资上调及各项保险基数上调及增加公用经费使用，还有支教师课后服务费.</w:t>
      </w:r>
      <w:r w:rsidR="0000684F" w:rsidRPr="0000684F">
        <w:rPr>
          <w:rFonts w:ascii="仿宋" w:eastAsia="仿宋" w:hAnsi="仿宋"/>
          <w:noProof/>
          <w:color w:val="000000"/>
          <w:sz w:val="32"/>
          <w:szCs w:val="32"/>
        </w:rPr>
        <w:t xml:space="preserve"> </w:t>
      </w:r>
    </w:p>
    <w:p w:rsidR="00A733B2" w:rsidRDefault="0000684F" w:rsidP="0000684F">
      <w:pPr>
        <w:spacing w:line="600" w:lineRule="exact"/>
        <w:ind w:firstLineChars="200" w:firstLine="640"/>
        <w:rPr>
          <w:rFonts w:ascii="仿宋" w:eastAsia="仿宋" w:hAnsi="仿宋"/>
          <w:color w:val="000000" w:themeColor="text1"/>
          <w:sz w:val="32"/>
          <w:szCs w:val="32"/>
        </w:rPr>
      </w:pPr>
      <w:r>
        <w:rPr>
          <w:rFonts w:ascii="仿宋" w:eastAsia="仿宋" w:hAnsi="仿宋"/>
          <w:noProof/>
          <w:color w:val="000000"/>
          <w:sz w:val="32"/>
          <w:szCs w:val="32"/>
        </w:rPr>
        <w:drawing>
          <wp:anchor distT="0" distB="0" distL="114300" distR="114300" simplePos="0" relativeHeight="251662336" behindDoc="0" locked="0" layoutInCell="1" allowOverlap="1">
            <wp:simplePos x="0" y="0"/>
            <wp:positionH relativeFrom="column">
              <wp:posOffset>167640</wp:posOffset>
            </wp:positionH>
            <wp:positionV relativeFrom="paragraph">
              <wp:posOffset>318135</wp:posOffset>
            </wp:positionV>
            <wp:extent cx="5231765" cy="1908175"/>
            <wp:effectExtent l="0" t="0" r="6985" b="0"/>
            <wp:wrapSquare wrapText="bothSides"/>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204CDE">
        <w:rPr>
          <w:rFonts w:ascii="仿宋" w:eastAsia="仿宋" w:hAnsi="仿宋" w:hint="eastAsia"/>
          <w:color w:val="000000" w:themeColor="text1"/>
          <w:sz w:val="32"/>
          <w:szCs w:val="32"/>
        </w:rPr>
        <w:t>（图5：一般公共预算财政拨款支出决算变动情况）（柱状图）</w:t>
      </w: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lastRenderedPageBreak/>
        <w:t>（二）一般公共预算财政拨款支出决算结构情况</w:t>
      </w:r>
      <w:bookmarkEnd w:id="36"/>
    </w:p>
    <w:p w:rsidR="005B5C64" w:rsidRPr="00B41F27"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sidRPr="00B41F27">
        <w:rPr>
          <w:rFonts w:ascii="仿宋" w:eastAsia="仿宋" w:hAnsi="仿宋" w:hint="eastAsia"/>
          <w:color w:val="000000"/>
          <w:sz w:val="32"/>
          <w:szCs w:val="32"/>
        </w:rPr>
        <w:t>政拨款支出</w:t>
      </w:r>
      <w:r w:rsidR="007447EC" w:rsidRPr="00B41F27">
        <w:rPr>
          <w:rFonts w:ascii="仿宋" w:eastAsia="仿宋" w:hAnsi="仿宋" w:hint="eastAsia"/>
          <w:color w:val="000000"/>
          <w:sz w:val="32"/>
          <w:szCs w:val="32"/>
        </w:rPr>
        <w:t>752.77</w:t>
      </w:r>
      <w:r w:rsidRPr="00B41F27">
        <w:rPr>
          <w:rFonts w:ascii="仿宋" w:eastAsia="仿宋" w:hAnsi="仿宋" w:hint="eastAsia"/>
          <w:color w:val="000000"/>
          <w:sz w:val="32"/>
          <w:szCs w:val="32"/>
        </w:rPr>
        <w:t>万元，主要用于以下方面</w:t>
      </w:r>
      <w:r w:rsidRPr="00B41F27">
        <w:rPr>
          <w:rFonts w:ascii="仿宋" w:eastAsia="仿宋" w:hAnsi="仿宋"/>
          <w:color w:val="000000"/>
          <w:sz w:val="32"/>
          <w:szCs w:val="32"/>
        </w:rPr>
        <w:t>:</w:t>
      </w:r>
      <w:r w:rsidRPr="00B41F27">
        <w:rPr>
          <w:rFonts w:ascii="仿宋" w:eastAsia="仿宋" w:hAnsi="仿宋" w:hint="eastAsia"/>
          <w:color w:val="000000"/>
          <w:sz w:val="32"/>
          <w:szCs w:val="32"/>
        </w:rPr>
        <w:t>一般公共服务（类）支出</w:t>
      </w:r>
      <w:r w:rsidR="007447EC" w:rsidRPr="00B41F27">
        <w:rPr>
          <w:rFonts w:ascii="仿宋" w:eastAsia="仿宋" w:hAnsi="仿宋" w:hint="eastAsia"/>
          <w:color w:val="000000"/>
          <w:sz w:val="32"/>
          <w:szCs w:val="32"/>
        </w:rPr>
        <w:t>0</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0</w:t>
      </w:r>
      <w:r w:rsidRPr="00B41F27">
        <w:rPr>
          <w:rFonts w:ascii="仿宋" w:eastAsia="仿宋" w:hAnsi="仿宋"/>
          <w:color w:val="000000"/>
          <w:sz w:val="32"/>
          <w:szCs w:val="32"/>
        </w:rPr>
        <w:t>%</w:t>
      </w:r>
      <w:r w:rsidRPr="00B41F27">
        <w:rPr>
          <w:rFonts w:ascii="仿宋" w:eastAsia="仿宋" w:hAnsi="仿宋" w:hint="eastAsia"/>
          <w:color w:val="000000"/>
          <w:sz w:val="32"/>
          <w:szCs w:val="32"/>
        </w:rPr>
        <w:t>；教育支出（类）</w:t>
      </w:r>
      <w:r w:rsidR="007447EC" w:rsidRPr="00B41F27">
        <w:rPr>
          <w:rFonts w:ascii="仿宋" w:eastAsia="仿宋" w:hAnsi="仿宋" w:hint="eastAsia"/>
          <w:color w:val="000000"/>
          <w:sz w:val="32"/>
          <w:szCs w:val="32"/>
        </w:rPr>
        <w:t>537.12</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71.35</w:t>
      </w:r>
      <w:r w:rsidRPr="00B41F27">
        <w:rPr>
          <w:rFonts w:ascii="仿宋" w:eastAsia="仿宋" w:hAnsi="仿宋"/>
          <w:color w:val="000000"/>
          <w:sz w:val="32"/>
          <w:szCs w:val="32"/>
        </w:rPr>
        <w:t>%</w:t>
      </w:r>
      <w:r w:rsidRPr="00B41F27">
        <w:rPr>
          <w:rFonts w:ascii="仿宋" w:eastAsia="仿宋" w:hAnsi="仿宋" w:hint="eastAsia"/>
          <w:color w:val="000000"/>
          <w:sz w:val="32"/>
          <w:szCs w:val="32"/>
        </w:rPr>
        <w:t>；科学技术（类）支出</w:t>
      </w:r>
      <w:r w:rsidR="007447EC" w:rsidRPr="00B41F27">
        <w:rPr>
          <w:rFonts w:ascii="仿宋" w:eastAsia="仿宋" w:hAnsi="仿宋" w:hint="eastAsia"/>
          <w:color w:val="000000"/>
          <w:sz w:val="32"/>
          <w:szCs w:val="32"/>
        </w:rPr>
        <w:t>0</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0</w:t>
      </w:r>
      <w:r w:rsidRPr="00B41F27">
        <w:rPr>
          <w:rFonts w:ascii="仿宋" w:eastAsia="仿宋" w:hAnsi="仿宋"/>
          <w:color w:val="000000"/>
          <w:sz w:val="32"/>
          <w:szCs w:val="32"/>
        </w:rPr>
        <w:t>%</w:t>
      </w:r>
      <w:r w:rsidRPr="00B41F27">
        <w:rPr>
          <w:rFonts w:ascii="仿宋" w:eastAsia="仿宋" w:hAnsi="仿宋" w:hint="eastAsia"/>
          <w:color w:val="000000"/>
          <w:sz w:val="32"/>
          <w:szCs w:val="32"/>
        </w:rPr>
        <w:t>；文化旅游体育与传媒（类）支出</w:t>
      </w:r>
      <w:r w:rsidR="007447EC" w:rsidRPr="00B41F27">
        <w:rPr>
          <w:rFonts w:ascii="仿宋" w:eastAsia="仿宋" w:hAnsi="仿宋" w:hint="eastAsia"/>
          <w:color w:val="000000"/>
          <w:sz w:val="32"/>
          <w:szCs w:val="32"/>
        </w:rPr>
        <w:t>0</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0</w:t>
      </w:r>
      <w:r w:rsidRPr="00B41F27">
        <w:rPr>
          <w:rFonts w:ascii="仿宋" w:eastAsia="仿宋" w:hAnsi="仿宋"/>
          <w:color w:val="000000"/>
          <w:sz w:val="32"/>
          <w:szCs w:val="32"/>
        </w:rPr>
        <w:t>%</w:t>
      </w:r>
      <w:r w:rsidRPr="00B41F27">
        <w:rPr>
          <w:rFonts w:ascii="仿宋" w:eastAsia="仿宋" w:hAnsi="仿宋" w:hint="eastAsia"/>
          <w:color w:val="000000"/>
          <w:sz w:val="32"/>
          <w:szCs w:val="32"/>
        </w:rPr>
        <w:t>；社会保障和就业（类）支出</w:t>
      </w:r>
      <w:r w:rsidR="007447EC" w:rsidRPr="00B41F27">
        <w:rPr>
          <w:rFonts w:ascii="仿宋" w:eastAsia="仿宋" w:hAnsi="仿宋" w:hint="eastAsia"/>
          <w:color w:val="000000"/>
          <w:sz w:val="32"/>
          <w:szCs w:val="32"/>
        </w:rPr>
        <w:t>121.27</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16.11</w:t>
      </w:r>
      <w:r w:rsidRPr="00B41F27">
        <w:rPr>
          <w:rFonts w:ascii="仿宋" w:eastAsia="仿宋" w:hAnsi="仿宋"/>
          <w:color w:val="000000"/>
          <w:sz w:val="32"/>
          <w:szCs w:val="32"/>
        </w:rPr>
        <w:t>%</w:t>
      </w:r>
      <w:r w:rsidRPr="00B41F27">
        <w:rPr>
          <w:rFonts w:ascii="仿宋" w:eastAsia="仿宋" w:hAnsi="仿宋" w:hint="eastAsia"/>
          <w:color w:val="000000"/>
          <w:sz w:val="32"/>
          <w:szCs w:val="32"/>
        </w:rPr>
        <w:t>；卫生健康支出</w:t>
      </w:r>
      <w:r w:rsidR="007447EC" w:rsidRPr="00B41F27">
        <w:rPr>
          <w:rFonts w:ascii="仿宋" w:eastAsia="仿宋" w:hAnsi="仿宋" w:hint="eastAsia"/>
          <w:color w:val="000000"/>
          <w:sz w:val="32"/>
          <w:szCs w:val="32"/>
        </w:rPr>
        <w:t>38.88</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5.16</w:t>
      </w:r>
      <w:r w:rsidRPr="00B41F27">
        <w:rPr>
          <w:rFonts w:ascii="仿宋" w:eastAsia="仿宋" w:hAnsi="仿宋"/>
          <w:color w:val="000000"/>
          <w:sz w:val="32"/>
          <w:szCs w:val="32"/>
        </w:rPr>
        <w:t>%</w:t>
      </w:r>
      <w:r w:rsidRPr="00B41F27">
        <w:rPr>
          <w:rFonts w:ascii="仿宋" w:eastAsia="仿宋" w:hAnsi="仿宋" w:hint="eastAsia"/>
          <w:color w:val="000000"/>
          <w:sz w:val="32"/>
          <w:szCs w:val="32"/>
        </w:rPr>
        <w:t>；住房保障支出</w:t>
      </w:r>
      <w:r w:rsidR="007447EC" w:rsidRPr="00B41F27">
        <w:rPr>
          <w:rFonts w:ascii="仿宋" w:eastAsia="仿宋" w:hAnsi="仿宋" w:hint="eastAsia"/>
          <w:color w:val="000000"/>
          <w:sz w:val="32"/>
          <w:szCs w:val="32"/>
        </w:rPr>
        <w:t>55.43</w:t>
      </w:r>
      <w:r w:rsidRPr="00B41F27">
        <w:rPr>
          <w:rFonts w:ascii="仿宋" w:eastAsia="仿宋" w:hAnsi="仿宋" w:hint="eastAsia"/>
          <w:color w:val="000000"/>
          <w:sz w:val="32"/>
          <w:szCs w:val="32"/>
        </w:rPr>
        <w:t>万元，占</w:t>
      </w:r>
      <w:r w:rsidR="007447EC" w:rsidRPr="00B41F27">
        <w:rPr>
          <w:rFonts w:ascii="仿宋" w:eastAsia="仿宋" w:hAnsi="仿宋" w:hint="eastAsia"/>
          <w:color w:val="000000"/>
          <w:sz w:val="32"/>
          <w:szCs w:val="32"/>
        </w:rPr>
        <w:t>7.36</w:t>
      </w:r>
      <w:r w:rsidRPr="00B41F27">
        <w:rPr>
          <w:rFonts w:ascii="仿宋" w:eastAsia="仿宋" w:hAnsi="仿宋"/>
          <w:color w:val="000000"/>
          <w:sz w:val="32"/>
          <w:szCs w:val="32"/>
        </w:rPr>
        <w:t>%</w:t>
      </w:r>
      <w:r w:rsidRPr="00B41F27">
        <w:rPr>
          <w:rFonts w:ascii="仿宋" w:eastAsia="仿宋" w:hAnsi="仿宋" w:hint="eastAsia"/>
          <w:color w:val="000000"/>
          <w:sz w:val="32"/>
          <w:szCs w:val="32"/>
        </w:rPr>
        <w:t>；</w:t>
      </w:r>
      <w:r w:rsidRPr="00B41F27">
        <w:rPr>
          <w:rFonts w:ascii="仿宋" w:eastAsia="仿宋" w:hAnsi="仿宋"/>
          <w:color w:val="000000"/>
          <w:sz w:val="32"/>
          <w:szCs w:val="32"/>
        </w:rPr>
        <w:t>…</w:t>
      </w:r>
      <w:r w:rsidRPr="00B41F27">
        <w:rPr>
          <w:rFonts w:ascii="仿宋" w:eastAsia="仿宋" w:hAnsi="仿宋" w:hint="eastAsia"/>
          <w:color w:val="000000"/>
          <w:sz w:val="32"/>
          <w:szCs w:val="32"/>
        </w:rPr>
        <w:t>。（罗列全部功能分类科目，至类级。）</w:t>
      </w:r>
    </w:p>
    <w:p w:rsidR="00A733B2" w:rsidRDefault="005500B0">
      <w:pPr>
        <w:spacing w:line="600" w:lineRule="exact"/>
        <w:ind w:firstLine="640"/>
        <w:rPr>
          <w:rFonts w:ascii="仿宋" w:eastAsia="仿宋" w:hAnsi="仿宋"/>
          <w:color w:val="000000" w:themeColor="text1"/>
          <w:sz w:val="32"/>
          <w:szCs w:val="32"/>
        </w:rPr>
      </w:pPr>
      <w:r>
        <w:rPr>
          <w:rFonts w:ascii="仿宋" w:eastAsia="仿宋" w:hAnsi="仿宋"/>
          <w:noProof/>
          <w:color w:val="000000" w:themeColor="text1"/>
          <w:sz w:val="32"/>
          <w:szCs w:val="32"/>
        </w:rPr>
        <w:drawing>
          <wp:anchor distT="0" distB="0" distL="114300" distR="114300" simplePos="0" relativeHeight="251663360" behindDoc="0" locked="0" layoutInCell="1" allowOverlap="1">
            <wp:simplePos x="0" y="0"/>
            <wp:positionH relativeFrom="column">
              <wp:posOffset>834390</wp:posOffset>
            </wp:positionH>
            <wp:positionV relativeFrom="paragraph">
              <wp:posOffset>96520</wp:posOffset>
            </wp:positionV>
            <wp:extent cx="2854325" cy="2289810"/>
            <wp:effectExtent l="0" t="0" r="3175" b="0"/>
            <wp:wrapSquare wrapText="bothSides"/>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5500B0" w:rsidRDefault="005500B0">
      <w:pPr>
        <w:spacing w:line="600" w:lineRule="exact"/>
        <w:ind w:firstLineChars="200" w:firstLine="640"/>
        <w:rPr>
          <w:rFonts w:ascii="仿宋" w:eastAsia="仿宋" w:hAnsi="仿宋"/>
          <w:color w:val="000000"/>
          <w:sz w:val="32"/>
          <w:szCs w:val="32"/>
        </w:rPr>
      </w:pPr>
    </w:p>
    <w:p w:rsidR="005500B0" w:rsidRDefault="005500B0">
      <w:pPr>
        <w:spacing w:line="600" w:lineRule="exact"/>
        <w:ind w:firstLineChars="200" w:firstLine="640"/>
        <w:rPr>
          <w:rFonts w:ascii="仿宋" w:eastAsia="仿宋" w:hAnsi="仿宋"/>
          <w:color w:val="000000"/>
          <w:sz w:val="32"/>
          <w:szCs w:val="32"/>
        </w:rPr>
      </w:pPr>
    </w:p>
    <w:p w:rsidR="005500B0" w:rsidRDefault="005500B0">
      <w:pPr>
        <w:spacing w:line="600" w:lineRule="exact"/>
        <w:ind w:firstLineChars="200" w:firstLine="640"/>
        <w:rPr>
          <w:rFonts w:ascii="仿宋" w:eastAsia="仿宋" w:hAnsi="仿宋"/>
          <w:color w:val="000000"/>
          <w:sz w:val="32"/>
          <w:szCs w:val="32"/>
        </w:rPr>
      </w:pPr>
    </w:p>
    <w:p w:rsidR="005500B0" w:rsidRDefault="005500B0">
      <w:pPr>
        <w:spacing w:line="600" w:lineRule="exact"/>
        <w:ind w:firstLineChars="200" w:firstLine="640"/>
        <w:rPr>
          <w:rFonts w:ascii="仿宋" w:eastAsia="仿宋" w:hAnsi="仿宋"/>
          <w:color w:val="000000"/>
          <w:sz w:val="32"/>
          <w:szCs w:val="32"/>
        </w:rPr>
      </w:pPr>
    </w:p>
    <w:p w:rsidR="005500B0" w:rsidRDefault="005500B0" w:rsidP="00B41F27">
      <w:pPr>
        <w:spacing w:line="600" w:lineRule="exact"/>
        <w:rPr>
          <w:rFonts w:ascii="仿宋" w:eastAsia="仿宋" w:hAnsi="仿宋"/>
          <w:color w:val="000000"/>
          <w:sz w:val="32"/>
          <w:szCs w:val="32"/>
        </w:rPr>
      </w:pPr>
    </w:p>
    <w:p w:rsidR="00B41F27" w:rsidRDefault="00B41F27" w:rsidP="005500B0">
      <w:pPr>
        <w:spacing w:line="600" w:lineRule="exact"/>
        <w:ind w:firstLineChars="200" w:firstLine="640"/>
        <w:rPr>
          <w:rFonts w:ascii="仿宋" w:eastAsia="仿宋" w:hAnsi="仿宋"/>
          <w:color w:val="000000"/>
          <w:sz w:val="32"/>
          <w:szCs w:val="32"/>
        </w:rPr>
      </w:pPr>
    </w:p>
    <w:p w:rsidR="005500B0" w:rsidRPr="005500B0" w:rsidRDefault="00204CDE" w:rsidP="005500B0">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bookmarkStart w:id="37" w:name="_Toc15377212"/>
    </w:p>
    <w:p w:rsidR="005B5C64" w:rsidRDefault="00204CDE">
      <w:pPr>
        <w:spacing w:line="60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37"/>
    </w:p>
    <w:p w:rsidR="005B5C64" w:rsidRDefault="00204CDE">
      <w:pPr>
        <w:spacing w:line="600" w:lineRule="exact"/>
        <w:ind w:firstLineChars="200" w:firstLine="643"/>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w:t>
      </w:r>
      <w:r w:rsidR="006C4E64">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9C4437">
        <w:rPr>
          <w:rFonts w:ascii="仿宋" w:eastAsia="仿宋" w:hAnsi="仿宋" w:hint="eastAsia"/>
          <w:b/>
          <w:color w:val="000000" w:themeColor="text1"/>
          <w:sz w:val="32"/>
          <w:szCs w:val="32"/>
        </w:rPr>
        <w:t>752.77</w:t>
      </w:r>
      <w:r w:rsidR="00D23010">
        <w:rPr>
          <w:rFonts w:ascii="仿宋" w:eastAsia="仿宋" w:hAnsi="仿宋" w:hint="eastAsia"/>
          <w:b/>
          <w:color w:val="000000" w:themeColor="text1"/>
          <w:sz w:val="32"/>
          <w:szCs w:val="32"/>
        </w:rPr>
        <w:t>.88</w:t>
      </w:r>
      <w:r>
        <w:rPr>
          <w:rFonts w:ascii="仿宋" w:eastAsia="仿宋" w:hAnsi="仿宋" w:hint="eastAsia"/>
          <w:color w:val="000000" w:themeColor="text1"/>
          <w:sz w:val="32"/>
          <w:szCs w:val="32"/>
        </w:rPr>
        <w:t>，</w:t>
      </w:r>
      <w:r>
        <w:rPr>
          <w:rStyle w:val="Char"/>
          <w:rFonts w:ascii="仿宋" w:eastAsia="仿宋" w:hAnsi="仿宋" w:hint="eastAsia"/>
          <w:bCs/>
          <w:color w:val="000000" w:themeColor="text1"/>
          <w:sz w:val="32"/>
          <w:szCs w:val="32"/>
        </w:rPr>
        <w:t>完成</w:t>
      </w:r>
      <w:r>
        <w:rPr>
          <w:rStyle w:val="Char"/>
          <w:rFonts w:ascii="仿宋" w:eastAsia="仿宋" w:hAnsi="仿宋" w:hint="eastAsia"/>
          <w:bCs/>
          <w:color w:val="000000"/>
          <w:sz w:val="32"/>
          <w:szCs w:val="32"/>
        </w:rPr>
        <w:t>预算</w:t>
      </w:r>
      <w:r w:rsidR="009C4437">
        <w:rPr>
          <w:rStyle w:val="Char"/>
          <w:rFonts w:ascii="仿宋" w:eastAsia="仿宋" w:hAnsi="仿宋" w:hint="eastAsia"/>
          <w:bCs/>
          <w:color w:val="000000"/>
          <w:sz w:val="32"/>
          <w:szCs w:val="32"/>
        </w:rPr>
        <w:t>99.21</w:t>
      </w:r>
      <w:r>
        <w:rPr>
          <w:rStyle w:val="Char"/>
          <w:rFonts w:ascii="仿宋" w:eastAsia="仿宋" w:hAnsi="仿宋"/>
          <w:bCs/>
          <w:color w:val="000000"/>
          <w:sz w:val="32"/>
          <w:szCs w:val="32"/>
        </w:rPr>
        <w:t>%</w:t>
      </w:r>
      <w:r>
        <w:rPr>
          <w:rStyle w:val="Char"/>
          <w:rFonts w:ascii="仿宋" w:eastAsia="仿宋" w:hAnsi="仿宋" w:hint="eastAsia"/>
          <w:bCs/>
          <w:color w:val="000000"/>
          <w:sz w:val="32"/>
          <w:szCs w:val="32"/>
        </w:rPr>
        <w:t>。其中：</w:t>
      </w:r>
      <w:bookmarkEnd w:id="38"/>
      <w:bookmarkEnd w:id="39"/>
      <w:bookmarkEnd w:id="40"/>
    </w:p>
    <w:p w:rsidR="005B5C64" w:rsidRPr="00B41F27" w:rsidRDefault="00204CDE" w:rsidP="00D06508">
      <w:pPr>
        <w:spacing w:line="600" w:lineRule="exact"/>
        <w:ind w:firstLineChars="200" w:firstLine="640"/>
        <w:rPr>
          <w:rStyle w:val="Char"/>
          <w:rFonts w:ascii="仿宋" w:eastAsia="仿宋" w:hAnsi="仿宋"/>
          <w:bCs/>
          <w:sz w:val="32"/>
        </w:rPr>
      </w:pPr>
      <w:r>
        <w:rPr>
          <w:rStyle w:val="Char"/>
          <w:rFonts w:ascii="仿宋" w:eastAsia="仿宋" w:hAnsi="仿宋"/>
          <w:bCs/>
          <w:color w:val="000000"/>
          <w:sz w:val="32"/>
          <w:szCs w:val="32"/>
        </w:rPr>
        <w:t>1.</w:t>
      </w:r>
      <w:r>
        <w:rPr>
          <w:rStyle w:val="Char"/>
          <w:rFonts w:ascii="仿宋" w:eastAsia="仿宋" w:hAnsi="仿宋" w:hint="eastAsia"/>
          <w:bCs/>
          <w:color w:val="000000"/>
          <w:sz w:val="32"/>
          <w:szCs w:val="32"/>
        </w:rPr>
        <w:t>一般公共服务（类）</w:t>
      </w:r>
      <w:r w:rsidR="00D23010">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（款）</w:t>
      </w:r>
      <w:r w:rsidR="00D23010">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bCs/>
          <w:color w:val="000000"/>
          <w:sz w:val="32"/>
          <w:szCs w:val="32"/>
        </w:rPr>
        <w:t xml:space="preserve"> </w:t>
      </w:r>
      <w:r w:rsidRPr="00B41F27">
        <w:rPr>
          <w:rStyle w:val="Char"/>
          <w:rFonts w:ascii="仿宋" w:eastAsia="仿宋" w:hAnsi="仿宋" w:hint="eastAsia"/>
          <w:bCs/>
          <w:color w:val="000000"/>
          <w:sz w:val="32"/>
          <w:szCs w:val="32"/>
        </w:rPr>
        <w:t>支出决算为</w:t>
      </w:r>
      <w:r w:rsidR="00D23010" w:rsidRPr="00B41F27">
        <w:rPr>
          <w:rStyle w:val="Char"/>
          <w:rFonts w:ascii="仿宋" w:eastAsia="仿宋" w:hAnsi="仿宋" w:hint="eastAsia"/>
          <w:bCs/>
          <w:color w:val="000000"/>
          <w:sz w:val="32"/>
          <w:szCs w:val="32"/>
        </w:rPr>
        <w:t>0</w:t>
      </w:r>
      <w:r w:rsidRPr="00B41F27">
        <w:rPr>
          <w:rStyle w:val="Char"/>
          <w:rFonts w:ascii="仿宋" w:eastAsia="仿宋" w:hAnsi="仿宋" w:hint="eastAsia"/>
          <w:bCs/>
          <w:color w:val="000000"/>
          <w:sz w:val="32"/>
          <w:szCs w:val="32"/>
        </w:rPr>
        <w:t>万元，完成预算</w:t>
      </w:r>
      <w:r w:rsidR="00D23010" w:rsidRPr="00B41F27">
        <w:rPr>
          <w:rStyle w:val="Char"/>
          <w:rFonts w:ascii="仿宋" w:eastAsia="仿宋" w:hAnsi="仿宋" w:hint="eastAsia"/>
          <w:bCs/>
          <w:color w:val="000000"/>
          <w:sz w:val="32"/>
          <w:szCs w:val="32"/>
        </w:rPr>
        <w:t>0</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，决算数小于</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等于预算数的主要原因是…。</w:t>
      </w:r>
    </w:p>
    <w:p w:rsidR="005B5C64" w:rsidRPr="00860EEB" w:rsidRDefault="00204CDE" w:rsidP="00860EEB">
      <w:pPr>
        <w:spacing w:line="600" w:lineRule="exact"/>
        <w:ind w:firstLine="640"/>
        <w:rPr>
          <w:rStyle w:val="Char"/>
          <w:rFonts w:ascii="仿宋" w:eastAsia="仿宋" w:hAnsi="仿宋"/>
          <w:color w:val="000000"/>
          <w:sz w:val="32"/>
          <w:szCs w:val="32"/>
        </w:rPr>
      </w:pPr>
      <w:r>
        <w:rPr>
          <w:rStyle w:val="Char"/>
          <w:rFonts w:ascii="仿宋" w:eastAsia="仿宋" w:hAnsi="仿宋"/>
          <w:bCs/>
          <w:color w:val="000000"/>
          <w:sz w:val="32"/>
          <w:szCs w:val="32"/>
        </w:rPr>
        <w:t>2.</w:t>
      </w:r>
      <w:r>
        <w:rPr>
          <w:rStyle w:val="Char"/>
          <w:rFonts w:ascii="仿宋" w:eastAsia="仿宋" w:hAnsi="仿宋" w:hint="eastAsia"/>
          <w:bCs/>
          <w:color w:val="000000"/>
          <w:sz w:val="32"/>
          <w:szCs w:val="32"/>
        </w:rPr>
        <w:t>教育（类）</w:t>
      </w:r>
      <w:r w:rsidR="00B11FB5">
        <w:rPr>
          <w:rStyle w:val="Char"/>
          <w:rFonts w:ascii="仿宋" w:eastAsia="仿宋" w:hAnsi="仿宋" w:hint="eastAsia"/>
          <w:bCs/>
          <w:color w:val="000000"/>
          <w:sz w:val="32"/>
          <w:szCs w:val="32"/>
        </w:rPr>
        <w:t>2</w:t>
      </w:r>
      <w:r w:rsidR="009C4437">
        <w:rPr>
          <w:rStyle w:val="Char"/>
          <w:rFonts w:ascii="仿宋" w:eastAsia="仿宋" w:hAnsi="仿宋" w:hint="eastAsia"/>
          <w:bCs/>
          <w:color w:val="000000"/>
          <w:sz w:val="32"/>
          <w:szCs w:val="32"/>
        </w:rPr>
        <w:t>0502,20504</w:t>
      </w:r>
      <w:r>
        <w:rPr>
          <w:rStyle w:val="Char"/>
          <w:rFonts w:ascii="仿宋" w:eastAsia="仿宋" w:hAnsi="仿宋" w:hint="eastAsia"/>
          <w:bCs/>
          <w:color w:val="000000"/>
          <w:sz w:val="32"/>
          <w:szCs w:val="32"/>
        </w:rPr>
        <w:t>（款）</w:t>
      </w:r>
      <w:r w:rsidR="009C4437">
        <w:rPr>
          <w:rStyle w:val="Char"/>
          <w:rFonts w:ascii="仿宋" w:eastAsia="仿宋" w:hAnsi="仿宋" w:hint="eastAsia"/>
          <w:bCs/>
          <w:color w:val="000000"/>
          <w:sz w:val="32"/>
          <w:szCs w:val="32"/>
        </w:rPr>
        <w:t>2050203,2050401</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bCs/>
          <w:color w:val="000000"/>
          <w:sz w:val="32"/>
          <w:szCs w:val="32"/>
        </w:rPr>
        <w:t xml:space="preserve"> </w:t>
      </w:r>
      <w:r w:rsidRPr="00B41F27">
        <w:rPr>
          <w:rStyle w:val="Char"/>
          <w:rFonts w:ascii="仿宋" w:eastAsia="仿宋" w:hAnsi="仿宋" w:hint="eastAsia"/>
          <w:bCs/>
          <w:color w:val="000000"/>
          <w:sz w:val="32"/>
          <w:szCs w:val="32"/>
        </w:rPr>
        <w:t>支出决算为</w:t>
      </w:r>
      <w:r w:rsidR="009C4437" w:rsidRPr="00B41F27">
        <w:rPr>
          <w:rStyle w:val="Char"/>
          <w:rFonts w:ascii="仿宋" w:eastAsia="仿宋" w:hAnsi="仿宋" w:hint="eastAsia"/>
          <w:bCs/>
          <w:color w:val="000000"/>
          <w:sz w:val="32"/>
          <w:szCs w:val="32"/>
        </w:rPr>
        <w:t>537.18</w:t>
      </w:r>
      <w:r w:rsidRPr="00B41F27">
        <w:rPr>
          <w:rStyle w:val="Char"/>
          <w:rFonts w:ascii="仿宋" w:eastAsia="仿宋" w:hAnsi="仿宋" w:hint="eastAsia"/>
          <w:bCs/>
          <w:color w:val="000000"/>
          <w:sz w:val="32"/>
          <w:szCs w:val="32"/>
        </w:rPr>
        <w:t>万元，完成预算</w:t>
      </w:r>
      <w:r w:rsidR="009C4437" w:rsidRPr="00B41F27">
        <w:rPr>
          <w:rStyle w:val="Char"/>
          <w:rFonts w:ascii="仿宋" w:eastAsia="仿宋" w:hAnsi="仿宋" w:hint="eastAsia"/>
          <w:bCs/>
          <w:color w:val="000000"/>
          <w:sz w:val="32"/>
          <w:szCs w:val="32"/>
        </w:rPr>
        <w:t>98.90</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，决算数小于预</w:t>
      </w:r>
      <w:r w:rsidRPr="00B41F27">
        <w:rPr>
          <w:rStyle w:val="Char"/>
          <w:rFonts w:ascii="仿宋" w:eastAsia="仿宋" w:hAnsi="仿宋" w:hint="eastAsia"/>
          <w:bCs/>
          <w:color w:val="000000"/>
          <w:sz w:val="32"/>
          <w:szCs w:val="32"/>
        </w:rPr>
        <w:lastRenderedPageBreak/>
        <w:t>算数的主要原因是</w:t>
      </w:r>
      <w:r w:rsidR="00860EEB">
        <w:rPr>
          <w:rStyle w:val="Char"/>
          <w:rFonts w:ascii="仿宋" w:eastAsia="仿宋" w:hAnsi="仿宋" w:hint="eastAsia"/>
          <w:bCs/>
          <w:color w:val="000000"/>
          <w:sz w:val="32"/>
          <w:szCs w:val="32"/>
        </w:rPr>
        <w:t>2019</w:t>
      </w:r>
      <w:r w:rsidR="00860EEB">
        <w:rPr>
          <w:rFonts w:ascii="仿宋_GB2312" w:eastAsia="仿宋_GB2312" w:cs="仿宋_GB2312" w:hint="eastAsia"/>
          <w:kern w:val="0"/>
          <w:sz w:val="32"/>
          <w:szCs w:val="32"/>
        </w:rPr>
        <w:t>年教师基本工资上调，教师小等级增长，教师职称变动。</w:t>
      </w:r>
      <w:r w:rsidR="00860EEB" w:rsidRPr="0000684F">
        <w:rPr>
          <w:rFonts w:ascii="仿宋" w:eastAsia="仿宋" w:hAnsi="仿宋"/>
          <w:noProof/>
          <w:color w:val="000000"/>
          <w:sz w:val="32"/>
          <w:szCs w:val="32"/>
        </w:rPr>
        <w:t xml:space="preserve"> </w:t>
      </w:r>
    </w:p>
    <w:p w:rsidR="005B5C64" w:rsidRPr="00B41F27" w:rsidRDefault="00204CDE" w:rsidP="00D06508">
      <w:pPr>
        <w:spacing w:line="600" w:lineRule="exact"/>
        <w:ind w:firstLineChars="200" w:firstLine="640"/>
        <w:rPr>
          <w:rStyle w:val="Char"/>
          <w:rFonts w:ascii="仿宋" w:eastAsia="仿宋" w:hAnsi="仿宋"/>
          <w:bCs/>
          <w:sz w:val="32"/>
        </w:rPr>
      </w:pPr>
      <w:r>
        <w:rPr>
          <w:rStyle w:val="Char"/>
          <w:rFonts w:ascii="仿宋" w:eastAsia="仿宋" w:hAnsi="仿宋"/>
          <w:bCs/>
          <w:color w:val="000000"/>
          <w:sz w:val="32"/>
          <w:szCs w:val="32"/>
        </w:rPr>
        <w:t>3.</w:t>
      </w:r>
      <w:r>
        <w:rPr>
          <w:rStyle w:val="Char"/>
          <w:rFonts w:ascii="仿宋" w:eastAsia="仿宋" w:hAnsi="仿宋" w:hint="eastAsia"/>
          <w:bCs/>
          <w:color w:val="000000"/>
          <w:sz w:val="32"/>
          <w:szCs w:val="32"/>
        </w:rPr>
        <w:t>科学技术（类）</w:t>
      </w:r>
      <w:r w:rsidR="00B11FB5">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（款）</w:t>
      </w:r>
      <w:r w:rsidR="00B11FB5">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bCs/>
          <w:color w:val="000000"/>
          <w:sz w:val="32"/>
          <w:szCs w:val="32"/>
        </w:rPr>
        <w:t xml:space="preserve"> </w:t>
      </w:r>
      <w:r w:rsidRPr="00B41F27">
        <w:rPr>
          <w:rStyle w:val="Char"/>
          <w:rFonts w:ascii="仿宋" w:eastAsia="仿宋" w:hAnsi="仿宋" w:hint="eastAsia"/>
          <w:bCs/>
          <w:color w:val="000000"/>
          <w:sz w:val="32"/>
          <w:szCs w:val="32"/>
        </w:rPr>
        <w:t>支出决算为</w:t>
      </w:r>
      <w:r w:rsidR="00B11FB5" w:rsidRPr="00B41F27">
        <w:rPr>
          <w:rStyle w:val="Char"/>
          <w:rFonts w:ascii="仿宋" w:eastAsia="仿宋" w:hAnsi="仿宋" w:hint="eastAsia"/>
          <w:bCs/>
          <w:color w:val="000000"/>
          <w:sz w:val="32"/>
          <w:szCs w:val="32"/>
        </w:rPr>
        <w:t>0</w:t>
      </w:r>
      <w:r w:rsidRPr="00B41F27">
        <w:rPr>
          <w:rStyle w:val="Char"/>
          <w:rFonts w:ascii="仿宋" w:eastAsia="仿宋" w:hAnsi="仿宋" w:hint="eastAsia"/>
          <w:bCs/>
          <w:color w:val="000000"/>
          <w:sz w:val="32"/>
          <w:szCs w:val="32"/>
        </w:rPr>
        <w:t>万元，完成预算</w:t>
      </w:r>
      <w:r w:rsidR="00B11FB5" w:rsidRPr="00B41F27">
        <w:rPr>
          <w:rStyle w:val="Char"/>
          <w:rFonts w:ascii="仿宋" w:eastAsia="仿宋" w:hAnsi="仿宋" w:hint="eastAsia"/>
          <w:bCs/>
          <w:color w:val="000000"/>
          <w:sz w:val="32"/>
          <w:szCs w:val="32"/>
        </w:rPr>
        <w:t>0</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，决算数小于</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等于预算数的主要原因是…。</w:t>
      </w:r>
    </w:p>
    <w:p w:rsidR="005B5C64" w:rsidRPr="00B41F27" w:rsidRDefault="00204CDE" w:rsidP="00D06508">
      <w:pPr>
        <w:spacing w:line="600" w:lineRule="exact"/>
        <w:ind w:firstLineChars="200" w:firstLine="640"/>
        <w:rPr>
          <w:rStyle w:val="Char"/>
          <w:rFonts w:ascii="仿宋" w:eastAsia="仿宋" w:hAnsi="仿宋"/>
          <w:bCs/>
          <w:sz w:val="32"/>
        </w:rPr>
      </w:pPr>
      <w:r>
        <w:rPr>
          <w:rStyle w:val="Char"/>
          <w:rFonts w:ascii="仿宋" w:eastAsia="仿宋" w:hAnsi="仿宋"/>
          <w:bCs/>
          <w:color w:val="000000"/>
          <w:sz w:val="32"/>
          <w:szCs w:val="32"/>
        </w:rPr>
        <w:t>4.</w:t>
      </w:r>
      <w:r>
        <w:rPr>
          <w:rStyle w:val="Char"/>
          <w:rFonts w:ascii="仿宋" w:eastAsia="仿宋" w:hAnsi="仿宋" w:hint="eastAsia"/>
          <w:bCs/>
          <w:color w:val="000000"/>
          <w:sz w:val="32"/>
          <w:szCs w:val="32"/>
        </w:rPr>
        <w:t>文化旅游体育与传媒（类）</w:t>
      </w:r>
      <w:r w:rsidR="00B11FB5">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（款）</w:t>
      </w:r>
      <w:r w:rsidR="00B11FB5">
        <w:rPr>
          <w:rStyle w:val="Char"/>
          <w:rFonts w:ascii="仿宋" w:eastAsia="仿宋" w:hAnsi="仿宋" w:hint="eastAsia"/>
          <w:bCs/>
          <w:color w:val="000000"/>
          <w:sz w:val="32"/>
          <w:szCs w:val="32"/>
        </w:rPr>
        <w:t>0</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bCs/>
          <w:color w:val="000000"/>
          <w:sz w:val="32"/>
          <w:szCs w:val="32"/>
        </w:rPr>
        <w:t xml:space="preserve"> </w:t>
      </w:r>
      <w:r w:rsidRPr="00B41F27">
        <w:rPr>
          <w:rStyle w:val="Char"/>
          <w:rFonts w:ascii="仿宋" w:eastAsia="仿宋" w:hAnsi="仿宋" w:hint="eastAsia"/>
          <w:bCs/>
          <w:color w:val="000000"/>
          <w:sz w:val="32"/>
          <w:szCs w:val="32"/>
        </w:rPr>
        <w:t>支出决算为</w:t>
      </w:r>
      <w:r w:rsidR="00B11FB5" w:rsidRPr="00B41F27">
        <w:rPr>
          <w:rStyle w:val="Char"/>
          <w:rFonts w:ascii="仿宋" w:eastAsia="仿宋" w:hAnsi="仿宋" w:hint="eastAsia"/>
          <w:bCs/>
          <w:color w:val="000000"/>
          <w:sz w:val="32"/>
          <w:szCs w:val="32"/>
        </w:rPr>
        <w:t>0</w:t>
      </w:r>
      <w:r w:rsidRPr="00B41F27">
        <w:rPr>
          <w:rStyle w:val="Char"/>
          <w:rFonts w:ascii="仿宋" w:eastAsia="仿宋" w:hAnsi="仿宋" w:hint="eastAsia"/>
          <w:bCs/>
          <w:color w:val="000000"/>
          <w:sz w:val="32"/>
          <w:szCs w:val="32"/>
        </w:rPr>
        <w:t>万元，完成预算</w:t>
      </w:r>
      <w:r w:rsidR="00B11FB5" w:rsidRPr="00B41F27">
        <w:rPr>
          <w:rStyle w:val="Char"/>
          <w:rFonts w:ascii="仿宋" w:eastAsia="仿宋" w:hAnsi="仿宋" w:hint="eastAsia"/>
          <w:bCs/>
          <w:color w:val="000000"/>
          <w:sz w:val="32"/>
          <w:szCs w:val="32"/>
        </w:rPr>
        <w:t>0</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，决算数小于</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等于预算数的主要原因是…。</w:t>
      </w:r>
    </w:p>
    <w:p w:rsidR="005B5C64" w:rsidRPr="00B41F27" w:rsidRDefault="00204CDE" w:rsidP="00D06508">
      <w:pPr>
        <w:spacing w:line="600" w:lineRule="exact"/>
        <w:ind w:firstLineChars="200" w:firstLine="640"/>
        <w:rPr>
          <w:rStyle w:val="Char"/>
          <w:rFonts w:ascii="仿宋" w:eastAsia="仿宋" w:hAnsi="仿宋"/>
          <w:bCs/>
          <w:sz w:val="32"/>
        </w:rPr>
      </w:pPr>
      <w:r>
        <w:rPr>
          <w:rStyle w:val="Char"/>
          <w:rFonts w:ascii="仿宋" w:eastAsia="仿宋" w:hAnsi="仿宋"/>
          <w:bCs/>
          <w:color w:val="000000"/>
          <w:sz w:val="32"/>
          <w:szCs w:val="32"/>
        </w:rPr>
        <w:t>5.</w:t>
      </w:r>
      <w:r>
        <w:rPr>
          <w:rStyle w:val="Char"/>
          <w:rFonts w:ascii="仿宋" w:eastAsia="仿宋" w:hAnsi="仿宋" w:hint="eastAsia"/>
          <w:bCs/>
          <w:color w:val="000000"/>
          <w:sz w:val="32"/>
          <w:szCs w:val="32"/>
        </w:rPr>
        <w:t>社会保障和就业（类）</w:t>
      </w:r>
      <w:r w:rsidR="009C4437">
        <w:rPr>
          <w:rStyle w:val="Char"/>
          <w:rFonts w:ascii="仿宋" w:eastAsia="仿宋" w:hAnsi="仿宋" w:hint="eastAsia"/>
          <w:bCs/>
          <w:color w:val="000000"/>
          <w:sz w:val="32"/>
          <w:szCs w:val="32"/>
        </w:rPr>
        <w:t>20805</w:t>
      </w:r>
      <w:r>
        <w:rPr>
          <w:rStyle w:val="Char"/>
          <w:rFonts w:ascii="仿宋" w:eastAsia="仿宋" w:hAnsi="仿宋" w:hint="eastAsia"/>
          <w:bCs/>
          <w:color w:val="000000"/>
          <w:sz w:val="32"/>
          <w:szCs w:val="32"/>
        </w:rPr>
        <w:t>（款）</w:t>
      </w:r>
      <w:r w:rsidR="009C4437">
        <w:rPr>
          <w:rStyle w:val="Char"/>
          <w:rFonts w:ascii="仿宋" w:eastAsia="仿宋" w:hAnsi="仿宋" w:hint="eastAsia"/>
          <w:bCs/>
          <w:color w:val="000000"/>
          <w:sz w:val="32"/>
          <w:szCs w:val="32"/>
        </w:rPr>
        <w:t>2080502,2080505,2080506</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bCs/>
          <w:color w:val="000000"/>
          <w:sz w:val="32"/>
          <w:szCs w:val="32"/>
        </w:rPr>
        <w:t xml:space="preserve"> </w:t>
      </w:r>
      <w:r w:rsidRPr="00B41F27">
        <w:rPr>
          <w:rStyle w:val="Char"/>
          <w:rFonts w:ascii="仿宋" w:eastAsia="仿宋" w:hAnsi="仿宋" w:hint="eastAsia"/>
          <w:bCs/>
          <w:color w:val="000000"/>
          <w:sz w:val="32"/>
          <w:szCs w:val="32"/>
        </w:rPr>
        <w:t>支出决算为</w:t>
      </w:r>
      <w:r w:rsidR="00B11FB5" w:rsidRPr="00B41F27">
        <w:rPr>
          <w:rStyle w:val="Char"/>
          <w:rFonts w:ascii="仿宋" w:eastAsia="仿宋" w:hAnsi="仿宋" w:hint="eastAsia"/>
          <w:bCs/>
          <w:color w:val="000000"/>
          <w:sz w:val="32"/>
          <w:szCs w:val="32"/>
        </w:rPr>
        <w:t>121.27</w:t>
      </w:r>
      <w:r w:rsidRPr="00B41F27">
        <w:rPr>
          <w:rStyle w:val="Char"/>
          <w:rFonts w:ascii="仿宋" w:eastAsia="仿宋" w:hAnsi="仿宋" w:hint="eastAsia"/>
          <w:bCs/>
          <w:color w:val="000000"/>
          <w:sz w:val="32"/>
          <w:szCs w:val="32"/>
        </w:rPr>
        <w:t>万元，完成预算</w:t>
      </w:r>
      <w:r w:rsidR="00B11FB5" w:rsidRPr="00B41F27">
        <w:rPr>
          <w:rStyle w:val="Char"/>
          <w:rFonts w:ascii="仿宋" w:eastAsia="仿宋" w:hAnsi="仿宋" w:hint="eastAsia"/>
          <w:bCs/>
          <w:color w:val="000000"/>
          <w:sz w:val="32"/>
          <w:szCs w:val="32"/>
        </w:rPr>
        <w:t>100</w:t>
      </w:r>
      <w:r w:rsidRPr="00B41F27">
        <w:rPr>
          <w:rStyle w:val="Char"/>
          <w:rFonts w:ascii="仿宋" w:eastAsia="仿宋" w:hAnsi="仿宋"/>
          <w:bCs/>
          <w:color w:val="000000"/>
          <w:sz w:val="32"/>
          <w:szCs w:val="32"/>
        </w:rPr>
        <w:t>%</w:t>
      </w:r>
      <w:r w:rsidR="009C4437" w:rsidRPr="00B41F27">
        <w:rPr>
          <w:rStyle w:val="Char"/>
          <w:rFonts w:ascii="仿宋" w:eastAsia="仿宋" w:hAnsi="仿宋" w:hint="eastAsia"/>
          <w:bCs/>
          <w:color w:val="000000"/>
          <w:sz w:val="32"/>
          <w:szCs w:val="32"/>
        </w:rPr>
        <w:t>，决算数</w:t>
      </w:r>
      <w:r w:rsidRPr="00B41F27">
        <w:rPr>
          <w:rStyle w:val="Char"/>
          <w:rFonts w:ascii="仿宋" w:eastAsia="仿宋" w:hAnsi="仿宋" w:hint="eastAsia"/>
          <w:bCs/>
          <w:color w:val="000000"/>
          <w:sz w:val="32"/>
          <w:szCs w:val="32"/>
        </w:rPr>
        <w:t>等于预算数的。</w:t>
      </w:r>
    </w:p>
    <w:p w:rsidR="00E472B1" w:rsidRPr="00B41F27" w:rsidRDefault="00204CDE" w:rsidP="00B41F27">
      <w:pPr>
        <w:spacing w:line="600" w:lineRule="exact"/>
        <w:ind w:firstLineChars="200" w:firstLine="640"/>
        <w:rPr>
          <w:rStyle w:val="Char"/>
          <w:rFonts w:ascii="仿宋" w:eastAsia="仿宋" w:hAnsi="仿宋"/>
          <w:bCs/>
          <w:sz w:val="32"/>
        </w:rPr>
      </w:pPr>
      <w:r>
        <w:rPr>
          <w:rStyle w:val="Char"/>
          <w:rFonts w:ascii="仿宋" w:eastAsia="仿宋" w:hAnsi="仿宋"/>
          <w:bCs/>
          <w:color w:val="000000"/>
          <w:sz w:val="32"/>
          <w:szCs w:val="32"/>
        </w:rPr>
        <w:t>6.</w:t>
      </w:r>
      <w:r w:rsidRPr="00B41F27">
        <w:rPr>
          <w:rStyle w:val="Char"/>
          <w:rFonts w:ascii="仿宋" w:eastAsia="仿宋" w:hAnsi="仿宋" w:hint="eastAsia"/>
          <w:color w:val="000000"/>
          <w:sz w:val="32"/>
        </w:rPr>
        <w:t>卫生健康</w:t>
      </w:r>
      <w:r>
        <w:rPr>
          <w:rStyle w:val="Char"/>
          <w:rFonts w:ascii="仿宋" w:eastAsia="仿宋" w:hAnsi="仿宋" w:hint="eastAsia"/>
          <w:bCs/>
          <w:color w:val="000000"/>
          <w:sz w:val="32"/>
          <w:szCs w:val="32"/>
        </w:rPr>
        <w:t>（类）</w:t>
      </w:r>
      <w:r w:rsidR="009C4437">
        <w:rPr>
          <w:rStyle w:val="Char"/>
          <w:rFonts w:ascii="仿宋" w:eastAsia="仿宋" w:hAnsi="仿宋" w:hint="eastAsia"/>
          <w:bCs/>
          <w:color w:val="000000"/>
          <w:sz w:val="32"/>
          <w:szCs w:val="32"/>
        </w:rPr>
        <w:t>21011,21099</w:t>
      </w:r>
      <w:r>
        <w:rPr>
          <w:rStyle w:val="Char"/>
          <w:rFonts w:ascii="仿宋" w:eastAsia="仿宋" w:hAnsi="仿宋" w:hint="eastAsia"/>
          <w:bCs/>
          <w:color w:val="000000"/>
          <w:sz w:val="32"/>
          <w:szCs w:val="32"/>
        </w:rPr>
        <w:t>（款）</w:t>
      </w:r>
      <w:r w:rsidR="009C4437">
        <w:rPr>
          <w:rStyle w:val="Char"/>
          <w:rFonts w:ascii="仿宋" w:eastAsia="仿宋" w:hAnsi="仿宋" w:hint="eastAsia"/>
          <w:bCs/>
          <w:color w:val="000000"/>
          <w:sz w:val="32"/>
          <w:szCs w:val="32"/>
        </w:rPr>
        <w:t>2101102,2101103,2109901</w:t>
      </w:r>
      <w:r>
        <w:rPr>
          <w:rStyle w:val="Char"/>
          <w:rFonts w:ascii="仿宋" w:eastAsia="仿宋" w:hAnsi="仿宋" w:hint="eastAsia"/>
          <w:bCs/>
          <w:color w:val="000000"/>
          <w:sz w:val="32"/>
          <w:szCs w:val="32"/>
        </w:rPr>
        <w:t>（项）</w:t>
      </w:r>
      <w:r>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支出决算为</w:t>
      </w:r>
      <w:r w:rsidR="009C4437" w:rsidRPr="00B41F27">
        <w:rPr>
          <w:rStyle w:val="Char"/>
          <w:rFonts w:ascii="仿宋" w:eastAsia="仿宋" w:hAnsi="仿宋" w:hint="eastAsia"/>
          <w:bCs/>
          <w:color w:val="000000"/>
          <w:sz w:val="32"/>
          <w:szCs w:val="32"/>
        </w:rPr>
        <w:t>38.88</w:t>
      </w:r>
      <w:r w:rsidRPr="00B41F27">
        <w:rPr>
          <w:rStyle w:val="Char"/>
          <w:rFonts w:ascii="仿宋" w:eastAsia="仿宋" w:hAnsi="仿宋" w:hint="eastAsia"/>
          <w:bCs/>
          <w:color w:val="000000"/>
          <w:sz w:val="32"/>
          <w:szCs w:val="32"/>
        </w:rPr>
        <w:t>万元，完成预算</w:t>
      </w:r>
      <w:r w:rsidR="00D46B22">
        <w:rPr>
          <w:rStyle w:val="Char"/>
          <w:rFonts w:ascii="仿宋" w:eastAsia="仿宋" w:hAnsi="仿宋" w:hint="eastAsia"/>
          <w:bCs/>
          <w:color w:val="000000"/>
          <w:sz w:val="32"/>
          <w:szCs w:val="32"/>
        </w:rPr>
        <w:t>100</w:t>
      </w:r>
      <w:r w:rsidRPr="00B41F27">
        <w:rPr>
          <w:rStyle w:val="Char"/>
          <w:rFonts w:ascii="仿宋" w:eastAsia="仿宋" w:hAnsi="仿宋"/>
          <w:bCs/>
          <w:color w:val="000000"/>
          <w:sz w:val="32"/>
          <w:szCs w:val="32"/>
        </w:rPr>
        <w:t>%</w:t>
      </w:r>
      <w:r w:rsidRPr="00B41F27">
        <w:rPr>
          <w:rStyle w:val="Char"/>
          <w:rFonts w:ascii="仿宋" w:eastAsia="仿宋" w:hAnsi="仿宋" w:hint="eastAsia"/>
          <w:bCs/>
          <w:color w:val="000000"/>
          <w:sz w:val="32"/>
          <w:szCs w:val="32"/>
        </w:rPr>
        <w:t>，决算数</w:t>
      </w:r>
      <w:r w:rsidR="00D46B22" w:rsidRPr="00B41F27">
        <w:rPr>
          <w:rStyle w:val="Char"/>
          <w:rFonts w:ascii="仿宋" w:eastAsia="仿宋" w:hAnsi="仿宋" w:hint="eastAsia"/>
          <w:bCs/>
          <w:color w:val="000000"/>
          <w:sz w:val="32"/>
          <w:szCs w:val="32"/>
        </w:rPr>
        <w:t>等于</w:t>
      </w:r>
      <w:r w:rsidRPr="00B41F27">
        <w:rPr>
          <w:rStyle w:val="Char"/>
          <w:rFonts w:ascii="仿宋" w:eastAsia="仿宋" w:hAnsi="仿宋" w:hint="eastAsia"/>
          <w:bCs/>
          <w:color w:val="000000"/>
          <w:sz w:val="32"/>
          <w:szCs w:val="32"/>
        </w:rPr>
        <w:t>预算数的。</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sidRPr="00B41F27">
        <w:rPr>
          <w:rFonts w:ascii="黑体" w:eastAsia="黑体" w:hint="eastAsia"/>
          <w:color w:val="000000"/>
          <w:sz w:val="32"/>
          <w:szCs w:val="32"/>
        </w:rPr>
        <w:t>一般公共预算财政拨款基本支出决算情况说明</w:t>
      </w:r>
      <w:bookmarkEnd w:id="41"/>
      <w:bookmarkEnd w:id="42"/>
      <w:r>
        <w:rPr>
          <w:rFonts w:ascii="黑体" w:eastAsia="黑体" w:hAnsi="黑体"/>
          <w:b/>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4D74B2">
        <w:rPr>
          <w:rFonts w:ascii="仿宋" w:eastAsia="仿宋" w:hAnsi="仿宋" w:hint="eastAsia"/>
          <w:color w:val="000000"/>
          <w:sz w:val="32"/>
          <w:szCs w:val="32"/>
        </w:rPr>
        <w:t>750.89</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4D74B2">
        <w:rPr>
          <w:rFonts w:ascii="仿宋" w:eastAsia="仿宋" w:hAnsi="仿宋" w:hint="eastAsia"/>
          <w:color w:val="000000"/>
          <w:sz w:val="32"/>
          <w:szCs w:val="32"/>
        </w:rPr>
        <w:t>708.39</w:t>
      </w:r>
      <w:r>
        <w:rPr>
          <w:rFonts w:ascii="仿宋" w:eastAsia="仿宋" w:hAnsi="仿宋" w:hint="eastAsia"/>
          <w:color w:val="000000"/>
          <w:sz w:val="32"/>
          <w:szCs w:val="32"/>
        </w:rPr>
        <w:t>万元，主要包括：基本工资、津贴补贴、奖金、伙食补助费、绩效工资、机关事业单位基本养老</w:t>
      </w:r>
      <w:r>
        <w:rPr>
          <w:rFonts w:ascii="仿宋" w:eastAsia="仿宋" w:hAnsi="仿宋" w:hint="eastAsia"/>
          <w:color w:val="000000"/>
          <w:sz w:val="32"/>
          <w:szCs w:val="32"/>
        </w:rPr>
        <w:lastRenderedPageBreak/>
        <w:t>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4D74B2">
        <w:rPr>
          <w:rFonts w:ascii="仿宋" w:eastAsia="仿宋" w:hAnsi="仿宋" w:hint="eastAsia"/>
          <w:color w:val="000000"/>
          <w:sz w:val="32"/>
          <w:szCs w:val="32"/>
        </w:rPr>
        <w:t>42.49</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Pr="00B41F27" w:rsidRDefault="00204CDE">
      <w:pPr>
        <w:spacing w:line="600" w:lineRule="exact"/>
        <w:ind w:firstLine="640"/>
        <w:outlineLvl w:val="1"/>
        <w:rPr>
          <w:rFonts w:ascii="黑体" w:eastAsia="黑体"/>
          <w:color w:val="000000"/>
          <w:sz w:val="32"/>
          <w:szCs w:val="32"/>
        </w:rPr>
      </w:pPr>
      <w:bookmarkStart w:id="43" w:name="_Toc15396609"/>
      <w:bookmarkStart w:id="44" w:name="_Toc15377215"/>
      <w:r>
        <w:rPr>
          <w:rFonts w:ascii="黑体" w:eastAsia="黑体" w:hint="eastAsia"/>
          <w:color w:val="000000"/>
          <w:sz w:val="32"/>
          <w:szCs w:val="32"/>
        </w:rPr>
        <w:t>七、</w:t>
      </w:r>
      <w:r w:rsidRPr="00B41F27">
        <w:rPr>
          <w:rFonts w:ascii="黑体" w:eastAsia="黑体" w:hint="eastAsia"/>
          <w:color w:val="000000"/>
          <w:sz w:val="32"/>
          <w:szCs w:val="32"/>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4D74B2">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4D74B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4D74B2">
        <w:rPr>
          <w:rFonts w:ascii="仿宋" w:eastAsia="仿宋" w:hAnsi="仿宋" w:hint="eastAsia"/>
          <w:color w:val="000000"/>
          <w:sz w:val="32"/>
          <w:szCs w:val="32"/>
        </w:rPr>
        <w:t>0</w:t>
      </w:r>
      <w:r>
        <w:rPr>
          <w:rFonts w:ascii="仿宋" w:eastAsia="仿宋" w:hAnsi="仿宋" w:hint="eastAsia"/>
          <w:color w:val="000000"/>
          <w:sz w:val="32"/>
          <w:szCs w:val="32"/>
        </w:rPr>
        <w:t>万元，占</w:t>
      </w:r>
      <w:r w:rsidR="004D74B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4D74B2">
        <w:rPr>
          <w:rFonts w:ascii="仿宋" w:eastAsia="仿宋" w:hAnsi="仿宋" w:hint="eastAsia"/>
          <w:color w:val="000000"/>
          <w:sz w:val="32"/>
          <w:szCs w:val="32"/>
        </w:rPr>
        <w:t>0</w:t>
      </w:r>
      <w:r>
        <w:rPr>
          <w:rFonts w:ascii="仿宋" w:eastAsia="仿宋" w:hAnsi="仿宋" w:hint="eastAsia"/>
          <w:color w:val="000000"/>
          <w:sz w:val="32"/>
          <w:szCs w:val="32"/>
        </w:rPr>
        <w:t>万元，占</w:t>
      </w:r>
      <w:r w:rsidR="004D74B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4D74B2">
        <w:rPr>
          <w:rFonts w:ascii="仿宋" w:eastAsia="仿宋" w:hAnsi="仿宋" w:hint="eastAsia"/>
          <w:color w:val="000000"/>
          <w:sz w:val="32"/>
          <w:szCs w:val="32"/>
        </w:rPr>
        <w:t>0</w:t>
      </w:r>
      <w:r>
        <w:rPr>
          <w:rFonts w:ascii="仿宋" w:eastAsia="仿宋" w:hAnsi="仿宋" w:hint="eastAsia"/>
          <w:color w:val="000000"/>
          <w:sz w:val="32"/>
          <w:szCs w:val="32"/>
        </w:rPr>
        <w:t>万元，占</w:t>
      </w:r>
      <w:r w:rsidR="004D74B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lastRenderedPageBreak/>
        <w:t>1.</w:t>
      </w:r>
      <w:r>
        <w:rPr>
          <w:rFonts w:ascii="仿宋_GB2312" w:eastAsia="仿宋_GB2312" w:hint="eastAsia"/>
          <w:b/>
          <w:color w:val="000000"/>
          <w:sz w:val="32"/>
          <w:szCs w:val="32"/>
        </w:rPr>
        <w:t>因公出国（境）经费支出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Char"/>
          <w:rFonts w:ascii="仿宋" w:eastAsia="仿宋" w:hAnsi="仿宋" w:hint="eastAsia"/>
          <w:b/>
          <w:bCs/>
          <w:color w:val="000000"/>
          <w:sz w:val="32"/>
          <w:szCs w:val="32"/>
        </w:rPr>
        <w:t>完成预算</w:t>
      </w:r>
      <w:r w:rsidR="004D74B2">
        <w:rPr>
          <w:rStyle w:val="Char"/>
          <w:rFonts w:ascii="仿宋" w:eastAsia="仿宋" w:hAnsi="仿宋" w:hint="eastAsia"/>
          <w:b/>
          <w:bCs/>
          <w:color w:val="000000"/>
          <w:sz w:val="32"/>
          <w:szCs w:val="32"/>
        </w:rPr>
        <w:t>0</w:t>
      </w:r>
      <w:r>
        <w:rPr>
          <w:rStyle w:val="Char"/>
          <w:rFonts w:ascii="仿宋" w:eastAsia="仿宋" w:hAnsi="仿宋"/>
          <w:b/>
          <w:bCs/>
          <w:color w:val="000000"/>
          <w:sz w:val="32"/>
          <w:szCs w:val="32"/>
        </w:rPr>
        <w:t>%</w:t>
      </w:r>
      <w:r>
        <w:rPr>
          <w:rStyle w:val="Char"/>
          <w:rFonts w:ascii="仿宋" w:eastAsia="仿宋" w:hAnsi="仿宋" w:hint="eastAsia"/>
          <w:b/>
          <w:bCs/>
          <w:color w:val="000000"/>
          <w:sz w:val="32"/>
          <w:szCs w:val="32"/>
        </w:rPr>
        <w:t>。</w:t>
      </w:r>
      <w:r>
        <w:rPr>
          <w:rFonts w:ascii="仿宋_GB2312" w:eastAsia="仿宋_GB2312" w:hint="eastAsia"/>
          <w:color w:val="000000"/>
          <w:sz w:val="32"/>
          <w:szCs w:val="32"/>
        </w:rPr>
        <w:t>全年安排因公出国（境）团组</w:t>
      </w:r>
      <w:r w:rsidR="004D74B2">
        <w:rPr>
          <w:rFonts w:ascii="仿宋_GB2312" w:eastAsia="仿宋_GB2312" w:hint="eastAsia"/>
          <w:color w:val="000000"/>
          <w:sz w:val="32"/>
          <w:szCs w:val="32"/>
        </w:rPr>
        <w:t>0</w:t>
      </w:r>
      <w:r>
        <w:rPr>
          <w:rFonts w:ascii="仿宋_GB2312" w:eastAsia="仿宋_GB2312" w:hint="eastAsia"/>
          <w:color w:val="000000"/>
          <w:sz w:val="32"/>
          <w:szCs w:val="32"/>
        </w:rPr>
        <w:t>次，出国（境）</w:t>
      </w:r>
      <w:r w:rsidR="004D74B2">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4D74B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4D74B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Char"/>
          <w:rFonts w:ascii="仿宋" w:eastAsia="仿宋" w:hAnsi="仿宋" w:hint="eastAsia"/>
          <w:b/>
          <w:bCs/>
          <w:color w:val="000000"/>
          <w:sz w:val="32"/>
          <w:szCs w:val="32"/>
        </w:rPr>
        <w:t>完成预算</w:t>
      </w:r>
      <w:r w:rsidR="004D74B2">
        <w:rPr>
          <w:rStyle w:val="Char"/>
          <w:rFonts w:ascii="仿宋" w:eastAsia="仿宋" w:hAnsi="仿宋" w:hint="eastAsia"/>
          <w:b/>
          <w:bCs/>
          <w:color w:val="000000"/>
          <w:sz w:val="32"/>
          <w:szCs w:val="32"/>
        </w:rPr>
        <w:t>0</w:t>
      </w:r>
      <w:r>
        <w:rPr>
          <w:rStyle w:val="Char"/>
          <w:rFonts w:ascii="仿宋" w:eastAsia="仿宋" w:hAnsi="仿宋"/>
          <w:b/>
          <w:bCs/>
          <w:color w:val="000000"/>
          <w:sz w:val="32"/>
          <w:szCs w:val="32"/>
        </w:rPr>
        <w:t>%</w:t>
      </w:r>
      <w:r>
        <w:rPr>
          <w:rStyle w:val="Char"/>
          <w:rFonts w:ascii="仿宋" w:eastAsia="仿宋" w:hAnsi="仿宋" w:hint="eastAsia"/>
          <w:b/>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4D74B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4D74B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万元。全年按规定更新购置公务用车</w:t>
      </w:r>
      <w:r w:rsidR="004D74B2">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4D74B2">
        <w:rPr>
          <w:rFonts w:ascii="仿宋_GB2312" w:eastAsia="仿宋_GB2312" w:hint="eastAsia"/>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4D74B2">
        <w:rPr>
          <w:rFonts w:ascii="仿宋_GB2312" w:eastAsia="仿宋_GB2312" w:hint="eastAsia"/>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4D74B2">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4D74B2">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4D74B2">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4D74B2">
        <w:rPr>
          <w:rFonts w:ascii="仿宋_GB2312" w:eastAsia="仿宋_GB2312" w:hint="eastAsia"/>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Char"/>
          <w:rFonts w:ascii="仿宋" w:eastAsia="仿宋" w:hAnsi="仿宋" w:hint="eastAsia"/>
          <w:b/>
          <w:bCs/>
          <w:color w:val="000000"/>
          <w:sz w:val="32"/>
          <w:szCs w:val="32"/>
        </w:rPr>
        <w:t>完成预算</w:t>
      </w:r>
      <w:r w:rsidR="004D74B2">
        <w:rPr>
          <w:rStyle w:val="Char"/>
          <w:rFonts w:ascii="仿宋" w:eastAsia="仿宋" w:hAnsi="仿宋" w:hint="eastAsia"/>
          <w:b/>
          <w:bCs/>
          <w:color w:val="000000"/>
          <w:sz w:val="32"/>
          <w:szCs w:val="32"/>
        </w:rPr>
        <w:t>0</w:t>
      </w:r>
      <w:r>
        <w:rPr>
          <w:rStyle w:val="Char"/>
          <w:rFonts w:ascii="仿宋" w:eastAsia="仿宋" w:hAnsi="仿宋"/>
          <w:b/>
          <w:bCs/>
          <w:color w:val="000000"/>
          <w:sz w:val="32"/>
          <w:szCs w:val="32"/>
        </w:rPr>
        <w:t>%</w:t>
      </w:r>
      <w:r>
        <w:rPr>
          <w:rStyle w:val="Char"/>
          <w:rFonts w:ascii="仿宋" w:eastAsia="仿宋" w:hAnsi="仿宋" w:hint="eastAsia"/>
          <w:b/>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4D74B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4D74B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4D74B2">
        <w:rPr>
          <w:rFonts w:ascii="仿宋" w:eastAsia="仿宋" w:hAnsi="仿宋" w:hint="eastAsia"/>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4D74B2">
        <w:rPr>
          <w:rFonts w:ascii="仿宋_GB2312" w:eastAsia="仿宋_GB2312" w:hint="eastAsia"/>
          <w:color w:val="000000"/>
          <w:sz w:val="32"/>
          <w:szCs w:val="32"/>
        </w:rPr>
        <w:t>0</w:t>
      </w:r>
      <w:r>
        <w:rPr>
          <w:rFonts w:ascii="仿宋_GB2312" w:eastAsia="仿宋_GB2312" w:hint="eastAsia"/>
          <w:color w:val="000000"/>
          <w:sz w:val="32"/>
          <w:szCs w:val="32"/>
        </w:rPr>
        <w:t>批次，</w:t>
      </w:r>
      <w:r w:rsidR="004D74B2">
        <w:rPr>
          <w:rFonts w:ascii="仿宋_GB2312" w:eastAsia="仿宋_GB2312" w:hint="eastAsia"/>
          <w:color w:val="000000"/>
          <w:sz w:val="32"/>
          <w:szCs w:val="32"/>
        </w:rPr>
        <w:t>0</w:t>
      </w:r>
      <w:r>
        <w:rPr>
          <w:rFonts w:ascii="仿宋_GB2312" w:eastAsia="仿宋_GB2312" w:hint="eastAsia"/>
          <w:color w:val="000000"/>
          <w:sz w:val="32"/>
          <w:szCs w:val="32"/>
        </w:rPr>
        <w:t>人次（不包括陪同人员），共计支出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万元，具体内容包括：…（接待具体项目、金额）。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4D74B2">
        <w:rPr>
          <w:rFonts w:ascii="仿宋" w:eastAsia="仿宋" w:hAnsi="仿宋"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4D74B2">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sidR="004D74B2">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w:t>
      </w:r>
      <w:r>
        <w:rPr>
          <w:rFonts w:ascii="仿宋_GB2312" w:eastAsia="仿宋_GB2312" w:hint="eastAsia"/>
          <w:color w:val="000000" w:themeColor="text1"/>
          <w:sz w:val="32"/>
          <w:szCs w:val="32"/>
        </w:rPr>
        <w:lastRenderedPageBreak/>
        <w:t>出</w:t>
      </w:r>
      <w:r w:rsidR="004D74B2">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47" w:name="_Toc15396610"/>
      <w:bookmarkStart w:id="48" w:name="_Toc15377218"/>
    </w:p>
    <w:p w:rsidR="005B5C64" w:rsidRPr="00B41F27" w:rsidRDefault="00204CDE">
      <w:pPr>
        <w:spacing w:line="600" w:lineRule="exact"/>
        <w:ind w:firstLine="640"/>
        <w:outlineLvl w:val="1"/>
        <w:rPr>
          <w:rFonts w:ascii="黑体" w:eastAsia="黑体"/>
          <w:color w:val="000000"/>
          <w:sz w:val="32"/>
          <w:szCs w:val="32"/>
        </w:rPr>
      </w:pPr>
      <w:r>
        <w:rPr>
          <w:rFonts w:ascii="黑体" w:eastAsia="黑体" w:hint="eastAsia"/>
          <w:color w:val="000000"/>
          <w:sz w:val="32"/>
          <w:szCs w:val="32"/>
        </w:rPr>
        <w:t>八、</w:t>
      </w:r>
      <w:r w:rsidRPr="00B41F27">
        <w:rPr>
          <w:rFonts w:ascii="黑体" w:eastAsia="黑体" w:hint="eastAsia"/>
          <w:color w:val="000000"/>
          <w:sz w:val="32"/>
          <w:szCs w:val="32"/>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Pr="00B41F27" w:rsidRDefault="00204CDE">
      <w:pPr>
        <w:numPr>
          <w:ilvl w:val="0"/>
          <w:numId w:val="3"/>
        </w:numPr>
        <w:spacing w:line="600" w:lineRule="exact"/>
        <w:ind w:firstLine="640"/>
        <w:outlineLvl w:val="1"/>
        <w:rPr>
          <w:rFonts w:ascii="黑体" w:eastAsia="黑体"/>
          <w:color w:val="000000"/>
          <w:sz w:val="32"/>
          <w:szCs w:val="32"/>
        </w:rPr>
      </w:pPr>
      <w:bookmarkStart w:id="49" w:name="_Toc15377219"/>
      <w:bookmarkStart w:id="50" w:name="_Toc15396611"/>
      <w:r w:rsidRPr="00B41F27">
        <w:rPr>
          <w:rFonts w:ascii="黑体" w:eastAsia="黑体" w:hint="eastAsia"/>
          <w:color w:val="000000"/>
          <w:sz w:val="32"/>
          <w:szCs w:val="32"/>
        </w:rPr>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Pr="00B41F27" w:rsidRDefault="00204CDE">
      <w:pPr>
        <w:spacing w:line="600" w:lineRule="exact"/>
        <w:ind w:firstLineChars="250" w:firstLine="800"/>
        <w:outlineLvl w:val="1"/>
        <w:rPr>
          <w:rFonts w:ascii="黑体" w:eastAsia="黑体"/>
          <w:color w:val="000000"/>
          <w:sz w:val="32"/>
          <w:szCs w:val="32"/>
        </w:rPr>
      </w:pPr>
      <w:bookmarkStart w:id="51" w:name="_Toc15396612"/>
      <w:bookmarkStart w:id="52" w:name="_Toc15377221"/>
      <w:r>
        <w:rPr>
          <w:rFonts w:ascii="黑体" w:eastAsia="黑体" w:hAnsi="黑体" w:hint="eastAsia"/>
          <w:color w:val="000000"/>
          <w:sz w:val="32"/>
          <w:szCs w:val="32"/>
        </w:rPr>
        <w:t>十</w:t>
      </w:r>
      <w:r>
        <w:rPr>
          <w:rFonts w:ascii="黑体" w:eastAsia="黑体" w:hAnsi="黑体" w:hint="eastAsia"/>
        </w:rPr>
        <w:t>、</w:t>
      </w:r>
      <w:r w:rsidRPr="00B41F27">
        <w:rPr>
          <w:rFonts w:ascii="黑体" w:eastAsia="黑体" w:hint="eastAsia"/>
          <w:color w:val="000000"/>
          <w:sz w:val="32"/>
          <w:szCs w:val="32"/>
        </w:rPr>
        <w:t>其他重要事项的情况说明</w:t>
      </w:r>
      <w:bookmarkEnd w:id="51"/>
      <w:bookmarkEnd w:id="52"/>
    </w:p>
    <w:p w:rsidR="005B5C64" w:rsidRDefault="00204CDE">
      <w:pPr>
        <w:spacing w:line="600" w:lineRule="exact"/>
        <w:ind w:firstLineChars="200" w:firstLine="643"/>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机关运行经费支出</w:t>
      </w:r>
      <w:r w:rsidR="004D74B2">
        <w:rPr>
          <w:rFonts w:ascii="仿宋_GB2312" w:eastAsia="仿宋_GB2312" w:hint="eastAsia"/>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4D74B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4D74B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7B2279">
        <w:rPr>
          <w:rFonts w:ascii="仿宋_GB2312" w:eastAsia="仿宋_GB2312" w:hint="eastAsia"/>
          <w:color w:val="000000"/>
          <w:sz w:val="32"/>
          <w:szCs w:val="32"/>
        </w:rPr>
        <w:t>广汉市高坪中学</w:t>
      </w:r>
      <w:r>
        <w:rPr>
          <w:rFonts w:ascii="仿宋_GB2312" w:eastAsia="仿宋_GB2312" w:hint="eastAsia"/>
          <w:color w:val="000000"/>
          <w:sz w:val="32"/>
          <w:szCs w:val="32"/>
        </w:rPr>
        <w:t>政府采购支出总额</w:t>
      </w:r>
      <w:r w:rsidR="007B2279">
        <w:rPr>
          <w:rFonts w:ascii="仿宋_GB2312" w:eastAsia="仿宋_GB2312" w:hint="eastAsia"/>
          <w:color w:val="000000"/>
          <w:sz w:val="32"/>
          <w:szCs w:val="32"/>
        </w:rPr>
        <w:t>0</w:t>
      </w:r>
      <w:r>
        <w:rPr>
          <w:rFonts w:ascii="仿宋_GB2312" w:eastAsia="仿宋_GB2312" w:hint="eastAsia"/>
          <w:color w:val="000000"/>
          <w:sz w:val="32"/>
          <w:szCs w:val="32"/>
        </w:rPr>
        <w:t>万元，其中：政府采购货物支出</w:t>
      </w:r>
      <w:r w:rsidR="007B2279">
        <w:rPr>
          <w:rFonts w:ascii="仿宋_GB2312" w:eastAsia="仿宋_GB2312" w:hint="eastAsia"/>
          <w:color w:val="000000"/>
          <w:sz w:val="32"/>
          <w:szCs w:val="32"/>
        </w:rPr>
        <w:t>0</w:t>
      </w:r>
      <w:r>
        <w:rPr>
          <w:rFonts w:ascii="仿宋_GB2312" w:eastAsia="仿宋_GB2312" w:hint="eastAsia"/>
          <w:color w:val="000000"/>
          <w:sz w:val="32"/>
          <w:szCs w:val="32"/>
        </w:rPr>
        <w:t>万元、政府采购工程支出</w:t>
      </w:r>
      <w:r w:rsidR="007B2279">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7B2279">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sidR="007B2279">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7B2279">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7B2279">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7B2279">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7B2279">
        <w:rPr>
          <w:rFonts w:ascii="仿宋_GB2312" w:eastAsia="仿宋_GB2312" w:hint="eastAsia"/>
          <w:color w:val="000000"/>
          <w:sz w:val="32"/>
          <w:szCs w:val="32"/>
        </w:rPr>
        <w:t>广汉市高坪中学</w:t>
      </w:r>
      <w:r>
        <w:rPr>
          <w:rFonts w:ascii="仿宋_GB2312" w:eastAsia="仿宋_GB2312" w:hint="eastAsia"/>
          <w:color w:val="000000"/>
          <w:sz w:val="32"/>
          <w:szCs w:val="32"/>
        </w:rPr>
        <w:t>共有车辆</w:t>
      </w:r>
      <w:r w:rsidR="007B2279">
        <w:rPr>
          <w:rFonts w:ascii="仿宋_GB2312" w:eastAsia="仿宋_GB2312" w:hint="eastAsia"/>
          <w:color w:val="000000"/>
          <w:sz w:val="32"/>
          <w:szCs w:val="32"/>
        </w:rPr>
        <w:t>0</w:t>
      </w:r>
      <w:r>
        <w:rPr>
          <w:rFonts w:ascii="仿宋_GB2312" w:eastAsia="仿宋_GB2312" w:hint="eastAsia"/>
          <w:color w:val="000000"/>
          <w:sz w:val="32"/>
          <w:szCs w:val="32"/>
        </w:rPr>
        <w:t>辆，</w:t>
      </w:r>
      <w:r>
        <w:rPr>
          <w:rFonts w:ascii="仿宋_GB2312" w:eastAsia="仿宋_GB2312" w:hint="eastAsia"/>
          <w:color w:val="000000"/>
          <w:sz w:val="32"/>
          <w:szCs w:val="32"/>
        </w:rPr>
        <w:lastRenderedPageBreak/>
        <w:t>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7B2279">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7B2279">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7B2279">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7B2279">
        <w:rPr>
          <w:rFonts w:ascii="仿宋_GB2312" w:eastAsia="仿宋_GB2312" w:hint="eastAsia"/>
          <w:color w:val="000000"/>
          <w:sz w:val="32"/>
          <w:szCs w:val="32"/>
        </w:rPr>
        <w:t>0</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7B2279">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4D0DB1">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“XXXXX”等X个项目绩效目标实际完成情况。（本单位部门项目绩效目标个数在5个以上的，选取5个项目进行公开，目标个数在5个以下的，全部进行公开，公开内容包括选取</w:t>
      </w:r>
      <w:r>
        <w:rPr>
          <w:rFonts w:ascii="仿宋_GB2312" w:eastAsia="仿宋_GB2312" w:hAnsi="仿宋_GB2312" w:cs="仿宋_GB2312" w:hint="eastAsia"/>
          <w:sz w:val="32"/>
          <w:szCs w:val="32"/>
        </w:rPr>
        <w:lastRenderedPageBreak/>
        <w:t>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B41F27" w:rsidRDefault="00B41F27" w:rsidP="002A31DE">
      <w:pPr>
        <w:spacing w:line="580" w:lineRule="exact"/>
        <w:ind w:firstLineChars="200" w:firstLine="640"/>
        <w:rPr>
          <w:rFonts w:ascii="仿宋_GB2312" w:eastAsia="仿宋_GB2312" w:hAnsi="仿宋_GB2312" w:cs="仿宋_GB2312"/>
          <w:sz w:val="32"/>
          <w:szCs w:val="32"/>
        </w:rPr>
      </w:pPr>
    </w:p>
    <w:p w:rsidR="00B41F27" w:rsidRDefault="00B41F27"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4D74B2">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lastRenderedPageBreak/>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4D74B2">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jc w:val="center"/>
              <w:rPr>
                <w:rFonts w:ascii="宋体" w:hAnsi="宋体" w:cs="宋体"/>
                <w:color w:val="000000"/>
                <w:sz w:val="24"/>
              </w:rPr>
            </w:pPr>
          </w:p>
        </w:tc>
      </w:tr>
      <w:tr w:rsidR="002A31DE" w:rsidTr="004D74B2">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4D74B2">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4D74B2">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r w:rsidR="002A31DE" w:rsidTr="004D74B2">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4D74B2">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913861" w:rsidRDefault="00833962" w:rsidP="00913861">
      <w:pPr>
        <w:numPr>
          <w:ilvl w:val="0"/>
          <w:numId w:val="5"/>
        </w:numPr>
        <w:spacing w:line="600" w:lineRule="exact"/>
        <w:ind w:firstLineChars="150" w:firstLine="660"/>
        <w:jc w:val="center"/>
        <w:outlineLvl w:val="0"/>
        <w:rPr>
          <w:rFonts w:ascii="黑体" w:eastAsia="黑体" w:hAnsi="黑体"/>
          <w:color w:val="000000"/>
          <w:sz w:val="44"/>
          <w:szCs w:val="44"/>
        </w:rPr>
      </w:pPr>
      <w:bookmarkStart w:id="56" w:name="_Toc15396613"/>
      <w:bookmarkStart w:id="57" w:name="_Toc15377225"/>
      <w:r w:rsidRPr="00833962">
        <w:rPr>
          <w:rFonts w:ascii="黑体" w:eastAsia="黑体" w:hAnsi="黑体" w:hint="eastAsia"/>
          <w:color w:val="000000"/>
          <w:sz w:val="44"/>
          <w:szCs w:val="44"/>
        </w:rPr>
        <w:lastRenderedPageBreak/>
        <w:t>名</w:t>
      </w:r>
      <w:r w:rsidR="00204CDE" w:rsidRPr="00B41F27">
        <w:rPr>
          <w:rFonts w:ascii="黑体" w:eastAsia="黑体" w:hAnsi="黑体" w:hint="eastAsia"/>
          <w:color w:val="000000"/>
          <w:sz w:val="44"/>
          <w:szCs w:val="44"/>
        </w:rPr>
        <w:t>词解释</w:t>
      </w:r>
      <w:bookmarkEnd w:id="56"/>
      <w:bookmarkEnd w:id="57"/>
    </w:p>
    <w:p w:rsidR="00913861" w:rsidRDefault="00204CDE" w:rsidP="00913861">
      <w:pPr>
        <w:spacing w:line="600" w:lineRule="exact"/>
        <w:ind w:left="660"/>
        <w:outlineLvl w:val="0"/>
        <w:rPr>
          <w:rFonts w:ascii="仿宋_GB2312" w:eastAsia="仿宋_GB2312"/>
          <w:color w:val="000000"/>
          <w:sz w:val="32"/>
          <w:szCs w:val="32"/>
        </w:rPr>
      </w:pPr>
      <w:r w:rsidRPr="00913861">
        <w:rPr>
          <w:rFonts w:ascii="仿宋_GB2312" w:eastAsia="仿宋_GB2312"/>
          <w:color w:val="000000"/>
          <w:sz w:val="32"/>
          <w:szCs w:val="32"/>
        </w:rPr>
        <w:t>1.</w:t>
      </w:r>
      <w:r w:rsidRPr="00913861">
        <w:rPr>
          <w:rFonts w:ascii="仿宋_GB2312" w:eastAsia="仿宋_GB2312" w:hint="eastAsia"/>
          <w:color w:val="000000"/>
          <w:sz w:val="32"/>
          <w:szCs w:val="32"/>
        </w:rPr>
        <w:t>财政拨款收入：指单位从同级财政部门取得的财政预算资金。</w:t>
      </w:r>
    </w:p>
    <w:p w:rsidR="00913861" w:rsidRPr="005E0BA4" w:rsidRDefault="00204CDE" w:rsidP="00913861">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2.</w:t>
      </w:r>
      <w:r w:rsidRPr="005E0BA4">
        <w:rPr>
          <w:rFonts w:ascii="仿宋_GB2312" w:eastAsia="仿宋_GB2312" w:hint="eastAsia"/>
          <w:color w:val="000000"/>
          <w:sz w:val="32"/>
          <w:szCs w:val="32"/>
        </w:rPr>
        <w:t>事业收入：指事业单位开展专业业务活动及辅助活动取得的收入。如…（二级预算单位事业收入情况）等。</w:t>
      </w:r>
      <w:r w:rsidRPr="005E0BA4">
        <w:rPr>
          <w:rFonts w:ascii="仿宋_GB2312" w:eastAsia="仿宋_GB2312"/>
          <w:color w:val="000000"/>
          <w:sz w:val="32"/>
          <w:szCs w:val="32"/>
        </w:rPr>
        <w:t>3.</w:t>
      </w:r>
      <w:r w:rsidRPr="005E0BA4">
        <w:rPr>
          <w:rFonts w:ascii="仿宋_GB2312" w:eastAsia="仿宋_GB2312" w:hint="eastAsia"/>
          <w:color w:val="000000"/>
          <w:sz w:val="32"/>
          <w:szCs w:val="32"/>
        </w:rPr>
        <w:t>经营收入：指事业单位在专业业务活动及其辅助活动之外开展非独立核算经营活动取得的收入。如…（二级预算单位经营收入情况）等。</w:t>
      </w:r>
    </w:p>
    <w:p w:rsidR="00913861" w:rsidRPr="005E0BA4" w:rsidRDefault="00204CDE" w:rsidP="00913861">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4.</w:t>
      </w:r>
      <w:r w:rsidR="00BA01A5">
        <w:rPr>
          <w:rFonts w:ascii="仿宋_GB2312" w:eastAsia="仿宋_GB2312" w:hint="eastAsia"/>
          <w:color w:val="000000"/>
          <w:sz w:val="32"/>
          <w:szCs w:val="32"/>
        </w:rPr>
        <w:t>其他收入：指单位取得的除上述收入以外的各项收入。主要是课后服务</w:t>
      </w:r>
      <w:r w:rsidRPr="005E0BA4">
        <w:rPr>
          <w:rFonts w:ascii="仿宋_GB2312" w:eastAsia="仿宋_GB2312" w:hint="eastAsia"/>
          <w:color w:val="000000"/>
          <w:sz w:val="32"/>
          <w:szCs w:val="32"/>
        </w:rPr>
        <w:t>（收入类型）等。</w:t>
      </w:r>
      <w:r w:rsidRPr="005E0BA4">
        <w:rPr>
          <w:rFonts w:ascii="仿宋_GB2312" w:eastAsia="仿宋_GB2312"/>
          <w:color w:val="000000"/>
          <w:sz w:val="32"/>
          <w:szCs w:val="32"/>
        </w:rPr>
        <w:t xml:space="preserve"> </w:t>
      </w:r>
    </w:p>
    <w:p w:rsidR="00913861" w:rsidRPr="005E0BA4" w:rsidRDefault="00204CDE" w:rsidP="00913861">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5.</w:t>
      </w:r>
      <w:r w:rsidRPr="005E0BA4">
        <w:rPr>
          <w:rFonts w:ascii="仿宋_GB2312" w:eastAsia="仿宋_GB2312" w:hint="eastAsia"/>
          <w:color w:val="000000"/>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5E0BA4">
        <w:rPr>
          <w:rFonts w:ascii="仿宋_GB2312" w:eastAsia="仿宋_GB2312"/>
          <w:color w:val="000000"/>
          <w:sz w:val="32"/>
          <w:szCs w:val="32"/>
        </w:rPr>
        <w:t xml:space="preserve"> </w:t>
      </w:r>
    </w:p>
    <w:p w:rsidR="005E0BA4" w:rsidRPr="005E0BA4" w:rsidRDefault="00204CDE" w:rsidP="005E0BA4">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6.</w:t>
      </w:r>
      <w:r w:rsidRPr="005E0BA4">
        <w:rPr>
          <w:rFonts w:ascii="仿宋_GB2312" w:eastAsia="仿宋_GB2312" w:hint="eastAsia"/>
          <w:color w:val="000000"/>
          <w:sz w:val="32"/>
          <w:szCs w:val="32"/>
        </w:rPr>
        <w:t>年初结转和结余：指以前年度尚未完成、结转到本年按有关规定继续使用的资金。</w:t>
      </w:r>
      <w:r w:rsidRPr="005E0BA4">
        <w:rPr>
          <w:rFonts w:ascii="仿宋_GB2312" w:eastAsia="仿宋_GB2312"/>
          <w:color w:val="000000"/>
          <w:sz w:val="32"/>
          <w:szCs w:val="32"/>
        </w:rPr>
        <w:t xml:space="preserve"> </w:t>
      </w:r>
    </w:p>
    <w:p w:rsidR="005E0BA4" w:rsidRPr="005E0BA4" w:rsidRDefault="00204CDE" w:rsidP="005E0BA4">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7.</w:t>
      </w:r>
      <w:r w:rsidRPr="005E0BA4">
        <w:rPr>
          <w:rFonts w:ascii="仿宋_GB2312" w:eastAsia="仿宋_GB2312" w:hint="eastAsia"/>
          <w:color w:val="000000"/>
          <w:sz w:val="32"/>
          <w:szCs w:val="32"/>
        </w:rPr>
        <w:t>结余分配：指事业单位按照事业单位会计制度的规定从非财政补助结余中分配的事业基金和职工福利基金等。</w:t>
      </w:r>
    </w:p>
    <w:p w:rsidR="005B5C64" w:rsidRPr="005E0BA4" w:rsidRDefault="00204CDE" w:rsidP="005E0BA4">
      <w:pPr>
        <w:spacing w:line="600" w:lineRule="exact"/>
        <w:ind w:left="660"/>
        <w:outlineLvl w:val="0"/>
        <w:rPr>
          <w:rFonts w:ascii="仿宋_GB2312" w:eastAsia="仿宋_GB2312"/>
          <w:color w:val="000000"/>
          <w:sz w:val="32"/>
          <w:szCs w:val="32"/>
        </w:rPr>
      </w:pPr>
      <w:r w:rsidRPr="005E0BA4">
        <w:rPr>
          <w:rFonts w:ascii="仿宋_GB2312" w:eastAsia="仿宋_GB2312"/>
          <w:color w:val="000000"/>
          <w:sz w:val="32"/>
          <w:szCs w:val="32"/>
        </w:rPr>
        <w:t>8</w:t>
      </w:r>
      <w:r w:rsidRPr="005E0BA4">
        <w:rPr>
          <w:rFonts w:ascii="仿宋_GB2312" w:eastAsia="仿宋_GB2312" w:hint="eastAsia"/>
          <w:color w:val="000000"/>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w:t>
      </w:r>
      <w:r w:rsidR="00BA01A5">
        <w:rPr>
          <w:rFonts w:ascii="仿宋_GB2312" w:eastAsia="仿宋_GB2312" w:hint="eastAsia"/>
          <w:color w:val="000000"/>
          <w:sz w:val="32"/>
          <w:szCs w:val="32"/>
        </w:rPr>
        <w:t>20502，20504</w:t>
      </w:r>
      <w:r>
        <w:rPr>
          <w:rFonts w:ascii="仿宋_GB2312" w:eastAsia="仿宋_GB2312" w:hint="eastAsia"/>
          <w:color w:val="000000"/>
          <w:sz w:val="32"/>
          <w:szCs w:val="32"/>
        </w:rPr>
        <w:t>（款）</w:t>
      </w:r>
      <w:r w:rsidR="00BA01A5">
        <w:rPr>
          <w:rFonts w:ascii="仿宋_GB2312" w:eastAsia="仿宋_GB2312" w:hint="eastAsia"/>
          <w:color w:val="000000"/>
          <w:sz w:val="32"/>
          <w:szCs w:val="32"/>
        </w:rPr>
        <w:t>2050203，2050401（项）：指初中教育，成人初等教育</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w:t>
      </w:r>
      <w:r w:rsidR="00BA01A5">
        <w:rPr>
          <w:rFonts w:ascii="仿宋_GB2312" w:eastAsia="仿宋_GB2312" w:hint="eastAsia"/>
          <w:color w:val="000000"/>
          <w:sz w:val="32"/>
          <w:szCs w:val="32"/>
        </w:rPr>
        <w:t>20805</w:t>
      </w:r>
      <w:r>
        <w:rPr>
          <w:rFonts w:ascii="仿宋_GB2312" w:eastAsia="仿宋_GB2312" w:hint="eastAsia"/>
          <w:color w:val="000000"/>
          <w:sz w:val="32"/>
          <w:szCs w:val="32"/>
        </w:rPr>
        <w:t>（款）</w:t>
      </w:r>
      <w:r w:rsidR="00BA01A5">
        <w:rPr>
          <w:rFonts w:ascii="仿宋_GB2312" w:eastAsia="仿宋_GB2312" w:hint="eastAsia"/>
          <w:color w:val="000000"/>
          <w:sz w:val="32"/>
          <w:szCs w:val="32"/>
        </w:rPr>
        <w:t>2080502，2080505，2080506</w:t>
      </w:r>
      <w:r w:rsidR="006C2341">
        <w:rPr>
          <w:rFonts w:ascii="仿宋_GB2312" w:eastAsia="仿宋_GB2312" w:hint="eastAsia"/>
          <w:color w:val="000000"/>
          <w:sz w:val="32"/>
          <w:szCs w:val="32"/>
        </w:rPr>
        <w:t>（项）：指事业单位离退休，机关事业单位基本养老保险缴费支出，机关事业单位职业年金缴费支出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sidR="006C2341">
        <w:rPr>
          <w:rFonts w:ascii="仿宋_GB2312" w:eastAsia="仿宋_GB2312" w:hint="eastAsia"/>
          <w:color w:val="000000"/>
          <w:sz w:val="32"/>
          <w:szCs w:val="32"/>
        </w:rPr>
        <w:t>医疗卫生与计划生育（类）21011，21099</w:t>
      </w:r>
      <w:r>
        <w:rPr>
          <w:rFonts w:ascii="仿宋_GB2312" w:eastAsia="仿宋_GB2312" w:hint="eastAsia"/>
          <w:color w:val="000000"/>
          <w:sz w:val="32"/>
          <w:szCs w:val="32"/>
        </w:rPr>
        <w:t>（款）…</w:t>
      </w:r>
      <w:r w:rsidR="006C2341">
        <w:rPr>
          <w:rFonts w:ascii="仿宋_GB2312" w:eastAsia="仿宋_GB2312" w:hint="eastAsia"/>
          <w:color w:val="000000"/>
          <w:sz w:val="32"/>
          <w:szCs w:val="32"/>
        </w:rPr>
        <w:t>2101102，2101103，2109901（项）：指事业单位医疗，公务员医疗补助，其他卫生健康支出</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w:t>
      </w:r>
      <w:r w:rsidR="006C2341">
        <w:rPr>
          <w:rFonts w:ascii="仿宋_GB2312" w:eastAsia="仿宋_GB2312" w:hint="eastAsia"/>
          <w:color w:val="000000"/>
          <w:sz w:val="32"/>
          <w:szCs w:val="32"/>
        </w:rPr>
        <w:t>（类）22102（款）2210201（项）：指住房公积金</w:t>
      </w: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rsidP="00912338">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912338" w:rsidRDefault="00204CDE" w:rsidP="00912338">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912338" w:rsidRDefault="00204CDE" w:rsidP="00912338">
      <w:pPr>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912338" w:rsidRDefault="00204CDE" w:rsidP="00912338">
      <w:pPr>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w:t>
      </w:r>
      <w:r>
        <w:rPr>
          <w:rFonts w:ascii="仿宋_GB2312" w:eastAsia="仿宋_GB2312" w:hint="eastAsia"/>
          <w:sz w:val="32"/>
          <w:szCs w:val="32"/>
        </w:rPr>
        <w:lastRenderedPageBreak/>
        <w:t>维修费、专用材料及一般设备购置费、办公用房水电费、办公用房取暖费、办公用房物业管理费、公务用车运行维护费以及其他费用。</w:t>
      </w:r>
    </w:p>
    <w:p w:rsidR="00912338" w:rsidRDefault="00204CDE" w:rsidP="00912338">
      <w:pPr>
        <w:ind w:firstLineChars="200" w:firstLine="640"/>
        <w:rPr>
          <w:rFonts w:ascii="仿宋_GB2312" w:eastAsia="仿宋_GB2312"/>
          <w:color w:val="000000"/>
          <w:sz w:val="32"/>
          <w:szCs w:val="32"/>
        </w:rPr>
      </w:pPr>
      <w:r>
        <w:rPr>
          <w:rFonts w:ascii="仿宋_GB2312" w:eastAsia="仿宋_GB2312"/>
          <w:sz w:val="32"/>
          <w:szCs w:val="32"/>
        </w:rPr>
        <w:t>32.</w:t>
      </w:r>
      <w:r>
        <w:rPr>
          <w:rFonts w:ascii="仿宋_GB2312" w:eastAsia="仿宋_GB2312" w:hint="eastAsia"/>
          <w:sz w:val="32"/>
          <w:szCs w:val="32"/>
        </w:rPr>
        <w:t>……。</w:t>
      </w:r>
    </w:p>
    <w:p w:rsidR="005B5C64" w:rsidRPr="00912338" w:rsidRDefault="00204CDE" w:rsidP="00912338">
      <w:pPr>
        <w:ind w:firstLineChars="200" w:firstLine="643"/>
        <w:rPr>
          <w:rFonts w:ascii="仿宋_GB2312" w:eastAsia="仿宋_GB2312"/>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Fonts w:ascii="黑体" w:eastAsia="黑体" w:hAnsi="黑体"/>
          <w:b/>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sidRPr="00912338">
        <w:rPr>
          <w:rFonts w:ascii="黑体" w:eastAsia="黑体" w:hAnsi="黑体" w:hint="eastAsia"/>
          <w:color w:val="000000"/>
          <w:sz w:val="44"/>
          <w:szCs w:val="44"/>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包括部门绩效目标制定、目标实现、预算编制准确、支出控制、预算动态调整、执行进度、预算完成情况和违规记录等情况。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包括绩效自评公开、评价结果整改和应用结果反馈等情况。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（二）存在问题。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lastRenderedPageBreak/>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w:t>
      </w:r>
      <w:r>
        <w:rPr>
          <w:rFonts w:ascii="仿宋_GB2312" w:eastAsia="仿宋_GB2312" w:hAnsi="宋体" w:hint="eastAsia"/>
          <w:sz w:val="32"/>
          <w:szCs w:val="32"/>
          <w:lang w:val="zh-CN"/>
        </w:rPr>
        <w:lastRenderedPageBreak/>
        <w:t>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lastRenderedPageBreak/>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Fonts w:ascii="黑体" w:eastAsia="黑体" w:hAnsi="黑体"/>
          <w:b/>
        </w:rPr>
      </w:pPr>
    </w:p>
    <w:p w:rsidR="00F2408F" w:rsidRDefault="00F2408F">
      <w:pPr>
        <w:widowControl/>
        <w:jc w:val="left"/>
        <w:rPr>
          <w:rFonts w:ascii="黑体" w:eastAsia="黑体" w:hAnsi="黑体"/>
          <w:b/>
        </w:rPr>
      </w:pPr>
      <w:r>
        <w:rPr>
          <w:rFonts w:ascii="黑体" w:eastAsia="黑体" w:hAnsi="黑体"/>
          <w:b/>
        </w:rPr>
        <w:br w:type="page"/>
      </w:r>
    </w:p>
    <w:p w:rsidR="005B5C64" w:rsidRDefault="005B5C64">
      <w:pPr>
        <w:spacing w:line="600" w:lineRule="exact"/>
        <w:jc w:val="center"/>
        <w:outlineLvl w:val="0"/>
        <w:rPr>
          <w:rFonts w:ascii="黑体" w:eastAsia="黑体" w:hAnsi="黑体"/>
          <w:b/>
        </w:rPr>
      </w:pPr>
    </w:p>
    <w:p w:rsidR="005B5C64" w:rsidRPr="00912338" w:rsidRDefault="00204CDE">
      <w:pPr>
        <w:spacing w:line="600" w:lineRule="exact"/>
        <w:jc w:val="center"/>
        <w:outlineLvl w:val="0"/>
        <w:rPr>
          <w:rFonts w:ascii="黑体" w:eastAsia="黑体" w:hAnsi="黑体"/>
          <w:color w:val="000000"/>
          <w:sz w:val="44"/>
          <w:szCs w:val="44"/>
        </w:rPr>
      </w:pPr>
      <w:bookmarkStart w:id="60" w:name="_Toc15396618"/>
      <w:r>
        <w:rPr>
          <w:rFonts w:ascii="黑体" w:eastAsia="黑体" w:hAnsi="黑体" w:hint="eastAsia"/>
          <w:color w:val="000000"/>
          <w:sz w:val="44"/>
          <w:szCs w:val="44"/>
        </w:rPr>
        <w:t>第</w:t>
      </w:r>
      <w:r w:rsidRPr="00912338">
        <w:rPr>
          <w:rFonts w:ascii="黑体" w:eastAsia="黑体" w:hAnsi="黑体" w:hint="eastAsia"/>
          <w:color w:val="000000"/>
          <w:sz w:val="44"/>
          <w:szCs w:val="44"/>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Fonts w:ascii="仿宋" w:eastAsia="仿宋" w:hAnsi="仿宋" w:hint="eastAsia"/>
        </w:rPr>
        <w:t>入</w:t>
      </w:r>
      <w:r w:rsidR="00E853CE">
        <w:rPr>
          <w:rFonts w:ascii="仿宋" w:eastAsia="仿宋" w:hAnsi="仿宋" w:hint="eastAsia"/>
        </w:rPr>
        <w:t>决算</w:t>
      </w:r>
      <w:r>
        <w:rP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Fonts w:ascii="仿宋" w:eastAsia="仿宋" w:hAnsi="仿宋" w:hint="eastAsia"/>
        </w:rPr>
        <w:t>三、</w:t>
      </w:r>
      <w:r>
        <w:rPr>
          <w:rFonts w:ascii="仿宋" w:eastAsia="仿宋" w:hAnsi="仿宋" w:hint="eastAsia"/>
          <w:b w:val="0"/>
          <w:color w:val="000000"/>
        </w:rPr>
        <w:t>支</w:t>
      </w:r>
      <w:r>
        <w:rPr>
          <w:rFonts w:ascii="仿宋" w:eastAsia="仿宋" w:hAnsi="仿宋" w:hint="eastAsia"/>
        </w:rPr>
        <w:t>出</w:t>
      </w:r>
      <w:r w:rsidR="00E853CE">
        <w:rPr>
          <w:rFonts w:ascii="仿宋" w:eastAsia="仿宋" w:hAnsi="仿宋" w:hint="eastAsia"/>
        </w:rPr>
        <w:t>决算</w:t>
      </w:r>
      <w:r>
        <w:rP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Fonts w:ascii="仿宋" w:eastAsia="仿宋" w:hAnsi="仿宋" w:hint="eastAsia"/>
        </w:rPr>
        <w:t>四、</w:t>
      </w:r>
      <w:r>
        <w:rPr>
          <w:rFonts w:ascii="仿宋" w:eastAsia="仿宋" w:hAnsi="仿宋" w:hint="eastAsia"/>
          <w:b w:val="0"/>
          <w:color w:val="000000"/>
        </w:rPr>
        <w:t>财</w:t>
      </w:r>
      <w:r>
        <w:rPr>
          <w:rFonts w:ascii="仿宋" w:eastAsia="仿宋" w:hAnsi="仿宋" w:hint="eastAsia"/>
        </w:rPr>
        <w:t>政拨款收入支出决算总表</w:t>
      </w:r>
      <w:bookmarkEnd w:id="64"/>
    </w:p>
    <w:p w:rsidR="007D1682" w:rsidRDefault="00204CDE">
      <w:pPr>
        <w:pStyle w:val="2"/>
        <w:rPr>
          <w:rFonts w:ascii="仿宋" w:eastAsia="仿宋" w:hAnsi="仿宋"/>
        </w:rPr>
      </w:pPr>
      <w:bookmarkStart w:id="65" w:name="_Toc15396623"/>
      <w:r>
        <w:rPr>
          <w:rFonts w:ascii="仿宋" w:eastAsia="仿宋" w:hAnsi="仿宋" w:hint="eastAsia"/>
        </w:rPr>
        <w:t>五、</w:t>
      </w:r>
      <w:r>
        <w:rPr>
          <w:rFonts w:ascii="仿宋" w:eastAsia="仿宋" w:hAnsi="仿宋" w:hint="eastAsia"/>
          <w:b w:val="0"/>
          <w:color w:val="000000"/>
        </w:rPr>
        <w:t>财</w:t>
      </w:r>
      <w:r>
        <w:rP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Fonts w:ascii="仿宋" w:eastAsia="仿宋" w:hAnsi="仿宋" w:hint="eastAsia"/>
        </w:rPr>
        <w:t>六、</w:t>
      </w:r>
      <w:r>
        <w:rPr>
          <w:rFonts w:ascii="仿宋" w:eastAsia="仿宋" w:hAnsi="仿宋" w:hint="eastAsia"/>
          <w:b w:val="0"/>
          <w:color w:val="000000"/>
        </w:rPr>
        <w:t>一</w:t>
      </w:r>
      <w:r>
        <w:rP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Fonts w:ascii="仿宋" w:eastAsia="仿宋" w:hAnsi="仿宋" w:hint="eastAsia"/>
        </w:rPr>
        <w:t>七、</w:t>
      </w:r>
      <w:r>
        <w:rPr>
          <w:rFonts w:ascii="仿宋" w:eastAsia="仿宋" w:hAnsi="仿宋" w:hint="eastAsia"/>
          <w:b w:val="0"/>
          <w:color w:val="000000"/>
        </w:rPr>
        <w:t>一</w:t>
      </w:r>
      <w:r>
        <w:rP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Fonts w:ascii="仿宋" w:eastAsia="仿宋" w:hAnsi="仿宋" w:hint="eastAsia"/>
        </w:rPr>
        <w:t>八、</w:t>
      </w:r>
      <w:r>
        <w:rPr>
          <w:rFonts w:ascii="仿宋" w:eastAsia="仿宋" w:hAnsi="仿宋" w:hint="eastAsia"/>
          <w:b w:val="0"/>
          <w:color w:val="000000"/>
        </w:rPr>
        <w:t>一</w:t>
      </w:r>
      <w:r>
        <w:rP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Fonts w:ascii="仿宋" w:eastAsia="仿宋" w:hAnsi="仿宋" w:hint="eastAsia"/>
        </w:rPr>
        <w:t>九、</w:t>
      </w:r>
      <w:r>
        <w:rPr>
          <w:rFonts w:ascii="仿宋" w:eastAsia="仿宋" w:hAnsi="仿宋" w:hint="eastAsia"/>
          <w:b w:val="0"/>
          <w:color w:val="000000"/>
        </w:rPr>
        <w:t>一</w:t>
      </w:r>
      <w:r>
        <w:rP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Fonts w:ascii="仿宋" w:eastAsia="仿宋" w:hAnsi="仿宋" w:hint="eastAsia"/>
        </w:rPr>
        <w:t>十、</w:t>
      </w:r>
      <w:r>
        <w:rPr>
          <w:rFonts w:ascii="仿宋" w:eastAsia="仿宋" w:hAnsi="仿宋" w:hint="eastAsia"/>
          <w:b w:val="0"/>
          <w:color w:val="000000"/>
        </w:rPr>
        <w:t>一</w:t>
      </w:r>
      <w:r>
        <w:rP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Fonts w:ascii="仿宋" w:eastAsia="仿宋" w:hAnsi="仿宋" w:hint="eastAsia"/>
        </w:rPr>
        <w:t>十一、</w:t>
      </w:r>
      <w:r>
        <w:rPr>
          <w:rFonts w:ascii="仿宋" w:eastAsia="仿宋" w:hAnsi="仿宋" w:hint="eastAsia"/>
          <w:b w:val="0"/>
          <w:color w:val="000000"/>
        </w:rPr>
        <w:t>政</w:t>
      </w:r>
      <w:r>
        <w:rP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Fonts w:ascii="仿宋" w:eastAsia="仿宋" w:hAnsi="仿宋" w:hint="eastAsia"/>
        </w:rPr>
        <w:t>十二、</w:t>
      </w:r>
      <w:r>
        <w:rPr>
          <w:rFonts w:ascii="仿宋" w:eastAsia="仿宋" w:hAnsi="仿宋" w:hint="eastAsia"/>
          <w:b w:val="0"/>
          <w:color w:val="000000"/>
        </w:rPr>
        <w:t>政</w:t>
      </w:r>
      <w:r>
        <w:rPr>
          <w:rFonts w:ascii="仿宋" w:eastAsia="仿宋" w:hAnsi="仿宋" w:hint="eastAsia"/>
        </w:rPr>
        <w:t>府性基金预算财政拨款“三公”经费支出决算表</w:t>
      </w:r>
      <w:bookmarkEnd w:id="72"/>
    </w:p>
    <w:p w:rsidR="005B5C64" w:rsidRDefault="00204CDE">
      <w:pPr>
        <w:pStyle w:val="2"/>
        <w:rPr>
          <w:rFonts w:ascii="仿宋" w:eastAsia="仿宋" w:hAnsi="仿宋"/>
        </w:rPr>
      </w:pPr>
      <w:bookmarkStart w:id="73" w:name="_Toc15396631"/>
      <w:r>
        <w:rPr>
          <w:rFonts w:ascii="仿宋" w:eastAsia="仿宋" w:hAnsi="仿宋" w:hint="eastAsia"/>
        </w:rPr>
        <w:t>十三、</w:t>
      </w:r>
      <w:r>
        <w:rPr>
          <w:rFonts w:ascii="仿宋" w:eastAsia="仿宋" w:hAnsi="仿宋" w:hint="eastAsia"/>
          <w:b w:val="0"/>
          <w:color w:val="000000"/>
        </w:rPr>
        <w:t>国</w:t>
      </w:r>
      <w:r>
        <w:rPr>
          <w:rFonts w:ascii="仿宋" w:eastAsia="仿宋" w:hAnsi="仿宋" w:hint="eastAsia"/>
        </w:rPr>
        <w:t>有资本经营预算支出决算表</w:t>
      </w:r>
      <w:bookmarkEnd w:id="73"/>
    </w:p>
    <w:p w:rsidR="00A6091D" w:rsidRDefault="00A6091D" w:rsidP="00A6091D"/>
    <w:sectPr w:rsidR="00A6091D" w:rsidSect="005B5C64">
      <w:footerReference w:type="default" r:id="rId15"/>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B0B" w:rsidRDefault="00E43B0B" w:rsidP="005B5C64">
      <w:r>
        <w:separator/>
      </w:r>
    </w:p>
  </w:endnote>
  <w:endnote w:type="continuationSeparator" w:id="0">
    <w:p w:rsidR="00E43B0B" w:rsidRDefault="00E43B0B"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F15193" w:rsidRDefault="00614F96">
        <w:pPr>
          <w:jc w:val="center"/>
        </w:pPr>
        <w:r>
          <w:fldChar w:fldCharType="begin"/>
        </w:r>
        <w:r w:rsidR="00F15193">
          <w:instrText>PAGE   \* MERGEFORMAT</w:instrText>
        </w:r>
        <w:r>
          <w:fldChar w:fldCharType="separate"/>
        </w:r>
        <w:r w:rsidR="00660819" w:rsidRPr="00660819">
          <w:rPr>
            <w:noProof/>
            <w:lang w:val="zh-CN"/>
          </w:rPr>
          <w:t>26</w:t>
        </w:r>
        <w:r>
          <w:fldChar w:fldCharType="end"/>
        </w:r>
      </w:p>
    </w:sdtContent>
  </w:sdt>
  <w:p w:rsidR="00F15193" w:rsidRDefault="00F1519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B0B" w:rsidRDefault="00E43B0B" w:rsidP="005B5C64">
      <w:r>
        <w:separator/>
      </w:r>
    </w:p>
  </w:footnote>
  <w:footnote w:type="continuationSeparator" w:id="0">
    <w:p w:rsidR="00E43B0B" w:rsidRDefault="00E43B0B" w:rsidP="005B5C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0684F"/>
    <w:rsid w:val="000222C6"/>
    <w:rsid w:val="0002549F"/>
    <w:rsid w:val="000468DB"/>
    <w:rsid w:val="0006487A"/>
    <w:rsid w:val="00065F8F"/>
    <w:rsid w:val="00070A43"/>
    <w:rsid w:val="000768F2"/>
    <w:rsid w:val="0009184B"/>
    <w:rsid w:val="00093D8D"/>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1F0"/>
    <w:rsid w:val="001877A7"/>
    <w:rsid w:val="00191536"/>
    <w:rsid w:val="00196687"/>
    <w:rsid w:val="00197A2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96646"/>
    <w:rsid w:val="002A31DE"/>
    <w:rsid w:val="002B2613"/>
    <w:rsid w:val="002D19B0"/>
    <w:rsid w:val="002D6D05"/>
    <w:rsid w:val="002F1818"/>
    <w:rsid w:val="002F567B"/>
    <w:rsid w:val="003216A9"/>
    <w:rsid w:val="00335A74"/>
    <w:rsid w:val="00353FD0"/>
    <w:rsid w:val="0036561B"/>
    <w:rsid w:val="0037013F"/>
    <w:rsid w:val="00380C92"/>
    <w:rsid w:val="003A484F"/>
    <w:rsid w:val="003A4883"/>
    <w:rsid w:val="003B0BE0"/>
    <w:rsid w:val="003B0C1B"/>
    <w:rsid w:val="003B15C6"/>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46565"/>
    <w:rsid w:val="00471401"/>
    <w:rsid w:val="00473F31"/>
    <w:rsid w:val="0048263A"/>
    <w:rsid w:val="00484767"/>
    <w:rsid w:val="00487E5D"/>
    <w:rsid w:val="00497EAE"/>
    <w:rsid w:val="004A711F"/>
    <w:rsid w:val="004B199D"/>
    <w:rsid w:val="004B4690"/>
    <w:rsid w:val="004C51DE"/>
    <w:rsid w:val="004D0DB1"/>
    <w:rsid w:val="004D74B2"/>
    <w:rsid w:val="004E0A2D"/>
    <w:rsid w:val="004E206B"/>
    <w:rsid w:val="004E6DF7"/>
    <w:rsid w:val="004F0FBD"/>
    <w:rsid w:val="004F403E"/>
    <w:rsid w:val="00505A47"/>
    <w:rsid w:val="00512FDA"/>
    <w:rsid w:val="00520DA0"/>
    <w:rsid w:val="00524E8F"/>
    <w:rsid w:val="005404E3"/>
    <w:rsid w:val="005500B0"/>
    <w:rsid w:val="005664BB"/>
    <w:rsid w:val="00566FFA"/>
    <w:rsid w:val="0057481D"/>
    <w:rsid w:val="00575F0B"/>
    <w:rsid w:val="005824D3"/>
    <w:rsid w:val="0058486E"/>
    <w:rsid w:val="00585B33"/>
    <w:rsid w:val="0059014D"/>
    <w:rsid w:val="005A098F"/>
    <w:rsid w:val="005B5C64"/>
    <w:rsid w:val="005C6BD0"/>
    <w:rsid w:val="005C6C4C"/>
    <w:rsid w:val="005D1C8B"/>
    <w:rsid w:val="005D468D"/>
    <w:rsid w:val="005D5CED"/>
    <w:rsid w:val="005E0BA4"/>
    <w:rsid w:val="005F1A4C"/>
    <w:rsid w:val="00605688"/>
    <w:rsid w:val="006070AF"/>
    <w:rsid w:val="00607E6C"/>
    <w:rsid w:val="006101B1"/>
    <w:rsid w:val="00614E44"/>
    <w:rsid w:val="00614F96"/>
    <w:rsid w:val="006204D1"/>
    <w:rsid w:val="0062270A"/>
    <w:rsid w:val="00622830"/>
    <w:rsid w:val="00623DA0"/>
    <w:rsid w:val="00630AEF"/>
    <w:rsid w:val="006325F8"/>
    <w:rsid w:val="00633463"/>
    <w:rsid w:val="00634C9A"/>
    <w:rsid w:val="006440E4"/>
    <w:rsid w:val="00644895"/>
    <w:rsid w:val="00660819"/>
    <w:rsid w:val="0066343B"/>
    <w:rsid w:val="00664777"/>
    <w:rsid w:val="006748A4"/>
    <w:rsid w:val="00681A31"/>
    <w:rsid w:val="00683E73"/>
    <w:rsid w:val="006A3141"/>
    <w:rsid w:val="006A5E34"/>
    <w:rsid w:val="006B2422"/>
    <w:rsid w:val="006B2B9A"/>
    <w:rsid w:val="006C1937"/>
    <w:rsid w:val="006C2341"/>
    <w:rsid w:val="006C4E64"/>
    <w:rsid w:val="006F020C"/>
    <w:rsid w:val="007127B7"/>
    <w:rsid w:val="0071798E"/>
    <w:rsid w:val="00727533"/>
    <w:rsid w:val="007416B6"/>
    <w:rsid w:val="007447EC"/>
    <w:rsid w:val="00746F48"/>
    <w:rsid w:val="0075404D"/>
    <w:rsid w:val="0076182A"/>
    <w:rsid w:val="00767B7E"/>
    <w:rsid w:val="007770C3"/>
    <w:rsid w:val="00784D24"/>
    <w:rsid w:val="00785FBA"/>
    <w:rsid w:val="00786E4A"/>
    <w:rsid w:val="007875EB"/>
    <w:rsid w:val="0079426B"/>
    <w:rsid w:val="007B2279"/>
    <w:rsid w:val="007B34CD"/>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47AB9"/>
    <w:rsid w:val="00850625"/>
    <w:rsid w:val="00853718"/>
    <w:rsid w:val="00855221"/>
    <w:rsid w:val="00860645"/>
    <w:rsid w:val="00860EEB"/>
    <w:rsid w:val="00865611"/>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12338"/>
    <w:rsid w:val="00913861"/>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C4437"/>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091D"/>
    <w:rsid w:val="00A66222"/>
    <w:rsid w:val="00A67AB5"/>
    <w:rsid w:val="00A733B2"/>
    <w:rsid w:val="00A741C2"/>
    <w:rsid w:val="00A839C4"/>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1FB5"/>
    <w:rsid w:val="00B13E38"/>
    <w:rsid w:val="00B14E76"/>
    <w:rsid w:val="00B161B8"/>
    <w:rsid w:val="00B2048C"/>
    <w:rsid w:val="00B310B9"/>
    <w:rsid w:val="00B35F3F"/>
    <w:rsid w:val="00B36CBB"/>
    <w:rsid w:val="00B41F27"/>
    <w:rsid w:val="00B425E0"/>
    <w:rsid w:val="00B440AA"/>
    <w:rsid w:val="00B44B70"/>
    <w:rsid w:val="00B53C56"/>
    <w:rsid w:val="00B57DAF"/>
    <w:rsid w:val="00B77EA6"/>
    <w:rsid w:val="00B81598"/>
    <w:rsid w:val="00B841F1"/>
    <w:rsid w:val="00B944D6"/>
    <w:rsid w:val="00BA01A5"/>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761E8"/>
    <w:rsid w:val="00C91CBB"/>
    <w:rsid w:val="00CB4E70"/>
    <w:rsid w:val="00CC09B6"/>
    <w:rsid w:val="00CC666F"/>
    <w:rsid w:val="00CD1E3F"/>
    <w:rsid w:val="00CE44F6"/>
    <w:rsid w:val="00CE49DA"/>
    <w:rsid w:val="00CE7B61"/>
    <w:rsid w:val="00D00095"/>
    <w:rsid w:val="00D06508"/>
    <w:rsid w:val="00D114F0"/>
    <w:rsid w:val="00D20620"/>
    <w:rsid w:val="00D23010"/>
    <w:rsid w:val="00D254F7"/>
    <w:rsid w:val="00D26091"/>
    <w:rsid w:val="00D2685C"/>
    <w:rsid w:val="00D34E7C"/>
    <w:rsid w:val="00D35489"/>
    <w:rsid w:val="00D36AFE"/>
    <w:rsid w:val="00D46B22"/>
    <w:rsid w:val="00D51276"/>
    <w:rsid w:val="00D67123"/>
    <w:rsid w:val="00D7035F"/>
    <w:rsid w:val="00DA634F"/>
    <w:rsid w:val="00DA65AC"/>
    <w:rsid w:val="00DB1913"/>
    <w:rsid w:val="00DC410D"/>
    <w:rsid w:val="00DC5A81"/>
    <w:rsid w:val="00DC68CA"/>
    <w:rsid w:val="00DC7CBA"/>
    <w:rsid w:val="00DD73B7"/>
    <w:rsid w:val="00DF28BC"/>
    <w:rsid w:val="00DF34B9"/>
    <w:rsid w:val="00DF5384"/>
    <w:rsid w:val="00E01053"/>
    <w:rsid w:val="00E07ACF"/>
    <w:rsid w:val="00E331A1"/>
    <w:rsid w:val="00E33202"/>
    <w:rsid w:val="00E336A9"/>
    <w:rsid w:val="00E43B0B"/>
    <w:rsid w:val="00E472B1"/>
    <w:rsid w:val="00E50624"/>
    <w:rsid w:val="00E568DF"/>
    <w:rsid w:val="00E570E9"/>
    <w:rsid w:val="00E64269"/>
    <w:rsid w:val="00E66797"/>
    <w:rsid w:val="00E82267"/>
    <w:rsid w:val="00E83BF6"/>
    <w:rsid w:val="00E853CE"/>
    <w:rsid w:val="00E867B6"/>
    <w:rsid w:val="00E8751C"/>
    <w:rsid w:val="00E87F08"/>
    <w:rsid w:val="00EA010F"/>
    <w:rsid w:val="00ED1B63"/>
    <w:rsid w:val="00ED3C1F"/>
    <w:rsid w:val="00ED4085"/>
    <w:rsid w:val="00ED420E"/>
    <w:rsid w:val="00ED6FBE"/>
    <w:rsid w:val="00EE2F57"/>
    <w:rsid w:val="00EF4C34"/>
    <w:rsid w:val="00EF77C6"/>
    <w:rsid w:val="00F05438"/>
    <w:rsid w:val="00F1361C"/>
    <w:rsid w:val="00F15193"/>
    <w:rsid w:val="00F156F0"/>
    <w:rsid w:val="00F160C7"/>
    <w:rsid w:val="00F2408F"/>
    <w:rsid w:val="00F240E9"/>
    <w:rsid w:val="00F36D8F"/>
    <w:rsid w:val="00F417B1"/>
    <w:rsid w:val="00F45853"/>
    <w:rsid w:val="00F602DF"/>
    <w:rsid w:val="00F754A1"/>
    <w:rsid w:val="00F81FD9"/>
    <w:rsid w:val="00F841AA"/>
    <w:rsid w:val="00F84A94"/>
    <w:rsid w:val="00F87E96"/>
    <w:rsid w:val="00F91951"/>
    <w:rsid w:val="00FA23E8"/>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04058">
      <w:bodyDiv w:val="1"/>
      <w:marLeft w:val="0"/>
      <w:marRight w:val="0"/>
      <w:marTop w:val="0"/>
      <w:marBottom w:val="0"/>
      <w:divBdr>
        <w:top w:val="none" w:sz="0" w:space="0" w:color="auto"/>
        <w:left w:val="none" w:sz="0" w:space="0" w:color="auto"/>
        <w:bottom w:val="none" w:sz="0" w:space="0" w:color="auto"/>
        <w:right w:val="none" w:sz="0" w:space="0" w:color="auto"/>
      </w:divBdr>
    </w:div>
    <w:div w:id="122038612">
      <w:bodyDiv w:val="1"/>
      <w:marLeft w:val="0"/>
      <w:marRight w:val="0"/>
      <w:marTop w:val="0"/>
      <w:marBottom w:val="0"/>
      <w:divBdr>
        <w:top w:val="none" w:sz="0" w:space="0" w:color="auto"/>
        <w:left w:val="none" w:sz="0" w:space="0" w:color="auto"/>
        <w:bottom w:val="none" w:sz="0" w:space="0" w:color="auto"/>
        <w:right w:val="none" w:sz="0" w:space="0" w:color="auto"/>
      </w:divBdr>
    </w:div>
    <w:div w:id="175268961">
      <w:bodyDiv w:val="1"/>
      <w:marLeft w:val="0"/>
      <w:marRight w:val="0"/>
      <w:marTop w:val="0"/>
      <w:marBottom w:val="0"/>
      <w:divBdr>
        <w:top w:val="none" w:sz="0" w:space="0" w:color="auto"/>
        <w:left w:val="none" w:sz="0" w:space="0" w:color="auto"/>
        <w:bottom w:val="none" w:sz="0" w:space="0" w:color="auto"/>
        <w:right w:val="none" w:sz="0" w:space="0" w:color="auto"/>
      </w:divBdr>
    </w:div>
    <w:div w:id="454913736">
      <w:bodyDiv w:val="1"/>
      <w:marLeft w:val="0"/>
      <w:marRight w:val="0"/>
      <w:marTop w:val="0"/>
      <w:marBottom w:val="0"/>
      <w:divBdr>
        <w:top w:val="none" w:sz="0" w:space="0" w:color="auto"/>
        <w:left w:val="none" w:sz="0" w:space="0" w:color="auto"/>
        <w:bottom w:val="none" w:sz="0" w:space="0" w:color="auto"/>
        <w:right w:val="none" w:sz="0" w:space="0" w:color="auto"/>
      </w:divBdr>
    </w:div>
    <w:div w:id="686099163">
      <w:bodyDiv w:val="1"/>
      <w:marLeft w:val="0"/>
      <w:marRight w:val="0"/>
      <w:marTop w:val="0"/>
      <w:marBottom w:val="0"/>
      <w:divBdr>
        <w:top w:val="none" w:sz="0" w:space="0" w:color="auto"/>
        <w:left w:val="none" w:sz="0" w:space="0" w:color="auto"/>
        <w:bottom w:val="none" w:sz="0" w:space="0" w:color="auto"/>
        <w:right w:val="none" w:sz="0" w:space="0" w:color="auto"/>
      </w:divBdr>
    </w:div>
    <w:div w:id="713237883">
      <w:bodyDiv w:val="1"/>
      <w:marLeft w:val="0"/>
      <w:marRight w:val="0"/>
      <w:marTop w:val="0"/>
      <w:marBottom w:val="0"/>
      <w:divBdr>
        <w:top w:val="none" w:sz="0" w:space="0" w:color="auto"/>
        <w:left w:val="none" w:sz="0" w:space="0" w:color="auto"/>
        <w:bottom w:val="none" w:sz="0" w:space="0" w:color="auto"/>
        <w:right w:val="none" w:sz="0" w:space="0" w:color="auto"/>
      </w:divBdr>
    </w:div>
    <w:div w:id="774059729">
      <w:bodyDiv w:val="1"/>
      <w:marLeft w:val="0"/>
      <w:marRight w:val="0"/>
      <w:marTop w:val="0"/>
      <w:marBottom w:val="0"/>
      <w:divBdr>
        <w:top w:val="none" w:sz="0" w:space="0" w:color="auto"/>
        <w:left w:val="none" w:sz="0" w:space="0" w:color="auto"/>
        <w:bottom w:val="none" w:sz="0" w:space="0" w:color="auto"/>
        <w:right w:val="none" w:sz="0" w:space="0" w:color="auto"/>
      </w:divBdr>
    </w:div>
    <w:div w:id="1035347145">
      <w:bodyDiv w:val="1"/>
      <w:marLeft w:val="0"/>
      <w:marRight w:val="0"/>
      <w:marTop w:val="0"/>
      <w:marBottom w:val="0"/>
      <w:divBdr>
        <w:top w:val="none" w:sz="0" w:space="0" w:color="auto"/>
        <w:left w:val="none" w:sz="0" w:space="0" w:color="auto"/>
        <w:bottom w:val="none" w:sz="0" w:space="0" w:color="auto"/>
        <w:right w:val="none" w:sz="0" w:space="0" w:color="auto"/>
      </w:divBdr>
    </w:div>
    <w:div w:id="1109155392">
      <w:bodyDiv w:val="1"/>
      <w:marLeft w:val="0"/>
      <w:marRight w:val="0"/>
      <w:marTop w:val="0"/>
      <w:marBottom w:val="0"/>
      <w:divBdr>
        <w:top w:val="none" w:sz="0" w:space="0" w:color="auto"/>
        <w:left w:val="none" w:sz="0" w:space="0" w:color="auto"/>
        <w:bottom w:val="none" w:sz="0" w:space="0" w:color="auto"/>
        <w:right w:val="none" w:sz="0" w:space="0" w:color="auto"/>
      </w:divBdr>
    </w:div>
    <w:div w:id="1166361141">
      <w:bodyDiv w:val="1"/>
      <w:marLeft w:val="0"/>
      <w:marRight w:val="0"/>
      <w:marTop w:val="0"/>
      <w:marBottom w:val="0"/>
      <w:divBdr>
        <w:top w:val="none" w:sz="0" w:space="0" w:color="auto"/>
        <w:left w:val="none" w:sz="0" w:space="0" w:color="auto"/>
        <w:bottom w:val="none" w:sz="0" w:space="0" w:color="auto"/>
        <w:right w:val="none" w:sz="0" w:space="0" w:color="auto"/>
      </w:divBdr>
    </w:div>
    <w:div w:id="1184054959">
      <w:bodyDiv w:val="1"/>
      <w:marLeft w:val="0"/>
      <w:marRight w:val="0"/>
      <w:marTop w:val="0"/>
      <w:marBottom w:val="0"/>
      <w:divBdr>
        <w:top w:val="none" w:sz="0" w:space="0" w:color="auto"/>
        <w:left w:val="none" w:sz="0" w:space="0" w:color="auto"/>
        <w:bottom w:val="none" w:sz="0" w:space="0" w:color="auto"/>
        <w:right w:val="none" w:sz="0" w:space="0" w:color="auto"/>
      </w:divBdr>
    </w:div>
    <w:div w:id="1336304734">
      <w:bodyDiv w:val="1"/>
      <w:marLeft w:val="0"/>
      <w:marRight w:val="0"/>
      <w:marTop w:val="0"/>
      <w:marBottom w:val="0"/>
      <w:divBdr>
        <w:top w:val="none" w:sz="0" w:space="0" w:color="auto"/>
        <w:left w:val="none" w:sz="0" w:space="0" w:color="auto"/>
        <w:bottom w:val="none" w:sz="0" w:space="0" w:color="auto"/>
        <w:right w:val="none" w:sz="0" w:space="0" w:color="auto"/>
      </w:divBdr>
    </w:div>
    <w:div w:id="1500536458">
      <w:bodyDiv w:val="1"/>
      <w:marLeft w:val="0"/>
      <w:marRight w:val="0"/>
      <w:marTop w:val="0"/>
      <w:marBottom w:val="0"/>
      <w:divBdr>
        <w:top w:val="none" w:sz="0" w:space="0" w:color="auto"/>
        <w:left w:val="none" w:sz="0" w:space="0" w:color="auto"/>
        <w:bottom w:val="none" w:sz="0" w:space="0" w:color="auto"/>
        <w:right w:val="none" w:sz="0" w:space="0" w:color="auto"/>
      </w:divBdr>
    </w:div>
    <w:div w:id="1587494544">
      <w:bodyDiv w:val="1"/>
      <w:marLeft w:val="0"/>
      <w:marRight w:val="0"/>
      <w:marTop w:val="0"/>
      <w:marBottom w:val="0"/>
      <w:divBdr>
        <w:top w:val="none" w:sz="0" w:space="0" w:color="auto"/>
        <w:left w:val="none" w:sz="0" w:space="0" w:color="auto"/>
        <w:bottom w:val="none" w:sz="0" w:space="0" w:color="auto"/>
        <w:right w:val="none" w:sz="0" w:space="0" w:color="auto"/>
      </w:divBdr>
    </w:div>
    <w:div w:id="1640841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zh-CN" altLang="en-US" sz="900"/>
              <a:t>收</a:t>
            </a:r>
            <a:r>
              <a:rPr lang="en-US" altLang="zh-CN" sz="900"/>
              <a:t>,</a:t>
            </a:r>
            <a:r>
              <a:rPr lang="zh-CN" altLang="en-US" sz="900"/>
              <a:t>支决算总计变动情况图</a:t>
            </a:r>
          </a:p>
        </c:rich>
      </c:tx>
    </c:title>
    <c:plotArea>
      <c:layout/>
      <c:barChart>
        <c:barDir val="col"/>
        <c:grouping val="clustered"/>
        <c:ser>
          <c:idx val="0"/>
          <c:order val="0"/>
          <c:tx>
            <c:strRef>
              <c:f>Sheet1!$B$1</c:f>
              <c:strCache>
                <c:ptCount val="1"/>
                <c:pt idx="0">
                  <c:v> 单位（万元）</c:v>
                </c:pt>
              </c:strCache>
            </c:strRef>
          </c:tx>
          <c:cat>
            <c:strRef>
              <c:f>Sheet1!$A$2:$A$6</c:f>
              <c:strCache>
                <c:ptCount val="4"/>
                <c:pt idx="0">
                  <c:v>2019年收入</c:v>
                </c:pt>
                <c:pt idx="1">
                  <c:v>2018年收入</c:v>
                </c:pt>
                <c:pt idx="2">
                  <c:v>2019年支出</c:v>
                </c:pt>
                <c:pt idx="3">
                  <c:v>2018年支出</c:v>
                </c:pt>
              </c:strCache>
            </c:strRef>
          </c:cat>
          <c:val>
            <c:numRef>
              <c:f>Sheet1!$B$2:$B$6</c:f>
              <c:numCache>
                <c:formatCode>General</c:formatCode>
                <c:ptCount val="5"/>
                <c:pt idx="0">
                  <c:v>745.63</c:v>
                </c:pt>
                <c:pt idx="1">
                  <c:v>730.69</c:v>
                </c:pt>
                <c:pt idx="2">
                  <c:v>752.77000000000021</c:v>
                </c:pt>
                <c:pt idx="3">
                  <c:v>730.69</c:v>
                </c:pt>
              </c:numCache>
            </c:numRef>
          </c:val>
        </c:ser>
        <c:dLbls>
          <c:showVal val="1"/>
        </c:dLbls>
        <c:overlap val="-25"/>
        <c:axId val="239356928"/>
        <c:axId val="239379200"/>
      </c:barChart>
      <c:catAx>
        <c:axId val="239356928"/>
        <c:scaling>
          <c:orientation val="minMax"/>
        </c:scaling>
        <c:axPos val="b"/>
        <c:majorTickMark val="none"/>
        <c:tickLblPos val="nextTo"/>
        <c:crossAx val="239379200"/>
        <c:crosses val="autoZero"/>
        <c:auto val="1"/>
        <c:lblAlgn val="ctr"/>
        <c:lblOffset val="100"/>
      </c:catAx>
      <c:valAx>
        <c:axId val="239379200"/>
        <c:scaling>
          <c:orientation val="minMax"/>
        </c:scaling>
        <c:delete val="1"/>
        <c:axPos val="l"/>
        <c:numFmt formatCode="General" sourceLinked="1"/>
        <c:majorTickMark val="none"/>
        <c:tickLblPos val="none"/>
        <c:crossAx val="239356928"/>
        <c:crosses val="autoZero"/>
        <c:crossBetween val="between"/>
      </c:valAx>
    </c:plotArea>
    <c:legend>
      <c:legendPos val="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zh-CN"/>
              <a:t>收入决算结构图</a:t>
            </a:r>
          </a:p>
        </c:rich>
      </c:tx>
    </c:title>
    <c:plotArea>
      <c:layout/>
      <c:pieChart>
        <c:varyColors val="1"/>
        <c:ser>
          <c:idx val="0"/>
          <c:order val="0"/>
          <c:tx>
            <c:strRef>
              <c:f>Sheet1!$B$1</c:f>
              <c:strCache>
                <c:ptCount val="1"/>
                <c:pt idx="0">
                  <c:v>列1</c:v>
                </c:pt>
              </c:strCache>
            </c:strRef>
          </c:tx>
          <c:dLbls>
            <c:dLblPos val="bestFit"/>
            <c:showCatName val="1"/>
            <c:showPercent val="1"/>
            <c:showLeaderLines val="1"/>
          </c:dLbls>
          <c:cat>
            <c:strRef>
              <c:f>Sheet1!$A$2:$A$5</c:f>
              <c:strCache>
                <c:ptCount val="2"/>
                <c:pt idx="0">
                  <c:v>财政拨款</c:v>
                </c:pt>
                <c:pt idx="1">
                  <c:v>其他收入</c:v>
                </c:pt>
              </c:strCache>
            </c:strRef>
          </c:cat>
          <c:val>
            <c:numRef>
              <c:f>Sheet1!$B$2:$B$5</c:f>
              <c:numCache>
                <c:formatCode>General</c:formatCode>
                <c:ptCount val="4"/>
                <c:pt idx="0">
                  <c:v>739.01</c:v>
                </c:pt>
                <c:pt idx="1">
                  <c:v>6.6199999999999983</c:v>
                </c:pt>
              </c:numCache>
            </c:numRef>
          </c:val>
        </c:ser>
        <c:dLbls>
          <c:showCatName val="1"/>
          <c:showPercent val="1"/>
        </c:dLbls>
        <c:firstSliceAng val="0"/>
      </c:pieChart>
    </c:plotArea>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zh-CN" altLang="en-US"/>
              <a:t>支出决算结构</a:t>
            </a:r>
            <a:r>
              <a:rPr lang="zh-CN" altLang="en-US" baseline="0"/>
              <a:t> </a:t>
            </a:r>
            <a:endParaRPr lang="zh-CN" altLang="en-US"/>
          </a:p>
        </c:rich>
      </c:tx>
    </c:title>
    <c:plotArea>
      <c:layout/>
      <c:pieChart>
        <c:varyColors val="1"/>
        <c:ser>
          <c:idx val="0"/>
          <c:order val="0"/>
          <c:tx>
            <c:strRef>
              <c:f>Sheet1!$B$1</c:f>
              <c:strCache>
                <c:ptCount val="1"/>
                <c:pt idx="0">
                  <c:v>销售额</c:v>
                </c:pt>
              </c:strCache>
            </c:strRef>
          </c:tx>
          <c:dLbls>
            <c:dLblPos val="outEnd"/>
            <c:showVal val="1"/>
            <c:showLeaderLines val="1"/>
          </c:dLbls>
          <c:cat>
            <c:strRef>
              <c:f>Sheet1!$A$2:$A$5</c:f>
              <c:strCache>
                <c:ptCount val="4"/>
                <c:pt idx="0">
                  <c:v>基本支出</c:v>
                </c:pt>
                <c:pt idx="1">
                  <c:v>项目支出</c:v>
                </c:pt>
                <c:pt idx="2">
                  <c:v>上缴上级支出</c:v>
                </c:pt>
                <c:pt idx="3">
                  <c:v>经营支出</c:v>
                </c:pt>
              </c:strCache>
            </c:strRef>
          </c:cat>
          <c:val>
            <c:numRef>
              <c:f>Sheet1!$B$2:$B$5</c:f>
              <c:numCache>
                <c:formatCode>General</c:formatCode>
                <c:ptCount val="4"/>
                <c:pt idx="0">
                  <c:v>752.77000000000021</c:v>
                </c:pt>
                <c:pt idx="1">
                  <c:v>0</c:v>
                </c:pt>
                <c:pt idx="2">
                  <c:v>0</c:v>
                </c:pt>
                <c:pt idx="3">
                  <c:v>0</c:v>
                </c:pt>
              </c:numCache>
            </c:numRef>
          </c:val>
        </c:ser>
        <c:dLbls>
          <c:showVal val="1"/>
        </c:dLbls>
        <c:firstSliceAng val="0"/>
      </c:pieChart>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Sheet1!$B$1</c:f>
              <c:strCache>
                <c:ptCount val="1"/>
                <c:pt idx="0">
                  <c:v>2019年财政拨款收支决算总计</c:v>
                </c:pt>
              </c:strCache>
            </c:strRef>
          </c:tx>
          <c:cat>
            <c:strRef>
              <c:f>Sheet1!$A$2:$A$5</c:f>
              <c:strCache>
                <c:ptCount val="2"/>
                <c:pt idx="0">
                  <c:v>财政拨款收决算总计</c:v>
                </c:pt>
                <c:pt idx="1">
                  <c:v>财政拨款支决算总计</c:v>
                </c:pt>
              </c:strCache>
            </c:strRef>
          </c:cat>
          <c:val>
            <c:numRef>
              <c:f>Sheet1!$B$2:$B$5</c:f>
              <c:numCache>
                <c:formatCode>General</c:formatCode>
                <c:ptCount val="4"/>
                <c:pt idx="0">
                  <c:v>739.01</c:v>
                </c:pt>
                <c:pt idx="1">
                  <c:v>750.89</c:v>
                </c:pt>
              </c:numCache>
            </c:numRef>
          </c:val>
        </c:ser>
        <c:ser>
          <c:idx val="1"/>
          <c:order val="1"/>
          <c:tx>
            <c:strRef>
              <c:f>Sheet1!$C$1</c:f>
              <c:strCache>
                <c:ptCount val="1"/>
                <c:pt idx="0">
                  <c:v>与2018年比收入增加金额</c:v>
                </c:pt>
              </c:strCache>
            </c:strRef>
          </c:tx>
          <c:cat>
            <c:strRef>
              <c:f>Sheet1!$A$2:$A$5</c:f>
              <c:strCache>
                <c:ptCount val="2"/>
                <c:pt idx="0">
                  <c:v>财政拨款收决算总计</c:v>
                </c:pt>
                <c:pt idx="1">
                  <c:v>财政拨款支决算总计</c:v>
                </c:pt>
              </c:strCache>
            </c:strRef>
          </c:cat>
          <c:val>
            <c:numRef>
              <c:f>Sheet1!$C$2:$C$5</c:f>
              <c:numCache>
                <c:formatCode>General</c:formatCode>
                <c:ptCount val="4"/>
                <c:pt idx="0">
                  <c:v>8.32</c:v>
                </c:pt>
              </c:numCache>
            </c:numRef>
          </c:val>
        </c:ser>
        <c:ser>
          <c:idx val="2"/>
          <c:order val="2"/>
          <c:tx>
            <c:strRef>
              <c:f>Sheet1!$D$1</c:f>
              <c:strCache>
                <c:ptCount val="1"/>
                <c:pt idx="0">
                  <c:v>与2018年比支出增加金额</c:v>
                </c:pt>
              </c:strCache>
            </c:strRef>
          </c:tx>
          <c:cat>
            <c:strRef>
              <c:f>Sheet1!$A$2:$A$5</c:f>
              <c:strCache>
                <c:ptCount val="2"/>
                <c:pt idx="0">
                  <c:v>财政拨款收决算总计</c:v>
                </c:pt>
                <c:pt idx="1">
                  <c:v>财政拨款支决算总计</c:v>
                </c:pt>
              </c:strCache>
            </c:strRef>
          </c:cat>
          <c:val>
            <c:numRef>
              <c:f>Sheet1!$D$2:$D$5</c:f>
              <c:numCache>
                <c:formatCode>General</c:formatCode>
                <c:ptCount val="4"/>
                <c:pt idx="1">
                  <c:v>20.2</c:v>
                </c:pt>
              </c:numCache>
            </c:numRef>
          </c:val>
        </c:ser>
        <c:dLbls>
          <c:showVal val="1"/>
        </c:dLbls>
        <c:axId val="239283200"/>
        <c:axId val="239481984"/>
      </c:barChart>
      <c:catAx>
        <c:axId val="239283200"/>
        <c:scaling>
          <c:orientation val="minMax"/>
        </c:scaling>
        <c:axPos val="b"/>
        <c:title>
          <c:tx>
            <c:rich>
              <a:bodyPr/>
              <a:lstStyle/>
              <a:p>
                <a:pPr>
                  <a:defRPr/>
                </a:pPr>
                <a:r>
                  <a:rPr lang="zh-CN" altLang="en-US"/>
                  <a:t>财政拨款收</a:t>
                </a:r>
                <a:r>
                  <a:rPr lang="en-US" altLang="zh-CN"/>
                  <a:t>,</a:t>
                </a:r>
                <a:r>
                  <a:rPr lang="zh-CN" altLang="en-US"/>
                  <a:t>支决算总计变动情况</a:t>
                </a:r>
              </a:p>
            </c:rich>
          </c:tx>
        </c:title>
        <c:majorTickMark val="none"/>
        <c:tickLblPos val="none"/>
        <c:crossAx val="239481984"/>
        <c:crosses val="autoZero"/>
        <c:auto val="1"/>
        <c:lblAlgn val="ctr"/>
        <c:lblOffset val="100"/>
      </c:catAx>
      <c:valAx>
        <c:axId val="239481984"/>
        <c:scaling>
          <c:orientation val="minMax"/>
        </c:scaling>
        <c:axPos val="l"/>
        <c:majorGridlines/>
        <c:numFmt formatCode="General" sourceLinked="1"/>
        <c:tickLblPos val="nextTo"/>
        <c:crossAx val="239283200"/>
        <c:crosses val="autoZero"/>
        <c:crossBetween val="between"/>
      </c:valAx>
    </c:plotArea>
    <c:legend>
      <c:legendPos val="r"/>
      <c:layout>
        <c:manualLayout>
          <c:xMode val="edge"/>
          <c:yMode val="edge"/>
          <c:x val="0.66426971587900885"/>
          <c:y val="0.19376106777113014"/>
          <c:w val="0.32061461653316808"/>
          <c:h val="0.7342994190802381"/>
        </c:manualLayout>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zh-CN" altLang="zh-CN" sz="1100" b="1" i="0" u="none" strike="noStrike" baseline="0">
                <a:effectLst/>
              </a:rPr>
              <a:t>一般公共预算财政拨款支出决算变动情况</a:t>
            </a:r>
            <a:endParaRPr lang="zh-CN" altLang="en-US" sz="1100"/>
          </a:p>
        </c:rich>
      </c:tx>
    </c:title>
    <c:plotArea>
      <c:layout/>
      <c:barChart>
        <c:barDir val="col"/>
        <c:grouping val="stacked"/>
        <c:ser>
          <c:idx val="0"/>
          <c:order val="0"/>
          <c:tx>
            <c:strRef>
              <c:f>Sheet1!$B$1</c:f>
              <c:strCache>
                <c:ptCount val="1"/>
                <c:pt idx="0">
                  <c:v>金额（万元）</c:v>
                </c:pt>
              </c:strCache>
            </c:strRef>
          </c:tx>
          <c:cat>
            <c:strRef>
              <c:f>Sheet1!$A$2</c:f>
              <c:strCache>
                <c:ptCount val="1"/>
                <c:pt idx="0">
                  <c:v>2019年一般公共预算财政拨款支出</c:v>
                </c:pt>
              </c:strCache>
            </c:strRef>
          </c:cat>
          <c:val>
            <c:numRef>
              <c:f>Sheet1!$B$2</c:f>
              <c:numCache>
                <c:formatCode>General</c:formatCode>
                <c:ptCount val="1"/>
                <c:pt idx="0">
                  <c:v>752.77000000000021</c:v>
                </c:pt>
              </c:numCache>
            </c:numRef>
          </c:val>
        </c:ser>
        <c:ser>
          <c:idx val="1"/>
          <c:order val="1"/>
          <c:tx>
            <c:strRef>
              <c:f>Sheet1!$C$1</c:f>
              <c:strCache>
                <c:ptCount val="1"/>
                <c:pt idx="0">
                  <c:v>与2018年比增加额</c:v>
                </c:pt>
              </c:strCache>
            </c:strRef>
          </c:tx>
          <c:cat>
            <c:strRef>
              <c:f>Sheet1!$A$2</c:f>
              <c:strCache>
                <c:ptCount val="1"/>
                <c:pt idx="0">
                  <c:v>2019年一般公共预算财政拨款支出</c:v>
                </c:pt>
              </c:strCache>
            </c:strRef>
          </c:cat>
          <c:val>
            <c:numRef>
              <c:f>Sheet1!$C$2</c:f>
              <c:numCache>
                <c:formatCode>General</c:formatCode>
                <c:ptCount val="1"/>
                <c:pt idx="0">
                  <c:v>22.08</c:v>
                </c:pt>
              </c:numCache>
            </c:numRef>
          </c:val>
        </c:ser>
        <c:dLbls>
          <c:showVal val="1"/>
        </c:dLbls>
        <c:gapWidth val="55"/>
        <c:overlap val="100"/>
        <c:axId val="239519616"/>
        <c:axId val="239521152"/>
      </c:barChart>
      <c:catAx>
        <c:axId val="239519616"/>
        <c:scaling>
          <c:orientation val="minMax"/>
        </c:scaling>
        <c:axPos val="b"/>
        <c:majorTickMark val="none"/>
        <c:tickLblPos val="nextTo"/>
        <c:crossAx val="239521152"/>
        <c:crosses val="autoZero"/>
        <c:auto val="1"/>
        <c:lblAlgn val="ctr"/>
        <c:lblOffset val="100"/>
      </c:catAx>
      <c:valAx>
        <c:axId val="239521152"/>
        <c:scaling>
          <c:orientation val="minMax"/>
        </c:scaling>
        <c:axPos val="l"/>
        <c:majorGridlines/>
        <c:numFmt formatCode="General" sourceLinked="1"/>
        <c:majorTickMark val="none"/>
        <c:tickLblPos val="nextTo"/>
        <c:crossAx val="239519616"/>
        <c:crosses val="autoZero"/>
        <c:crossBetween val="between"/>
      </c:val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chart>
    <c:title>
      <c:tx>
        <c:rich>
          <a:bodyPr/>
          <a:lstStyle/>
          <a:p>
            <a:pPr>
              <a:defRPr/>
            </a:pPr>
            <a:r>
              <a:rPr lang="zh-CN" altLang="zh-CN" sz="1000" b="1" i="0" u="none" strike="noStrike" baseline="0">
                <a:effectLst/>
              </a:rPr>
              <a:t>一般公共预算财政拨款支出决算结构</a:t>
            </a:r>
            <a:endParaRPr lang="zh-CN" altLang="en-US" sz="1000"/>
          </a:p>
        </c:rich>
      </c:tx>
      <c:overlay val="1"/>
    </c:title>
    <c:plotArea>
      <c:layout/>
      <c:pieChart>
        <c:varyColors val="1"/>
        <c:ser>
          <c:idx val="0"/>
          <c:order val="0"/>
          <c:tx>
            <c:strRef>
              <c:f>Sheet1!$B$1</c:f>
              <c:strCache>
                <c:ptCount val="1"/>
                <c:pt idx="0">
                  <c:v>金额（万元）</c:v>
                </c:pt>
              </c:strCache>
            </c:strRef>
          </c:tx>
          <c:dLbls>
            <c:dLblPos val="bestFit"/>
            <c:showVal val="1"/>
            <c:showLeaderLines val="1"/>
          </c:dLbls>
          <c:cat>
            <c:strRef>
              <c:f>Sheet1!$A$2:$A$5</c:f>
              <c:strCache>
                <c:ptCount val="4"/>
                <c:pt idx="0">
                  <c:v>教育支出</c:v>
                </c:pt>
                <c:pt idx="1">
                  <c:v>社会保障和就业支出</c:v>
                </c:pt>
                <c:pt idx="2">
                  <c:v>卫生健康支出</c:v>
                </c:pt>
                <c:pt idx="3">
                  <c:v>住房保障支出</c:v>
                </c:pt>
              </c:strCache>
            </c:strRef>
          </c:cat>
          <c:val>
            <c:numRef>
              <c:f>Sheet1!$B$2:$B$5</c:f>
              <c:numCache>
                <c:formatCode>General</c:formatCode>
                <c:ptCount val="4"/>
                <c:pt idx="0">
                  <c:v>537.12</c:v>
                </c:pt>
                <c:pt idx="1">
                  <c:v>121.27</c:v>
                </c:pt>
                <c:pt idx="2">
                  <c:v>38.880000000000003</c:v>
                </c:pt>
                <c:pt idx="3">
                  <c:v>55.43</c:v>
                </c:pt>
              </c:numCache>
            </c:numRef>
          </c:val>
        </c:ser>
        <c:dLbls>
          <c:showVal val="1"/>
        </c:dLbls>
        <c:firstSliceAng val="0"/>
      </c:pieChart>
    </c:plotArea>
    <c:legend>
      <c:legendPos val="r"/>
    </c:legend>
    <c:plotVisOnly val="1"/>
    <c:dispBlanksAs val="zero"/>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4905DA-9429-4275-9F1C-2D6CEB503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26</Pages>
  <Words>1411</Words>
  <Characters>8047</Characters>
  <Application>Microsoft Office Word</Application>
  <DocSecurity>0</DocSecurity>
  <Lines>67</Lines>
  <Paragraphs>18</Paragraphs>
  <ScaleCrop>false</ScaleCrop>
  <Company>四川省财政厅</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65</cp:revision>
  <cp:lastPrinted>2020-07-23T02:58:00Z</cp:lastPrinted>
  <dcterms:created xsi:type="dcterms:W3CDTF">2020-08-04T01:49:00Z</dcterms:created>
  <dcterms:modified xsi:type="dcterms:W3CDTF">2024-03-22T02:33:00Z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