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BF3" w:rsidRDefault="00CC3BF3">
      <w:pPr>
        <w:spacing w:line="600" w:lineRule="exact"/>
        <w:jc w:val="center"/>
        <w:outlineLvl w:val="0"/>
        <w:rPr>
          <w:rFonts w:ascii="方正小标宋简体" w:eastAsia="方正小标宋简体" w:hAnsi="宋体"/>
          <w:color w:val="000000"/>
          <w:sz w:val="72"/>
          <w:szCs w:val="72"/>
        </w:rPr>
      </w:pPr>
      <w:bookmarkStart w:id="0" w:name="_Toc15306267"/>
    </w:p>
    <w:p w:rsidR="00CC3BF3" w:rsidRDefault="00CC3BF3">
      <w:pPr>
        <w:spacing w:line="600" w:lineRule="exact"/>
        <w:jc w:val="center"/>
        <w:outlineLvl w:val="0"/>
        <w:rPr>
          <w:rFonts w:ascii="方正小标宋简体" w:eastAsia="方正小标宋简体" w:hAnsi="宋体"/>
          <w:color w:val="000000"/>
          <w:sz w:val="72"/>
          <w:szCs w:val="72"/>
        </w:rPr>
      </w:pPr>
    </w:p>
    <w:p w:rsidR="00CC3BF3" w:rsidRDefault="00CC3BF3">
      <w:pPr>
        <w:spacing w:line="600" w:lineRule="exact"/>
        <w:jc w:val="center"/>
        <w:outlineLvl w:val="0"/>
        <w:rPr>
          <w:rFonts w:ascii="方正小标宋简体" w:eastAsia="方正小标宋简体" w:hAnsi="宋体"/>
          <w:color w:val="000000"/>
          <w:sz w:val="72"/>
          <w:szCs w:val="72"/>
        </w:rPr>
      </w:pPr>
    </w:p>
    <w:p w:rsidR="00CC3BF3" w:rsidRDefault="00CC3BF3">
      <w:pPr>
        <w:spacing w:line="600" w:lineRule="exact"/>
        <w:jc w:val="center"/>
        <w:outlineLvl w:val="0"/>
        <w:rPr>
          <w:rFonts w:ascii="方正小标宋简体" w:eastAsia="方正小标宋简体" w:hAnsi="宋体"/>
          <w:color w:val="000000"/>
          <w:sz w:val="72"/>
          <w:szCs w:val="72"/>
        </w:rPr>
      </w:pPr>
    </w:p>
    <w:p w:rsidR="00CC3BF3" w:rsidRDefault="00CC3BF3">
      <w:pPr>
        <w:adjustRightInd w:val="0"/>
        <w:snapToGrid w:val="0"/>
        <w:spacing w:line="360" w:lineRule="auto"/>
        <w:jc w:val="center"/>
        <w:outlineLvl w:val="0"/>
        <w:rPr>
          <w:rFonts w:ascii="黑体" w:eastAsia="黑体" w:hAnsi="黑体"/>
          <w:color w:val="000000"/>
          <w:sz w:val="72"/>
          <w:szCs w:val="72"/>
        </w:rPr>
      </w:pPr>
      <w:bookmarkStart w:id="1" w:name="_Toc15396597"/>
      <w:bookmarkStart w:id="2" w:name="_Toc15377425"/>
      <w:bookmarkStart w:id="3" w:name="_Toc15378441"/>
      <w:bookmarkStart w:id="4" w:name="_Toc15377193"/>
      <w:bookmarkStart w:id="5" w:name="_Toc15396475"/>
    </w:p>
    <w:p w:rsidR="00CC3BF3" w:rsidRDefault="00CC3BF3">
      <w:pPr>
        <w:adjustRightInd w:val="0"/>
        <w:snapToGrid w:val="0"/>
        <w:spacing w:line="360" w:lineRule="auto"/>
        <w:jc w:val="center"/>
        <w:outlineLvl w:val="0"/>
        <w:rPr>
          <w:rFonts w:ascii="黑体" w:eastAsia="黑体" w:hAnsi="黑体"/>
          <w:color w:val="000000"/>
          <w:sz w:val="72"/>
          <w:szCs w:val="72"/>
        </w:rPr>
      </w:pPr>
    </w:p>
    <w:p w:rsidR="00CC3BF3" w:rsidRDefault="00FF7BC9">
      <w:pPr>
        <w:adjustRightInd w:val="0"/>
        <w:snapToGrid w:val="0"/>
        <w:spacing w:line="360" w:lineRule="auto"/>
        <w:jc w:val="center"/>
        <w:outlineLvl w:val="0"/>
        <w:rPr>
          <w:rFonts w:ascii="方正小标宋简体" w:eastAsia="方正小标宋简体" w:hAnsi="宋体"/>
          <w:color w:val="000000"/>
          <w:sz w:val="72"/>
          <w:szCs w:val="72"/>
        </w:rPr>
      </w:pPr>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CC3BF3" w:rsidRDefault="00FF7BC9">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96598"/>
      <w:bookmarkStart w:id="8" w:name="_Toc15378442"/>
      <w:bookmarkStart w:id="9" w:name="_Toc15396476"/>
      <w:bookmarkStart w:id="10" w:name="_Toc15306268"/>
      <w:bookmarkStart w:id="11" w:name="_Toc15377426"/>
      <w:bookmarkEnd w:id="0"/>
      <w:r>
        <w:rPr>
          <w:rFonts w:ascii="方正小标宋简体" w:eastAsia="方正小标宋简体" w:hAnsi="宋体" w:hint="eastAsia"/>
          <w:color w:val="000000"/>
          <w:sz w:val="72"/>
          <w:szCs w:val="72"/>
        </w:rPr>
        <w:t>广汉市三水中学部门决算</w:t>
      </w:r>
      <w:bookmarkEnd w:id="6"/>
      <w:bookmarkEnd w:id="7"/>
      <w:bookmarkEnd w:id="8"/>
      <w:bookmarkEnd w:id="9"/>
      <w:bookmarkEnd w:id="10"/>
      <w:bookmarkEnd w:id="11"/>
      <w:r>
        <w:rPr>
          <w:rFonts w:ascii="方正小标宋简体" w:eastAsia="方正小标宋简体" w:hAnsi="宋体" w:hint="eastAsia"/>
          <w:color w:val="000000"/>
          <w:sz w:val="72"/>
          <w:szCs w:val="72"/>
        </w:rPr>
        <w:t>编制说明</w:t>
      </w:r>
    </w:p>
    <w:p w:rsidR="00CC3BF3" w:rsidRDefault="00CC3BF3">
      <w:pPr>
        <w:widowControl/>
        <w:jc w:val="center"/>
        <w:rPr>
          <w:rFonts w:ascii="黑体" w:eastAsia="黑体" w:hAnsi="黑体"/>
          <w:color w:val="000000"/>
          <w:sz w:val="48"/>
          <w:szCs w:val="48"/>
        </w:rPr>
        <w:sectPr w:rsidR="00CC3BF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titlePg/>
          <w:docGrid w:type="lines" w:linePitch="312"/>
        </w:sectPr>
      </w:pPr>
    </w:p>
    <w:p w:rsidR="00CC3BF3" w:rsidRDefault="00FF7BC9">
      <w:pPr>
        <w:widowControl/>
        <w:jc w:val="center"/>
        <w:rPr>
          <w:rFonts w:ascii="黑体" w:eastAsia="黑体" w:hAnsi="黑体"/>
          <w:color w:val="000000"/>
          <w:sz w:val="48"/>
          <w:szCs w:val="48"/>
        </w:rPr>
      </w:pPr>
      <w:r>
        <w:rPr>
          <w:rFonts w:ascii="黑体" w:eastAsia="黑体" w:hAnsi="黑体" w:hint="eastAsia"/>
          <w:color w:val="000000"/>
          <w:sz w:val="48"/>
          <w:szCs w:val="48"/>
        </w:rPr>
        <w:lastRenderedPageBreak/>
        <w:t>目录</w:t>
      </w:r>
    </w:p>
    <w:p w:rsidR="00CC3BF3" w:rsidRDefault="00E85F75">
      <w:pPr>
        <w:widowControl/>
        <w:jc w:val="center"/>
        <w:rPr>
          <w:rFonts w:ascii="黑体" w:eastAsia="黑体" w:hAnsi="黑体"/>
          <w:sz w:val="28"/>
          <w:szCs w:val="28"/>
        </w:rPr>
      </w:pPr>
      <w:r>
        <w:rPr>
          <w:rFonts w:ascii="黑体" w:eastAsia="黑体" w:hAnsi="黑体"/>
          <w:color w:val="000000"/>
          <w:sz w:val="48"/>
          <w:szCs w:val="48"/>
        </w:rPr>
        <w:fldChar w:fldCharType="begin"/>
      </w:r>
      <w:r w:rsidR="00FF7BC9">
        <w:rPr>
          <w:rFonts w:ascii="黑体" w:eastAsia="黑体" w:hAnsi="黑体"/>
          <w:color w:val="000000"/>
          <w:sz w:val="48"/>
          <w:szCs w:val="48"/>
        </w:rPr>
        <w:instrText xml:space="preserve"> TOC \o "1-2" \h \z \u </w:instrText>
      </w:r>
      <w:r>
        <w:rPr>
          <w:rFonts w:ascii="黑体" w:eastAsia="黑体" w:hAnsi="黑体"/>
          <w:color w:val="000000"/>
          <w:sz w:val="48"/>
          <w:szCs w:val="48"/>
        </w:rPr>
        <w:fldChar w:fldCharType="separate"/>
      </w:r>
    </w:p>
    <w:p w:rsidR="00CC3BF3" w:rsidRDefault="00FF7BC9">
      <w:pPr>
        <w:pStyle w:val="10"/>
      </w:pPr>
      <w:r>
        <w:rPr>
          <w:rFonts w:hint="eastAsia"/>
        </w:rPr>
        <w:t>公开时间：</w:t>
      </w:r>
      <w:r>
        <w:t>20</w:t>
      </w:r>
      <w:r>
        <w:rPr>
          <w:rFonts w:hint="eastAsia"/>
        </w:rPr>
        <w:t>20年9月8日</w:t>
      </w:r>
    </w:p>
    <w:p w:rsidR="00CC3BF3" w:rsidRDefault="00CC3BF3"/>
    <w:p w:rsidR="00CC3BF3" w:rsidRDefault="00E85F75">
      <w:pPr>
        <w:pStyle w:val="10"/>
      </w:pPr>
      <w:hyperlink w:anchor="_Toc15396599" w:history="1">
        <w:r w:rsidR="00FF7BC9">
          <w:rPr>
            <w:rStyle w:val="a9"/>
            <w:rFonts w:hint="eastAsia"/>
          </w:rPr>
          <w:t>第一部分</w:t>
        </w:r>
        <w:r w:rsidR="00FF7BC9">
          <w:rPr>
            <w:rStyle w:val="a9"/>
          </w:rPr>
          <w:t xml:space="preserve"> </w:t>
        </w:r>
        <w:r w:rsidR="00FF7BC9">
          <w:rPr>
            <w:rStyle w:val="a9"/>
            <w:rFonts w:hint="eastAsia"/>
          </w:rPr>
          <w:t>部门概况</w:t>
        </w:r>
        <w:r w:rsidR="00FF7BC9">
          <w:tab/>
        </w:r>
        <w:r w:rsidR="00FF7BC9">
          <w:rPr>
            <w:rFonts w:hint="eastAsia"/>
          </w:rPr>
          <w:t>1</w:t>
        </w:r>
      </w:hyperlink>
    </w:p>
    <w:p w:rsidR="00CC3BF3" w:rsidRDefault="00E85F75">
      <w:pPr>
        <w:pStyle w:val="20"/>
        <w:rPr>
          <w:rFonts w:ascii="仿宋" w:eastAsia="仿宋" w:hAnsi="仿宋"/>
          <w:sz w:val="28"/>
          <w:szCs w:val="28"/>
        </w:rPr>
      </w:pPr>
      <w:hyperlink w:anchor="_Toc15396600" w:history="1">
        <w:r w:rsidR="00FF7BC9">
          <w:rPr>
            <w:rStyle w:val="a9"/>
            <w:rFonts w:ascii="仿宋" w:eastAsia="仿宋" w:hAnsi="仿宋" w:hint="eastAsia"/>
            <w:sz w:val="28"/>
            <w:szCs w:val="28"/>
          </w:rPr>
          <w:t>一、基本职能及主要工作</w:t>
        </w:r>
        <w:r w:rsidR="00FF7BC9">
          <w:rPr>
            <w:rFonts w:ascii="仿宋" w:eastAsia="仿宋" w:hAnsi="仿宋"/>
            <w:sz w:val="28"/>
            <w:szCs w:val="28"/>
          </w:rPr>
          <w:tab/>
        </w:r>
      </w:hyperlink>
      <w:r w:rsidR="00FF7BC9">
        <w:rPr>
          <w:rFonts w:ascii="仿宋" w:eastAsia="仿宋" w:hAnsi="仿宋" w:hint="eastAsia"/>
          <w:sz w:val="28"/>
          <w:szCs w:val="28"/>
        </w:rPr>
        <w:t>1</w:t>
      </w:r>
    </w:p>
    <w:p w:rsidR="00CC3BF3" w:rsidRDefault="00E85F75">
      <w:pPr>
        <w:pStyle w:val="20"/>
        <w:rPr>
          <w:rFonts w:ascii="仿宋" w:eastAsia="仿宋" w:hAnsi="仿宋"/>
          <w:sz w:val="28"/>
          <w:szCs w:val="28"/>
        </w:rPr>
      </w:pPr>
      <w:hyperlink w:anchor="_Toc15396601" w:history="1">
        <w:r w:rsidR="00FF7BC9">
          <w:rPr>
            <w:rStyle w:val="a9"/>
            <w:rFonts w:ascii="仿宋" w:eastAsia="仿宋" w:hAnsi="仿宋" w:hint="eastAsia"/>
            <w:sz w:val="28"/>
            <w:szCs w:val="28"/>
          </w:rPr>
          <w:t>二、机构设置</w:t>
        </w:r>
        <w:r w:rsidR="00FF7BC9">
          <w:rPr>
            <w:rFonts w:ascii="仿宋" w:eastAsia="仿宋" w:hAnsi="仿宋"/>
            <w:sz w:val="28"/>
            <w:szCs w:val="28"/>
          </w:rPr>
          <w:tab/>
        </w:r>
      </w:hyperlink>
      <w:r w:rsidR="00FF7BC9">
        <w:rPr>
          <w:rFonts w:ascii="仿宋" w:eastAsia="仿宋" w:hAnsi="仿宋" w:hint="eastAsia"/>
          <w:sz w:val="28"/>
          <w:szCs w:val="28"/>
        </w:rPr>
        <w:t>1</w:t>
      </w:r>
    </w:p>
    <w:p w:rsidR="00CC3BF3" w:rsidRDefault="00E85F75">
      <w:pPr>
        <w:pStyle w:val="10"/>
      </w:pPr>
      <w:hyperlink w:anchor="_Toc15396602" w:history="1">
        <w:r w:rsidR="00FF7BC9">
          <w:rPr>
            <w:rStyle w:val="a9"/>
            <w:rFonts w:hint="eastAsia"/>
          </w:rPr>
          <w:t>第二部分</w:t>
        </w:r>
        <w:r w:rsidR="00FF7BC9">
          <w:rPr>
            <w:rStyle w:val="a9"/>
          </w:rPr>
          <w:t xml:space="preserve"> 201</w:t>
        </w:r>
        <w:r w:rsidR="00FF7BC9">
          <w:rPr>
            <w:rStyle w:val="a9"/>
            <w:rFonts w:hint="eastAsia"/>
          </w:rPr>
          <w:t>9年度部门决算情况说明</w:t>
        </w:r>
        <w:r w:rsidR="00FF7BC9">
          <w:tab/>
        </w:r>
      </w:hyperlink>
      <w:r w:rsidR="00FF7BC9">
        <w:rPr>
          <w:rFonts w:hint="eastAsia"/>
        </w:rPr>
        <w:t>2</w:t>
      </w:r>
    </w:p>
    <w:p w:rsidR="00CC3BF3" w:rsidRDefault="00E85F75">
      <w:pPr>
        <w:pStyle w:val="20"/>
        <w:rPr>
          <w:rFonts w:ascii="仿宋" w:eastAsia="仿宋" w:hAnsi="仿宋"/>
          <w:sz w:val="28"/>
          <w:szCs w:val="28"/>
        </w:rPr>
      </w:pPr>
      <w:hyperlink w:anchor="_Toc15396603" w:history="1">
        <w:r w:rsidR="00FF7BC9">
          <w:rPr>
            <w:rStyle w:val="a9"/>
            <w:rFonts w:ascii="仿宋" w:eastAsia="仿宋" w:hAnsi="仿宋" w:hint="eastAsia"/>
            <w:bCs/>
            <w:sz w:val="28"/>
            <w:szCs w:val="28"/>
          </w:rPr>
          <w:t>一、</w:t>
        </w:r>
        <w:r w:rsidR="00FF7BC9">
          <w:rPr>
            <w:rStyle w:val="a9"/>
            <w:rFonts w:ascii="仿宋" w:eastAsia="仿宋" w:hAnsi="仿宋" w:hint="eastAsia"/>
            <w:sz w:val="28"/>
            <w:szCs w:val="28"/>
          </w:rPr>
          <w:t>收</w:t>
        </w:r>
        <w:r w:rsidR="00FF7BC9">
          <w:rPr>
            <w:rStyle w:val="a9"/>
            <w:rFonts w:ascii="仿宋" w:eastAsia="仿宋" w:hAnsi="仿宋" w:hint="eastAsia"/>
            <w:bCs/>
            <w:sz w:val="28"/>
            <w:szCs w:val="28"/>
          </w:rPr>
          <w:t>入支出决算总体情况说明</w:t>
        </w:r>
        <w:r w:rsidR="00FF7BC9">
          <w:rPr>
            <w:rFonts w:ascii="仿宋" w:eastAsia="仿宋" w:hAnsi="仿宋"/>
            <w:sz w:val="28"/>
            <w:szCs w:val="28"/>
          </w:rPr>
          <w:tab/>
        </w:r>
      </w:hyperlink>
      <w:r w:rsidR="00FF7BC9">
        <w:rPr>
          <w:rFonts w:ascii="仿宋" w:eastAsia="仿宋" w:hAnsi="仿宋" w:hint="eastAsia"/>
          <w:sz w:val="28"/>
          <w:szCs w:val="28"/>
        </w:rPr>
        <w:t>2</w:t>
      </w:r>
    </w:p>
    <w:p w:rsidR="00CC3BF3" w:rsidRDefault="00E85F75">
      <w:pPr>
        <w:pStyle w:val="20"/>
        <w:rPr>
          <w:rFonts w:ascii="仿宋" w:eastAsia="仿宋" w:hAnsi="仿宋"/>
          <w:sz w:val="28"/>
          <w:szCs w:val="28"/>
        </w:rPr>
      </w:pPr>
      <w:hyperlink w:anchor="_Toc15396604" w:history="1">
        <w:r w:rsidR="00FF7BC9">
          <w:rPr>
            <w:rStyle w:val="a9"/>
            <w:rFonts w:ascii="仿宋" w:eastAsia="仿宋" w:hAnsi="仿宋" w:hint="eastAsia"/>
            <w:bCs/>
            <w:sz w:val="28"/>
            <w:szCs w:val="28"/>
          </w:rPr>
          <w:t>二、</w:t>
        </w:r>
        <w:r w:rsidR="00FF7BC9">
          <w:rPr>
            <w:rStyle w:val="a9"/>
            <w:rFonts w:ascii="仿宋" w:eastAsia="仿宋" w:hAnsi="仿宋" w:hint="eastAsia"/>
            <w:sz w:val="28"/>
            <w:szCs w:val="28"/>
          </w:rPr>
          <w:t>收</w:t>
        </w:r>
        <w:r w:rsidR="00FF7BC9">
          <w:rPr>
            <w:rStyle w:val="a9"/>
            <w:rFonts w:ascii="仿宋" w:eastAsia="仿宋" w:hAnsi="仿宋" w:hint="eastAsia"/>
            <w:bCs/>
            <w:sz w:val="28"/>
            <w:szCs w:val="28"/>
          </w:rPr>
          <w:t>入决算情况说明</w:t>
        </w:r>
        <w:r w:rsidR="00FF7BC9">
          <w:rPr>
            <w:rFonts w:ascii="仿宋" w:eastAsia="仿宋" w:hAnsi="仿宋"/>
            <w:sz w:val="28"/>
            <w:szCs w:val="28"/>
          </w:rPr>
          <w:tab/>
        </w:r>
      </w:hyperlink>
      <w:r w:rsidR="00FF7BC9">
        <w:rPr>
          <w:rFonts w:ascii="仿宋" w:eastAsia="仿宋" w:hAnsi="仿宋" w:hint="eastAsia"/>
          <w:sz w:val="28"/>
          <w:szCs w:val="28"/>
        </w:rPr>
        <w:t>2</w:t>
      </w:r>
    </w:p>
    <w:p w:rsidR="00CC3BF3" w:rsidRDefault="00E85F75">
      <w:pPr>
        <w:pStyle w:val="20"/>
        <w:rPr>
          <w:rFonts w:ascii="仿宋" w:eastAsia="仿宋" w:hAnsi="仿宋"/>
          <w:sz w:val="28"/>
          <w:szCs w:val="28"/>
        </w:rPr>
      </w:pPr>
      <w:hyperlink w:anchor="_Toc15396605" w:history="1">
        <w:r w:rsidR="00FF7BC9">
          <w:rPr>
            <w:rStyle w:val="a9"/>
            <w:rFonts w:ascii="仿宋" w:eastAsia="仿宋" w:hAnsi="仿宋" w:hint="eastAsia"/>
            <w:bCs/>
            <w:sz w:val="28"/>
            <w:szCs w:val="28"/>
          </w:rPr>
          <w:t>三、</w:t>
        </w:r>
        <w:r w:rsidR="00FF7BC9">
          <w:rPr>
            <w:rStyle w:val="a9"/>
            <w:rFonts w:ascii="仿宋" w:eastAsia="仿宋" w:hAnsi="仿宋" w:hint="eastAsia"/>
            <w:sz w:val="28"/>
            <w:szCs w:val="28"/>
          </w:rPr>
          <w:t>支</w:t>
        </w:r>
        <w:r w:rsidR="00FF7BC9">
          <w:rPr>
            <w:rStyle w:val="a9"/>
            <w:rFonts w:ascii="仿宋" w:eastAsia="仿宋" w:hAnsi="仿宋" w:hint="eastAsia"/>
            <w:bCs/>
            <w:sz w:val="28"/>
            <w:szCs w:val="28"/>
          </w:rPr>
          <w:t>出决算情况说明</w:t>
        </w:r>
        <w:r w:rsidR="00FF7BC9">
          <w:rPr>
            <w:rFonts w:ascii="仿宋" w:eastAsia="仿宋" w:hAnsi="仿宋"/>
            <w:sz w:val="28"/>
            <w:szCs w:val="28"/>
          </w:rPr>
          <w:tab/>
        </w:r>
      </w:hyperlink>
      <w:r w:rsidR="00FF7BC9">
        <w:rPr>
          <w:rFonts w:ascii="仿宋" w:eastAsia="仿宋" w:hAnsi="仿宋" w:hint="eastAsia"/>
          <w:sz w:val="28"/>
          <w:szCs w:val="28"/>
        </w:rPr>
        <w:t>3</w:t>
      </w:r>
    </w:p>
    <w:p w:rsidR="00CC3BF3" w:rsidRDefault="00E85F75">
      <w:pPr>
        <w:pStyle w:val="20"/>
        <w:rPr>
          <w:rFonts w:ascii="仿宋" w:eastAsia="仿宋" w:hAnsi="仿宋"/>
          <w:sz w:val="28"/>
          <w:szCs w:val="28"/>
        </w:rPr>
      </w:pPr>
      <w:hyperlink w:anchor="_Toc15396606" w:history="1">
        <w:r w:rsidR="00FF7BC9">
          <w:rPr>
            <w:rStyle w:val="a9"/>
            <w:rFonts w:ascii="仿宋" w:eastAsia="仿宋" w:hAnsi="仿宋" w:hint="eastAsia"/>
            <w:sz w:val="28"/>
            <w:szCs w:val="28"/>
          </w:rPr>
          <w:t>四、财</w:t>
        </w:r>
        <w:r w:rsidR="00FF7BC9">
          <w:rPr>
            <w:rStyle w:val="a9"/>
            <w:rFonts w:ascii="仿宋" w:eastAsia="仿宋" w:hAnsi="仿宋" w:hint="eastAsia"/>
            <w:bCs/>
            <w:sz w:val="28"/>
            <w:szCs w:val="28"/>
          </w:rPr>
          <w:t>政拨款收入支出决算总体情况说明</w:t>
        </w:r>
        <w:r w:rsidR="00FF7BC9">
          <w:rPr>
            <w:rFonts w:ascii="仿宋" w:eastAsia="仿宋" w:hAnsi="仿宋"/>
            <w:sz w:val="28"/>
            <w:szCs w:val="28"/>
          </w:rPr>
          <w:tab/>
        </w:r>
      </w:hyperlink>
      <w:r w:rsidR="00FF7BC9">
        <w:rPr>
          <w:rFonts w:ascii="仿宋" w:eastAsia="仿宋" w:hAnsi="仿宋" w:hint="eastAsia"/>
          <w:sz w:val="28"/>
          <w:szCs w:val="28"/>
        </w:rPr>
        <w:t>3</w:t>
      </w:r>
    </w:p>
    <w:p w:rsidR="00CC3BF3" w:rsidRDefault="00E85F75">
      <w:pPr>
        <w:pStyle w:val="20"/>
        <w:rPr>
          <w:rFonts w:ascii="仿宋" w:eastAsia="仿宋" w:hAnsi="仿宋"/>
          <w:sz w:val="28"/>
          <w:szCs w:val="28"/>
        </w:rPr>
      </w:pPr>
      <w:hyperlink w:anchor="_Toc15396607" w:history="1">
        <w:r w:rsidR="00FF7BC9">
          <w:rPr>
            <w:rStyle w:val="a9"/>
            <w:rFonts w:ascii="仿宋" w:eastAsia="仿宋" w:hAnsi="仿宋" w:hint="eastAsia"/>
            <w:sz w:val="28"/>
            <w:szCs w:val="28"/>
          </w:rPr>
          <w:t>五、一</w:t>
        </w:r>
        <w:r w:rsidR="00FF7BC9">
          <w:rPr>
            <w:rStyle w:val="a9"/>
            <w:rFonts w:ascii="仿宋" w:eastAsia="仿宋" w:hAnsi="仿宋" w:hint="eastAsia"/>
            <w:bCs/>
            <w:sz w:val="28"/>
            <w:szCs w:val="28"/>
          </w:rPr>
          <w:t>般公共预算财政拨款支出决算情况说明</w:t>
        </w:r>
        <w:r w:rsidR="00FF7BC9">
          <w:rPr>
            <w:rFonts w:ascii="仿宋" w:eastAsia="仿宋" w:hAnsi="仿宋"/>
            <w:sz w:val="28"/>
            <w:szCs w:val="28"/>
          </w:rPr>
          <w:tab/>
        </w:r>
        <w:r w:rsidR="00FF7BC9">
          <w:rPr>
            <w:rFonts w:ascii="仿宋" w:eastAsia="仿宋" w:hAnsi="仿宋" w:hint="eastAsia"/>
            <w:sz w:val="28"/>
            <w:szCs w:val="28"/>
          </w:rPr>
          <w:t>4</w:t>
        </w:r>
      </w:hyperlink>
    </w:p>
    <w:p w:rsidR="00CC3BF3" w:rsidRDefault="00E85F75">
      <w:pPr>
        <w:pStyle w:val="20"/>
        <w:rPr>
          <w:rFonts w:ascii="仿宋" w:eastAsia="仿宋" w:hAnsi="仿宋"/>
          <w:sz w:val="28"/>
          <w:szCs w:val="28"/>
        </w:rPr>
      </w:pPr>
      <w:hyperlink w:anchor="_Toc15396608" w:history="1">
        <w:r w:rsidR="00FF7BC9">
          <w:rPr>
            <w:rStyle w:val="a9"/>
            <w:rFonts w:ascii="仿宋" w:eastAsia="仿宋" w:hAnsi="仿宋" w:hint="eastAsia"/>
            <w:sz w:val="28"/>
            <w:szCs w:val="28"/>
          </w:rPr>
          <w:t>六、一</w:t>
        </w:r>
        <w:r w:rsidR="00FF7BC9">
          <w:rPr>
            <w:rStyle w:val="a9"/>
            <w:rFonts w:ascii="仿宋" w:eastAsia="仿宋" w:hAnsi="仿宋" w:hint="eastAsia"/>
            <w:bCs/>
            <w:sz w:val="28"/>
            <w:szCs w:val="28"/>
          </w:rPr>
          <w:t>般公共预算财政拨款基本支出决算情况说明</w:t>
        </w:r>
        <w:r w:rsidR="00FF7BC9">
          <w:rPr>
            <w:rFonts w:ascii="仿宋" w:eastAsia="仿宋" w:hAnsi="仿宋"/>
            <w:sz w:val="28"/>
            <w:szCs w:val="28"/>
          </w:rPr>
          <w:tab/>
        </w:r>
      </w:hyperlink>
      <w:r w:rsidR="00FF7BC9">
        <w:rPr>
          <w:rFonts w:ascii="仿宋" w:eastAsia="仿宋" w:hAnsi="仿宋" w:hint="eastAsia"/>
          <w:sz w:val="28"/>
          <w:szCs w:val="28"/>
        </w:rPr>
        <w:t>6</w:t>
      </w:r>
    </w:p>
    <w:p w:rsidR="00CC3BF3" w:rsidRDefault="00E85F75">
      <w:pPr>
        <w:pStyle w:val="20"/>
        <w:rPr>
          <w:rFonts w:ascii="仿宋" w:eastAsia="仿宋" w:hAnsi="仿宋"/>
          <w:sz w:val="28"/>
          <w:szCs w:val="28"/>
        </w:rPr>
      </w:pPr>
      <w:hyperlink w:anchor="_Toc15396609" w:history="1">
        <w:r w:rsidR="00FF7BC9">
          <w:rPr>
            <w:rStyle w:val="a9"/>
            <w:rFonts w:ascii="仿宋" w:eastAsia="仿宋" w:hAnsi="仿宋" w:hint="eastAsia"/>
            <w:sz w:val="28"/>
            <w:szCs w:val="28"/>
          </w:rPr>
          <w:t>七、“</w:t>
        </w:r>
        <w:r w:rsidR="00FF7BC9">
          <w:rPr>
            <w:rStyle w:val="a9"/>
            <w:rFonts w:ascii="仿宋" w:eastAsia="仿宋" w:hAnsi="仿宋" w:hint="eastAsia"/>
            <w:bCs/>
            <w:sz w:val="28"/>
            <w:szCs w:val="28"/>
          </w:rPr>
          <w:t>三公”经费财政拨款支出决算情况说明</w:t>
        </w:r>
        <w:r w:rsidR="00FF7BC9">
          <w:rPr>
            <w:rFonts w:ascii="仿宋" w:eastAsia="仿宋" w:hAnsi="仿宋"/>
            <w:sz w:val="28"/>
            <w:szCs w:val="28"/>
          </w:rPr>
          <w:tab/>
        </w:r>
      </w:hyperlink>
      <w:r w:rsidR="00FF7BC9">
        <w:rPr>
          <w:rFonts w:ascii="仿宋" w:eastAsia="仿宋" w:hAnsi="仿宋" w:hint="eastAsia"/>
          <w:sz w:val="28"/>
          <w:szCs w:val="28"/>
        </w:rPr>
        <w:t>7</w:t>
      </w:r>
    </w:p>
    <w:p w:rsidR="00CC3BF3" w:rsidRDefault="00E85F75">
      <w:pPr>
        <w:pStyle w:val="20"/>
        <w:rPr>
          <w:rFonts w:ascii="仿宋" w:eastAsia="仿宋" w:hAnsi="仿宋"/>
          <w:sz w:val="28"/>
          <w:szCs w:val="28"/>
        </w:rPr>
      </w:pPr>
      <w:hyperlink w:anchor="_Toc15396610" w:history="1">
        <w:r w:rsidR="00FF7BC9">
          <w:rPr>
            <w:rStyle w:val="a9"/>
            <w:rFonts w:ascii="仿宋" w:eastAsia="仿宋" w:hAnsi="仿宋" w:hint="eastAsia"/>
            <w:sz w:val="28"/>
            <w:szCs w:val="28"/>
          </w:rPr>
          <w:t>八、</w:t>
        </w:r>
        <w:r w:rsidR="00FF7BC9">
          <w:rPr>
            <w:rStyle w:val="a9"/>
            <w:rFonts w:ascii="仿宋" w:eastAsia="仿宋" w:hAnsi="仿宋" w:hint="eastAsia"/>
            <w:bCs/>
            <w:sz w:val="28"/>
            <w:szCs w:val="28"/>
          </w:rPr>
          <w:t>政府性基金预算支出决算情况说明</w:t>
        </w:r>
        <w:r w:rsidR="00FF7BC9">
          <w:rPr>
            <w:rFonts w:ascii="仿宋" w:eastAsia="仿宋" w:hAnsi="仿宋"/>
            <w:sz w:val="28"/>
            <w:szCs w:val="28"/>
          </w:rPr>
          <w:tab/>
        </w:r>
      </w:hyperlink>
      <w:r w:rsidR="00FF7BC9">
        <w:rPr>
          <w:rFonts w:ascii="仿宋" w:eastAsia="仿宋" w:hAnsi="仿宋" w:hint="eastAsia"/>
          <w:sz w:val="28"/>
          <w:szCs w:val="28"/>
        </w:rPr>
        <w:t>7</w:t>
      </w:r>
    </w:p>
    <w:p w:rsidR="00CC3BF3" w:rsidRDefault="00E85F75">
      <w:pPr>
        <w:pStyle w:val="20"/>
        <w:rPr>
          <w:rFonts w:ascii="仿宋" w:eastAsia="仿宋" w:hAnsi="仿宋"/>
          <w:sz w:val="28"/>
          <w:szCs w:val="28"/>
        </w:rPr>
      </w:pPr>
      <w:hyperlink w:anchor="_Toc15396611" w:history="1">
        <w:r w:rsidR="00FF7BC9">
          <w:rPr>
            <w:rStyle w:val="a9"/>
            <w:rFonts w:ascii="仿宋" w:eastAsia="仿宋" w:hAnsi="仿宋" w:hint="eastAsia"/>
            <w:bCs/>
            <w:sz w:val="28"/>
            <w:szCs w:val="28"/>
          </w:rPr>
          <w:t>九、</w:t>
        </w:r>
        <w:r w:rsidR="00FF7BC9">
          <w:rPr>
            <w:rStyle w:val="a9"/>
            <w:rFonts w:ascii="仿宋" w:eastAsia="仿宋" w:hAnsi="仿宋"/>
            <w:sz w:val="28"/>
            <w:szCs w:val="28"/>
          </w:rPr>
          <w:t xml:space="preserve"> </w:t>
        </w:r>
        <w:r w:rsidR="00FF7BC9">
          <w:rPr>
            <w:rStyle w:val="a9"/>
            <w:rFonts w:ascii="仿宋" w:eastAsia="仿宋" w:hAnsi="仿宋" w:hint="eastAsia"/>
            <w:sz w:val="28"/>
            <w:szCs w:val="28"/>
          </w:rPr>
          <w:t>国</w:t>
        </w:r>
        <w:r w:rsidR="00FF7BC9">
          <w:rPr>
            <w:rStyle w:val="a9"/>
            <w:rFonts w:ascii="仿宋" w:eastAsia="仿宋" w:hAnsi="仿宋" w:hint="eastAsia"/>
            <w:bCs/>
            <w:sz w:val="28"/>
            <w:szCs w:val="28"/>
          </w:rPr>
          <w:t>有资本经营预算支出决算情况说明</w:t>
        </w:r>
        <w:r w:rsidR="00FF7BC9">
          <w:rPr>
            <w:rFonts w:ascii="仿宋" w:eastAsia="仿宋" w:hAnsi="仿宋"/>
            <w:sz w:val="28"/>
            <w:szCs w:val="28"/>
          </w:rPr>
          <w:tab/>
        </w:r>
        <w:r w:rsidR="00FF7BC9">
          <w:rPr>
            <w:rFonts w:ascii="仿宋" w:eastAsia="仿宋" w:hAnsi="仿宋" w:hint="eastAsia"/>
            <w:sz w:val="28"/>
            <w:szCs w:val="28"/>
          </w:rPr>
          <w:t>8</w:t>
        </w:r>
      </w:hyperlink>
    </w:p>
    <w:p w:rsidR="00CC3BF3" w:rsidRDefault="00E85F75">
      <w:pPr>
        <w:pStyle w:val="20"/>
        <w:rPr>
          <w:rFonts w:ascii="仿宋" w:eastAsia="仿宋" w:hAnsi="仿宋"/>
          <w:sz w:val="28"/>
          <w:szCs w:val="28"/>
        </w:rPr>
      </w:pPr>
      <w:hyperlink w:anchor="_Toc15396612" w:history="1">
        <w:r w:rsidR="00FF7BC9">
          <w:rPr>
            <w:rStyle w:val="a9"/>
            <w:rFonts w:ascii="仿宋" w:eastAsia="仿宋" w:hAnsi="仿宋" w:hint="eastAsia"/>
            <w:sz w:val="28"/>
            <w:szCs w:val="28"/>
          </w:rPr>
          <w:t>十</w:t>
        </w:r>
        <w:r w:rsidR="00FF7BC9">
          <w:rPr>
            <w:rStyle w:val="a9"/>
            <w:rFonts w:ascii="仿宋" w:eastAsia="仿宋" w:hAnsi="仿宋" w:hint="eastAsia"/>
            <w:bCs/>
            <w:sz w:val="28"/>
            <w:szCs w:val="28"/>
          </w:rPr>
          <w:t>、其他重要事项的情况说明</w:t>
        </w:r>
        <w:r w:rsidR="00FF7BC9">
          <w:rPr>
            <w:rFonts w:ascii="仿宋" w:eastAsia="仿宋" w:hAnsi="仿宋"/>
            <w:sz w:val="28"/>
            <w:szCs w:val="28"/>
          </w:rPr>
          <w:tab/>
        </w:r>
        <w:r w:rsidR="00FF7BC9">
          <w:rPr>
            <w:rFonts w:ascii="仿宋" w:eastAsia="仿宋" w:hAnsi="仿宋" w:hint="eastAsia"/>
            <w:sz w:val="28"/>
            <w:szCs w:val="28"/>
          </w:rPr>
          <w:t>8</w:t>
        </w:r>
      </w:hyperlink>
    </w:p>
    <w:p w:rsidR="00CC3BF3" w:rsidRDefault="00E85F75">
      <w:pPr>
        <w:pStyle w:val="10"/>
      </w:pPr>
      <w:hyperlink w:anchor="_Toc15396613" w:history="1">
        <w:r w:rsidR="00FF7BC9">
          <w:rPr>
            <w:rStyle w:val="a9"/>
            <w:rFonts w:hint="eastAsia"/>
            <w:bCs/>
            <w:kern w:val="44"/>
          </w:rPr>
          <w:t>第三部分</w:t>
        </w:r>
        <w:r w:rsidR="00FF7BC9">
          <w:rPr>
            <w:rStyle w:val="a9"/>
          </w:rPr>
          <w:t xml:space="preserve"> </w:t>
        </w:r>
        <w:r w:rsidR="00FF7BC9">
          <w:rPr>
            <w:rStyle w:val="a9"/>
            <w:rFonts w:hint="eastAsia"/>
          </w:rPr>
          <w:t>名</w:t>
        </w:r>
        <w:r w:rsidR="00FF7BC9">
          <w:rPr>
            <w:rStyle w:val="a9"/>
            <w:rFonts w:hint="eastAsia"/>
            <w:bCs/>
            <w:kern w:val="44"/>
          </w:rPr>
          <w:t>词解释</w:t>
        </w:r>
        <w:r w:rsidR="00FF7BC9">
          <w:tab/>
        </w:r>
        <w:r w:rsidR="00FF7BC9">
          <w:rPr>
            <w:rFonts w:hint="eastAsia"/>
          </w:rPr>
          <w:t>9</w:t>
        </w:r>
      </w:hyperlink>
    </w:p>
    <w:p w:rsidR="00CC3BF3" w:rsidRDefault="00E85F75">
      <w:pPr>
        <w:pStyle w:val="10"/>
      </w:pPr>
      <w:hyperlink w:anchor="_Toc15396614" w:history="1">
        <w:r w:rsidR="00FF7BC9">
          <w:rPr>
            <w:rStyle w:val="a9"/>
            <w:rFonts w:hint="eastAsia"/>
          </w:rPr>
          <w:t>第</w:t>
        </w:r>
        <w:r w:rsidR="00FF7BC9">
          <w:rPr>
            <w:rStyle w:val="a9"/>
            <w:rFonts w:hint="eastAsia"/>
            <w:bCs/>
            <w:kern w:val="44"/>
          </w:rPr>
          <w:t>四部分</w:t>
        </w:r>
        <w:r w:rsidR="00FF7BC9">
          <w:rPr>
            <w:rStyle w:val="a9"/>
            <w:bCs/>
            <w:kern w:val="44"/>
          </w:rPr>
          <w:t xml:space="preserve"> </w:t>
        </w:r>
        <w:r w:rsidR="00FF7BC9">
          <w:rPr>
            <w:rStyle w:val="a9"/>
            <w:rFonts w:hint="eastAsia"/>
            <w:bCs/>
            <w:kern w:val="44"/>
          </w:rPr>
          <w:t>附件</w:t>
        </w:r>
        <w:r w:rsidR="00FF7BC9">
          <w:tab/>
        </w:r>
        <w:r w:rsidR="00FF7BC9">
          <w:rPr>
            <w:rFonts w:hint="eastAsia"/>
          </w:rPr>
          <w:t>1</w:t>
        </w:r>
      </w:hyperlink>
      <w:r w:rsidR="00FF7BC9">
        <w:rPr>
          <w:rFonts w:hint="eastAsia"/>
        </w:rPr>
        <w:t>1</w:t>
      </w:r>
    </w:p>
    <w:p w:rsidR="00CC3BF3" w:rsidRDefault="00CC3BF3">
      <w:pPr>
        <w:pStyle w:val="10"/>
        <w:sectPr w:rsidR="00CC3BF3">
          <w:footerReference w:type="default" r:id="rId14"/>
          <w:footerReference w:type="first" r:id="rId15"/>
          <w:pgSz w:w="11906" w:h="16838"/>
          <w:pgMar w:top="1440" w:right="1800" w:bottom="1440" w:left="1800" w:header="851" w:footer="992" w:gutter="0"/>
          <w:pgNumType w:start="1"/>
          <w:cols w:space="425"/>
          <w:titlePg/>
          <w:docGrid w:type="lines" w:linePitch="312"/>
        </w:sectPr>
      </w:pPr>
    </w:p>
    <w:p w:rsidR="00CC3BF3" w:rsidRDefault="00E85F75">
      <w:pPr>
        <w:pStyle w:val="10"/>
      </w:pPr>
      <w:hyperlink w:anchor="_Toc15396618" w:history="1">
        <w:r w:rsidR="00FF7BC9">
          <w:rPr>
            <w:rStyle w:val="a9"/>
            <w:rFonts w:hint="eastAsia"/>
          </w:rPr>
          <w:t>第</w:t>
        </w:r>
        <w:r w:rsidR="00FF7BC9">
          <w:rPr>
            <w:rStyle w:val="a9"/>
            <w:rFonts w:hint="eastAsia"/>
            <w:bCs/>
            <w:kern w:val="44"/>
          </w:rPr>
          <w:t>五部分</w:t>
        </w:r>
        <w:r w:rsidR="00FF7BC9">
          <w:rPr>
            <w:rStyle w:val="a9"/>
            <w:bCs/>
            <w:kern w:val="44"/>
          </w:rPr>
          <w:t xml:space="preserve"> </w:t>
        </w:r>
        <w:r w:rsidR="00FF7BC9">
          <w:rPr>
            <w:rStyle w:val="a9"/>
            <w:rFonts w:hint="eastAsia"/>
            <w:bCs/>
            <w:kern w:val="44"/>
          </w:rPr>
          <w:t>附表</w:t>
        </w:r>
        <w:r w:rsidR="00FF7BC9">
          <w:tab/>
        </w:r>
      </w:hyperlink>
    </w:p>
    <w:p w:rsidR="00CC3BF3" w:rsidRDefault="00FF7BC9">
      <w:pPr>
        <w:pStyle w:val="20"/>
        <w:rPr>
          <w:rFonts w:ascii="仿宋" w:eastAsia="仿宋" w:hAnsi="仿宋"/>
          <w:sz w:val="28"/>
          <w:szCs w:val="28"/>
        </w:rPr>
      </w:pPr>
      <w:r>
        <w:rPr>
          <w:rFonts w:ascii="仿宋" w:eastAsia="仿宋" w:hAnsi="仿宋" w:hint="eastAsia"/>
          <w:sz w:val="28"/>
          <w:szCs w:val="28"/>
        </w:rPr>
        <w:t>一、</w:t>
      </w:r>
      <w:hyperlink w:anchor="_Toc15396619" w:history="1">
        <w:r>
          <w:rPr>
            <w:rStyle w:val="a9"/>
            <w:rFonts w:ascii="仿宋" w:eastAsia="仿宋" w:hAnsi="仿宋" w:hint="eastAsia"/>
            <w:sz w:val="28"/>
            <w:szCs w:val="28"/>
          </w:rPr>
          <w:t>收入支出决算总表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二、</w:t>
      </w:r>
      <w:hyperlink w:anchor="_Toc15396620" w:history="1">
        <w:r>
          <w:rPr>
            <w:rStyle w:val="a9"/>
            <w:rFonts w:ascii="仿宋" w:eastAsia="仿宋" w:hAnsi="仿宋" w:hint="eastAsia"/>
            <w:sz w:val="28"/>
            <w:szCs w:val="28"/>
          </w:rPr>
          <w:t>收入决算表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三、</w:t>
      </w:r>
      <w:hyperlink w:anchor="_Toc15396621" w:history="1">
        <w:r>
          <w:rPr>
            <w:rStyle w:val="a9"/>
            <w:rFonts w:ascii="仿宋" w:eastAsia="仿宋" w:hAnsi="仿宋" w:hint="eastAsia"/>
            <w:sz w:val="28"/>
            <w:szCs w:val="28"/>
          </w:rPr>
          <w:t>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四、</w:t>
      </w:r>
      <w:hyperlink w:anchor="_Toc15396622" w:history="1">
        <w:r>
          <w:rPr>
            <w:rStyle w:val="a9"/>
            <w:rFonts w:ascii="仿宋" w:eastAsia="仿宋" w:hAnsi="仿宋" w:hint="eastAsia"/>
            <w:sz w:val="28"/>
            <w:szCs w:val="28"/>
          </w:rPr>
          <w:t>财政拨款收入支出决算总表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五、</w:t>
      </w:r>
      <w:hyperlink w:anchor="_Toc15396623" w:history="1">
        <w:r>
          <w:rPr>
            <w:rFonts w:ascii="仿宋" w:eastAsia="仿宋" w:hAnsi="仿宋" w:hint="eastAsia"/>
            <w:sz w:val="28"/>
            <w:szCs w:val="28"/>
          </w:rPr>
          <w:t>财政拨款支出决算明细表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六、</w:t>
      </w:r>
      <w:hyperlink w:anchor="_Toc15396624" w:history="1">
        <w:r>
          <w:rPr>
            <w:rStyle w:val="a9"/>
            <w:rFonts w:ascii="仿宋" w:eastAsia="仿宋" w:hAnsi="仿宋" w:hint="eastAsia"/>
            <w:sz w:val="28"/>
            <w:szCs w:val="28"/>
          </w:rPr>
          <w:t>一般公共预算财政拨款支出决算表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七、</w:t>
      </w:r>
      <w:hyperlink w:anchor="_Toc15396625" w:history="1">
        <w:r>
          <w:rPr>
            <w:rStyle w:val="a9"/>
            <w:rFonts w:ascii="仿宋" w:eastAsia="仿宋" w:hAnsi="仿宋" w:hint="eastAsia"/>
            <w:sz w:val="28"/>
            <w:szCs w:val="28"/>
          </w:rPr>
          <w:t>一般公共预算财政拨款支出决算明细表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八、</w:t>
      </w:r>
      <w:hyperlink w:anchor="_Toc15396626" w:history="1">
        <w:r>
          <w:rPr>
            <w:rStyle w:val="a9"/>
            <w:rFonts w:ascii="仿宋" w:eastAsia="仿宋" w:hAnsi="仿宋" w:hint="eastAsia"/>
            <w:sz w:val="28"/>
            <w:szCs w:val="28"/>
          </w:rPr>
          <w:t>一般公共预算财政拨款基本支出决算表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九、</w:t>
      </w:r>
      <w:hyperlink w:anchor="_Toc15396627" w:history="1">
        <w:r>
          <w:rPr>
            <w:rStyle w:val="a9"/>
            <w:rFonts w:ascii="仿宋" w:eastAsia="仿宋" w:hAnsi="仿宋" w:hint="eastAsia"/>
            <w:sz w:val="28"/>
            <w:szCs w:val="28"/>
          </w:rPr>
          <w:t>一般公共预算财政拨款项目支出决算表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十、</w:t>
      </w:r>
      <w:hyperlink w:anchor="_Toc15396628" w:history="1">
        <w:r>
          <w:rPr>
            <w:rStyle w:val="a9"/>
            <w:rFonts w:ascii="仿宋" w:eastAsia="仿宋" w:hAnsi="仿宋" w:hint="eastAsia"/>
            <w:sz w:val="28"/>
            <w:szCs w:val="28"/>
          </w:rPr>
          <w:t>一般公共预算财政拨款“三公”经费支出决算表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十一、</w:t>
      </w:r>
      <w:hyperlink w:anchor="_Toc15396629" w:history="1">
        <w:r>
          <w:rPr>
            <w:rStyle w:val="a9"/>
            <w:rFonts w:ascii="仿宋" w:eastAsia="仿宋" w:hAnsi="仿宋" w:hint="eastAsia"/>
            <w:sz w:val="28"/>
            <w:szCs w:val="28"/>
          </w:rPr>
          <w:t>政府性基金预算财政拨款收入支出决算表</w:t>
        </w:r>
        <w:r>
          <w:rPr>
            <w:rFonts w:ascii="仿宋" w:eastAsia="仿宋" w:hAnsi="仿宋"/>
            <w:sz w:val="28"/>
            <w:szCs w:val="28"/>
          </w:rPr>
          <w:tab/>
        </w:r>
      </w:hyperlink>
    </w:p>
    <w:p w:rsidR="00CC3BF3" w:rsidRDefault="00FF7BC9">
      <w:pPr>
        <w:pStyle w:val="20"/>
        <w:rPr>
          <w:rFonts w:ascii="仿宋" w:eastAsia="仿宋" w:hAnsi="仿宋"/>
          <w:sz w:val="28"/>
          <w:szCs w:val="28"/>
        </w:rPr>
      </w:pPr>
      <w:r>
        <w:rPr>
          <w:rFonts w:ascii="仿宋" w:eastAsia="仿宋" w:hAnsi="仿宋" w:hint="eastAsia"/>
          <w:sz w:val="28"/>
          <w:szCs w:val="28"/>
        </w:rPr>
        <w:t>十二、</w:t>
      </w:r>
      <w:hyperlink w:anchor="_Toc15396630" w:history="1">
        <w:r>
          <w:rPr>
            <w:rStyle w:val="a9"/>
            <w:rFonts w:ascii="仿宋" w:eastAsia="仿宋" w:hAnsi="仿宋" w:hint="eastAsia"/>
            <w:sz w:val="28"/>
            <w:szCs w:val="28"/>
          </w:rPr>
          <w:t>政府性基金预算财政拨款“三公”经费支出决算表</w:t>
        </w:r>
        <w:r>
          <w:rPr>
            <w:rFonts w:ascii="仿宋" w:eastAsia="仿宋" w:hAnsi="仿宋"/>
            <w:sz w:val="28"/>
            <w:szCs w:val="28"/>
          </w:rPr>
          <w:tab/>
        </w:r>
      </w:hyperlink>
    </w:p>
    <w:p w:rsidR="00CC3BF3" w:rsidRDefault="00FF7BC9">
      <w:pPr>
        <w:pStyle w:val="20"/>
        <w:rPr>
          <w:rFonts w:ascii="仿宋" w:eastAsia="仿宋" w:hAnsi="仿宋"/>
          <w:sz w:val="24"/>
        </w:rPr>
      </w:pPr>
      <w:r>
        <w:rPr>
          <w:rFonts w:ascii="仿宋" w:eastAsia="仿宋" w:hAnsi="仿宋" w:hint="eastAsia"/>
          <w:sz w:val="28"/>
          <w:szCs w:val="28"/>
        </w:rPr>
        <w:t>十三、</w:t>
      </w:r>
      <w:hyperlink w:anchor="_Toc15396631" w:history="1">
        <w:r>
          <w:rPr>
            <w:rStyle w:val="a9"/>
            <w:rFonts w:ascii="仿宋" w:eastAsia="仿宋" w:hAnsi="仿宋" w:hint="eastAsia"/>
            <w:sz w:val="28"/>
            <w:szCs w:val="28"/>
          </w:rPr>
          <w:t>国有资本经营预算支出决算表</w:t>
        </w:r>
        <w:r>
          <w:rPr>
            <w:rFonts w:ascii="仿宋" w:eastAsia="仿宋" w:hAnsi="仿宋"/>
            <w:sz w:val="28"/>
            <w:szCs w:val="28"/>
          </w:rPr>
          <w:tab/>
        </w:r>
      </w:hyperlink>
    </w:p>
    <w:p w:rsidR="00CC3BF3" w:rsidRDefault="00E85F75">
      <w:pPr>
        <w:widowControl/>
        <w:jc w:val="left"/>
        <w:rPr>
          <w:rFonts w:ascii="仿宋" w:eastAsia="仿宋" w:hAnsi="仿宋"/>
          <w:color w:val="000000"/>
          <w:sz w:val="24"/>
        </w:rPr>
      </w:pPr>
      <w:r>
        <w:rPr>
          <w:rFonts w:ascii="黑体" w:eastAsia="黑体" w:hAnsi="黑体"/>
          <w:color w:val="000000"/>
          <w:sz w:val="48"/>
          <w:szCs w:val="48"/>
        </w:rPr>
        <w:fldChar w:fldCharType="end"/>
      </w:r>
    </w:p>
    <w:p w:rsidR="00CC3BF3" w:rsidRDefault="00CC3BF3">
      <w:pPr>
        <w:pStyle w:val="1"/>
        <w:jc w:val="center"/>
        <w:rPr>
          <w:rFonts w:ascii="黑体" w:eastAsia="黑体" w:hAnsi="黑体"/>
          <w:b w:val="0"/>
        </w:rPr>
        <w:sectPr w:rsidR="00CC3BF3">
          <w:footerReference w:type="default" r:id="rId16"/>
          <w:footerReference w:type="first" r:id="rId17"/>
          <w:pgSz w:w="11906" w:h="16838"/>
          <w:pgMar w:top="1440" w:right="1800" w:bottom="1440" w:left="1800" w:header="851" w:footer="992" w:gutter="0"/>
          <w:pgNumType w:start="1"/>
          <w:cols w:space="425"/>
          <w:docGrid w:type="lines" w:linePitch="312"/>
        </w:sectPr>
      </w:pPr>
      <w:bookmarkStart w:id="12" w:name="_Toc15377196"/>
      <w:bookmarkStart w:id="13" w:name="_Toc15396599"/>
    </w:p>
    <w:p w:rsidR="00CC3BF3" w:rsidRDefault="00FF7BC9">
      <w:pPr>
        <w:pStyle w:val="1"/>
        <w:jc w:val="center"/>
        <w:rPr>
          <w:rStyle w:val="1Char"/>
          <w:rFonts w:ascii="黑体" w:eastAsia="黑体" w:hAnsi="黑体"/>
          <w:b/>
        </w:rPr>
      </w:pPr>
      <w:r>
        <w:rPr>
          <w:rFonts w:ascii="黑体" w:eastAsia="黑体" w:hAnsi="黑体" w:hint="eastAsia"/>
          <w:b w:val="0"/>
        </w:rPr>
        <w:lastRenderedPageBreak/>
        <w:t>第一部分</w:t>
      </w:r>
      <w:r>
        <w:rPr>
          <w:rFonts w:ascii="黑体" w:eastAsia="黑体" w:hAnsi="黑体"/>
          <w:b w:val="0"/>
        </w:rPr>
        <w:t xml:space="preserve"> </w:t>
      </w:r>
      <w:r>
        <w:rPr>
          <w:rStyle w:val="1Char"/>
          <w:rFonts w:ascii="黑体" w:eastAsia="黑体" w:hAnsi="黑体" w:hint="eastAsia"/>
        </w:rPr>
        <w:t>部门概况</w:t>
      </w:r>
      <w:bookmarkEnd w:id="12"/>
      <w:bookmarkEnd w:id="13"/>
    </w:p>
    <w:p w:rsidR="00CC3BF3" w:rsidRDefault="00FF7BC9">
      <w:pPr>
        <w:pStyle w:val="2"/>
        <w:rPr>
          <w:rStyle w:val="2Char"/>
          <w:rFonts w:ascii="黑体" w:eastAsia="黑体" w:hAnsi="黑体"/>
        </w:rPr>
      </w:pPr>
      <w:bookmarkStart w:id="14" w:name="_Toc15377197"/>
      <w:bookmarkStart w:id="15" w:name="_Toc15396600"/>
      <w:r>
        <w:rPr>
          <w:rFonts w:ascii="黑体" w:eastAsia="黑体" w:hAnsi="黑体" w:hint="eastAsia"/>
          <w:b w:val="0"/>
          <w:color w:val="000000"/>
        </w:rPr>
        <w:t>一、基</w:t>
      </w:r>
      <w:r>
        <w:rPr>
          <w:rStyle w:val="2Char"/>
          <w:rFonts w:ascii="黑体" w:eastAsia="黑体" w:hAnsi="黑体" w:hint="eastAsia"/>
        </w:rPr>
        <w:t>本职能及主要工作</w:t>
      </w:r>
      <w:bookmarkStart w:id="16" w:name="_Toc15378445"/>
      <w:bookmarkStart w:id="17" w:name="_Toc15377198"/>
      <w:bookmarkEnd w:id="14"/>
      <w:bookmarkEnd w:id="15"/>
    </w:p>
    <w:p w:rsidR="00CC3BF3" w:rsidRDefault="00FF7BC9">
      <w:pPr>
        <w:pStyle w:val="2"/>
        <w:ind w:firstLineChars="200" w:firstLine="640"/>
        <w:rPr>
          <w:rFonts w:ascii="仿宋" w:eastAsia="仿宋" w:hAnsi="仿宋"/>
          <w:b w:val="0"/>
          <w:bCs w:val="0"/>
        </w:rPr>
      </w:pPr>
      <w:r>
        <w:rPr>
          <w:rFonts w:ascii="仿宋" w:eastAsia="仿宋" w:hAnsi="仿宋" w:hint="eastAsia"/>
          <w:b w:val="0"/>
          <w:bCs w:val="0"/>
          <w:color w:val="000000"/>
        </w:rPr>
        <w:t>（一）主要职能</w:t>
      </w:r>
      <w:bookmarkStart w:id="18" w:name="_Toc15377199"/>
      <w:bookmarkStart w:id="19" w:name="_Toc15378446"/>
      <w:bookmarkEnd w:id="16"/>
      <w:bookmarkEnd w:id="17"/>
      <w:r>
        <w:rPr>
          <w:rFonts w:ascii="仿宋" w:eastAsia="仿宋" w:hAnsi="仿宋" w:hint="eastAsia"/>
          <w:b w:val="0"/>
          <w:bCs w:val="0"/>
          <w:color w:val="000000"/>
        </w:rPr>
        <w:t>：广汉市三水中学是一所普通初中学校, 主要职能是实施中学义务教育和成人教育，促进基础教育发展，中学学历教育（相关社会服务）。</w:t>
      </w:r>
    </w:p>
    <w:p w:rsidR="00CC3BF3" w:rsidRDefault="00FF7BC9">
      <w:pPr>
        <w:pStyle w:val="a3"/>
        <w:adjustRightInd w:val="0"/>
        <w:snapToGrid w:val="0"/>
        <w:spacing w:before="93" w:line="580" w:lineRule="exact"/>
        <w:ind w:firstLineChars="210" w:firstLine="672"/>
        <w:rPr>
          <w:rFonts w:ascii="仿宋" w:eastAsia="仿宋" w:hAnsi="仿宋"/>
          <w:color w:val="000000"/>
          <w:kern w:val="2"/>
          <w:sz w:val="32"/>
          <w:szCs w:val="32"/>
        </w:rPr>
      </w:pPr>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8"/>
      <w:bookmarkEnd w:id="19"/>
      <w:r>
        <w:rPr>
          <w:rFonts w:ascii="仿宋" w:eastAsia="仿宋" w:hAnsi="仿宋" w:hint="eastAsia"/>
          <w:bCs/>
          <w:color w:val="000000"/>
          <w:sz w:val="32"/>
          <w:szCs w:val="32"/>
        </w:rPr>
        <w:t>：</w:t>
      </w:r>
      <w:r>
        <w:rPr>
          <w:rFonts w:ascii="仿宋" w:eastAsia="仿宋" w:hAnsi="仿宋" w:hint="eastAsia"/>
          <w:color w:val="000000"/>
          <w:kern w:val="2"/>
          <w:sz w:val="32"/>
          <w:szCs w:val="32"/>
        </w:rPr>
        <w:t>广汉市三水中学在上级部门的引领、关怀和支持下，学校的各项工作都得到了稳步、有序、健康的推进。</w:t>
      </w:r>
    </w:p>
    <w:p w:rsidR="00CC3BF3" w:rsidRDefault="00FF7BC9">
      <w:pPr>
        <w:pStyle w:val="a3"/>
        <w:adjustRightInd w:val="0"/>
        <w:snapToGrid w:val="0"/>
        <w:spacing w:before="93" w:line="580" w:lineRule="exact"/>
        <w:ind w:firstLineChars="210" w:firstLine="672"/>
        <w:rPr>
          <w:rFonts w:ascii="仿宋" w:eastAsia="仿宋" w:hAnsi="仿宋"/>
          <w:bCs/>
          <w:sz w:val="32"/>
          <w:szCs w:val="32"/>
        </w:rPr>
      </w:pPr>
      <w:r>
        <w:rPr>
          <w:rFonts w:ascii="仿宋" w:eastAsia="仿宋" w:hAnsi="仿宋" w:hint="eastAsia"/>
          <w:bCs/>
          <w:sz w:val="32"/>
          <w:szCs w:val="32"/>
        </w:rPr>
        <w:t>1、开展学生德育教育活动。2、开展教学教研活动。3、开展教育科学研究活动。4、开展教师培训活动，努力提升教师整体素质。5、开展学校后勤服务活动，改善办学条件。6、开展学校规章制度建设及其他教育教学管理活动。以上工作均取得较好的社会效益。</w:t>
      </w:r>
    </w:p>
    <w:p w:rsidR="00CC3BF3" w:rsidRDefault="00FF7BC9">
      <w:pPr>
        <w:pStyle w:val="2"/>
        <w:rPr>
          <w:rFonts w:ascii="黑体" w:eastAsia="黑体" w:hAnsi="黑体"/>
          <w:b w:val="0"/>
          <w:color w:val="000000"/>
        </w:rPr>
      </w:pPr>
      <w:bookmarkStart w:id="20" w:name="_Toc15396601"/>
      <w:bookmarkStart w:id="21" w:name="_Toc15377200"/>
      <w:r>
        <w:rPr>
          <w:rFonts w:ascii="黑体" w:eastAsia="黑体" w:hAnsi="黑体" w:hint="eastAsia"/>
          <w:b w:val="0"/>
          <w:color w:val="000000"/>
        </w:rPr>
        <w:t>二、机构设置</w:t>
      </w:r>
      <w:bookmarkEnd w:id="20"/>
      <w:bookmarkEnd w:id="21"/>
    </w:p>
    <w:p w:rsidR="00CC3BF3" w:rsidRDefault="00FF7BC9">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广汉市三水中学是一所农村普通初中学校，独立核算机构，全额拨款事业单位，机构数1个。有教学班6个，学生人数223人，定编教职工62人，年末在编在岗教职工61人，退休教职工40人，遗属生活补助人员3人。</w:t>
      </w:r>
    </w:p>
    <w:p w:rsidR="00CC3BF3" w:rsidRDefault="00FF7BC9">
      <w:pPr>
        <w:widowControl/>
        <w:jc w:val="left"/>
        <w:rPr>
          <w:rFonts w:ascii="仿宋" w:eastAsia="仿宋" w:hAnsi="仿宋"/>
          <w:color w:val="000000"/>
          <w:kern w:val="0"/>
          <w:sz w:val="32"/>
          <w:szCs w:val="32"/>
        </w:rPr>
      </w:pPr>
      <w:r>
        <w:rPr>
          <w:rFonts w:ascii="仿宋" w:eastAsia="仿宋" w:hAnsi="仿宋" w:hint="eastAsia"/>
          <w:color w:val="000000"/>
          <w:sz w:val="32"/>
          <w:szCs w:val="32"/>
        </w:rPr>
        <w:t xml:space="preserve">  </w:t>
      </w:r>
    </w:p>
    <w:p w:rsidR="00CC3BF3" w:rsidRDefault="00FF7BC9">
      <w:pPr>
        <w:pStyle w:val="1"/>
        <w:ind w:right="660"/>
        <w:rPr>
          <w:rStyle w:val="1Char"/>
          <w:rFonts w:ascii="黑体" w:eastAsia="黑体" w:hAnsi="黑体"/>
        </w:rPr>
      </w:pPr>
      <w:bookmarkStart w:id="22" w:name="_Toc15377204"/>
      <w:bookmarkStart w:id="23" w:name="_Toc15396602"/>
      <w:r>
        <w:rPr>
          <w:rFonts w:ascii="黑体" w:eastAsia="黑体" w:hAnsi="黑体" w:hint="eastAsia"/>
          <w:b w:val="0"/>
          <w:color w:val="000000"/>
        </w:rPr>
        <w:lastRenderedPageBreak/>
        <w:t>第二部分</w:t>
      </w:r>
      <w:r>
        <w:rPr>
          <w:rFonts w:ascii="黑体" w:eastAsia="黑体" w:hAnsi="黑体"/>
          <w:color w:val="000000"/>
        </w:rPr>
        <w:t xml:space="preserve"> </w:t>
      </w:r>
      <w:r>
        <w:rPr>
          <w:rStyle w:val="1Char"/>
          <w:rFonts w:ascii="黑体" w:eastAsia="黑体" w:hAnsi="黑体"/>
        </w:rPr>
        <w:t>201</w:t>
      </w:r>
      <w:r>
        <w:rPr>
          <w:rStyle w:val="1Char"/>
          <w:rFonts w:ascii="黑体" w:eastAsia="黑体" w:hAnsi="黑体" w:hint="eastAsia"/>
        </w:rPr>
        <w:t>9年度部门决算情况说明</w:t>
      </w:r>
      <w:bookmarkEnd w:id="22"/>
      <w:bookmarkEnd w:id="23"/>
    </w:p>
    <w:p w:rsidR="00CC3BF3" w:rsidRDefault="00CC3BF3"/>
    <w:p w:rsidR="00CC3BF3" w:rsidRDefault="00FF7BC9">
      <w:pPr>
        <w:pStyle w:val="ab"/>
        <w:numPr>
          <w:ilvl w:val="0"/>
          <w:numId w:val="1"/>
        </w:numPr>
        <w:spacing w:line="600" w:lineRule="exact"/>
        <w:ind w:firstLineChars="0"/>
        <w:outlineLvl w:val="1"/>
        <w:rPr>
          <w:rStyle w:val="2Char"/>
          <w:rFonts w:ascii="黑体" w:eastAsia="黑体" w:hAnsi="黑体"/>
          <w:b w:val="0"/>
        </w:rPr>
      </w:pPr>
      <w:bookmarkStart w:id="24" w:name="_Toc15396603"/>
      <w:bookmarkStart w:id="25" w:name="_Toc15377205"/>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4"/>
      <w:bookmarkEnd w:id="25"/>
    </w:p>
    <w:p w:rsidR="00CC3BF3" w:rsidRDefault="00FF7BC9">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9年度收入总计</w:t>
      </w:r>
      <w:r>
        <w:rPr>
          <w:rFonts w:hint="eastAsia"/>
          <w:sz w:val="28"/>
          <w:szCs w:val="28"/>
          <w:shd w:val="clear" w:color="auto" w:fill="FFFFFF"/>
        </w:rPr>
        <w:t>911.58</w:t>
      </w:r>
      <w:r>
        <w:rPr>
          <w:rFonts w:ascii="仿宋" w:eastAsia="仿宋" w:hAnsi="仿宋" w:hint="eastAsia"/>
          <w:color w:val="000000"/>
          <w:sz w:val="32"/>
          <w:szCs w:val="32"/>
        </w:rPr>
        <w:t>万元，支出总计</w:t>
      </w:r>
      <w:r>
        <w:rPr>
          <w:rFonts w:hint="eastAsia"/>
          <w:sz w:val="28"/>
          <w:szCs w:val="28"/>
          <w:shd w:val="clear" w:color="auto" w:fill="FFFFFF"/>
        </w:rPr>
        <w:t>891.99</w:t>
      </w:r>
      <w:r>
        <w:rPr>
          <w:rFonts w:ascii="仿宋" w:eastAsia="仿宋" w:hAnsi="仿宋" w:hint="eastAsia"/>
          <w:color w:val="000000"/>
          <w:sz w:val="32"/>
          <w:szCs w:val="32"/>
        </w:rPr>
        <w:t>万元与</w:t>
      </w:r>
      <w:r>
        <w:rPr>
          <w:rFonts w:ascii="仿宋" w:eastAsia="仿宋" w:hAnsi="仿宋"/>
          <w:color w:val="000000"/>
          <w:sz w:val="32"/>
          <w:szCs w:val="32"/>
        </w:rPr>
        <w:t>201</w:t>
      </w:r>
      <w:r>
        <w:rPr>
          <w:rFonts w:ascii="仿宋" w:eastAsia="仿宋" w:hAnsi="仿宋" w:hint="eastAsia"/>
          <w:color w:val="000000"/>
          <w:sz w:val="32"/>
          <w:szCs w:val="32"/>
        </w:rPr>
        <w:t>8年相比，收入增加57.20万元、支出增加62.93万元。主要变动增加原因人员经费增多。</w:t>
      </w:r>
    </w:p>
    <w:p w:rsidR="00CC3BF3" w:rsidRDefault="00FF7BC9">
      <w:pPr>
        <w:spacing w:line="600" w:lineRule="exact"/>
        <w:ind w:firstLineChars="200" w:firstLine="420"/>
        <w:rPr>
          <w:rFonts w:ascii="仿宋" w:eastAsia="仿宋" w:hAnsi="仿宋"/>
          <w:color w:val="000000"/>
          <w:sz w:val="32"/>
          <w:szCs w:val="32"/>
        </w:rPr>
      </w:pPr>
      <w:r>
        <w:rPr>
          <w:noProof/>
        </w:rPr>
        <w:drawing>
          <wp:anchor distT="0" distB="0" distL="114300" distR="114300" simplePos="0" relativeHeight="251658240" behindDoc="0" locked="0" layoutInCell="1" allowOverlap="1">
            <wp:simplePos x="0" y="0"/>
            <wp:positionH relativeFrom="column">
              <wp:posOffset>932180</wp:posOffset>
            </wp:positionH>
            <wp:positionV relativeFrom="paragraph">
              <wp:posOffset>97155</wp:posOffset>
            </wp:positionV>
            <wp:extent cx="3521075" cy="2115820"/>
            <wp:effectExtent l="0" t="0" r="3175" b="1778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stretch>
                      <a:fillRect/>
                    </a:stretch>
                  </pic:blipFill>
                  <pic:spPr>
                    <a:xfrm>
                      <a:off x="0" y="0"/>
                      <a:ext cx="3521075" cy="2115820"/>
                    </a:xfrm>
                    <a:prstGeom prst="rect">
                      <a:avLst/>
                    </a:prstGeom>
                    <a:noFill/>
                    <a:ln>
                      <a:noFill/>
                    </a:ln>
                  </pic:spPr>
                </pic:pic>
              </a:graphicData>
            </a:graphic>
          </wp:anchor>
        </w:drawing>
      </w: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FF7BC9">
      <w:pPr>
        <w:jc w:val="center"/>
        <w:rPr>
          <w:rFonts w:ascii="黑体" w:eastAsia="黑体" w:hAnsi="黑体" w:cs="黑体"/>
          <w:color w:val="000000"/>
          <w:szCs w:val="21"/>
        </w:rPr>
      </w:pPr>
      <w:r>
        <w:rPr>
          <w:rFonts w:ascii="黑体" w:eastAsia="黑体" w:hAnsi="黑体" w:cs="黑体" w:hint="eastAsia"/>
          <w:color w:val="000000"/>
          <w:szCs w:val="21"/>
        </w:rPr>
        <w:t>图1：收、支决算总计变动情况图</w:t>
      </w:r>
    </w:p>
    <w:p w:rsidR="00CC3BF3" w:rsidRDefault="00FF7BC9">
      <w:pPr>
        <w:pStyle w:val="ab"/>
        <w:numPr>
          <w:ilvl w:val="0"/>
          <w:numId w:val="1"/>
        </w:numPr>
        <w:spacing w:line="600" w:lineRule="exact"/>
        <w:ind w:firstLineChars="0"/>
        <w:outlineLvl w:val="1"/>
        <w:rPr>
          <w:rStyle w:val="2Char"/>
          <w:rFonts w:ascii="黑体" w:eastAsia="黑体" w:hAnsi="黑体"/>
          <w:b w:val="0"/>
        </w:rPr>
      </w:pPr>
      <w:bookmarkStart w:id="26" w:name="_Toc15396604"/>
      <w:bookmarkStart w:id="27"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6"/>
      <w:bookmarkEnd w:id="27"/>
    </w:p>
    <w:p w:rsidR="00CC3BF3" w:rsidRDefault="00FF7BC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Pr>
          <w:rFonts w:hint="eastAsia"/>
          <w:sz w:val="28"/>
          <w:szCs w:val="28"/>
          <w:shd w:val="clear" w:color="auto" w:fill="FFFFFF"/>
        </w:rPr>
        <w:t>911.58</w:t>
      </w:r>
      <w:r>
        <w:rPr>
          <w:rFonts w:ascii="仿宋" w:eastAsia="仿宋" w:hAnsi="仿宋" w:hint="eastAsia"/>
          <w:color w:val="000000"/>
          <w:sz w:val="32"/>
          <w:szCs w:val="32"/>
        </w:rPr>
        <w:t>万元，其中：一般公共预算财政拨款收入900.19万元，占98.75</w:t>
      </w:r>
      <w:r>
        <w:rPr>
          <w:rFonts w:ascii="仿宋" w:eastAsia="仿宋" w:hAnsi="仿宋"/>
          <w:color w:val="000000"/>
          <w:sz w:val="32"/>
          <w:szCs w:val="32"/>
        </w:rPr>
        <w:t>%</w:t>
      </w:r>
      <w:r>
        <w:rPr>
          <w:rFonts w:ascii="仿宋" w:eastAsia="仿宋" w:hAnsi="仿宋" w:hint="eastAsia"/>
          <w:color w:val="000000"/>
          <w:sz w:val="32"/>
          <w:szCs w:val="32"/>
        </w:rPr>
        <w:t>；其他收入11.39万元，占1.25%。</w:t>
      </w:r>
    </w:p>
    <w:p w:rsidR="00CC3BF3" w:rsidRDefault="00FF7BC9">
      <w:pPr>
        <w:spacing w:line="600" w:lineRule="exact"/>
        <w:ind w:firstLineChars="200" w:firstLine="420"/>
        <w:outlineLvl w:val="1"/>
        <w:rPr>
          <w:rFonts w:ascii="仿宋" w:eastAsia="仿宋" w:hAnsi="仿宋"/>
          <w:color w:val="000000"/>
          <w:sz w:val="32"/>
          <w:szCs w:val="32"/>
        </w:rPr>
      </w:pPr>
      <w:r>
        <w:rPr>
          <w:noProof/>
        </w:rPr>
        <w:drawing>
          <wp:anchor distT="0" distB="0" distL="114300" distR="114300" simplePos="0" relativeHeight="251659264" behindDoc="0" locked="0" layoutInCell="1" allowOverlap="1">
            <wp:simplePos x="0" y="0"/>
            <wp:positionH relativeFrom="column">
              <wp:posOffset>1160145</wp:posOffset>
            </wp:positionH>
            <wp:positionV relativeFrom="paragraph">
              <wp:posOffset>51435</wp:posOffset>
            </wp:positionV>
            <wp:extent cx="3286760" cy="2030730"/>
            <wp:effectExtent l="0" t="0" r="8890" b="762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9"/>
                    <a:stretch>
                      <a:fillRect/>
                    </a:stretch>
                  </pic:blipFill>
                  <pic:spPr>
                    <a:xfrm>
                      <a:off x="0" y="0"/>
                      <a:ext cx="3286760" cy="2030730"/>
                    </a:xfrm>
                    <a:prstGeom prst="rect">
                      <a:avLst/>
                    </a:prstGeom>
                    <a:noFill/>
                    <a:ln>
                      <a:noFill/>
                    </a:ln>
                  </pic:spPr>
                </pic:pic>
              </a:graphicData>
            </a:graphic>
          </wp:anchor>
        </w:drawing>
      </w: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jc w:val="center"/>
        <w:rPr>
          <w:rFonts w:ascii="黑体" w:eastAsia="黑体" w:hAnsi="黑体" w:cs="黑体"/>
          <w:color w:val="000000"/>
          <w:szCs w:val="21"/>
        </w:rPr>
      </w:pPr>
    </w:p>
    <w:p w:rsidR="00CC3BF3" w:rsidRDefault="00FF7BC9">
      <w:pPr>
        <w:jc w:val="center"/>
        <w:rPr>
          <w:rFonts w:ascii="黑体" w:eastAsia="黑体" w:hAnsi="黑体" w:cs="黑体"/>
          <w:color w:val="000000"/>
          <w:szCs w:val="21"/>
        </w:rPr>
      </w:pPr>
      <w:r>
        <w:rPr>
          <w:rFonts w:ascii="黑体" w:eastAsia="黑体" w:hAnsi="黑体" w:cs="黑体" w:hint="eastAsia"/>
          <w:color w:val="000000"/>
          <w:szCs w:val="21"/>
        </w:rPr>
        <w:t>图2：收入决算结构图</w:t>
      </w:r>
    </w:p>
    <w:p w:rsidR="00CC3BF3" w:rsidRDefault="00FF7BC9">
      <w:pPr>
        <w:pStyle w:val="ab"/>
        <w:numPr>
          <w:ilvl w:val="0"/>
          <w:numId w:val="1"/>
        </w:numPr>
        <w:spacing w:line="600" w:lineRule="exact"/>
        <w:ind w:firstLineChars="0"/>
        <w:outlineLvl w:val="1"/>
        <w:rPr>
          <w:rStyle w:val="2Char"/>
          <w:rFonts w:ascii="黑体" w:eastAsia="黑体" w:hAnsi="黑体"/>
          <w:b w:val="0"/>
        </w:rPr>
      </w:pPr>
      <w:bookmarkStart w:id="28" w:name="_Toc15396605"/>
      <w:bookmarkStart w:id="29" w:name="_Toc15377207"/>
      <w:r>
        <w:rPr>
          <w:rFonts w:ascii="黑体" w:eastAsia="黑体" w:hAnsi="黑体" w:hint="eastAsia"/>
          <w:color w:val="000000"/>
          <w:sz w:val="32"/>
          <w:szCs w:val="32"/>
        </w:rPr>
        <w:lastRenderedPageBreak/>
        <w:t>支</w:t>
      </w:r>
      <w:r>
        <w:rPr>
          <w:rStyle w:val="2Char"/>
          <w:rFonts w:ascii="黑体" w:eastAsia="黑体" w:hAnsi="黑体" w:hint="eastAsia"/>
          <w:b w:val="0"/>
        </w:rPr>
        <w:t>出决算情况说明</w:t>
      </w:r>
      <w:bookmarkEnd w:id="28"/>
      <w:bookmarkEnd w:id="29"/>
    </w:p>
    <w:p w:rsidR="00CC3BF3" w:rsidRDefault="00FF7BC9">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w:t>
      </w:r>
      <w:r>
        <w:rPr>
          <w:rFonts w:ascii="仿宋" w:eastAsia="仿宋" w:hAnsi="仿宋" w:hint="eastAsia"/>
          <w:color w:val="000000"/>
          <w:sz w:val="32"/>
          <w:szCs w:val="32"/>
        </w:rPr>
        <w:t>19年本年支出合计891.99万元，其中：基本支出891.99万元，占100%。</w:t>
      </w:r>
    </w:p>
    <w:p w:rsidR="00CC3BF3" w:rsidRDefault="00FF7BC9">
      <w:pPr>
        <w:spacing w:line="600" w:lineRule="exact"/>
        <w:jc w:val="center"/>
        <w:outlineLvl w:val="1"/>
        <w:rPr>
          <w:rFonts w:ascii="仿宋" w:eastAsia="仿宋" w:hAnsi="仿宋"/>
          <w:color w:val="000000"/>
          <w:sz w:val="32"/>
          <w:szCs w:val="32"/>
        </w:rPr>
      </w:pPr>
      <w:r>
        <w:rPr>
          <w:noProof/>
        </w:rPr>
        <w:drawing>
          <wp:anchor distT="0" distB="0" distL="114300" distR="114300" simplePos="0" relativeHeight="251660288" behindDoc="0" locked="0" layoutInCell="1" allowOverlap="1">
            <wp:simplePos x="0" y="0"/>
            <wp:positionH relativeFrom="column">
              <wp:posOffset>988060</wp:posOffset>
            </wp:positionH>
            <wp:positionV relativeFrom="paragraph">
              <wp:posOffset>45720</wp:posOffset>
            </wp:positionV>
            <wp:extent cx="3679825" cy="2212340"/>
            <wp:effectExtent l="0" t="0" r="15875" b="1651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a:stretch>
                      <a:fillRect/>
                    </a:stretch>
                  </pic:blipFill>
                  <pic:spPr>
                    <a:xfrm>
                      <a:off x="0" y="0"/>
                      <a:ext cx="3679825" cy="2212340"/>
                    </a:xfrm>
                    <a:prstGeom prst="rect">
                      <a:avLst/>
                    </a:prstGeom>
                    <a:noFill/>
                    <a:ln>
                      <a:noFill/>
                    </a:ln>
                  </pic:spPr>
                </pic:pic>
              </a:graphicData>
            </a:graphic>
          </wp:anchor>
        </w:drawing>
      </w:r>
    </w:p>
    <w:p w:rsidR="00CC3BF3" w:rsidRDefault="00CC3BF3">
      <w:pPr>
        <w:spacing w:line="600" w:lineRule="exact"/>
        <w:ind w:firstLineChars="200" w:firstLine="640"/>
        <w:outlineLvl w:val="1"/>
        <w:rPr>
          <w:rFonts w:ascii="仿宋" w:eastAsia="仿宋" w:hAnsi="仿宋"/>
          <w:color w:val="000000"/>
          <w:sz w:val="32"/>
          <w:szCs w:val="32"/>
        </w:rPr>
      </w:pPr>
    </w:p>
    <w:p w:rsidR="00CC3BF3" w:rsidRDefault="00CC3BF3">
      <w:pPr>
        <w:spacing w:line="600" w:lineRule="exact"/>
        <w:ind w:firstLineChars="200" w:firstLine="640"/>
        <w:outlineLvl w:val="1"/>
        <w:rPr>
          <w:rFonts w:ascii="仿宋" w:eastAsia="仿宋" w:hAnsi="仿宋"/>
          <w:color w:val="000000"/>
          <w:sz w:val="32"/>
          <w:szCs w:val="32"/>
        </w:rPr>
      </w:pPr>
    </w:p>
    <w:p w:rsidR="00CC3BF3" w:rsidRDefault="00CC3BF3">
      <w:pPr>
        <w:spacing w:line="600" w:lineRule="exact"/>
        <w:ind w:firstLineChars="200" w:firstLine="640"/>
        <w:outlineLvl w:val="1"/>
        <w:rPr>
          <w:rFonts w:ascii="仿宋" w:eastAsia="仿宋" w:hAnsi="仿宋"/>
          <w:color w:val="000000"/>
          <w:sz w:val="32"/>
          <w:szCs w:val="32"/>
        </w:rPr>
      </w:pPr>
    </w:p>
    <w:p w:rsidR="00CC3BF3" w:rsidRDefault="00CC3BF3">
      <w:pPr>
        <w:spacing w:line="600" w:lineRule="exact"/>
        <w:ind w:firstLineChars="200" w:firstLine="640"/>
        <w:outlineLvl w:val="1"/>
        <w:rPr>
          <w:rFonts w:ascii="仿宋" w:eastAsia="仿宋" w:hAnsi="仿宋"/>
          <w:color w:val="000000"/>
          <w:sz w:val="32"/>
          <w:szCs w:val="32"/>
        </w:rPr>
      </w:pPr>
    </w:p>
    <w:p w:rsidR="00CC3BF3" w:rsidRDefault="00CC3BF3">
      <w:pPr>
        <w:jc w:val="center"/>
        <w:rPr>
          <w:rFonts w:ascii="黑体" w:eastAsia="黑体" w:hAnsi="黑体" w:cs="黑体"/>
          <w:color w:val="000000"/>
          <w:szCs w:val="21"/>
        </w:rPr>
      </w:pPr>
    </w:p>
    <w:p w:rsidR="00CC3BF3" w:rsidRDefault="00CC3BF3">
      <w:pPr>
        <w:jc w:val="center"/>
        <w:rPr>
          <w:rFonts w:ascii="黑体" w:eastAsia="黑体" w:hAnsi="黑体" w:cs="黑体"/>
          <w:color w:val="000000"/>
          <w:szCs w:val="21"/>
        </w:rPr>
      </w:pPr>
    </w:p>
    <w:p w:rsidR="00CC3BF3" w:rsidRDefault="00FF7BC9">
      <w:pPr>
        <w:jc w:val="center"/>
        <w:rPr>
          <w:rFonts w:ascii="黑体" w:eastAsia="黑体" w:hAnsi="黑体" w:cs="黑体"/>
          <w:color w:val="000000"/>
          <w:szCs w:val="21"/>
        </w:rPr>
      </w:pPr>
      <w:r>
        <w:rPr>
          <w:rFonts w:ascii="黑体" w:eastAsia="黑体" w:hAnsi="黑体" w:cs="黑体" w:hint="eastAsia"/>
          <w:color w:val="000000"/>
          <w:szCs w:val="21"/>
        </w:rPr>
        <w:t>图3：支出决算结构图</w:t>
      </w:r>
    </w:p>
    <w:p w:rsidR="00CC3BF3" w:rsidRDefault="00FF7BC9">
      <w:pPr>
        <w:spacing w:line="600" w:lineRule="exact"/>
        <w:ind w:firstLineChars="200" w:firstLine="640"/>
        <w:rPr>
          <w:rStyle w:val="2Char"/>
          <w:rFonts w:ascii="黑体" w:eastAsia="黑体" w:hAnsi="黑体"/>
          <w:b w:val="0"/>
        </w:rPr>
      </w:pPr>
      <w:bookmarkStart w:id="30" w:name="_Toc15377208"/>
      <w:bookmarkStart w:id="31"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0"/>
      <w:bookmarkEnd w:id="31"/>
    </w:p>
    <w:p w:rsidR="00CC3BF3" w:rsidRDefault="00FF7BC9">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9年财政拨款收入总计900.19万元，支出总计891.99万元。与</w:t>
      </w:r>
      <w:r>
        <w:rPr>
          <w:rFonts w:ascii="仿宋" w:eastAsia="仿宋" w:hAnsi="仿宋"/>
          <w:color w:val="000000"/>
          <w:sz w:val="32"/>
          <w:szCs w:val="32"/>
        </w:rPr>
        <w:t>201</w:t>
      </w:r>
      <w:r>
        <w:rPr>
          <w:rFonts w:ascii="仿宋" w:eastAsia="仿宋" w:hAnsi="仿宋" w:hint="eastAsia"/>
          <w:color w:val="000000"/>
          <w:sz w:val="32"/>
          <w:szCs w:val="32"/>
        </w:rPr>
        <w:t>8年相比，财政拨款收、支总计各与</w:t>
      </w:r>
      <w:r>
        <w:rPr>
          <w:rFonts w:ascii="仿宋" w:eastAsia="仿宋" w:hAnsi="仿宋"/>
          <w:color w:val="000000"/>
          <w:sz w:val="32"/>
          <w:szCs w:val="32"/>
        </w:rPr>
        <w:t>201</w:t>
      </w:r>
      <w:r>
        <w:rPr>
          <w:rFonts w:ascii="仿宋" w:eastAsia="仿宋" w:hAnsi="仿宋" w:hint="eastAsia"/>
          <w:color w:val="000000"/>
          <w:sz w:val="32"/>
          <w:szCs w:val="32"/>
        </w:rPr>
        <w:t>8年相比，收入总计增加45.81万元，增加5.36</w:t>
      </w:r>
      <w:r>
        <w:rPr>
          <w:rFonts w:ascii="仿宋" w:eastAsia="仿宋" w:hAnsi="仿宋"/>
          <w:color w:val="000000"/>
          <w:sz w:val="32"/>
          <w:szCs w:val="32"/>
        </w:rPr>
        <w:t>%</w:t>
      </w:r>
      <w:r>
        <w:rPr>
          <w:rFonts w:ascii="仿宋" w:eastAsia="仿宋" w:hAnsi="仿宋" w:hint="eastAsia"/>
          <w:color w:val="000000"/>
          <w:sz w:val="32"/>
          <w:szCs w:val="32"/>
        </w:rPr>
        <w:t>。主要变动原因项目资金增多。支出增加62.93万元，增加7.56</w:t>
      </w:r>
      <w:r>
        <w:rPr>
          <w:rFonts w:ascii="仿宋" w:eastAsia="仿宋" w:hAnsi="仿宋"/>
          <w:color w:val="000000"/>
          <w:sz w:val="32"/>
          <w:szCs w:val="32"/>
        </w:rPr>
        <w:t>%</w:t>
      </w:r>
      <w:r>
        <w:rPr>
          <w:rFonts w:ascii="仿宋" w:eastAsia="仿宋" w:hAnsi="仿宋" w:hint="eastAsia"/>
          <w:color w:val="000000"/>
          <w:sz w:val="32"/>
          <w:szCs w:val="32"/>
        </w:rPr>
        <w:t>，增加原因项目支出资金增多。</w:t>
      </w:r>
    </w:p>
    <w:p w:rsidR="00CC3BF3" w:rsidRDefault="00FF7BC9">
      <w:pPr>
        <w:spacing w:line="600" w:lineRule="exact"/>
        <w:rPr>
          <w:rFonts w:ascii="仿宋" w:eastAsia="仿宋" w:hAnsi="仿宋"/>
          <w:color w:val="000000"/>
          <w:sz w:val="32"/>
          <w:szCs w:val="32"/>
        </w:rPr>
      </w:pPr>
      <w:r>
        <w:rPr>
          <w:noProof/>
        </w:rPr>
        <w:drawing>
          <wp:anchor distT="0" distB="0" distL="114300" distR="114300" simplePos="0" relativeHeight="251661312" behindDoc="0" locked="0" layoutInCell="1" allowOverlap="1">
            <wp:simplePos x="0" y="0"/>
            <wp:positionH relativeFrom="column">
              <wp:posOffset>476250</wp:posOffset>
            </wp:positionH>
            <wp:positionV relativeFrom="paragraph">
              <wp:posOffset>81915</wp:posOffset>
            </wp:positionV>
            <wp:extent cx="4249420" cy="2555240"/>
            <wp:effectExtent l="0" t="0" r="17780" b="1651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1"/>
                    <a:stretch>
                      <a:fillRect/>
                    </a:stretch>
                  </pic:blipFill>
                  <pic:spPr>
                    <a:xfrm>
                      <a:off x="0" y="0"/>
                      <a:ext cx="4249420" cy="2555240"/>
                    </a:xfrm>
                    <a:prstGeom prst="rect">
                      <a:avLst/>
                    </a:prstGeom>
                    <a:noFill/>
                    <a:ln>
                      <a:noFill/>
                    </a:ln>
                  </pic:spPr>
                </pic:pic>
              </a:graphicData>
            </a:graphic>
          </wp:anchor>
        </w:drawing>
      </w: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spacing w:line="600" w:lineRule="exact"/>
        <w:ind w:firstLineChars="200" w:firstLine="640"/>
        <w:rPr>
          <w:rFonts w:ascii="仿宋" w:eastAsia="仿宋" w:hAnsi="仿宋"/>
          <w:color w:val="000000"/>
          <w:sz w:val="32"/>
          <w:szCs w:val="32"/>
        </w:rPr>
      </w:pPr>
    </w:p>
    <w:p w:rsidR="00CC3BF3" w:rsidRDefault="00CC3BF3">
      <w:pPr>
        <w:jc w:val="center"/>
        <w:rPr>
          <w:rFonts w:ascii="黑体" w:eastAsia="黑体" w:hAnsi="黑体" w:cs="黑体"/>
          <w:color w:val="000000"/>
          <w:szCs w:val="21"/>
        </w:rPr>
      </w:pPr>
    </w:p>
    <w:p w:rsidR="00CC3BF3" w:rsidRDefault="00CC3BF3">
      <w:pPr>
        <w:jc w:val="center"/>
        <w:rPr>
          <w:rFonts w:ascii="黑体" w:eastAsia="黑体" w:hAnsi="黑体" w:cs="黑体"/>
          <w:color w:val="000000"/>
          <w:szCs w:val="21"/>
        </w:rPr>
      </w:pPr>
    </w:p>
    <w:p w:rsidR="00CC3BF3" w:rsidRDefault="00FF7BC9">
      <w:pPr>
        <w:jc w:val="center"/>
        <w:rPr>
          <w:rFonts w:ascii="黑体" w:eastAsia="黑体" w:hAnsi="黑体" w:cs="黑体"/>
          <w:color w:val="000000"/>
          <w:szCs w:val="21"/>
        </w:rPr>
      </w:pPr>
      <w:r>
        <w:rPr>
          <w:rFonts w:ascii="黑体" w:eastAsia="黑体" w:hAnsi="黑体" w:cs="黑体" w:hint="eastAsia"/>
          <w:color w:val="000000"/>
          <w:szCs w:val="21"/>
        </w:rPr>
        <w:t>图4：财政拨款收、支决算总计变动情况</w:t>
      </w:r>
    </w:p>
    <w:p w:rsidR="00CC3BF3" w:rsidRDefault="00FF7BC9">
      <w:pPr>
        <w:spacing w:line="600" w:lineRule="exact"/>
        <w:ind w:firstLine="640"/>
        <w:rPr>
          <w:rStyle w:val="2Char"/>
          <w:rFonts w:ascii="仿宋" w:eastAsia="仿宋" w:hAnsi="仿宋"/>
          <w:bCs w:val="0"/>
          <w:color w:val="00B050"/>
        </w:rPr>
      </w:pPr>
      <w:bookmarkStart w:id="32" w:name="_Toc15377209"/>
      <w:bookmarkStart w:id="33" w:name="_Toc15396607"/>
      <w:r>
        <w:rPr>
          <w:rFonts w:ascii="黑体" w:eastAsia="黑体" w:hAnsi="黑体" w:hint="eastAsia"/>
          <w:color w:val="000000"/>
          <w:sz w:val="32"/>
          <w:szCs w:val="32"/>
        </w:rPr>
        <w:lastRenderedPageBreak/>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2"/>
      <w:bookmarkEnd w:id="33"/>
    </w:p>
    <w:p w:rsidR="00CC3BF3" w:rsidRDefault="00FF7BC9">
      <w:pPr>
        <w:spacing w:line="600" w:lineRule="exact"/>
        <w:ind w:firstLineChars="200" w:firstLine="643"/>
        <w:outlineLvl w:val="2"/>
        <w:rPr>
          <w:rFonts w:ascii="仿宋" w:eastAsia="仿宋" w:hAnsi="仿宋"/>
          <w:b/>
          <w:color w:val="000000"/>
          <w:sz w:val="32"/>
          <w:szCs w:val="32"/>
        </w:rPr>
      </w:pPr>
      <w:bookmarkStart w:id="34" w:name="_Toc15377210"/>
      <w:r>
        <w:rPr>
          <w:rFonts w:ascii="仿宋" w:eastAsia="仿宋" w:hAnsi="仿宋" w:hint="eastAsia"/>
          <w:b/>
          <w:color w:val="000000"/>
          <w:sz w:val="32"/>
          <w:szCs w:val="32"/>
        </w:rPr>
        <w:t>（一）一般公共预算财政拨款支出决算总体情况</w:t>
      </w:r>
      <w:bookmarkEnd w:id="34"/>
    </w:p>
    <w:p w:rsidR="00CC3BF3" w:rsidRDefault="00FF7BC9">
      <w:pPr>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9年一般公共预算财政拨款支出891.99万元，占本年支出合计的100</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8年854.38万元相比，一般公共预算财政拨款增加45.81万元，增加5.36</w:t>
      </w:r>
      <w:r>
        <w:rPr>
          <w:rFonts w:ascii="仿宋" w:eastAsia="仿宋" w:hAnsi="仿宋"/>
          <w:color w:val="000000"/>
          <w:sz w:val="32"/>
          <w:szCs w:val="32"/>
        </w:rPr>
        <w:t>%</w:t>
      </w:r>
      <w:r>
        <w:rPr>
          <w:rFonts w:ascii="仿宋" w:eastAsia="仿宋" w:hAnsi="仿宋" w:hint="eastAsia"/>
          <w:color w:val="000000"/>
          <w:sz w:val="32"/>
          <w:szCs w:val="32"/>
        </w:rPr>
        <w:t>。</w:t>
      </w:r>
    </w:p>
    <w:p w:rsidR="00CC3BF3" w:rsidRDefault="00FF7BC9">
      <w:pPr>
        <w:rPr>
          <w:rFonts w:ascii="仿宋" w:eastAsia="仿宋" w:hAnsi="仿宋"/>
          <w:color w:val="000000"/>
          <w:sz w:val="32"/>
          <w:szCs w:val="32"/>
        </w:rPr>
      </w:pPr>
      <w:r>
        <w:rPr>
          <w:noProof/>
        </w:rPr>
        <w:drawing>
          <wp:inline distT="0" distB="0" distL="114300" distR="114300">
            <wp:extent cx="4829810" cy="2901950"/>
            <wp:effectExtent l="0" t="0" r="889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2"/>
                    <a:stretch>
                      <a:fillRect/>
                    </a:stretch>
                  </pic:blipFill>
                  <pic:spPr>
                    <a:xfrm>
                      <a:off x="0" y="0"/>
                      <a:ext cx="4829810" cy="2901950"/>
                    </a:xfrm>
                    <a:prstGeom prst="rect">
                      <a:avLst/>
                    </a:prstGeom>
                    <a:noFill/>
                    <a:ln>
                      <a:noFill/>
                    </a:ln>
                  </pic:spPr>
                </pic:pic>
              </a:graphicData>
            </a:graphic>
          </wp:inline>
        </w:drawing>
      </w:r>
    </w:p>
    <w:p w:rsidR="00CC3BF3" w:rsidRDefault="00FF7BC9">
      <w:pPr>
        <w:ind w:firstLineChars="700" w:firstLine="1470"/>
        <w:rPr>
          <w:rFonts w:ascii="黑体" w:eastAsia="黑体" w:hAnsi="黑体" w:cs="黑体"/>
          <w:color w:val="000000"/>
          <w:szCs w:val="21"/>
        </w:rPr>
      </w:pPr>
      <w:r>
        <w:rPr>
          <w:rFonts w:ascii="黑体" w:eastAsia="黑体" w:hAnsi="黑体" w:cs="黑体" w:hint="eastAsia"/>
          <w:color w:val="000000"/>
          <w:szCs w:val="21"/>
        </w:rPr>
        <w:t>图5：一般公共预算财政拨款支出决算变动情况</w:t>
      </w:r>
    </w:p>
    <w:p w:rsidR="00CC3BF3" w:rsidRDefault="00CC3BF3">
      <w:pPr>
        <w:widowControl/>
        <w:jc w:val="left"/>
        <w:rPr>
          <w:rFonts w:ascii="宋体" w:hAnsi="宋体" w:cs="宋体"/>
          <w:kern w:val="0"/>
          <w:sz w:val="24"/>
        </w:rPr>
      </w:pPr>
    </w:p>
    <w:p w:rsidR="00CC3BF3" w:rsidRDefault="00CC3BF3">
      <w:pPr>
        <w:rPr>
          <w:rFonts w:ascii="宋体" w:hAnsi="宋体" w:cs="宋体"/>
          <w:kern w:val="0"/>
          <w:sz w:val="24"/>
        </w:rPr>
      </w:pPr>
    </w:p>
    <w:p w:rsidR="00CC3BF3" w:rsidRDefault="00FF7BC9">
      <w:pPr>
        <w:spacing w:line="600" w:lineRule="exact"/>
        <w:outlineLvl w:val="2"/>
        <w:rPr>
          <w:rFonts w:ascii="仿宋" w:eastAsia="仿宋" w:hAnsi="仿宋"/>
          <w:b/>
          <w:color w:val="000000"/>
          <w:sz w:val="32"/>
          <w:szCs w:val="32"/>
        </w:rPr>
      </w:pPr>
      <w:bookmarkStart w:id="35" w:name="_Toc15377211"/>
      <w:r>
        <w:rPr>
          <w:rFonts w:ascii="仿宋" w:eastAsia="仿宋" w:hAnsi="仿宋" w:hint="eastAsia"/>
          <w:b/>
          <w:color w:val="000000"/>
          <w:sz w:val="32"/>
          <w:szCs w:val="32"/>
        </w:rPr>
        <w:t>（二）一般公共预算财政拨款支出决算结构情况</w:t>
      </w:r>
      <w:bookmarkEnd w:id="35"/>
    </w:p>
    <w:p w:rsidR="00CC3BF3" w:rsidRDefault="00FF7BC9">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9年一般公共预算财政拨款支出891.99万元，主要用于以下方面</w:t>
      </w:r>
      <w:r>
        <w:rPr>
          <w:rFonts w:ascii="仿宋" w:eastAsia="仿宋" w:hAnsi="仿宋"/>
          <w:color w:val="000000"/>
          <w:sz w:val="32"/>
          <w:szCs w:val="32"/>
        </w:rPr>
        <w:t>:</w:t>
      </w:r>
      <w:r>
        <w:rPr>
          <w:rFonts w:ascii="仿宋" w:eastAsia="仿宋" w:hAnsi="仿宋" w:hint="eastAsia"/>
          <w:b/>
          <w:color w:val="000000"/>
          <w:sz w:val="32"/>
          <w:szCs w:val="32"/>
        </w:rPr>
        <w:t>教育支出（类）支出</w:t>
      </w:r>
      <w:r>
        <w:rPr>
          <w:rFonts w:ascii="仿宋" w:eastAsia="仿宋" w:hAnsi="仿宋" w:hint="eastAsia"/>
          <w:color w:val="000000"/>
          <w:sz w:val="32"/>
          <w:szCs w:val="32"/>
        </w:rPr>
        <w:t>626.11万元，占70.19</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b/>
          <w:color w:val="000000"/>
          <w:sz w:val="32"/>
          <w:szCs w:val="32"/>
        </w:rPr>
        <w:t>社会保障和就业（类）</w:t>
      </w:r>
      <w:r>
        <w:rPr>
          <w:rFonts w:ascii="仿宋" w:eastAsia="仿宋" w:hAnsi="仿宋" w:hint="eastAsia"/>
          <w:color w:val="000000"/>
          <w:sz w:val="32"/>
          <w:szCs w:val="32"/>
        </w:rPr>
        <w:t>支出152.00万元，占17.04</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b/>
          <w:color w:val="000000"/>
          <w:sz w:val="32"/>
          <w:szCs w:val="32"/>
        </w:rPr>
        <w:t>卫生教育支出（类）</w:t>
      </w:r>
      <w:r>
        <w:rPr>
          <w:rFonts w:ascii="仿宋" w:eastAsia="仿宋" w:hAnsi="仿宋" w:hint="eastAsia"/>
          <w:color w:val="000000"/>
          <w:sz w:val="32"/>
          <w:szCs w:val="32"/>
        </w:rPr>
        <w:t>47.38万元，占5.31%；</w:t>
      </w:r>
      <w:r>
        <w:rPr>
          <w:rFonts w:ascii="仿宋" w:eastAsia="仿宋" w:hAnsi="仿宋" w:hint="eastAsia"/>
          <w:b/>
          <w:color w:val="000000"/>
          <w:sz w:val="32"/>
          <w:szCs w:val="32"/>
        </w:rPr>
        <w:t>住房保障支出（类）</w:t>
      </w:r>
      <w:r>
        <w:rPr>
          <w:rFonts w:ascii="仿宋" w:eastAsia="仿宋" w:hAnsi="仿宋" w:hint="eastAsia"/>
          <w:color w:val="000000"/>
          <w:sz w:val="32"/>
          <w:szCs w:val="32"/>
        </w:rPr>
        <w:t>66.51万元，占7.46</w:t>
      </w:r>
      <w:r>
        <w:rPr>
          <w:rFonts w:ascii="仿宋" w:eastAsia="仿宋" w:hAnsi="仿宋"/>
          <w:color w:val="000000"/>
          <w:sz w:val="32"/>
          <w:szCs w:val="32"/>
        </w:rPr>
        <w:t>%</w:t>
      </w:r>
      <w:r>
        <w:rPr>
          <w:rFonts w:ascii="仿宋" w:eastAsia="仿宋" w:hAnsi="仿宋" w:hint="eastAsia"/>
          <w:color w:val="000000"/>
          <w:sz w:val="32"/>
          <w:szCs w:val="32"/>
        </w:rPr>
        <w:t>。</w:t>
      </w:r>
    </w:p>
    <w:p w:rsidR="00CC3BF3" w:rsidRDefault="00CC3BF3">
      <w:pPr>
        <w:spacing w:line="600" w:lineRule="exact"/>
        <w:ind w:firstLine="640"/>
        <w:rPr>
          <w:rFonts w:ascii="仿宋" w:eastAsia="仿宋" w:hAnsi="仿宋"/>
          <w:color w:val="000000"/>
          <w:sz w:val="32"/>
          <w:szCs w:val="32"/>
        </w:rPr>
      </w:pPr>
    </w:p>
    <w:p w:rsidR="00CC3BF3" w:rsidRDefault="00CC3BF3">
      <w:pPr>
        <w:rPr>
          <w:rFonts w:ascii="黑体" w:eastAsia="黑体" w:hAnsi="黑体" w:cs="黑体"/>
          <w:color w:val="000000"/>
          <w:szCs w:val="21"/>
        </w:rPr>
      </w:pPr>
    </w:p>
    <w:p w:rsidR="00CC3BF3" w:rsidRDefault="00CC3BF3">
      <w:pPr>
        <w:rPr>
          <w:rFonts w:ascii="黑体" w:eastAsia="黑体" w:hAnsi="黑体" w:cs="黑体"/>
          <w:color w:val="000000"/>
          <w:szCs w:val="21"/>
        </w:rPr>
      </w:pPr>
    </w:p>
    <w:p w:rsidR="00CC3BF3" w:rsidRDefault="00CC3BF3">
      <w:pPr>
        <w:rPr>
          <w:rFonts w:ascii="黑体" w:eastAsia="黑体" w:hAnsi="黑体" w:cs="黑体"/>
          <w:color w:val="000000"/>
          <w:szCs w:val="21"/>
        </w:rPr>
      </w:pPr>
    </w:p>
    <w:p w:rsidR="00CC3BF3" w:rsidRDefault="00FF7BC9">
      <w:pPr>
        <w:rPr>
          <w:rFonts w:ascii="黑体" w:eastAsia="黑体" w:hAnsi="黑体" w:cs="黑体"/>
          <w:color w:val="000000"/>
          <w:szCs w:val="21"/>
        </w:rPr>
      </w:pPr>
      <w:r>
        <w:rPr>
          <w:noProof/>
        </w:rPr>
        <w:lastRenderedPageBreak/>
        <w:drawing>
          <wp:anchor distT="0" distB="0" distL="114300" distR="114300" simplePos="0" relativeHeight="251666432" behindDoc="1" locked="0" layoutInCell="1" allowOverlap="1">
            <wp:simplePos x="0" y="0"/>
            <wp:positionH relativeFrom="column">
              <wp:posOffset>62230</wp:posOffset>
            </wp:positionH>
            <wp:positionV relativeFrom="paragraph">
              <wp:posOffset>186690</wp:posOffset>
            </wp:positionV>
            <wp:extent cx="4743450" cy="2850515"/>
            <wp:effectExtent l="0" t="0" r="0" b="6985"/>
            <wp:wrapTight wrapText="bothSides">
              <wp:wrapPolygon edited="0">
                <wp:start x="0" y="0"/>
                <wp:lineTo x="0" y="21509"/>
                <wp:lineTo x="21513" y="21509"/>
                <wp:lineTo x="21513" y="0"/>
                <wp:lineTo x="0" y="0"/>
              </wp:wrapPolygon>
            </wp:wrapTight>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23"/>
                    <a:stretch>
                      <a:fillRect/>
                    </a:stretch>
                  </pic:blipFill>
                  <pic:spPr>
                    <a:xfrm>
                      <a:off x="0" y="0"/>
                      <a:ext cx="4743450" cy="2850515"/>
                    </a:xfrm>
                    <a:prstGeom prst="rect">
                      <a:avLst/>
                    </a:prstGeom>
                    <a:noFill/>
                    <a:ln>
                      <a:noFill/>
                    </a:ln>
                  </pic:spPr>
                </pic:pic>
              </a:graphicData>
            </a:graphic>
          </wp:anchor>
        </w:drawing>
      </w:r>
    </w:p>
    <w:p w:rsidR="00CC3BF3" w:rsidRDefault="00CC3BF3">
      <w:pPr>
        <w:rPr>
          <w:rFonts w:ascii="黑体" w:eastAsia="黑体" w:hAnsi="黑体" w:cs="黑体"/>
          <w:color w:val="000000"/>
          <w:szCs w:val="21"/>
        </w:rPr>
      </w:pPr>
    </w:p>
    <w:p w:rsidR="00CC3BF3" w:rsidRDefault="00CC3BF3">
      <w:pPr>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CC3BF3">
      <w:pPr>
        <w:ind w:firstLineChars="700" w:firstLine="1470"/>
        <w:rPr>
          <w:rFonts w:ascii="黑体" w:eastAsia="黑体" w:hAnsi="黑体" w:cs="黑体"/>
          <w:color w:val="000000"/>
          <w:szCs w:val="21"/>
        </w:rPr>
      </w:pPr>
    </w:p>
    <w:p w:rsidR="00CC3BF3" w:rsidRDefault="00FF7BC9">
      <w:pPr>
        <w:ind w:firstLineChars="700" w:firstLine="1470"/>
        <w:rPr>
          <w:rFonts w:ascii="黑体" w:eastAsia="黑体" w:hAnsi="黑体" w:cs="黑体"/>
          <w:color w:val="000000"/>
          <w:szCs w:val="21"/>
        </w:rPr>
      </w:pPr>
      <w:r>
        <w:rPr>
          <w:rFonts w:ascii="黑体" w:eastAsia="黑体" w:hAnsi="黑体" w:cs="黑体" w:hint="eastAsia"/>
          <w:color w:val="000000"/>
          <w:szCs w:val="21"/>
        </w:rPr>
        <w:t>图6：一般公共预算财政拨款支出决算结构</w:t>
      </w:r>
    </w:p>
    <w:p w:rsidR="00CC3BF3" w:rsidRDefault="00CC3BF3">
      <w:pPr>
        <w:ind w:firstLineChars="700" w:firstLine="1470"/>
        <w:rPr>
          <w:rFonts w:ascii="黑体" w:eastAsia="黑体" w:hAnsi="黑体" w:cs="黑体"/>
          <w:color w:val="000000"/>
          <w:szCs w:val="21"/>
        </w:rPr>
      </w:pPr>
    </w:p>
    <w:p w:rsidR="00CC3BF3" w:rsidRDefault="00FF7BC9">
      <w:pPr>
        <w:spacing w:line="600" w:lineRule="exact"/>
        <w:outlineLvl w:val="2"/>
        <w:rPr>
          <w:rFonts w:ascii="仿宋" w:eastAsia="仿宋" w:hAnsi="仿宋"/>
          <w:b/>
          <w:color w:val="000000"/>
          <w:sz w:val="32"/>
          <w:szCs w:val="32"/>
        </w:rPr>
      </w:pPr>
      <w:bookmarkStart w:id="36" w:name="_Toc15377212"/>
      <w:r>
        <w:rPr>
          <w:rFonts w:ascii="仿宋" w:eastAsia="仿宋" w:hAnsi="仿宋" w:hint="eastAsia"/>
          <w:b/>
          <w:color w:val="000000"/>
          <w:sz w:val="32"/>
          <w:szCs w:val="32"/>
        </w:rPr>
        <w:t>（三）一般公共预算财政拨款支出决算具体情况</w:t>
      </w:r>
      <w:bookmarkEnd w:id="36"/>
    </w:p>
    <w:p w:rsidR="00CC3BF3" w:rsidRDefault="00FF7BC9">
      <w:pPr>
        <w:spacing w:line="600" w:lineRule="exact"/>
        <w:ind w:firstLineChars="200" w:firstLine="643"/>
        <w:outlineLvl w:val="2"/>
        <w:rPr>
          <w:rFonts w:ascii="仿宋" w:eastAsia="仿宋" w:hAnsi="仿宋"/>
          <w:color w:val="FF0000"/>
          <w:sz w:val="32"/>
          <w:szCs w:val="32"/>
        </w:rPr>
      </w:pPr>
      <w:bookmarkStart w:id="37" w:name="_Toc15377213"/>
      <w:bookmarkStart w:id="38" w:name="_Toc15377444"/>
      <w:bookmarkStart w:id="39" w:name="_Toc15378460"/>
      <w:r>
        <w:rPr>
          <w:rFonts w:ascii="仿宋" w:eastAsia="仿宋" w:hAnsi="仿宋"/>
          <w:b/>
          <w:color w:val="000000"/>
          <w:sz w:val="32"/>
          <w:szCs w:val="32"/>
        </w:rPr>
        <w:t>201</w:t>
      </w:r>
      <w:r>
        <w:rPr>
          <w:rFonts w:ascii="仿宋" w:eastAsia="仿宋" w:hAnsi="仿宋" w:hint="eastAsia"/>
          <w:b/>
          <w:color w:val="000000"/>
          <w:sz w:val="32"/>
          <w:szCs w:val="32"/>
        </w:rPr>
        <w:t>9年一般公共预算支出决算数为891.99万元</w:t>
      </w:r>
      <w:r>
        <w:rPr>
          <w:rFonts w:ascii="仿宋" w:eastAsia="仿宋" w:hAnsi="仿宋" w:hint="eastAsia"/>
          <w:color w:val="000000"/>
          <w:sz w:val="32"/>
          <w:szCs w:val="32"/>
        </w:rPr>
        <w:t>，</w:t>
      </w:r>
      <w:r>
        <w:rPr>
          <w:rStyle w:val="a8"/>
          <w:rFonts w:ascii="仿宋" w:eastAsia="仿宋" w:hAnsi="仿宋" w:hint="eastAsia"/>
          <w:bCs/>
          <w:color w:val="000000"/>
          <w:sz w:val="32"/>
          <w:szCs w:val="32"/>
        </w:rPr>
        <w:t>完成预算99.09</w:t>
      </w:r>
      <w:r>
        <w:rPr>
          <w:rStyle w:val="a8"/>
          <w:rFonts w:ascii="仿宋" w:eastAsia="仿宋" w:hAnsi="仿宋"/>
          <w:bCs/>
          <w:color w:val="000000"/>
          <w:sz w:val="32"/>
          <w:szCs w:val="32"/>
        </w:rPr>
        <w:t>%</w:t>
      </w:r>
      <w:r>
        <w:rPr>
          <w:rStyle w:val="a8"/>
          <w:rFonts w:ascii="仿宋" w:eastAsia="仿宋" w:hAnsi="仿宋" w:hint="eastAsia"/>
          <w:bCs/>
          <w:color w:val="000000"/>
          <w:sz w:val="32"/>
          <w:szCs w:val="32"/>
        </w:rPr>
        <w:t>。其中：</w:t>
      </w:r>
      <w:bookmarkEnd w:id="37"/>
      <w:bookmarkEnd w:id="38"/>
      <w:bookmarkEnd w:id="39"/>
    </w:p>
    <w:p w:rsidR="00CC3BF3" w:rsidRDefault="00FF7BC9">
      <w:pPr>
        <w:spacing w:line="600" w:lineRule="exact"/>
        <w:ind w:firstLineChars="200" w:firstLine="643"/>
        <w:rPr>
          <w:rFonts w:ascii="仿宋_GB2312" w:eastAsia="仿宋_GB2312" w:hAnsi="仿宋_GB2312" w:cs="仿宋_GB2312"/>
          <w:b/>
          <w:color w:val="000000"/>
          <w:sz w:val="32"/>
          <w:szCs w:val="32"/>
        </w:rPr>
      </w:pPr>
      <w:r>
        <w:rPr>
          <w:rStyle w:val="a8"/>
          <w:rFonts w:ascii="仿宋_GB2312" w:eastAsia="仿宋_GB2312" w:hAnsi="仿宋_GB2312" w:cs="仿宋_GB2312" w:hint="eastAsia"/>
          <w:bCs/>
          <w:color w:val="000000"/>
          <w:sz w:val="32"/>
          <w:szCs w:val="32"/>
        </w:rPr>
        <w:t>1.</w:t>
      </w:r>
      <w:r>
        <w:rPr>
          <w:rStyle w:val="a8"/>
          <w:rFonts w:ascii="仿宋_GB2312" w:eastAsia="仿宋_GB2312" w:hAnsi="仿宋_GB2312" w:cs="仿宋_GB2312" w:hint="eastAsia"/>
          <w:b w:val="0"/>
          <w:bCs/>
          <w:color w:val="000000"/>
          <w:sz w:val="32"/>
          <w:szCs w:val="32"/>
        </w:rPr>
        <w:t>（1）</w:t>
      </w:r>
      <w:r>
        <w:rPr>
          <w:rStyle w:val="a8"/>
          <w:rFonts w:ascii="仿宋_GB2312" w:eastAsia="仿宋_GB2312" w:hAnsi="仿宋_GB2312" w:cs="仿宋_GB2312" w:hint="eastAsia"/>
          <w:bCs/>
          <w:color w:val="000000"/>
          <w:sz w:val="32"/>
          <w:szCs w:val="32"/>
        </w:rPr>
        <w:t>教育支出（类）普通教育（款）初中教育（项）:</w:t>
      </w:r>
      <w:r>
        <w:rPr>
          <w:rStyle w:val="a8"/>
          <w:rFonts w:ascii="仿宋_GB2312" w:eastAsia="仿宋_GB2312" w:hAnsi="仿宋_GB2312" w:cs="仿宋_GB2312" w:hint="eastAsia"/>
          <w:b w:val="0"/>
          <w:bCs/>
          <w:color w:val="000000"/>
          <w:sz w:val="32"/>
          <w:szCs w:val="32"/>
        </w:rPr>
        <w:t xml:space="preserve"> 支出决算为609.43万元，完成预算96.08%。（2）</w:t>
      </w:r>
      <w:r>
        <w:rPr>
          <w:rStyle w:val="a8"/>
          <w:rFonts w:ascii="仿宋_GB2312" w:eastAsia="仿宋_GB2312" w:hAnsi="仿宋_GB2312" w:cs="仿宋_GB2312" w:hint="eastAsia"/>
          <w:bCs/>
          <w:color w:val="000000"/>
          <w:sz w:val="32"/>
          <w:szCs w:val="32"/>
        </w:rPr>
        <w:t>教育支出（类）普通教育（款）成人教育（项）:</w:t>
      </w:r>
      <w:r>
        <w:rPr>
          <w:rStyle w:val="a8"/>
          <w:rFonts w:ascii="仿宋_GB2312" w:eastAsia="仿宋_GB2312" w:hAnsi="仿宋_GB2312" w:cs="仿宋_GB2312" w:hint="eastAsia"/>
          <w:b w:val="0"/>
          <w:bCs/>
          <w:color w:val="000000"/>
          <w:sz w:val="32"/>
          <w:szCs w:val="32"/>
        </w:rPr>
        <w:t xml:space="preserve"> 支出决算为16.67万元，完成预算2.63%。</w:t>
      </w:r>
    </w:p>
    <w:p w:rsidR="00CC3BF3" w:rsidRDefault="00FF7BC9">
      <w:pPr>
        <w:spacing w:line="600" w:lineRule="exact"/>
        <w:ind w:firstLineChars="200" w:firstLine="643"/>
        <w:rPr>
          <w:rFonts w:ascii="仿宋_GB2312" w:eastAsia="仿宋_GB2312" w:hAnsi="仿宋_GB2312" w:cs="仿宋_GB2312"/>
          <w:b/>
          <w:color w:val="000000"/>
          <w:sz w:val="32"/>
          <w:szCs w:val="32"/>
        </w:rPr>
      </w:pPr>
      <w:r>
        <w:rPr>
          <w:rStyle w:val="a8"/>
          <w:rFonts w:ascii="仿宋_GB2312" w:eastAsia="仿宋_GB2312" w:hAnsi="仿宋_GB2312" w:cs="仿宋_GB2312" w:hint="eastAsia"/>
          <w:bCs/>
          <w:color w:val="000000"/>
          <w:sz w:val="32"/>
          <w:szCs w:val="32"/>
        </w:rPr>
        <w:t>2.社会保障和就业支出（类）行政事业单位离退休（款）事业单位离退休（项）:</w:t>
      </w:r>
      <w:r>
        <w:rPr>
          <w:rStyle w:val="a8"/>
          <w:rFonts w:ascii="仿宋_GB2312" w:eastAsia="仿宋_GB2312" w:hAnsi="仿宋_GB2312" w:cs="仿宋_GB2312" w:hint="eastAsia"/>
          <w:b w:val="0"/>
          <w:bCs/>
          <w:color w:val="000000"/>
          <w:sz w:val="32"/>
          <w:szCs w:val="32"/>
        </w:rPr>
        <w:t xml:space="preserve"> 支出决算为29.61万元，完成预算19.48%，</w:t>
      </w:r>
      <w:r>
        <w:rPr>
          <w:rStyle w:val="a8"/>
          <w:rFonts w:ascii="仿宋_GB2312" w:eastAsia="仿宋_GB2312" w:hAnsi="仿宋_GB2312" w:cs="仿宋_GB2312" w:hint="eastAsia"/>
          <w:bCs/>
          <w:color w:val="000000"/>
          <w:sz w:val="32"/>
          <w:szCs w:val="32"/>
        </w:rPr>
        <w:t>社会保障和就业支出（类）行政事业单位离退休（款）机关事业单位基本养老保险缴费支出（项）:</w:t>
      </w:r>
      <w:r>
        <w:rPr>
          <w:rStyle w:val="a8"/>
          <w:rFonts w:ascii="仿宋_GB2312" w:eastAsia="仿宋_GB2312" w:hAnsi="仿宋_GB2312" w:cs="仿宋_GB2312" w:hint="eastAsia"/>
          <w:b w:val="0"/>
          <w:bCs/>
          <w:color w:val="000000"/>
          <w:sz w:val="32"/>
          <w:szCs w:val="32"/>
        </w:rPr>
        <w:t xml:space="preserve"> 支出决算为83.68万元，完成预算55.05%，</w:t>
      </w:r>
      <w:r>
        <w:rPr>
          <w:rStyle w:val="a8"/>
          <w:rFonts w:ascii="仿宋_GB2312" w:eastAsia="仿宋_GB2312" w:hAnsi="仿宋_GB2312" w:cs="仿宋_GB2312" w:hint="eastAsia"/>
          <w:bCs/>
          <w:color w:val="000000"/>
          <w:sz w:val="32"/>
          <w:szCs w:val="32"/>
        </w:rPr>
        <w:t>社会保障和就业支出（类）行政事业单位离退休（款）机关事业单位职业年金缴费支出（项）:</w:t>
      </w:r>
      <w:r>
        <w:rPr>
          <w:rStyle w:val="a8"/>
          <w:rFonts w:ascii="仿宋_GB2312" w:eastAsia="仿宋_GB2312" w:hAnsi="仿宋_GB2312" w:cs="仿宋_GB2312" w:hint="eastAsia"/>
          <w:b w:val="0"/>
          <w:bCs/>
          <w:color w:val="000000"/>
          <w:sz w:val="32"/>
          <w:szCs w:val="32"/>
        </w:rPr>
        <w:t xml:space="preserve"> 支出决算为38.71万元，完成预算25.47%，决算数</w:t>
      </w:r>
      <w:r>
        <w:rPr>
          <w:rStyle w:val="a8"/>
          <w:rFonts w:ascii="仿宋_GB2312" w:eastAsia="仿宋_GB2312" w:hAnsi="仿宋_GB2312" w:cs="仿宋_GB2312" w:hint="eastAsia"/>
          <w:b w:val="0"/>
          <w:bCs/>
          <w:color w:val="000000"/>
          <w:sz w:val="32"/>
          <w:szCs w:val="32"/>
        </w:rPr>
        <w:lastRenderedPageBreak/>
        <w:t>与预算数持平。</w:t>
      </w:r>
    </w:p>
    <w:p w:rsidR="00CC3BF3" w:rsidRDefault="00FF7BC9">
      <w:pPr>
        <w:spacing w:line="600" w:lineRule="exact"/>
        <w:ind w:firstLineChars="200" w:firstLine="643"/>
        <w:rPr>
          <w:rFonts w:ascii="仿宋_GB2312" w:eastAsia="仿宋_GB2312" w:hAnsi="仿宋_GB2312" w:cs="仿宋_GB2312"/>
          <w:b/>
          <w:color w:val="000000"/>
          <w:sz w:val="32"/>
          <w:szCs w:val="32"/>
        </w:rPr>
      </w:pPr>
      <w:r>
        <w:rPr>
          <w:rStyle w:val="a8"/>
          <w:rFonts w:ascii="仿宋_GB2312" w:eastAsia="仿宋_GB2312" w:hAnsi="仿宋_GB2312" w:cs="仿宋_GB2312" w:hint="eastAsia"/>
          <w:bCs/>
          <w:color w:val="000000"/>
          <w:sz w:val="32"/>
          <w:szCs w:val="32"/>
        </w:rPr>
        <w:t>3.住房保障支出（类）住房改革支出（款）住房公积金（项）:</w:t>
      </w:r>
      <w:r>
        <w:rPr>
          <w:rStyle w:val="a8"/>
          <w:rFonts w:ascii="仿宋_GB2312" w:eastAsia="仿宋_GB2312" w:hAnsi="仿宋_GB2312" w:cs="仿宋_GB2312" w:hint="eastAsia"/>
          <w:b w:val="0"/>
          <w:bCs/>
          <w:color w:val="000000"/>
          <w:sz w:val="32"/>
          <w:szCs w:val="32"/>
        </w:rPr>
        <w:t>支出决算为66.51万元，完成预算100%，决算数与预算数持平。</w:t>
      </w:r>
    </w:p>
    <w:p w:rsidR="00CC3BF3" w:rsidRDefault="00FF7BC9">
      <w:pPr>
        <w:tabs>
          <w:tab w:val="right" w:pos="8306"/>
        </w:tabs>
        <w:spacing w:line="600" w:lineRule="exact"/>
        <w:ind w:firstLineChars="200" w:firstLine="640"/>
        <w:outlineLvl w:val="1"/>
        <w:rPr>
          <w:rStyle w:val="2Char"/>
        </w:rPr>
      </w:pPr>
      <w:bookmarkStart w:id="40" w:name="_Toc15396608"/>
      <w:bookmarkStart w:id="41" w:name="_Toc15377214"/>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0"/>
      <w:bookmarkEnd w:id="41"/>
      <w:r>
        <w:rPr>
          <w:rStyle w:val="2Char"/>
          <w:rFonts w:ascii="黑体" w:eastAsia="黑体" w:hAnsi="黑体"/>
          <w:b w:val="0"/>
        </w:rPr>
        <w:tab/>
      </w:r>
    </w:p>
    <w:p w:rsidR="00CC3BF3" w:rsidRDefault="00FF7BC9">
      <w:pPr>
        <w:spacing w:line="60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2019年一般公共预算财政拨款基本支出891.99万元，其中：</w:t>
      </w:r>
    </w:p>
    <w:p w:rsidR="00CC3BF3" w:rsidRDefault="00FF7BC9">
      <w:pPr>
        <w:spacing w:line="60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工资福利支出787.35万元，主要包括：基本工资、津贴补贴、奖金、伙食补助费、绩效工资、机关事业单位基本养老保险缴费、职业年金缴费、职工基本医疗保险缴费、公务员医疗补助缴费、其他社会保障缴费、住房公积金、其他工资福利支出等。</w:t>
      </w:r>
      <w:r>
        <w:rPr>
          <w:rFonts w:ascii="仿宋_GB2312" w:eastAsia="仿宋_GB2312" w:hAnsi="仿宋_GB2312" w:cs="仿宋_GB2312" w:hint="eastAsia"/>
          <w:color w:val="000000"/>
          <w:sz w:val="32"/>
          <w:szCs w:val="32"/>
        </w:rPr>
        <w:br/>
        <w:t xml:space="preserve">　　商品和服务支出36.82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CC3BF3" w:rsidRDefault="00FF7BC9">
      <w:pPr>
        <w:spacing w:line="600" w:lineRule="exact"/>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对个人和家庭的补助60.29万元，主要包括：离休费、退休费、退（役）职费、抚恤金、生活补助、救济费、医疗费补助、助学金、奖励金、其他对个人和家庭你的补助等。</w:t>
      </w:r>
    </w:p>
    <w:p w:rsidR="00CC3BF3" w:rsidRDefault="00FF7BC9">
      <w:pPr>
        <w:spacing w:line="600" w:lineRule="exact"/>
        <w:ind w:firstLine="640"/>
        <w:rPr>
          <w:rFonts w:ascii="仿宋" w:eastAsia="仿宋_GB2312" w:hAnsi="仿宋"/>
          <w:b/>
          <w:color w:val="FF0000"/>
          <w:sz w:val="32"/>
          <w:szCs w:val="32"/>
        </w:rPr>
      </w:pPr>
      <w:r>
        <w:rPr>
          <w:rFonts w:ascii="仿宋" w:eastAsia="仿宋" w:hAnsi="仿宋" w:hint="eastAsia"/>
          <w:bCs/>
          <w:sz w:val="32"/>
          <w:szCs w:val="32"/>
        </w:rPr>
        <w:t>资本性支出7.54万元，主要包括：办公设备购置</w:t>
      </w:r>
      <w:r>
        <w:rPr>
          <w:rFonts w:ascii="仿宋_GB2312" w:eastAsia="仿宋_GB2312" w:hAnsi="仿宋_GB2312" w:cs="仿宋_GB2312" w:hint="eastAsia"/>
          <w:color w:val="000000"/>
          <w:sz w:val="32"/>
          <w:szCs w:val="32"/>
        </w:rPr>
        <w:t>、专</w:t>
      </w:r>
      <w:r>
        <w:rPr>
          <w:rFonts w:ascii="仿宋_GB2312" w:eastAsia="仿宋_GB2312" w:hAnsi="仿宋_GB2312" w:cs="仿宋_GB2312" w:hint="eastAsia"/>
          <w:color w:val="000000"/>
          <w:sz w:val="32"/>
          <w:szCs w:val="32"/>
        </w:rPr>
        <w:lastRenderedPageBreak/>
        <w:t>用设备购置等。</w:t>
      </w:r>
    </w:p>
    <w:p w:rsidR="00CC3BF3" w:rsidRDefault="00FF7BC9">
      <w:pPr>
        <w:spacing w:line="600" w:lineRule="exact"/>
        <w:ind w:firstLine="640"/>
        <w:outlineLvl w:val="1"/>
        <w:rPr>
          <w:rStyle w:val="2Char"/>
          <w:rFonts w:ascii="黑体" w:eastAsia="黑体" w:hAnsi="黑体"/>
          <w:b w:val="0"/>
        </w:rPr>
      </w:pPr>
      <w:bookmarkStart w:id="42" w:name="_Toc15377215"/>
      <w:bookmarkStart w:id="43" w:name="_Toc15396609"/>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2"/>
      <w:bookmarkEnd w:id="43"/>
    </w:p>
    <w:p w:rsidR="00CC3BF3" w:rsidRDefault="00FF7BC9">
      <w:pPr>
        <w:spacing w:line="600" w:lineRule="exact"/>
        <w:ind w:firstLine="640"/>
        <w:outlineLvl w:val="2"/>
        <w:rPr>
          <w:rFonts w:ascii="仿宋" w:eastAsia="仿宋" w:hAnsi="仿宋"/>
          <w:b/>
          <w:color w:val="000000"/>
          <w:sz w:val="32"/>
          <w:szCs w:val="32"/>
        </w:rPr>
      </w:pPr>
      <w:bookmarkStart w:id="44" w:name="_Toc15377216"/>
      <w:r>
        <w:rPr>
          <w:rFonts w:ascii="仿宋" w:eastAsia="仿宋" w:hAnsi="仿宋" w:hint="eastAsia"/>
          <w:b/>
          <w:color w:val="000000"/>
          <w:sz w:val="32"/>
          <w:szCs w:val="32"/>
        </w:rPr>
        <w:t>（一）“三公”经费财政拨款支出决算总体情况说明</w:t>
      </w:r>
      <w:bookmarkEnd w:id="44"/>
    </w:p>
    <w:p w:rsidR="00CC3BF3" w:rsidRDefault="00FF7BC9">
      <w:pPr>
        <w:spacing w:line="600" w:lineRule="exact"/>
        <w:ind w:leftChars="100" w:left="21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2019年“三公”经费财政拨款支出决算为0万元。余2018年持平。主要原因是严格执行“八项”规定、减少接待次数、降低接待标准。</w:t>
      </w:r>
    </w:p>
    <w:p w:rsidR="00CC3BF3" w:rsidRDefault="00FF7BC9">
      <w:pPr>
        <w:spacing w:line="600" w:lineRule="exact"/>
        <w:ind w:firstLine="640"/>
        <w:outlineLvl w:val="2"/>
        <w:rPr>
          <w:rFonts w:ascii="仿宋" w:eastAsia="仿宋" w:hAnsi="仿宋"/>
          <w:b/>
          <w:color w:val="000000"/>
          <w:sz w:val="32"/>
          <w:szCs w:val="32"/>
        </w:rPr>
      </w:pPr>
      <w:bookmarkStart w:id="45" w:name="_Toc15377217"/>
      <w:r>
        <w:rPr>
          <w:rFonts w:ascii="仿宋" w:eastAsia="仿宋" w:hAnsi="仿宋" w:hint="eastAsia"/>
          <w:b/>
          <w:color w:val="000000"/>
          <w:sz w:val="32"/>
          <w:szCs w:val="32"/>
        </w:rPr>
        <w:t>（二）“三公”经费财政拨款支出决算具体情况说明</w:t>
      </w:r>
      <w:bookmarkEnd w:id="45"/>
    </w:p>
    <w:p w:rsidR="00CC3BF3" w:rsidRDefault="00FF7BC9">
      <w:pPr>
        <w:spacing w:line="60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2019年“三公”经费财政拨款支出决算中，因公出国（境）费支出决算0万元，占0%；公务用车购置及运行维护费支出决算0万元，占0%；公务接待费支出决算0万元，占0%。具体情况如下：</w:t>
      </w:r>
    </w:p>
    <w:p w:rsidR="00CC3BF3" w:rsidRDefault="00FF7BC9">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Pr>
          <w:rFonts w:ascii="仿宋_GB2312" w:eastAsia="仿宋_GB2312" w:hint="eastAsia"/>
          <w:color w:val="000000"/>
          <w:sz w:val="32"/>
          <w:szCs w:val="32"/>
        </w:rPr>
        <w:t>0万元</w:t>
      </w:r>
      <w:r>
        <w:rPr>
          <w:rStyle w:val="a8"/>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全年安排因公出国（境）团组0次，出国（境）0人。因公出国（境）支出决算比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减少0万元，增长</w:t>
      </w:r>
      <w:r>
        <w:rPr>
          <w:rFonts w:ascii="仿宋_GB2312" w:eastAsia="仿宋_GB2312"/>
          <w:color w:val="000000"/>
          <w:sz w:val="32"/>
          <w:szCs w:val="32"/>
        </w:rPr>
        <w:t>/</w:t>
      </w:r>
      <w:r>
        <w:rPr>
          <w:rFonts w:ascii="仿宋_GB2312" w:eastAsia="仿宋_GB2312" w:hint="eastAsia"/>
          <w:color w:val="000000"/>
          <w:sz w:val="32"/>
          <w:szCs w:val="32"/>
        </w:rPr>
        <w:t>下降0</w:t>
      </w:r>
      <w:r>
        <w:rPr>
          <w:rFonts w:ascii="仿宋_GB2312" w:eastAsia="仿宋_GB2312"/>
          <w:color w:val="000000"/>
          <w:sz w:val="32"/>
          <w:szCs w:val="32"/>
        </w:rPr>
        <w:t>%</w:t>
      </w:r>
      <w:r>
        <w:rPr>
          <w:rFonts w:ascii="仿宋_GB2312" w:eastAsia="仿宋_GB2312" w:hint="eastAsia"/>
          <w:color w:val="000000"/>
          <w:sz w:val="32"/>
          <w:szCs w:val="32"/>
        </w:rPr>
        <w:t>。主要原因是本单位无该项支出。</w:t>
      </w:r>
    </w:p>
    <w:p w:rsidR="00CC3BF3" w:rsidRDefault="00FF7BC9">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Pr>
          <w:rFonts w:ascii="仿宋_GB2312" w:eastAsia="仿宋_GB2312" w:hint="eastAsia"/>
          <w:color w:val="000000"/>
          <w:sz w:val="32"/>
          <w:szCs w:val="32"/>
        </w:rPr>
        <w:t>0万元</w:t>
      </w:r>
      <w:r>
        <w:rPr>
          <w:rFonts w:ascii="仿宋_GB2312" w:eastAsia="仿宋_GB2312"/>
          <w:color w:val="000000"/>
          <w:sz w:val="32"/>
          <w:szCs w:val="32"/>
        </w:rPr>
        <w:t>,</w:t>
      </w:r>
      <w:r>
        <w:rPr>
          <w:rStyle w:val="a8"/>
          <w:rFonts w:ascii="仿宋" w:eastAsia="仿宋" w:hAnsi="仿宋" w:hint="eastAsia"/>
          <w:b w:val="0"/>
          <w:bCs/>
          <w:color w:val="000000"/>
          <w:sz w:val="32"/>
          <w:szCs w:val="32"/>
        </w:rPr>
        <w:t>完成预算0</w:t>
      </w:r>
      <w:r>
        <w:rPr>
          <w:rStyle w:val="a8"/>
          <w:rFonts w:ascii="仿宋" w:eastAsia="仿宋" w:hAnsi="仿宋"/>
          <w:b w:val="0"/>
          <w:bCs/>
          <w:color w:val="000000"/>
          <w:sz w:val="32"/>
          <w:szCs w:val="32"/>
        </w:rPr>
        <w:t>%</w:t>
      </w:r>
      <w:r>
        <w:rPr>
          <w:rStyle w:val="a8"/>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减少0万元，增长</w:t>
      </w:r>
      <w:r>
        <w:rPr>
          <w:rFonts w:ascii="仿宋_GB2312" w:eastAsia="仿宋_GB2312"/>
          <w:color w:val="000000"/>
          <w:sz w:val="32"/>
          <w:szCs w:val="32"/>
        </w:rPr>
        <w:t>/</w:t>
      </w:r>
      <w:r>
        <w:rPr>
          <w:rFonts w:ascii="仿宋_GB2312" w:eastAsia="仿宋_GB2312" w:hint="eastAsia"/>
          <w:color w:val="000000"/>
          <w:sz w:val="32"/>
          <w:szCs w:val="32"/>
        </w:rPr>
        <w:t>下降0</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hint="eastAsia"/>
          <w:b/>
          <w:color w:val="000000"/>
          <w:sz w:val="32"/>
          <w:szCs w:val="32"/>
        </w:rPr>
        <w:t>公务用车运行维护费支出</w:t>
      </w:r>
      <w:r>
        <w:rPr>
          <w:rFonts w:ascii="仿宋_GB2312" w:eastAsia="仿宋_GB2312" w:hint="eastAsia"/>
          <w:color w:val="000000"/>
          <w:sz w:val="32"/>
          <w:szCs w:val="32"/>
        </w:rPr>
        <w:t>0万元。</w:t>
      </w:r>
    </w:p>
    <w:p w:rsidR="00CC3BF3" w:rsidRDefault="00FF7BC9">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Pr>
          <w:rFonts w:ascii="仿宋_GB2312" w:eastAsia="仿宋_GB2312" w:hint="eastAsia"/>
          <w:color w:val="000000"/>
          <w:sz w:val="32"/>
          <w:szCs w:val="32"/>
        </w:rPr>
        <w:t>0万元</w:t>
      </w:r>
      <w:r>
        <w:rPr>
          <w:rStyle w:val="a8"/>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公务接待费支出决算与</w:t>
      </w:r>
      <w:r>
        <w:rPr>
          <w:rFonts w:ascii="仿宋_GB2312" w:eastAsia="仿宋_GB2312"/>
          <w:color w:val="000000"/>
          <w:sz w:val="32"/>
          <w:szCs w:val="32"/>
        </w:rPr>
        <w:t>201</w:t>
      </w:r>
      <w:r>
        <w:rPr>
          <w:rFonts w:ascii="仿宋_GB2312" w:eastAsia="仿宋_GB2312" w:hint="eastAsia"/>
          <w:color w:val="000000"/>
          <w:sz w:val="32"/>
          <w:szCs w:val="32"/>
        </w:rPr>
        <w:t>8年比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减少0万元，增长</w:t>
      </w:r>
      <w:r>
        <w:rPr>
          <w:rFonts w:ascii="仿宋_GB2312" w:eastAsia="仿宋_GB2312"/>
          <w:color w:val="000000"/>
          <w:sz w:val="32"/>
          <w:szCs w:val="32"/>
        </w:rPr>
        <w:t>/</w:t>
      </w:r>
      <w:r>
        <w:rPr>
          <w:rFonts w:ascii="仿宋_GB2312" w:eastAsia="仿宋_GB2312" w:hint="eastAsia"/>
          <w:color w:val="000000"/>
          <w:sz w:val="32"/>
          <w:szCs w:val="32"/>
        </w:rPr>
        <w:t>下降0</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hint="eastAsia"/>
          <w:b/>
          <w:color w:val="000000"/>
          <w:sz w:val="32"/>
          <w:szCs w:val="32"/>
        </w:rPr>
        <w:t>公务接待费费支出</w:t>
      </w:r>
      <w:r>
        <w:rPr>
          <w:rFonts w:ascii="仿宋_GB2312" w:eastAsia="仿宋_GB2312" w:hint="eastAsia"/>
          <w:color w:val="000000"/>
          <w:sz w:val="32"/>
          <w:szCs w:val="32"/>
        </w:rPr>
        <w:t>0万元。</w:t>
      </w:r>
    </w:p>
    <w:p w:rsidR="00CC3BF3" w:rsidRDefault="00FF7BC9">
      <w:pPr>
        <w:spacing w:line="600" w:lineRule="exact"/>
        <w:ind w:firstLine="640"/>
        <w:outlineLvl w:val="1"/>
        <w:rPr>
          <w:rStyle w:val="2Char"/>
          <w:rFonts w:ascii="黑体" w:eastAsia="黑体" w:hAnsi="黑体"/>
        </w:rPr>
      </w:pPr>
      <w:bookmarkStart w:id="46" w:name="_Toc15396610"/>
      <w:bookmarkStart w:id="47" w:name="_Toc15377218"/>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6"/>
      <w:bookmarkEnd w:id="47"/>
    </w:p>
    <w:p w:rsidR="00CC3BF3" w:rsidRDefault="00FF7BC9">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9年政府性基金预算拨款支出0万元，年末结转结余</w:t>
      </w:r>
      <w:r>
        <w:rPr>
          <w:rFonts w:ascii="仿宋_GB2312" w:eastAsia="仿宋_GB2312" w:hint="eastAsia"/>
          <w:color w:val="000000"/>
          <w:sz w:val="32"/>
          <w:szCs w:val="32"/>
        </w:rPr>
        <w:lastRenderedPageBreak/>
        <w:t>0万元。</w:t>
      </w:r>
    </w:p>
    <w:p w:rsidR="00CC3BF3" w:rsidRDefault="00FF7BC9">
      <w:pPr>
        <w:numPr>
          <w:ilvl w:val="0"/>
          <w:numId w:val="2"/>
        </w:numPr>
        <w:spacing w:line="600" w:lineRule="exact"/>
        <w:ind w:firstLine="640"/>
        <w:outlineLvl w:val="1"/>
        <w:rPr>
          <w:rStyle w:val="2Char"/>
          <w:rFonts w:ascii="黑体" w:eastAsia="黑体" w:hAnsi="黑体"/>
          <w:b w:val="0"/>
        </w:rPr>
      </w:pPr>
      <w:bookmarkStart w:id="48" w:name="_Toc15396611"/>
      <w:bookmarkStart w:id="49" w:name="_Toc15377219"/>
      <w:r>
        <w:rPr>
          <w:rStyle w:val="2Char"/>
          <w:rFonts w:ascii="黑体" w:eastAsia="黑体" w:hAnsi="黑体" w:hint="eastAsia"/>
          <w:b w:val="0"/>
        </w:rPr>
        <w:t>国有资本经营预算支出决算情况说明</w:t>
      </w:r>
      <w:bookmarkEnd w:id="48"/>
      <w:bookmarkEnd w:id="49"/>
    </w:p>
    <w:p w:rsidR="00CC3BF3" w:rsidRDefault="00FF7BC9">
      <w:pPr>
        <w:spacing w:line="600" w:lineRule="exact"/>
        <w:ind w:firstLine="640"/>
        <w:rPr>
          <w:rStyle w:val="2Char"/>
          <w:rFonts w:ascii="黑体" w:eastAsia="黑体" w:hAnsi="黑体"/>
          <w:b w:val="0"/>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9年国有资本经营预算拨款支出0万元。</w:t>
      </w:r>
    </w:p>
    <w:p w:rsidR="00CC3BF3" w:rsidRDefault="00FF7BC9">
      <w:pPr>
        <w:numPr>
          <w:ilvl w:val="0"/>
          <w:numId w:val="2"/>
        </w:numPr>
        <w:spacing w:line="600" w:lineRule="exact"/>
        <w:ind w:firstLine="640"/>
        <w:outlineLvl w:val="1"/>
        <w:rPr>
          <w:rStyle w:val="2Char"/>
          <w:rFonts w:ascii="黑体" w:eastAsia="黑体" w:hAnsi="黑体"/>
          <w:b w:val="0"/>
        </w:rPr>
      </w:pPr>
      <w:r>
        <w:rPr>
          <w:rStyle w:val="2Char"/>
          <w:rFonts w:ascii="黑体" w:eastAsia="黑体" w:hAnsi="黑体" w:hint="eastAsia"/>
          <w:b w:val="0"/>
        </w:rPr>
        <w:t>其它重要事项说明</w:t>
      </w:r>
    </w:p>
    <w:p w:rsidR="00CC3BF3" w:rsidRDefault="00FF7BC9">
      <w:pPr>
        <w:spacing w:line="580" w:lineRule="exact"/>
        <w:ind w:firstLineChars="300" w:firstLine="964"/>
        <w:rPr>
          <w:rFonts w:ascii="仿宋" w:eastAsia="仿宋" w:hAnsi="仿宋" w:cs="楷体_GB2312"/>
          <w:b/>
          <w:bCs/>
          <w:sz w:val="32"/>
          <w:szCs w:val="32"/>
        </w:rPr>
      </w:pPr>
      <w:r>
        <w:rPr>
          <w:rFonts w:ascii="仿宋" w:eastAsia="仿宋" w:hAnsi="仿宋" w:hint="eastAsia"/>
          <w:b/>
          <w:color w:val="000000"/>
          <w:sz w:val="32"/>
          <w:szCs w:val="32"/>
        </w:rPr>
        <w:t>（一</w:t>
      </w:r>
      <w:r>
        <w:rPr>
          <w:rStyle w:val="2Char"/>
          <w:rFonts w:ascii="黑体" w:eastAsia="黑体" w:hAnsi="黑体" w:hint="eastAsia"/>
          <w:b w:val="0"/>
        </w:rPr>
        <w:t>）其他重要事项的情况说明</w:t>
      </w:r>
    </w:p>
    <w:p w:rsidR="00CC3BF3" w:rsidRDefault="00FF7BC9">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根据预算绩效管理要求，本部门（单位）在年初预算编制阶段，组织对教育支出、社会保障和就业支出、住房保障支出项目开展了预算事前绩效评估。本部门按要求对</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9年部门整体支出开展绩效自评，从评价情况来看，保障了教职工正常的生活、工作秩序、学校各项工作的正常开展，充分发挥财政资金使用效益，推进义务教育均衡发展。</w:t>
      </w:r>
    </w:p>
    <w:p w:rsidR="00CC3BF3" w:rsidRDefault="00FF7BC9">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本部门按要求对2019年部门整体支出绩效评价情况开展自评，《广汉市三水中学2019年部门整体支出绩效评价报告》见附件</w:t>
      </w:r>
    </w:p>
    <w:p w:rsidR="00CC3BF3" w:rsidRDefault="00FF7BC9">
      <w:pPr>
        <w:spacing w:line="600" w:lineRule="exact"/>
        <w:ind w:firstLineChars="300" w:firstLine="964"/>
        <w:outlineLvl w:val="2"/>
        <w:rPr>
          <w:rFonts w:ascii="仿宋" w:eastAsia="仿宋" w:hAnsi="仿宋"/>
          <w:color w:val="000000"/>
          <w:sz w:val="32"/>
          <w:szCs w:val="32"/>
        </w:rPr>
      </w:pPr>
      <w:bookmarkStart w:id="50" w:name="_Toc15377222"/>
      <w:r>
        <w:rPr>
          <w:rFonts w:ascii="仿宋" w:eastAsia="仿宋" w:hAnsi="仿宋" w:hint="eastAsia"/>
          <w:b/>
          <w:color w:val="000000"/>
          <w:sz w:val="32"/>
          <w:szCs w:val="32"/>
        </w:rPr>
        <w:t>（</w:t>
      </w:r>
      <w:r>
        <w:rPr>
          <w:rStyle w:val="2Char"/>
          <w:rFonts w:ascii="黑体" w:eastAsia="黑体" w:hAnsi="黑体" w:hint="eastAsia"/>
          <w:b w:val="0"/>
        </w:rPr>
        <w:t>二）机关运行经费支出情况</w:t>
      </w:r>
      <w:bookmarkEnd w:id="50"/>
    </w:p>
    <w:p w:rsidR="00CC3BF3" w:rsidRDefault="00FF7BC9">
      <w:pPr>
        <w:spacing w:line="580" w:lineRule="exact"/>
        <w:jc w:val="left"/>
        <w:rPr>
          <w:rFonts w:ascii="方正小标宋简体" w:eastAsia="方正小标宋简体" w:hAnsi="方正小标宋简体" w:cs="方正小标宋简体"/>
          <w:sz w:val="44"/>
          <w:szCs w:val="44"/>
        </w:rPr>
      </w:pPr>
      <w:r>
        <w:rPr>
          <w:rFonts w:ascii="仿宋_GB2312" w:eastAsia="仿宋_GB2312" w:hint="eastAsia"/>
          <w:color w:val="000000"/>
          <w:sz w:val="32"/>
          <w:szCs w:val="32"/>
        </w:rPr>
        <w:t xml:space="preserve">   </w:t>
      </w:r>
      <w:r>
        <w:rPr>
          <w:rFonts w:ascii="仿宋_GB2312" w:eastAsia="仿宋_GB2312"/>
          <w:color w:val="000000"/>
          <w:sz w:val="32"/>
          <w:szCs w:val="32"/>
        </w:rPr>
        <w:t>201</w:t>
      </w:r>
      <w:r>
        <w:rPr>
          <w:rFonts w:ascii="仿宋_GB2312" w:eastAsia="仿宋_GB2312" w:hint="eastAsia"/>
          <w:color w:val="000000"/>
          <w:sz w:val="32"/>
          <w:szCs w:val="32"/>
        </w:rPr>
        <w:t>9年，广汉市三水中学机关运行经费支出36.82万元，比</w:t>
      </w:r>
      <w:r>
        <w:rPr>
          <w:rFonts w:ascii="仿宋_GB2312" w:eastAsia="仿宋_GB2312"/>
          <w:color w:val="000000"/>
          <w:sz w:val="32"/>
          <w:szCs w:val="32"/>
        </w:rPr>
        <w:t>201</w:t>
      </w:r>
      <w:r>
        <w:rPr>
          <w:rFonts w:ascii="仿宋_GB2312" w:eastAsia="仿宋_GB2312" w:hint="eastAsia"/>
          <w:color w:val="000000"/>
          <w:sz w:val="32"/>
          <w:szCs w:val="32"/>
        </w:rPr>
        <w:t>8年减少13.08万元，10.50</w:t>
      </w:r>
      <w:r>
        <w:rPr>
          <w:rFonts w:ascii="仿宋_GB2312" w:eastAsia="仿宋_GB2312"/>
          <w:color w:val="000000"/>
          <w:sz w:val="32"/>
          <w:szCs w:val="32"/>
        </w:rPr>
        <w:t>%</w:t>
      </w:r>
      <w:r>
        <w:rPr>
          <w:rFonts w:ascii="仿宋_GB2312" w:eastAsia="仿宋_GB2312" w:hint="eastAsia"/>
          <w:color w:val="000000"/>
          <w:sz w:val="32"/>
          <w:szCs w:val="32"/>
        </w:rPr>
        <w:t>。主要原因是学生人数减少。</w:t>
      </w:r>
    </w:p>
    <w:p w:rsidR="00CC3BF3" w:rsidRDefault="00FF7BC9">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CC3BF3" w:rsidRDefault="00FF7BC9">
      <w:pPr>
        <w:numPr>
          <w:ilvl w:val="0"/>
          <w:numId w:val="3"/>
        </w:numPr>
        <w:spacing w:line="600" w:lineRule="exact"/>
        <w:ind w:firstLineChars="150" w:firstLine="663"/>
        <w:jc w:val="center"/>
        <w:outlineLvl w:val="0"/>
        <w:rPr>
          <w:rStyle w:val="1Char"/>
          <w:rFonts w:ascii="黑体" w:eastAsia="黑体" w:hAnsi="黑体"/>
          <w:b w:val="0"/>
        </w:rPr>
      </w:pPr>
      <w:bookmarkStart w:id="51" w:name="_Toc15377225"/>
      <w:bookmarkStart w:id="52" w:name="_Toc15396613"/>
      <w:r>
        <w:rPr>
          <w:rFonts w:ascii="黑体" w:eastAsia="黑体" w:hAnsi="黑体" w:hint="eastAsia"/>
          <w:b/>
          <w:color w:val="000000"/>
          <w:sz w:val="44"/>
          <w:szCs w:val="44"/>
        </w:rPr>
        <w:lastRenderedPageBreak/>
        <w:t>名</w:t>
      </w:r>
      <w:r>
        <w:rPr>
          <w:rStyle w:val="1Char"/>
          <w:rFonts w:ascii="黑体" w:eastAsia="黑体" w:hAnsi="黑体" w:hint="eastAsia"/>
          <w:b w:val="0"/>
        </w:rPr>
        <w:t>词解释</w:t>
      </w:r>
      <w:bookmarkEnd w:id="51"/>
      <w:bookmarkEnd w:id="52"/>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教育（类）02（款）02（项）：指初中教育、成人教育。</w:t>
      </w:r>
    </w:p>
    <w:p w:rsidR="00CC3BF3" w:rsidRDefault="00FF7BC9">
      <w:pPr>
        <w:ind w:firstLineChars="200" w:firstLine="640"/>
        <w:rPr>
          <w:rFonts w:ascii="仿宋_GB2312" w:eastAsia="仿宋_GB2312"/>
          <w:color w:val="000000"/>
          <w:sz w:val="32"/>
          <w:szCs w:val="32"/>
        </w:rPr>
      </w:pPr>
      <w:r>
        <w:rPr>
          <w:rFonts w:ascii="仿宋_GB2312" w:eastAsia="仿宋_GB2312" w:hint="eastAsia"/>
          <w:color w:val="000000"/>
          <w:sz w:val="32"/>
          <w:szCs w:val="32"/>
        </w:rPr>
        <w:t>10</w:t>
      </w:r>
      <w:r>
        <w:rPr>
          <w:rFonts w:ascii="仿宋_GB2312" w:eastAsia="仿宋_GB2312"/>
          <w:color w:val="000000"/>
          <w:sz w:val="32"/>
          <w:szCs w:val="32"/>
        </w:rPr>
        <w:t>.</w:t>
      </w:r>
      <w:r>
        <w:rPr>
          <w:rFonts w:ascii="仿宋_GB2312" w:eastAsia="仿宋_GB2312" w:hint="eastAsia"/>
          <w:color w:val="000000"/>
          <w:sz w:val="32"/>
          <w:szCs w:val="32"/>
        </w:rPr>
        <w:t>住房保障（类）01（款）01（项）：指住房公积金。</w:t>
      </w:r>
    </w:p>
    <w:p w:rsidR="00CC3BF3" w:rsidRDefault="00FF7BC9">
      <w:pPr>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11</w:t>
      </w:r>
      <w:r>
        <w:rPr>
          <w:rFonts w:ascii="仿宋_GB2312" w:eastAsia="仿宋_GB2312"/>
          <w:color w:val="000000"/>
          <w:sz w:val="32"/>
          <w:szCs w:val="32"/>
        </w:rPr>
        <w:t>.</w:t>
      </w:r>
      <w:r>
        <w:rPr>
          <w:rFonts w:ascii="仿宋_GB2312" w:eastAsia="仿宋_GB2312" w:hint="eastAsia"/>
          <w:color w:val="000000"/>
          <w:sz w:val="32"/>
          <w:szCs w:val="32"/>
        </w:rPr>
        <w:t>基本支出：指为保障机构正常运转、完成日常工作任务而发生的人员支出和公用支出。</w:t>
      </w:r>
    </w:p>
    <w:p w:rsidR="00CC3BF3" w:rsidRDefault="00FF7BC9">
      <w:pPr>
        <w:ind w:firstLineChars="200" w:firstLine="640"/>
        <w:rPr>
          <w:rFonts w:ascii="仿宋_GB2312" w:eastAsia="仿宋_GB2312"/>
          <w:color w:val="000000"/>
          <w:sz w:val="32"/>
          <w:szCs w:val="32"/>
        </w:rPr>
      </w:pPr>
      <w:r>
        <w:rPr>
          <w:rFonts w:ascii="仿宋_GB2312" w:eastAsia="仿宋_GB2312" w:hint="eastAsia"/>
          <w:color w:val="000000"/>
          <w:sz w:val="32"/>
          <w:szCs w:val="32"/>
        </w:rPr>
        <w:t>12</w:t>
      </w:r>
      <w:r>
        <w:rPr>
          <w:rFonts w:ascii="仿宋_GB2312" w:eastAsia="仿宋_GB2312"/>
          <w:color w:val="000000"/>
          <w:sz w:val="32"/>
          <w:szCs w:val="32"/>
        </w:rPr>
        <w:t>.</w:t>
      </w:r>
      <w:r>
        <w:rPr>
          <w:rFonts w:ascii="仿宋_GB2312" w:eastAsia="仿宋_GB2312" w:hint="eastAsia"/>
          <w:color w:val="000000"/>
          <w:sz w:val="32"/>
          <w:szCs w:val="32"/>
        </w:rPr>
        <w:t>经营支出：指事业单位在专业业务活动及其辅助活动之外开展非独立核算经营活动发生的支出。</w:t>
      </w:r>
    </w:p>
    <w:p w:rsidR="00CC3BF3" w:rsidRDefault="00FF7BC9">
      <w:pPr>
        <w:pStyle w:val="Default"/>
        <w:spacing w:line="560" w:lineRule="exact"/>
        <w:ind w:firstLineChars="200" w:firstLine="640"/>
        <w:rPr>
          <w:rFonts w:ascii="仿宋_GB2312" w:eastAsia="仿宋_GB2312"/>
          <w:sz w:val="32"/>
          <w:szCs w:val="32"/>
        </w:rPr>
      </w:pPr>
      <w:r>
        <w:rPr>
          <w:rFonts w:ascii="仿宋_GB2312" w:eastAsia="仿宋_GB2312" w:hint="eastAsia"/>
          <w:sz w:val="32"/>
          <w:szCs w:val="32"/>
        </w:rPr>
        <w:t>13</w:t>
      </w:r>
      <w:r>
        <w:rPr>
          <w:rFonts w:ascii="仿宋_GB2312" w:eastAsia="仿宋_GB2312"/>
          <w:sz w:val="32"/>
          <w:szCs w:val="32"/>
        </w:rPr>
        <w:t>.</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CC3BF3" w:rsidRDefault="00FF7BC9">
      <w:pPr>
        <w:pStyle w:val="Default"/>
        <w:spacing w:line="560" w:lineRule="exact"/>
        <w:ind w:firstLineChars="200" w:firstLine="640"/>
        <w:rPr>
          <w:rFonts w:ascii="仿宋_GB2312" w:eastAsia="仿宋_GB2312" w:cs="黑体"/>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C3BF3" w:rsidRDefault="00CC3BF3">
      <w:pPr>
        <w:spacing w:line="580" w:lineRule="exact"/>
        <w:rPr>
          <w:rFonts w:ascii="仿宋_GB2312" w:eastAsia="仿宋_GB2312"/>
          <w:sz w:val="32"/>
          <w:szCs w:val="32"/>
        </w:rPr>
      </w:pPr>
      <w:bookmarkStart w:id="53" w:name="_Toc15396618"/>
      <w:bookmarkStart w:id="54" w:name="_Toc15377226"/>
    </w:p>
    <w:p w:rsidR="00CC3BF3" w:rsidRDefault="00CC3BF3">
      <w:pPr>
        <w:spacing w:line="580" w:lineRule="exact"/>
        <w:rPr>
          <w:rFonts w:ascii="仿宋_GB2312" w:eastAsia="仿宋_GB2312"/>
          <w:sz w:val="32"/>
          <w:szCs w:val="32"/>
        </w:rPr>
      </w:pPr>
    </w:p>
    <w:p w:rsidR="00CC3BF3" w:rsidRDefault="00CC3BF3">
      <w:pPr>
        <w:spacing w:line="600" w:lineRule="exact"/>
        <w:jc w:val="center"/>
        <w:outlineLvl w:val="0"/>
        <w:rPr>
          <w:rFonts w:ascii="黑体" w:eastAsia="黑体" w:hAnsi="黑体"/>
          <w:color w:val="000000"/>
          <w:sz w:val="44"/>
          <w:szCs w:val="44"/>
        </w:rPr>
      </w:pPr>
    </w:p>
    <w:p w:rsidR="00CC3BF3" w:rsidRDefault="00CC3BF3">
      <w:pPr>
        <w:spacing w:line="600" w:lineRule="exact"/>
        <w:jc w:val="center"/>
        <w:outlineLvl w:val="0"/>
        <w:rPr>
          <w:rFonts w:ascii="黑体" w:eastAsia="黑体" w:hAnsi="黑体"/>
          <w:color w:val="000000"/>
          <w:sz w:val="44"/>
          <w:szCs w:val="44"/>
        </w:rPr>
      </w:pPr>
    </w:p>
    <w:p w:rsidR="00CC3BF3" w:rsidRDefault="00CC3BF3">
      <w:pPr>
        <w:spacing w:line="600" w:lineRule="exact"/>
        <w:jc w:val="center"/>
        <w:outlineLvl w:val="0"/>
        <w:rPr>
          <w:rFonts w:ascii="黑体" w:eastAsia="黑体" w:hAnsi="黑体"/>
          <w:color w:val="000000"/>
          <w:sz w:val="44"/>
          <w:szCs w:val="44"/>
        </w:rPr>
      </w:pPr>
    </w:p>
    <w:p w:rsidR="00CC3BF3" w:rsidRDefault="00CC3BF3">
      <w:pPr>
        <w:spacing w:line="600" w:lineRule="exact"/>
        <w:jc w:val="center"/>
        <w:outlineLvl w:val="0"/>
        <w:rPr>
          <w:rFonts w:ascii="黑体" w:eastAsia="黑体" w:hAnsi="黑体"/>
          <w:color w:val="000000"/>
          <w:sz w:val="44"/>
          <w:szCs w:val="44"/>
        </w:rPr>
      </w:pPr>
    </w:p>
    <w:p w:rsidR="00CC3BF3" w:rsidRDefault="00CC3BF3">
      <w:pPr>
        <w:spacing w:line="600" w:lineRule="exact"/>
        <w:jc w:val="center"/>
        <w:outlineLvl w:val="0"/>
        <w:rPr>
          <w:rFonts w:ascii="黑体" w:eastAsia="黑体" w:hAnsi="黑体"/>
          <w:color w:val="000000"/>
          <w:sz w:val="44"/>
          <w:szCs w:val="44"/>
        </w:rPr>
      </w:pPr>
    </w:p>
    <w:p w:rsidR="00CC3BF3" w:rsidRDefault="00FF7BC9">
      <w:pPr>
        <w:numPr>
          <w:ilvl w:val="0"/>
          <w:numId w:val="3"/>
        </w:numPr>
        <w:spacing w:line="600" w:lineRule="exact"/>
        <w:ind w:firstLineChars="150" w:firstLine="660"/>
        <w:jc w:val="center"/>
        <w:outlineLvl w:val="0"/>
        <w:rPr>
          <w:rFonts w:ascii="黑体" w:eastAsia="黑体" w:hAnsi="黑体"/>
          <w:color w:val="000000"/>
          <w:sz w:val="44"/>
          <w:szCs w:val="44"/>
        </w:rPr>
      </w:pPr>
      <w:r>
        <w:rPr>
          <w:rFonts w:ascii="黑体" w:eastAsia="黑体" w:hAnsi="黑体" w:hint="eastAsia"/>
          <w:color w:val="000000"/>
          <w:sz w:val="44"/>
          <w:szCs w:val="44"/>
        </w:rPr>
        <w:t xml:space="preserve"> 附件</w:t>
      </w:r>
    </w:p>
    <w:p w:rsidR="00CC3BF3" w:rsidRDefault="00FF7BC9">
      <w:pPr>
        <w:adjustRightInd w:val="0"/>
        <w:snapToGrid w:val="0"/>
        <w:spacing w:line="58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2019年广汉市三水中学整体支出</w:t>
      </w:r>
    </w:p>
    <w:p w:rsidR="00CC3BF3" w:rsidRDefault="00FF7BC9">
      <w:pPr>
        <w:adjustRightInd w:val="0"/>
        <w:snapToGrid w:val="0"/>
        <w:spacing w:line="58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绩效评价报告</w:t>
      </w:r>
    </w:p>
    <w:p w:rsidR="00CC3BF3" w:rsidRDefault="00FF7BC9">
      <w:pPr>
        <w:spacing w:line="580" w:lineRule="exact"/>
        <w:jc w:val="center"/>
        <w:rPr>
          <w:rFonts w:ascii="仿宋_GB2312" w:eastAsia="仿宋_GB2312"/>
          <w:kern w:val="0"/>
          <w:sz w:val="32"/>
          <w:szCs w:val="32"/>
        </w:rPr>
      </w:pPr>
      <w:r>
        <w:rPr>
          <w:rFonts w:ascii="楷体_GB2312" w:eastAsia="楷体_GB2312" w:hint="eastAsia"/>
          <w:sz w:val="32"/>
          <w:szCs w:val="32"/>
        </w:rPr>
        <w:t>（报告范围包括部门和下属二级预算单位）</w:t>
      </w:r>
    </w:p>
    <w:p w:rsidR="00CC3BF3" w:rsidRDefault="00FF7BC9">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一、部门（单位）概况</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三水中学是广汉市教育局直属初中义务教育学校，学校位于广汉市三水镇正街西段1号。职能是实施初中义务教育，教改实验（相关社会服务），促进教育事业发展。编制部门给三水中学定有事业编制</w:t>
      </w:r>
      <w:r>
        <w:rPr>
          <w:rFonts w:ascii="仿宋_GB2312" w:eastAsia="仿宋_GB2312" w:hAnsi="仿宋_GB2312" w:cs="仿宋_GB2312" w:hint="eastAsia"/>
          <w:kern w:val="2"/>
          <w:sz w:val="32"/>
          <w:szCs w:val="32"/>
        </w:rPr>
        <w:t>62</w:t>
      </w:r>
      <w:r>
        <w:rPr>
          <w:rFonts w:ascii="仿宋_GB2312" w:eastAsia="仿宋_GB2312" w:hAnsi="仿宋_GB2312" w:cs="仿宋_GB2312"/>
          <w:kern w:val="2"/>
          <w:sz w:val="32"/>
          <w:szCs w:val="32"/>
        </w:rPr>
        <w:t>个，截止2019年12月</w:t>
      </w:r>
      <w:r>
        <w:rPr>
          <w:rFonts w:ascii="仿宋_GB2312" w:eastAsia="仿宋_GB2312" w:hAnsi="仿宋_GB2312" w:cs="仿宋_GB2312" w:hint="eastAsia"/>
          <w:kern w:val="2"/>
          <w:sz w:val="32"/>
          <w:szCs w:val="32"/>
        </w:rPr>
        <w:t>31日</w:t>
      </w:r>
      <w:r>
        <w:rPr>
          <w:rFonts w:ascii="仿宋_GB2312" w:eastAsia="仿宋_GB2312" w:hAnsi="仿宋_GB2312" w:cs="仿宋_GB2312"/>
          <w:kern w:val="2"/>
          <w:sz w:val="32"/>
          <w:szCs w:val="32"/>
        </w:rPr>
        <w:t>，共有在职教职员工61人，退休人员</w:t>
      </w:r>
      <w:r>
        <w:rPr>
          <w:rFonts w:ascii="仿宋_GB2312" w:eastAsia="仿宋_GB2312" w:hAnsi="仿宋_GB2312" w:cs="仿宋_GB2312" w:hint="eastAsia"/>
          <w:kern w:val="2"/>
          <w:sz w:val="32"/>
          <w:szCs w:val="32"/>
        </w:rPr>
        <w:t>40人，</w:t>
      </w:r>
      <w:r>
        <w:rPr>
          <w:rFonts w:ascii="仿宋_GB2312" w:eastAsia="仿宋_GB2312" w:hAnsi="仿宋_GB2312" w:cs="仿宋_GB2312"/>
          <w:kern w:val="2"/>
          <w:sz w:val="32"/>
          <w:szCs w:val="32"/>
        </w:rPr>
        <w:t>学校内设有教务处、政教处、总务处、团委、办公室、工会等科室。三水中学是独立核算的财政全额拨款事业单位，执行事业单位会计制度，我校现有6个教学班，</w:t>
      </w:r>
      <w:r>
        <w:rPr>
          <w:rFonts w:ascii="仿宋_GB2312" w:eastAsia="仿宋_GB2312" w:hAnsi="仿宋_GB2312" w:cs="仿宋_GB2312" w:hint="eastAsia"/>
          <w:kern w:val="2"/>
          <w:sz w:val="32"/>
          <w:szCs w:val="32"/>
        </w:rPr>
        <w:t>223</w:t>
      </w:r>
      <w:r>
        <w:rPr>
          <w:rFonts w:ascii="仿宋_GB2312" w:eastAsia="仿宋_GB2312" w:hAnsi="仿宋_GB2312" w:cs="仿宋_GB2312"/>
          <w:kern w:val="2"/>
          <w:sz w:val="32"/>
          <w:szCs w:val="32"/>
        </w:rPr>
        <w:t>名学生。</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学校本年度的主要工作目标是保质保量完成223名在校学生的学习任务。重点任务是提高学校教学质量，改善办学条件，增强教师的业务水平。</w:t>
      </w:r>
    </w:p>
    <w:p w:rsidR="00CC3BF3" w:rsidRDefault="00FF7BC9">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二、预算管理情况</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学校2019年度总收入：889.58万元（财政补助收入878.19万元,其他收入11.39），结转上年资金22万元。全年总支出891.99万元，全年支出主要用于：教育支出626.10</w:t>
      </w:r>
      <w:r>
        <w:rPr>
          <w:rFonts w:ascii="仿宋_GB2312" w:eastAsia="仿宋_GB2312" w:hAnsi="仿宋_GB2312" w:cs="仿宋_GB2312" w:hint="eastAsia"/>
          <w:kern w:val="2"/>
          <w:sz w:val="32"/>
          <w:szCs w:val="32"/>
        </w:rPr>
        <w:lastRenderedPageBreak/>
        <w:t>万元，社会保障和就业支出152万元，卫生健康指出47.38万元，住房保障支出66.51万元。</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w:t>
      </w:r>
      <w:r>
        <w:rPr>
          <w:rFonts w:ascii="仿宋_GB2312" w:eastAsia="仿宋_GB2312" w:hAnsi="仿宋_GB2312" w:cs="仿宋_GB2312"/>
          <w:kern w:val="2"/>
          <w:sz w:val="32"/>
          <w:szCs w:val="32"/>
        </w:rPr>
        <w:t>2019年度基本支出</w:t>
      </w:r>
      <w:r>
        <w:rPr>
          <w:rFonts w:ascii="仿宋_GB2312" w:eastAsia="仿宋_GB2312" w:hAnsi="仿宋_GB2312" w:cs="仿宋_GB2312" w:hint="eastAsia"/>
          <w:kern w:val="2"/>
          <w:sz w:val="32"/>
          <w:szCs w:val="32"/>
        </w:rPr>
        <w:t>891.99</w:t>
      </w:r>
      <w:r>
        <w:rPr>
          <w:rFonts w:ascii="仿宋_GB2312" w:eastAsia="仿宋_GB2312" w:hAnsi="仿宋_GB2312" w:cs="仿宋_GB2312"/>
          <w:kern w:val="2"/>
          <w:sz w:val="32"/>
          <w:szCs w:val="32"/>
        </w:rPr>
        <w:t>万元，</w:t>
      </w:r>
      <w:r>
        <w:rPr>
          <w:rFonts w:ascii="仿宋_GB2312" w:eastAsia="仿宋_GB2312" w:hAnsi="仿宋_GB2312" w:cs="仿宋_GB2312" w:hint="eastAsia"/>
          <w:kern w:val="2"/>
          <w:sz w:val="32"/>
          <w:szCs w:val="32"/>
        </w:rPr>
        <w:t>资金整体执行进度与计划基本一致，主要包括</w:t>
      </w:r>
      <w:r>
        <w:rPr>
          <w:rFonts w:ascii="仿宋_GB2312" w:eastAsia="仿宋_GB2312" w:hAnsi="仿宋_GB2312" w:cs="仿宋_GB2312"/>
          <w:kern w:val="2"/>
          <w:sz w:val="32"/>
          <w:szCs w:val="32"/>
        </w:rPr>
        <w:t>用于维持学校正常运转发生的基本支出和完成各项教育教学任务而发生</w:t>
      </w:r>
      <w:r>
        <w:rPr>
          <w:rFonts w:ascii="仿宋_GB2312" w:eastAsia="仿宋_GB2312" w:hAnsi="仿宋_GB2312" w:cs="仿宋_GB2312" w:hint="eastAsia"/>
          <w:kern w:val="2"/>
          <w:sz w:val="32"/>
          <w:szCs w:val="32"/>
        </w:rPr>
        <w:t>的基本</w:t>
      </w:r>
      <w:r>
        <w:rPr>
          <w:rFonts w:ascii="仿宋_GB2312" w:eastAsia="仿宋_GB2312" w:hAnsi="仿宋_GB2312" w:cs="仿宋_GB2312"/>
          <w:kern w:val="2"/>
          <w:sz w:val="32"/>
          <w:szCs w:val="32"/>
        </w:rPr>
        <w:t>支出</w:t>
      </w:r>
      <w:r>
        <w:rPr>
          <w:rFonts w:ascii="仿宋_GB2312" w:eastAsia="仿宋_GB2312" w:hAnsi="仿宋_GB2312" w:cs="仿宋_GB2312" w:hint="eastAsia"/>
          <w:kern w:val="2"/>
          <w:sz w:val="32"/>
          <w:szCs w:val="32"/>
        </w:rPr>
        <w:t>，构成如下：</w:t>
      </w:r>
      <w:bookmarkStart w:id="55" w:name="_GoBack"/>
      <w:bookmarkEnd w:id="55"/>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1、维持学校正常运转发生的基本支出：</w:t>
      </w:r>
      <w:r>
        <w:rPr>
          <w:rFonts w:ascii="仿宋_GB2312" w:eastAsia="仿宋_GB2312" w:hAnsi="仿宋_GB2312" w:cs="仿宋_GB2312" w:hint="eastAsia"/>
          <w:kern w:val="2"/>
          <w:sz w:val="32"/>
          <w:szCs w:val="32"/>
        </w:rPr>
        <w:t>847.64</w:t>
      </w:r>
      <w:r>
        <w:rPr>
          <w:rFonts w:ascii="仿宋_GB2312" w:eastAsia="仿宋_GB2312" w:hAnsi="仿宋_GB2312" w:cs="仿宋_GB2312"/>
          <w:kern w:val="2"/>
          <w:sz w:val="32"/>
          <w:szCs w:val="32"/>
        </w:rPr>
        <w:t>万元，占基本支出</w:t>
      </w:r>
      <w:r>
        <w:rPr>
          <w:rFonts w:ascii="仿宋_GB2312" w:eastAsia="仿宋_GB2312" w:hAnsi="仿宋_GB2312" w:cs="仿宋_GB2312" w:hint="eastAsia"/>
          <w:kern w:val="2"/>
          <w:sz w:val="32"/>
          <w:szCs w:val="32"/>
        </w:rPr>
        <w:t>95%</w:t>
      </w:r>
      <w:r>
        <w:rPr>
          <w:rFonts w:ascii="仿宋_GB2312" w:eastAsia="仿宋_GB2312" w:hAnsi="仿宋_GB2312" w:cs="仿宋_GB2312"/>
          <w:kern w:val="2"/>
          <w:sz w:val="32"/>
          <w:szCs w:val="32"/>
        </w:rPr>
        <w:t>，其中：工资福利支出</w:t>
      </w:r>
      <w:r>
        <w:rPr>
          <w:rFonts w:ascii="仿宋_GB2312" w:eastAsia="仿宋_GB2312" w:hAnsi="仿宋_GB2312" w:cs="仿宋_GB2312" w:hint="eastAsia"/>
          <w:kern w:val="2"/>
          <w:sz w:val="32"/>
          <w:szCs w:val="32"/>
        </w:rPr>
        <w:t>787.35</w:t>
      </w:r>
      <w:r>
        <w:rPr>
          <w:rFonts w:ascii="仿宋_GB2312" w:eastAsia="仿宋_GB2312" w:hAnsi="仿宋_GB2312" w:cs="仿宋_GB2312"/>
          <w:kern w:val="2"/>
          <w:sz w:val="32"/>
          <w:szCs w:val="32"/>
        </w:rPr>
        <w:t>万元，对个人和家庭补助支出</w:t>
      </w:r>
      <w:r>
        <w:rPr>
          <w:rFonts w:ascii="仿宋_GB2312" w:eastAsia="仿宋_GB2312" w:hAnsi="仿宋_GB2312" w:cs="仿宋_GB2312" w:hint="eastAsia"/>
          <w:kern w:val="2"/>
          <w:sz w:val="32"/>
          <w:szCs w:val="32"/>
        </w:rPr>
        <w:t>60.29</w:t>
      </w:r>
      <w:r>
        <w:rPr>
          <w:rFonts w:ascii="仿宋_GB2312" w:eastAsia="仿宋_GB2312" w:hAnsi="仿宋_GB2312" w:cs="仿宋_GB2312"/>
          <w:kern w:val="2"/>
          <w:sz w:val="32"/>
          <w:szCs w:val="32"/>
        </w:rPr>
        <w:t>万元。</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2、完成各项教育教学任务而发生的基本支出</w:t>
      </w:r>
      <w:r>
        <w:rPr>
          <w:rFonts w:ascii="仿宋_GB2312" w:eastAsia="仿宋_GB2312" w:hAnsi="仿宋_GB2312" w:cs="仿宋_GB2312" w:hint="eastAsia"/>
          <w:kern w:val="2"/>
          <w:sz w:val="32"/>
          <w:szCs w:val="32"/>
        </w:rPr>
        <w:t>：44.35</w:t>
      </w:r>
      <w:r>
        <w:rPr>
          <w:rFonts w:ascii="仿宋_GB2312" w:eastAsia="仿宋_GB2312" w:hAnsi="仿宋_GB2312" w:cs="仿宋_GB2312"/>
          <w:kern w:val="2"/>
          <w:sz w:val="32"/>
          <w:szCs w:val="32"/>
        </w:rPr>
        <w:t>万元，占基本支出</w:t>
      </w:r>
      <w:r>
        <w:rPr>
          <w:rFonts w:ascii="仿宋_GB2312" w:eastAsia="仿宋_GB2312" w:hAnsi="仿宋_GB2312" w:cs="仿宋_GB2312" w:hint="eastAsia"/>
          <w:kern w:val="2"/>
          <w:sz w:val="32"/>
          <w:szCs w:val="32"/>
        </w:rPr>
        <w:t>5</w:t>
      </w:r>
      <w:r>
        <w:rPr>
          <w:rFonts w:ascii="仿宋_GB2312" w:eastAsia="仿宋_GB2312" w:hAnsi="仿宋_GB2312" w:cs="仿宋_GB2312"/>
          <w:kern w:val="2"/>
          <w:sz w:val="32"/>
          <w:szCs w:val="32"/>
        </w:rPr>
        <w:t>%，用于我校正常基本运行而发生的费用，包括办公费、水电费、邮电费、差旅费、培训费、维修费、专用材料费、</w:t>
      </w:r>
      <w:r w:rsidR="00CB21E8">
        <w:rPr>
          <w:rFonts w:ascii="仿宋_GB2312" w:eastAsia="仿宋_GB2312" w:hAnsi="仿宋_GB2312" w:cs="仿宋_GB2312"/>
          <w:kern w:val="2"/>
          <w:sz w:val="32"/>
          <w:szCs w:val="32"/>
        </w:rPr>
        <w:t>“三公”经费</w:t>
      </w:r>
      <w:r>
        <w:rPr>
          <w:rFonts w:ascii="仿宋_GB2312" w:eastAsia="仿宋_GB2312" w:hAnsi="仿宋_GB2312" w:cs="仿宋_GB2312"/>
          <w:kern w:val="2"/>
          <w:sz w:val="32"/>
          <w:szCs w:val="32"/>
        </w:rPr>
        <w:t>、租赁费、劳务费。</w:t>
      </w:r>
    </w:p>
    <w:p w:rsidR="00CC3BF3" w:rsidRDefault="00FF7BC9">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三、部门管理情况</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认真贯彻落实相关的教育教学工作文件精神，结合我校工作实际，组织开展了制度建设工作，进一步促进了我校“强责任、转心态、变作风”工作的深入开展，为全校发展提供了良好的服务平台，营造了认真负责、积极向上的良好工作态度，规范教育教学工作行为。</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学校成立了以党支部书记、校长为组长、其它班子成员和负责人为成员的制度建设领导小组。领导小组对我校各项制度进行认真整理和登记，对原有的不适应的制度进行修改</w:t>
      </w:r>
      <w:r>
        <w:rPr>
          <w:rFonts w:ascii="仿宋_GB2312" w:eastAsia="仿宋_GB2312" w:hAnsi="仿宋_GB2312" w:cs="仿宋_GB2312" w:hint="eastAsia"/>
          <w:kern w:val="2"/>
          <w:sz w:val="32"/>
          <w:szCs w:val="32"/>
        </w:rPr>
        <w:lastRenderedPageBreak/>
        <w:t>完善，结合当前工作的发展形势，从新制定了《师德师风》、《教学工作》、《安全、体育、卫生》、《校本教研》、《远程教育、实验室、图书室》、《后期、宿舍、食堂》、《财务管理》等制定，进一步规范管理力求切实可行。</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学校严格经费管理、抓好财务公开、建立财务制度、完善学校内控制度，加大了学校财务工作管理的力度，确保了教育经费的使用效率和财务工作的健康发展。</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加强组织领导，增强学校财务管理的透明度，学校成立了财务管理小组。管理小组制定了年度学校财务管理工作计划，明确了工作目标和具体工作措施，学校先后制定了学校财务管理意见，校务公开实施方案，物品采购监管工作的若干规定以及严格控制学校招待费支出的意见，日常管理中做到分工明确、责任到人、制度严格、管理到位、监督有效。</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夯实会计基础工作，学校财务室每年制定详尽务实的财务工作计划，认真做好财务预算、财务决算工作，细致审核每一笔会计业务，账务处理正确清晰。加强财务核算和财务分析。及时做好会计档案工作，会计资料细致完整。</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严格收入和收费管理。学校严格按照财务部门的规定，实施收支两条线管理。学校在收费过程中能严格执行上级核定的收费范围和标准，杜绝了乱收费现象。学校的所有收入均按规定及时足额纳入账薄统一核算。财务管理小组每学期对学校收费和收入进行一次全面审查，无“小金库”现象。</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lastRenderedPageBreak/>
        <w:t>为坚决贯彻落实中央八项规定，学校多次对</w:t>
      </w:r>
      <w:r w:rsidR="00CB21E8">
        <w:rPr>
          <w:rFonts w:ascii="仿宋_GB2312" w:eastAsia="仿宋_GB2312" w:hAnsi="仿宋_GB2312" w:cs="仿宋_GB2312"/>
          <w:kern w:val="2"/>
          <w:sz w:val="32"/>
          <w:szCs w:val="32"/>
        </w:rPr>
        <w:t>“三公”经费</w:t>
      </w:r>
      <w:r>
        <w:rPr>
          <w:rFonts w:ascii="仿宋_GB2312" w:eastAsia="仿宋_GB2312" w:hAnsi="仿宋_GB2312" w:cs="仿宋_GB2312"/>
          <w:kern w:val="2"/>
          <w:sz w:val="32"/>
          <w:szCs w:val="32"/>
        </w:rPr>
        <w:t>使用情况进行严控及自查，完善了“三公”经费各项使用制度，有效控制了“三公”经费开支</w:t>
      </w:r>
      <w:r>
        <w:rPr>
          <w:rFonts w:ascii="仿宋_GB2312" w:eastAsia="仿宋_GB2312" w:hAnsi="仿宋_GB2312" w:cs="仿宋_GB2312" w:hint="eastAsia"/>
          <w:kern w:val="2"/>
          <w:sz w:val="32"/>
          <w:szCs w:val="32"/>
        </w:rPr>
        <w:t>，完善监管，防控共建长效机制。提高工作效能，增强行政成本意识，努力提高执行力，超前谋划，按时保质完成各项工作任务；控制公务接待费用，简化公务接待，规范接待规模和规格；规范财务管理，公务费用支出实行计划管理，规范报批手续。</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摸清家底，加强固定资产的管理。依据财政局、教育局要求，全面核查，摸清，对固定资产做了全面的登记，摸清了家底，并在此基础上建立了固定资产明细分类账，增强了我校保护国有资产的意识，使固定资产的管理进入了正常化管理的轨道。</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抓好财务公开。学校每学期开学前，对面向学生的所有收费项目、收费标准、收费依据，对学校的收入情况，支出情况，及时公开，利用板面形式增加透明度。</w:t>
      </w:r>
    </w:p>
    <w:p w:rsidR="00CC3BF3" w:rsidRDefault="00FF7BC9">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四、部门履职效能</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1、深化教学改革，力保提升教学质量。</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2、使学生具有良好的思想品德，相应的知识和技能，健康的身体素质和一定特长。</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3、建立坚强的领导集体和合格的教师队伍。</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4、改善办学条件，努力奋斗，形成良好的办学风格。</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5、培养优秀师资力量，加强对教师业务培训力度。</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lastRenderedPageBreak/>
        <w:t>目标1：加强教师队伍的人才建设，扎实做好学生管理工作，规范学生行为，抓好学校安全工作。</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数量指标：每月检查教案和学生作业，教师人人参加继续教育，每期随堂听课至少达</w:t>
      </w:r>
      <w:r>
        <w:rPr>
          <w:rFonts w:ascii="仿宋_GB2312" w:eastAsia="仿宋_GB2312" w:hAnsi="仿宋_GB2312" w:cs="仿宋_GB2312" w:hint="eastAsia"/>
          <w:kern w:val="2"/>
          <w:sz w:val="32"/>
          <w:szCs w:val="32"/>
        </w:rPr>
        <w:t>二十</w:t>
      </w:r>
      <w:r>
        <w:rPr>
          <w:rFonts w:ascii="仿宋_GB2312" w:eastAsia="仿宋_GB2312" w:hAnsi="仿宋_GB2312" w:cs="仿宋_GB2312"/>
          <w:kern w:val="2"/>
          <w:sz w:val="32"/>
          <w:szCs w:val="32"/>
        </w:rPr>
        <w:t>次以上，各个教研组每月召开一次研讨会，每学期组织一次教学比武大赛。选送多名教师参加师资培训。完善班主任管理制度，每星期召开一次班主任会议，健全学生全面发展教育体系。</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效益指标：学生家长满意度90%以上。</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目标2：丰富校园生活，陶冶学生情操，培育和践行社会主义核心价值观。</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数量指标：每年一次学校艺术节活动、每月一次主题班会活动、每周一次</w:t>
      </w:r>
      <w:r>
        <w:rPr>
          <w:rFonts w:ascii="仿宋_GB2312" w:eastAsia="仿宋_GB2312" w:hAnsi="仿宋_GB2312" w:cs="仿宋_GB2312" w:hint="eastAsia"/>
          <w:kern w:val="2"/>
          <w:sz w:val="32"/>
          <w:szCs w:val="32"/>
        </w:rPr>
        <w:t>“国旗</w:t>
      </w:r>
      <w:r>
        <w:rPr>
          <w:rFonts w:ascii="仿宋_GB2312" w:eastAsia="仿宋_GB2312" w:hAnsi="仿宋_GB2312" w:cs="仿宋_GB2312"/>
          <w:kern w:val="2"/>
          <w:sz w:val="32"/>
          <w:szCs w:val="32"/>
        </w:rPr>
        <w:t>下讲话</w:t>
      </w:r>
      <w:r>
        <w:rPr>
          <w:rFonts w:ascii="仿宋_GB2312" w:eastAsia="仿宋_GB2312" w:hAnsi="仿宋_GB2312" w:cs="仿宋_GB2312" w:hint="eastAsia"/>
          <w:kern w:val="2"/>
          <w:sz w:val="32"/>
          <w:szCs w:val="32"/>
        </w:rPr>
        <w:t>”</w:t>
      </w:r>
      <w:r>
        <w:rPr>
          <w:rFonts w:ascii="仿宋_GB2312" w:eastAsia="仿宋_GB2312" w:hAnsi="仿宋_GB2312" w:cs="仿宋_GB2312"/>
          <w:kern w:val="2"/>
          <w:sz w:val="32"/>
          <w:szCs w:val="32"/>
        </w:rPr>
        <w:t>活动。</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效益指标：学生家长满意度90%以上。</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目标3：加强学校硬件设施建设，改善办学条件。</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数量指标：加大教学设备的投入</w:t>
      </w:r>
      <w:r>
        <w:rPr>
          <w:rFonts w:ascii="仿宋_GB2312" w:eastAsia="仿宋_GB2312" w:hAnsi="仿宋_GB2312" w:cs="仿宋_GB2312" w:hint="eastAsia"/>
          <w:kern w:val="2"/>
          <w:sz w:val="32"/>
          <w:szCs w:val="32"/>
        </w:rPr>
        <w:t>，保证教学用品供应</w:t>
      </w:r>
      <w:r>
        <w:rPr>
          <w:rFonts w:ascii="仿宋_GB2312" w:eastAsia="仿宋_GB2312" w:hAnsi="仿宋_GB2312" w:cs="仿宋_GB2312"/>
          <w:kern w:val="2"/>
          <w:sz w:val="32"/>
          <w:szCs w:val="32"/>
        </w:rPr>
        <w:t>。</w:t>
      </w:r>
      <w:r>
        <w:rPr>
          <w:rFonts w:ascii="仿宋_GB2312" w:eastAsia="仿宋_GB2312" w:hAnsi="仿宋_GB2312" w:cs="仿宋_GB2312" w:hint="eastAsia"/>
          <w:kern w:val="2"/>
          <w:sz w:val="32"/>
          <w:szCs w:val="32"/>
        </w:rPr>
        <w:t>维修门窗、电路等，整修操场。美化、净化、绿化校园及周边环境。加强治安防范做好安全工作。</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kern w:val="2"/>
          <w:sz w:val="32"/>
          <w:szCs w:val="32"/>
        </w:rPr>
        <w:t>效益指标：学生家长满意度达90%以上。</w:t>
      </w:r>
    </w:p>
    <w:p w:rsidR="00CC3BF3" w:rsidRDefault="00FF7BC9">
      <w:pPr>
        <w:autoSpaceDE w:val="0"/>
        <w:autoSpaceDN w:val="0"/>
        <w:adjustRightInd w:val="0"/>
        <w:spacing w:line="580" w:lineRule="exact"/>
        <w:ind w:firstLineChars="200" w:firstLine="640"/>
        <w:jc w:val="left"/>
        <w:rPr>
          <w:rFonts w:ascii="黑体" w:eastAsia="黑体"/>
          <w:kern w:val="0"/>
          <w:sz w:val="32"/>
          <w:szCs w:val="32"/>
        </w:rPr>
      </w:pPr>
      <w:r>
        <w:rPr>
          <w:rFonts w:ascii="黑体" w:eastAsia="黑体" w:hint="eastAsia"/>
          <w:kern w:val="0"/>
          <w:sz w:val="32"/>
          <w:szCs w:val="32"/>
        </w:rPr>
        <w:t>五、评价结论及措施</w:t>
      </w:r>
    </w:p>
    <w:tbl>
      <w:tblPr>
        <w:tblW w:w="8760" w:type="dxa"/>
        <w:tblLayout w:type="fixed"/>
        <w:tblCellMar>
          <w:left w:w="0" w:type="dxa"/>
          <w:right w:w="0" w:type="dxa"/>
        </w:tblCellMar>
        <w:tblLook w:val="04A0"/>
      </w:tblPr>
      <w:tblGrid>
        <w:gridCol w:w="570"/>
        <w:gridCol w:w="570"/>
        <w:gridCol w:w="570"/>
        <w:gridCol w:w="570"/>
        <w:gridCol w:w="2025"/>
        <w:gridCol w:w="4455"/>
      </w:tblGrid>
      <w:tr w:rsidR="00CC3BF3">
        <w:trPr>
          <w:trHeight w:val="1540"/>
        </w:trPr>
        <w:tc>
          <w:tcPr>
            <w:tcW w:w="8760" w:type="dxa"/>
            <w:gridSpan w:val="6"/>
            <w:tcBorders>
              <w:top w:val="nil"/>
              <w:left w:val="nil"/>
              <w:bottom w:val="nil"/>
              <w:right w:val="nil"/>
            </w:tcBorders>
            <w:tcMar>
              <w:top w:w="15" w:type="dxa"/>
              <w:left w:w="15" w:type="dxa"/>
              <w:right w:w="15" w:type="dxa"/>
            </w:tcMar>
            <w:vAlign w:val="center"/>
          </w:tcPr>
          <w:p w:rsidR="00CC3BF3" w:rsidRDefault="00FF7BC9">
            <w:pPr>
              <w:widowControl/>
              <w:jc w:val="center"/>
              <w:textAlignment w:val="center"/>
              <w:rPr>
                <w:rFonts w:ascii="方正小标宋_GBK" w:eastAsia="方正小标宋_GBK" w:hAnsi="方正小标宋_GBK" w:cs="方正小标宋_GBK"/>
                <w:color w:val="000000"/>
                <w:sz w:val="32"/>
                <w:szCs w:val="32"/>
              </w:rPr>
            </w:pPr>
            <w:r>
              <w:rPr>
                <w:rFonts w:ascii="方正小标宋_GBK" w:eastAsia="方正小标宋_GBK" w:hAnsi="方正小标宋_GBK" w:cs="方正小标宋_GBK"/>
                <w:color w:val="000000"/>
                <w:kern w:val="0"/>
                <w:sz w:val="32"/>
                <w:szCs w:val="32"/>
              </w:rPr>
              <w:t>20</w:t>
            </w:r>
            <w:r>
              <w:rPr>
                <w:rFonts w:ascii="方正小标宋_GBK" w:eastAsia="方正小标宋_GBK" w:hAnsi="方正小标宋_GBK" w:cs="方正小标宋_GBK" w:hint="eastAsia"/>
                <w:color w:val="000000"/>
                <w:kern w:val="0"/>
                <w:sz w:val="32"/>
                <w:szCs w:val="32"/>
              </w:rPr>
              <w:t>19</w:t>
            </w:r>
            <w:r>
              <w:rPr>
                <w:rFonts w:ascii="方正小标宋_GBK" w:eastAsia="方正小标宋_GBK" w:hAnsi="方正小标宋_GBK" w:cs="方正小标宋_GBK"/>
                <w:color w:val="000000"/>
                <w:kern w:val="0"/>
                <w:sz w:val="32"/>
                <w:szCs w:val="32"/>
              </w:rPr>
              <w:t>年部门整体支出绩效评价指标体系</w:t>
            </w:r>
          </w:p>
        </w:tc>
      </w:tr>
      <w:tr w:rsidR="00CC3BF3">
        <w:trPr>
          <w:trHeight w:val="90"/>
        </w:trPr>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一级</w:t>
            </w:r>
            <w:r>
              <w:rPr>
                <w:rFonts w:ascii="宋体" w:hAnsi="宋体" w:cs="宋体" w:hint="eastAsia"/>
                <w:b/>
                <w:color w:val="000000"/>
                <w:kern w:val="0"/>
                <w:sz w:val="18"/>
                <w:szCs w:val="18"/>
              </w:rPr>
              <w:lastRenderedPageBreak/>
              <w:t>指标</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lastRenderedPageBreak/>
              <w:t>二级</w:t>
            </w:r>
            <w:r>
              <w:rPr>
                <w:rFonts w:ascii="宋体" w:hAnsi="宋体" w:cs="宋体" w:hint="eastAsia"/>
                <w:b/>
                <w:color w:val="000000"/>
                <w:kern w:val="0"/>
                <w:sz w:val="18"/>
                <w:szCs w:val="18"/>
              </w:rPr>
              <w:lastRenderedPageBreak/>
              <w:t>指标</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lastRenderedPageBreak/>
              <w:t>三级</w:t>
            </w:r>
            <w:r>
              <w:rPr>
                <w:rFonts w:ascii="宋体" w:hAnsi="宋体" w:cs="宋体" w:hint="eastAsia"/>
                <w:b/>
                <w:color w:val="000000"/>
                <w:kern w:val="0"/>
                <w:sz w:val="18"/>
                <w:szCs w:val="18"/>
              </w:rPr>
              <w:lastRenderedPageBreak/>
              <w:t>指标</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lastRenderedPageBreak/>
              <w:t>分值</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指标解释</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评分标准</w:t>
            </w:r>
          </w:p>
        </w:tc>
      </w:tr>
      <w:tr w:rsidR="00CC3BF3">
        <w:trPr>
          <w:trHeight w:val="1540"/>
        </w:trPr>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（10分）</w:t>
            </w:r>
            <w:r>
              <w:rPr>
                <w:rFonts w:ascii="宋体" w:hAnsi="宋体" w:cs="宋体" w:hint="eastAsia"/>
                <w:color w:val="000000"/>
                <w:kern w:val="0"/>
                <w:sz w:val="18"/>
                <w:szCs w:val="18"/>
              </w:rPr>
              <w:br/>
              <w:t>预算管理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预算编制（5分）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预算安排准确性</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反映部门（单位）年初预算安排的准确性</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指标得分=（预算资金总来源-中期评估调整取消资金-预算结余注销资金）/预算资金总来源*指标分值，预算资金总来源是指年初预算与执行中追加预算（不含当年中央、省专款）总和</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执行进度（5分）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部门总体执行进度</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部门（单位）按要求严格预算管理</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部门总体执行进度达96%以上，不扣分；达92%以上，按80%打分；达88%以上，按60%打分；未达到88%，不得分。</w:t>
            </w:r>
            <w:r>
              <w:rPr>
                <w:rFonts w:ascii="宋体" w:hAnsi="宋体" w:cs="宋体" w:hint="eastAsia"/>
                <w:color w:val="000000"/>
                <w:kern w:val="0"/>
                <w:sz w:val="18"/>
                <w:szCs w:val="18"/>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r>
      <w:tr w:rsidR="00CC3BF3">
        <w:trPr>
          <w:trHeight w:val="1540"/>
        </w:trPr>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（10分）</w:t>
            </w:r>
            <w:r>
              <w:rPr>
                <w:rFonts w:ascii="宋体" w:hAnsi="宋体" w:cs="宋体" w:hint="eastAsia"/>
                <w:color w:val="000000"/>
                <w:kern w:val="0"/>
                <w:sz w:val="18"/>
                <w:szCs w:val="18"/>
              </w:rPr>
              <w:br/>
              <w:t>目标管理</w:t>
            </w: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绩效目标（10分）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目标填报</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考核部门是否按要求编制专项资金、部门专项类项目绩效目标</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应编制绩效目标的专项类项目、专项资金未按要求申报绩效目标，发现1个项目扣0.5分；填报内容不规范，发现1处扣0.5分。直至扣完</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目标量化</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考核部门申报绩效目标的量化程度</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专项类项目、专项资金设定的产出指标均应量化，效果指标中应至少50%以上量化指标。发现1个项目未达到要求扣0.5分，直至扣完。</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目标匹配</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考核部门申报的绩效目标是否与部门职能职责相关</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专项类项目、专项资金设定的绩效目标与部门职能职责不一致的，发现一个项目扣1分，直至扣完。</w:t>
            </w:r>
          </w:p>
        </w:tc>
      </w:tr>
      <w:tr w:rsidR="00CC3BF3">
        <w:trPr>
          <w:trHeight w:val="1540"/>
        </w:trPr>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（10分）</w:t>
            </w:r>
            <w:r>
              <w:rPr>
                <w:rFonts w:ascii="宋体" w:hAnsi="宋体" w:cs="宋体" w:hint="eastAsia"/>
                <w:color w:val="000000"/>
                <w:kern w:val="0"/>
                <w:sz w:val="18"/>
                <w:szCs w:val="18"/>
              </w:rPr>
              <w:br/>
              <w:t>部门管理</w:t>
            </w: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基础管理（4分）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管理制度健全性</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部门（单位）为加强预算管理、推进厉行节约、规范财务行为而制定的管理制度是否健全完整</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资金使用合规性</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部门（单位）使用预算资金是否符合相关的预算财务管理制度的规定</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财务监控有效性</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考察部门是否对部门内部、各所属单位，专项资金分配的区（市）县或项目实施主体进行工作监督和定期考核。</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对部门内部、下属单位、分配的专项资金①制定明确的财务监控监督措施，得1分；②监控、监督措施执行有效，得1分。</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行政成本（1分）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“三公”经费控制</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当年“三公”经费预算与当年决算比，反映“三公”经费控制情况</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部门“三公”经费决算数一项超预算扣0.5分，两项扣1分。</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政府采购（1分）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采购规范性</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考察政府采购项目的采购程序、 采购方式的规范性</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采购方式、程序中每一点不规范，扣 0.5 分，直至扣完。</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资产管理（2分）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固定资产在用率</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部门实际在用固定资产总额与所有固定资产总额的比率， 用以反映和考核部门固定资产使用效率及程度。</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固定资产在用率=（实际在用固定资产总额/所有固定资产总额）×100%。 固定资产在用率达到 95%以上得满分。 相较95%，每降低 5个百分点扣1分，直至扣完。</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信息公开（2分）</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信息公开</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除涉密单位和信息外，考核部门（单位）是否按财政要求及时完成预算、决算、绩效等信息公开工作</w:t>
            </w:r>
          </w:p>
        </w:tc>
        <w:tc>
          <w:tcPr>
            <w:tcW w:w="44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一项公开工作未完成的扣1分，直至扣完。</w:t>
            </w:r>
          </w:p>
        </w:tc>
      </w:tr>
      <w:tr w:rsidR="00CC3BF3">
        <w:trPr>
          <w:trHeight w:val="1540"/>
        </w:trPr>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（70分）</w:t>
            </w:r>
            <w:r>
              <w:rPr>
                <w:rFonts w:ascii="宋体" w:hAnsi="宋体" w:cs="宋体" w:hint="eastAsia"/>
                <w:color w:val="000000"/>
                <w:kern w:val="0"/>
                <w:sz w:val="18"/>
                <w:szCs w:val="18"/>
              </w:rPr>
              <w:br/>
              <w:t>履职效能</w:t>
            </w: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重点任务一</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任务完成率</w:t>
            </w: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得分=分值×实际完成任务量/绩效目标设定任务量×100%。实际完成任务量大于绩效目标设定任务量得满分。</w:t>
            </w:r>
          </w:p>
        </w:tc>
        <w:tc>
          <w:tcPr>
            <w:tcW w:w="44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1.履职效能指标设定，由评价工作组根据部门职能职责、年度工作计划等梳理年度重点工作任务。各项重点任务分值，由评价工作组根据任务重要性在总权重分值（70分）中分配。</w:t>
            </w:r>
            <w:r>
              <w:rPr>
                <w:rFonts w:ascii="宋体" w:hAnsi="宋体" w:cs="宋体" w:hint="eastAsia"/>
                <w:color w:val="000000"/>
                <w:kern w:val="0"/>
                <w:sz w:val="18"/>
                <w:szCs w:val="18"/>
              </w:rPr>
              <w:br/>
              <w:t>2.重点任务指标设定，应根据相关重点任务实际情况，设置具体三级指标。其中，任务完成率和满意度指标是共性指标，每一项重点任务均应设定，共性指标分值应占该重点任务重分值的40%（任务完成率和满意度指标各占20%，如该重点任务不适合做满意度调查，可不设满意度指标，满意度分值合并到任务完成率指标）。关键绩效指标为个性指标，根据具体任务实际确定，每项重点任务至少设定2个关键业绩指标，量化指标不少于1个，个性指标分值应占该重点任务重分值的60%，由评价工作组按指标重要性进行分配。</w:t>
            </w: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服务对象(受益)对象满意度</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根据满意度调查评分</w:t>
            </w: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131"/>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关键绩效指标一</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9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关键绩效指标二</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014"/>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重点任务二</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任务完成率</w:t>
            </w:r>
          </w:p>
        </w:tc>
        <w:tc>
          <w:tcPr>
            <w:tcW w:w="57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得分=分值×实际完成任务量/绩效目标设定任务量×100%。实际完成任务量大于绩效目标设定任务量得满分。</w:t>
            </w: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540"/>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服务对象或受益对象满意度</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905"/>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关键绩效指标一</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093"/>
        </w:trPr>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关键绩效指标二</w:t>
            </w:r>
          </w:p>
        </w:tc>
        <w:tc>
          <w:tcPr>
            <w:tcW w:w="57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2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44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652"/>
        </w:trPr>
        <w:tc>
          <w:tcPr>
            <w:tcW w:w="171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合计</w:t>
            </w:r>
          </w:p>
        </w:tc>
        <w:tc>
          <w:tcPr>
            <w:tcW w:w="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c>
          <w:tcPr>
            <w:tcW w:w="648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r>
      <w:tr w:rsidR="00CC3BF3">
        <w:trPr>
          <w:trHeight w:val="1540"/>
        </w:trPr>
        <w:tc>
          <w:tcPr>
            <w:tcW w:w="8760" w:type="dxa"/>
            <w:gridSpan w:val="6"/>
            <w:tcBorders>
              <w:top w:val="nil"/>
              <w:left w:val="nil"/>
              <w:bottom w:val="nil"/>
              <w:right w:val="nil"/>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注：若某部门不存在某项评价内容或评价指标，则该评价内容或评价指标不计入该部门考核评价范围，即该部门评价总分=不含该评价内容或指标的实际评价总分/（100-该评价内容或指标所占分值）*100</w:t>
            </w:r>
          </w:p>
        </w:tc>
      </w:tr>
    </w:tbl>
    <w:tbl>
      <w:tblPr>
        <w:tblpPr w:leftFromText="180" w:rightFromText="180" w:vertAnchor="text" w:horzAnchor="page" w:tblpX="1825" w:tblpY="648"/>
        <w:tblOverlap w:val="never"/>
        <w:tblW w:w="8754" w:type="dxa"/>
        <w:tblLayout w:type="fixed"/>
        <w:tblCellMar>
          <w:left w:w="0" w:type="dxa"/>
          <w:right w:w="0" w:type="dxa"/>
        </w:tblCellMar>
        <w:tblLook w:val="04A0"/>
      </w:tblPr>
      <w:tblGrid>
        <w:gridCol w:w="543"/>
        <w:gridCol w:w="582"/>
        <w:gridCol w:w="530"/>
        <w:gridCol w:w="543"/>
        <w:gridCol w:w="530"/>
        <w:gridCol w:w="556"/>
        <w:gridCol w:w="4694"/>
        <w:gridCol w:w="776"/>
      </w:tblGrid>
      <w:tr w:rsidR="00CC3BF3">
        <w:trPr>
          <w:trHeight w:val="405"/>
        </w:trPr>
        <w:tc>
          <w:tcPr>
            <w:tcW w:w="8754" w:type="dxa"/>
            <w:gridSpan w:val="8"/>
            <w:tcBorders>
              <w:top w:val="nil"/>
              <w:left w:val="nil"/>
              <w:bottom w:val="nil"/>
              <w:right w:val="nil"/>
            </w:tcBorders>
            <w:tcMar>
              <w:top w:w="15" w:type="dxa"/>
              <w:left w:w="15" w:type="dxa"/>
              <w:right w:w="15" w:type="dxa"/>
            </w:tcMar>
            <w:vAlign w:val="center"/>
          </w:tcPr>
          <w:p w:rsidR="00CC3BF3" w:rsidRDefault="00FF7BC9">
            <w:pPr>
              <w:rPr>
                <w:rFonts w:ascii="宋体" w:hAnsi="宋体" w:cs="宋体"/>
                <w:color w:val="000000"/>
                <w:sz w:val="22"/>
                <w:szCs w:val="22"/>
              </w:rPr>
            </w:pPr>
            <w:r>
              <w:rPr>
                <w:rFonts w:ascii="宋体" w:hAnsi="宋体" w:cs="宋体" w:hint="eastAsia"/>
                <w:b/>
                <w:color w:val="000000"/>
                <w:kern w:val="0"/>
                <w:sz w:val="36"/>
                <w:szCs w:val="36"/>
              </w:rPr>
              <w:t xml:space="preserve">    广汉市三水中学部门整体支出绩效评价评分表</w:t>
            </w:r>
          </w:p>
        </w:tc>
      </w:tr>
      <w:tr w:rsidR="00CC3BF3">
        <w:trPr>
          <w:trHeight w:val="540"/>
        </w:trPr>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一级指标</w:t>
            </w:r>
          </w:p>
        </w:tc>
        <w:tc>
          <w:tcPr>
            <w:tcW w:w="5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分值</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二级指标</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分值</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三级指标</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分值</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评分标准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得分</w:t>
            </w:r>
          </w:p>
        </w:tc>
      </w:tr>
      <w:tr w:rsidR="00CC3BF3">
        <w:trPr>
          <w:trHeight w:val="1380"/>
        </w:trPr>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br/>
              <w:t>预算管理</w:t>
            </w:r>
          </w:p>
        </w:tc>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预算编制</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5</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预算安排准确性</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指标得分=（预算资金总来源-中期评估调整取消资金-预算结余注销资金）/预算资金总来源*指标分值，预算资金总来源是指年初预算与执行中追加预算（不含当年中央、省专款）总和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5</w:t>
            </w:r>
          </w:p>
        </w:tc>
      </w:tr>
      <w:tr w:rsidR="00CC3BF3">
        <w:trPr>
          <w:trHeight w:val="296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执行进度</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5</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部门总体执行进度</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部门总体执行进度达96%以上，不扣分；达92%以上，按80%打分；达88%以上，按60%打分；未达到88%，不得分。</w:t>
            </w:r>
            <w:r>
              <w:rPr>
                <w:rFonts w:ascii="宋体" w:hAnsi="宋体" w:cs="宋体" w:hint="eastAsia"/>
                <w:color w:val="000000"/>
                <w:kern w:val="0"/>
                <w:sz w:val="18"/>
                <w:szCs w:val="18"/>
              </w:rPr>
              <w:b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4</w:t>
            </w:r>
          </w:p>
        </w:tc>
      </w:tr>
      <w:tr w:rsidR="00CC3BF3">
        <w:trPr>
          <w:trHeight w:val="1060"/>
        </w:trPr>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br/>
              <w:t>目标管理</w:t>
            </w:r>
          </w:p>
        </w:tc>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5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Style w:val="font31"/>
                <w:rFonts w:hint="default"/>
              </w:rPr>
              <w:t>绩效目标</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10</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目标填报</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应编制绩效目标的专项类项目、专项资金未按要求申报绩效目标，发现1个项目扣0.5分；填报内容不规范，发现1处扣0.5分。直至扣完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0</w:t>
            </w:r>
          </w:p>
        </w:tc>
      </w:tr>
      <w:tr w:rsidR="00CC3BF3">
        <w:trPr>
          <w:trHeight w:val="110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目标量化</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专项类项目、专项资金设定的产出指标均应量化，效果指标中应至少50%以上量化指标。发现1个项目未达到要求扣0.5分，直至扣完。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0</w:t>
            </w:r>
          </w:p>
        </w:tc>
      </w:tr>
      <w:tr w:rsidR="00CC3BF3">
        <w:trPr>
          <w:trHeight w:val="82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目标匹配</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专项类项目、专项资金设定的绩效目标与部门职能职责不一致的，发现一个项目扣1分，直至扣完。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0</w:t>
            </w:r>
          </w:p>
        </w:tc>
      </w:tr>
      <w:tr w:rsidR="00CC3BF3">
        <w:trPr>
          <w:trHeight w:val="1520"/>
        </w:trPr>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br/>
              <w:t>部门管理</w:t>
            </w:r>
          </w:p>
        </w:tc>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5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基础管理</w:t>
            </w:r>
          </w:p>
        </w:tc>
        <w:tc>
          <w:tcPr>
            <w:tcW w:w="54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4</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管理制度健全性</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是否已制定或具有预算资金管理办法、厉行节约管理措施、内部财务管理制度、会计核算制度等管理制度；相关管理制度是否合法、合规、完整；相关管理制度是否得到有效执行。定性评价。</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w:t>
            </w:r>
          </w:p>
        </w:tc>
      </w:tr>
      <w:tr w:rsidR="00CC3BF3">
        <w:trPr>
          <w:trHeight w:val="198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left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资金使用合规性</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w:t>
            </w:r>
          </w:p>
        </w:tc>
      </w:tr>
      <w:tr w:rsidR="00CC3BF3">
        <w:trPr>
          <w:trHeight w:val="96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财务监控有效性</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对部门内部、下属单位、分配的专项资金①制定明确的财务监控监督措施，得1分；②监控、监督措施执行有效，得1分。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2</w:t>
            </w:r>
          </w:p>
        </w:tc>
      </w:tr>
      <w:tr w:rsidR="00CC3BF3">
        <w:trPr>
          <w:trHeight w:val="90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行政成本</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1</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“三公”经费控制</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部门“三公”经费决算数一项超预算扣0.5分，两项扣1分。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w:t>
            </w:r>
          </w:p>
        </w:tc>
      </w:tr>
      <w:tr w:rsidR="00CC3BF3">
        <w:trPr>
          <w:trHeight w:val="675"/>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政府采购</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1</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采购规范性</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采购方式、程序中每一点不规范，扣 0.5 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0</w:t>
            </w:r>
          </w:p>
        </w:tc>
      </w:tr>
      <w:tr w:rsidR="00CC3BF3">
        <w:trPr>
          <w:trHeight w:val="136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资产管理</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2</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固定资产在用率</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固定资产在用率=（实际在用固定资产总额/所有固定资产总额）×100%。 固定资产在用率达到 95%以上得满分。 相较95%，每降低 5个百分点扣1分，直至扣完。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2</w:t>
            </w:r>
          </w:p>
        </w:tc>
      </w:tr>
      <w:tr w:rsidR="00CC3BF3">
        <w:trPr>
          <w:trHeight w:val="675"/>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信息公开</w:t>
            </w:r>
          </w:p>
        </w:tc>
        <w:tc>
          <w:tcPr>
            <w:tcW w:w="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jc w:val="center"/>
              <w:rPr>
                <w:rFonts w:ascii="宋体" w:hAnsi="宋体" w:cs="宋体"/>
                <w:color w:val="000000"/>
                <w:sz w:val="18"/>
                <w:szCs w:val="18"/>
              </w:rPr>
            </w:pPr>
            <w:r>
              <w:rPr>
                <w:rFonts w:ascii="宋体" w:hAnsi="宋体" w:cs="宋体" w:hint="eastAsia"/>
                <w:color w:val="000000"/>
                <w:sz w:val="18"/>
                <w:szCs w:val="18"/>
              </w:rPr>
              <w:t>2</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信息公开</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Style w:val="font31"/>
                <w:rFonts w:hint="default"/>
              </w:rPr>
              <w:t>一项公开工作未完成的扣1分，直至扣完。</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2</w:t>
            </w:r>
          </w:p>
        </w:tc>
      </w:tr>
      <w:tr w:rsidR="00CC3BF3">
        <w:trPr>
          <w:trHeight w:val="1200"/>
        </w:trPr>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br/>
              <w:t>履职效能</w:t>
            </w:r>
          </w:p>
        </w:tc>
        <w:tc>
          <w:tcPr>
            <w:tcW w:w="58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5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重点任务一</w:t>
            </w:r>
          </w:p>
        </w:tc>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任务完成率</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90%（含）以上计7分；80%（含）-90%，计5分；70%（含）-80%，计3分；低于70%计0分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5</w:t>
            </w:r>
          </w:p>
        </w:tc>
      </w:tr>
      <w:tr w:rsidR="00CC3BF3">
        <w:trPr>
          <w:trHeight w:val="144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服务对象(受益)对象满意度</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textAlignment w:val="center"/>
              <w:rPr>
                <w:rFonts w:ascii="宋体" w:hAnsi="宋体" w:cs="宋体"/>
                <w:color w:val="000000"/>
                <w:sz w:val="20"/>
                <w:szCs w:val="20"/>
              </w:rPr>
            </w:pPr>
            <w:r>
              <w:rPr>
                <w:rFonts w:ascii="宋体" w:hAnsi="宋体" w:cs="宋体" w:hint="eastAsia"/>
                <w:color w:val="000000"/>
                <w:kern w:val="0"/>
                <w:sz w:val="20"/>
                <w:szCs w:val="20"/>
              </w:rPr>
              <w:t>90%（含）以上计9分；80%（含）-90%，计6分；70%（含）-80%，计3分；低于70%计0分。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9</w:t>
            </w:r>
          </w:p>
        </w:tc>
      </w:tr>
      <w:tr w:rsidR="00CC3BF3">
        <w:trPr>
          <w:trHeight w:val="72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数量指标一</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CC3BF3" w:rsidRDefault="00FF7BC9">
            <w:pPr>
              <w:widowControl/>
              <w:textAlignment w:val="bottom"/>
              <w:rPr>
                <w:rFonts w:ascii="宋体" w:hAnsi="宋体" w:cs="宋体"/>
                <w:color w:val="000000"/>
                <w:sz w:val="20"/>
                <w:szCs w:val="20"/>
              </w:rPr>
            </w:pPr>
            <w:r>
              <w:rPr>
                <w:rFonts w:ascii="宋体" w:hAnsi="宋体" w:cs="宋体" w:hint="eastAsia"/>
                <w:color w:val="000000"/>
                <w:kern w:val="0"/>
                <w:sz w:val="20"/>
                <w:szCs w:val="20"/>
              </w:rPr>
              <w:t>听课20次以上计9分；16次-20次计6分；10次-15次计3分；十次以下计0分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9</w:t>
            </w:r>
          </w:p>
        </w:tc>
      </w:tr>
      <w:tr w:rsidR="00CC3BF3">
        <w:trPr>
          <w:trHeight w:val="86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效益指标二</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CC3BF3" w:rsidRDefault="00FF7BC9">
            <w:pPr>
              <w:widowControl/>
              <w:textAlignment w:val="bottom"/>
              <w:rPr>
                <w:rFonts w:ascii="宋体" w:hAnsi="宋体" w:cs="宋体"/>
                <w:color w:val="000000"/>
                <w:sz w:val="20"/>
                <w:szCs w:val="20"/>
              </w:rPr>
            </w:pPr>
            <w:r>
              <w:rPr>
                <w:rFonts w:ascii="宋体" w:hAnsi="宋体" w:cs="宋体" w:hint="eastAsia"/>
                <w:color w:val="000000"/>
                <w:kern w:val="0"/>
                <w:sz w:val="20"/>
                <w:szCs w:val="20"/>
              </w:rPr>
              <w:t>班主任会议20次以上计9分；16次-20次计6分；10次-15次计3分；十次以下计0分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6</w:t>
            </w:r>
          </w:p>
        </w:tc>
      </w:tr>
      <w:tr w:rsidR="00CC3BF3">
        <w:trPr>
          <w:trHeight w:val="675"/>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数量指标三</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CC3BF3" w:rsidRDefault="00FF7BC9">
            <w:pPr>
              <w:widowControl/>
              <w:textAlignment w:val="bottom"/>
              <w:rPr>
                <w:rFonts w:ascii="宋体" w:hAnsi="宋体" w:cs="宋体"/>
                <w:color w:val="000000"/>
                <w:sz w:val="20"/>
                <w:szCs w:val="20"/>
              </w:rPr>
            </w:pPr>
            <w:r>
              <w:rPr>
                <w:rFonts w:ascii="宋体" w:hAnsi="宋体" w:cs="宋体" w:hint="eastAsia"/>
                <w:color w:val="000000"/>
                <w:kern w:val="0"/>
                <w:sz w:val="20"/>
                <w:szCs w:val="20"/>
              </w:rPr>
              <w:t>教研组开会4次以上6分；3次4分；2次2分；2次以下0分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6</w:t>
            </w:r>
          </w:p>
        </w:tc>
      </w:tr>
      <w:tr w:rsidR="00CC3BF3">
        <w:trPr>
          <w:trHeight w:val="90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重点任务二</w:t>
            </w:r>
          </w:p>
        </w:tc>
        <w:tc>
          <w:tcPr>
            <w:tcW w:w="54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任务完成率</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90%（含）以上计7分；80%（含）-90%，计5分；70%（含）-80%，计3分；低于70%计0分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7</w:t>
            </w:r>
          </w:p>
        </w:tc>
      </w:tr>
      <w:tr w:rsidR="00CC3BF3">
        <w:trPr>
          <w:trHeight w:val="135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服务对象(受益)对象满意度</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textAlignment w:val="center"/>
              <w:rPr>
                <w:rFonts w:ascii="宋体" w:hAnsi="宋体" w:cs="宋体"/>
                <w:color w:val="000000"/>
                <w:sz w:val="20"/>
                <w:szCs w:val="20"/>
              </w:rPr>
            </w:pPr>
            <w:r>
              <w:rPr>
                <w:rFonts w:ascii="宋体" w:hAnsi="宋体" w:cs="宋体" w:hint="eastAsia"/>
                <w:color w:val="000000"/>
                <w:kern w:val="0"/>
                <w:sz w:val="20"/>
                <w:szCs w:val="20"/>
              </w:rPr>
              <w:t>90%（含）以上计9分；80%（含）-90%，计6分；70%（含）-80%，计3分；低于70%计0分。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9</w:t>
            </w:r>
          </w:p>
        </w:tc>
      </w:tr>
      <w:tr w:rsidR="00CC3BF3">
        <w:trPr>
          <w:trHeight w:val="720"/>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数量指标一</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CC3BF3" w:rsidRDefault="00FF7BC9">
            <w:pPr>
              <w:widowControl/>
              <w:textAlignment w:val="bottom"/>
              <w:rPr>
                <w:rFonts w:ascii="宋体" w:hAnsi="宋体" w:cs="宋体"/>
                <w:color w:val="000000"/>
                <w:sz w:val="20"/>
                <w:szCs w:val="20"/>
              </w:rPr>
            </w:pPr>
            <w:r>
              <w:rPr>
                <w:rFonts w:ascii="宋体" w:hAnsi="宋体" w:cs="宋体" w:hint="eastAsia"/>
                <w:color w:val="000000"/>
                <w:kern w:val="0"/>
                <w:sz w:val="20"/>
                <w:szCs w:val="20"/>
              </w:rPr>
              <w:t>国旗下下讲话20次以上计8分；16次-20次计6分；10次-15次计4分；十次以下计0分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6</w:t>
            </w:r>
          </w:p>
        </w:tc>
      </w:tr>
      <w:tr w:rsidR="00CC3BF3">
        <w:trPr>
          <w:trHeight w:val="675"/>
        </w:trPr>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CC3BF3" w:rsidRDefault="00CC3BF3">
            <w:pPr>
              <w:jc w:val="center"/>
              <w:rPr>
                <w:rFonts w:ascii="宋体" w:hAnsi="宋体" w:cs="宋体"/>
                <w:color w:val="000000"/>
                <w:sz w:val="18"/>
                <w:szCs w:val="18"/>
              </w:rPr>
            </w:pPr>
          </w:p>
        </w:tc>
        <w:tc>
          <w:tcPr>
            <w:tcW w:w="58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4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5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效益指标二</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CC3BF3" w:rsidRDefault="00FF7BC9">
            <w:pPr>
              <w:widowControl/>
              <w:textAlignment w:val="bottom"/>
              <w:rPr>
                <w:rFonts w:ascii="宋体" w:hAnsi="宋体" w:cs="宋体"/>
                <w:color w:val="000000"/>
                <w:sz w:val="20"/>
                <w:szCs w:val="20"/>
              </w:rPr>
            </w:pPr>
            <w:r>
              <w:rPr>
                <w:rFonts w:ascii="宋体" w:hAnsi="宋体" w:cs="宋体" w:hint="eastAsia"/>
                <w:color w:val="000000"/>
                <w:kern w:val="0"/>
                <w:sz w:val="20"/>
                <w:szCs w:val="20"/>
              </w:rPr>
              <w:t>主题班会4次以上6分；3次4分；2次2分；2次以下0分</w:t>
            </w: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4</w:t>
            </w:r>
          </w:p>
        </w:tc>
      </w:tr>
      <w:tr w:rsidR="00CC3BF3">
        <w:trPr>
          <w:trHeight w:val="285"/>
        </w:trPr>
        <w:tc>
          <w:tcPr>
            <w:tcW w:w="2728"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合计</w:t>
            </w:r>
          </w:p>
        </w:tc>
        <w:tc>
          <w:tcPr>
            <w:tcW w:w="5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w:t>
            </w:r>
          </w:p>
        </w:tc>
        <w:tc>
          <w:tcPr>
            <w:tcW w:w="46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CC3BF3">
            <w:pPr>
              <w:jc w:val="center"/>
              <w:rPr>
                <w:rFonts w:ascii="宋体" w:hAnsi="宋体" w:cs="宋体"/>
                <w:color w:val="000000"/>
                <w:sz w:val="18"/>
                <w:szCs w:val="18"/>
              </w:rPr>
            </w:pPr>
          </w:p>
        </w:tc>
        <w:tc>
          <w:tcPr>
            <w:tcW w:w="7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3BF3" w:rsidRDefault="00FF7BC9">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79</w:t>
            </w:r>
          </w:p>
        </w:tc>
      </w:tr>
    </w:tbl>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存在的不足：绩效评价队伍有待加强。需进一步完善加强队伍建设，抓好绩效评价管理部门的队伍建设和业务指导，培养部门的绩效管理队伍，建立绩效评价的长期机制。</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针对学校绩效预算评价中存在的不足，学校制定了以下整改措施：</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lastRenderedPageBreak/>
        <w:t>（1）加强政策学习,提高思想认识。提高单位领导对全面预算管理的重视程度,增强财务人员的预算意识,坚持先有预算、后有支出,没有预算不得支出的支出理念。</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建立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下一次科学、准确地编制部门预算积累经验。</w:t>
      </w:r>
    </w:p>
    <w:p w:rsidR="00CC3BF3" w:rsidRDefault="00FF7BC9">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(3)提高财务人员素质,加强财务管理、规范财务核算。</w:t>
      </w: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CC3BF3">
      <w:pPr>
        <w:pStyle w:val="a7"/>
        <w:spacing w:before="0" w:beforeAutospacing="0" w:after="0" w:afterAutospacing="0" w:line="360" w:lineRule="auto"/>
        <w:ind w:firstLineChars="200" w:firstLine="640"/>
        <w:jc w:val="both"/>
        <w:rPr>
          <w:rFonts w:ascii="仿宋_GB2312" w:eastAsia="仿宋_GB2312" w:hAnsi="仿宋_GB2312" w:cs="仿宋_GB2312"/>
          <w:kern w:val="2"/>
          <w:sz w:val="32"/>
          <w:szCs w:val="32"/>
        </w:rPr>
      </w:pPr>
    </w:p>
    <w:p w:rsidR="00CC3BF3" w:rsidRDefault="00FF7BC9">
      <w:pPr>
        <w:spacing w:line="600" w:lineRule="exact"/>
        <w:ind w:firstLineChars="600" w:firstLine="2640"/>
        <w:outlineLvl w:val="0"/>
        <w:rPr>
          <w:rFonts w:ascii="仿宋" w:eastAsia="仿宋" w:hAnsi="仿宋"/>
          <w:b/>
          <w:color w:val="000000"/>
          <w:sz w:val="44"/>
          <w:szCs w:val="44"/>
        </w:rPr>
      </w:pPr>
      <w:r>
        <w:rPr>
          <w:rFonts w:ascii="黑体" w:eastAsia="黑体" w:hAnsi="黑体" w:hint="eastAsia"/>
          <w:color w:val="000000"/>
          <w:sz w:val="44"/>
          <w:szCs w:val="44"/>
        </w:rPr>
        <w:lastRenderedPageBreak/>
        <w:t>第五</w:t>
      </w:r>
      <w:r>
        <w:rPr>
          <w:rStyle w:val="1Char"/>
          <w:rFonts w:ascii="黑体" w:eastAsia="黑体" w:hAnsi="黑体" w:hint="eastAsia"/>
          <w:b w:val="0"/>
        </w:rPr>
        <w:t>部分</w:t>
      </w:r>
      <w:r>
        <w:rPr>
          <w:rStyle w:val="1Char"/>
          <w:rFonts w:ascii="黑体" w:eastAsia="黑体" w:hAnsi="黑体"/>
          <w:b w:val="0"/>
        </w:rPr>
        <w:t xml:space="preserve"> </w:t>
      </w:r>
      <w:r>
        <w:rPr>
          <w:rStyle w:val="1Char"/>
          <w:rFonts w:ascii="黑体" w:eastAsia="黑体" w:hAnsi="黑体" w:hint="eastAsia"/>
          <w:b w:val="0"/>
        </w:rPr>
        <w:t>附</w:t>
      </w:r>
      <w:bookmarkEnd w:id="53"/>
      <w:bookmarkEnd w:id="54"/>
      <w:r>
        <w:rPr>
          <w:rStyle w:val="1Char"/>
          <w:rFonts w:ascii="黑体" w:eastAsia="黑体" w:hAnsi="黑体" w:hint="eastAsia"/>
          <w:b w:val="0"/>
        </w:rPr>
        <w:t>表</w:t>
      </w:r>
    </w:p>
    <w:p w:rsidR="00CC3BF3" w:rsidRDefault="00FF7BC9">
      <w:pPr>
        <w:pStyle w:val="2"/>
        <w:rPr>
          <w:rFonts w:ascii="仿宋" w:eastAsia="仿宋" w:hAnsi="仿宋"/>
          <w:color w:val="000000"/>
        </w:rPr>
      </w:pPr>
      <w:bookmarkStart w:id="56" w:name="_Toc15396619"/>
      <w:r>
        <w:rPr>
          <w:rFonts w:ascii="仿宋" w:eastAsia="仿宋" w:hAnsi="仿宋" w:hint="eastAsia"/>
          <w:b w:val="0"/>
          <w:color w:val="000000"/>
        </w:rPr>
        <w:t>一、收</w:t>
      </w:r>
      <w:r>
        <w:rPr>
          <w:rStyle w:val="2Char"/>
          <w:rFonts w:ascii="仿宋" w:eastAsia="仿宋" w:hAnsi="仿宋" w:hint="eastAsia"/>
        </w:rPr>
        <w:t>入支出决算总表</w:t>
      </w:r>
      <w:bookmarkEnd w:id="56"/>
    </w:p>
    <w:p w:rsidR="00CC3BF3" w:rsidRDefault="00FF7BC9">
      <w:pPr>
        <w:pStyle w:val="2"/>
        <w:rPr>
          <w:rFonts w:ascii="仿宋" w:eastAsia="仿宋" w:hAnsi="仿宋"/>
          <w:color w:val="000000"/>
        </w:rPr>
      </w:pPr>
      <w:bookmarkStart w:id="57" w:name="_Toc15396620"/>
      <w:r>
        <w:rPr>
          <w:rFonts w:ascii="仿宋" w:eastAsia="仿宋" w:hAnsi="仿宋" w:hint="eastAsia"/>
          <w:b w:val="0"/>
          <w:color w:val="000000"/>
        </w:rPr>
        <w:t>二、收</w:t>
      </w:r>
      <w:r>
        <w:rPr>
          <w:rStyle w:val="2Char"/>
          <w:rFonts w:ascii="仿宋" w:eastAsia="仿宋" w:hAnsi="仿宋" w:hint="eastAsia"/>
        </w:rPr>
        <w:t>入总表</w:t>
      </w:r>
      <w:bookmarkEnd w:id="57"/>
    </w:p>
    <w:p w:rsidR="00CC3BF3" w:rsidRDefault="00FF7BC9">
      <w:pPr>
        <w:pStyle w:val="2"/>
        <w:rPr>
          <w:rFonts w:ascii="仿宋" w:eastAsia="仿宋" w:hAnsi="仿宋"/>
          <w:color w:val="000000"/>
        </w:rPr>
      </w:pPr>
      <w:bookmarkStart w:id="58"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出总表</w:t>
      </w:r>
      <w:bookmarkEnd w:id="58"/>
    </w:p>
    <w:p w:rsidR="00CC3BF3" w:rsidRDefault="00FF7BC9">
      <w:pPr>
        <w:pStyle w:val="2"/>
        <w:rPr>
          <w:rFonts w:ascii="仿宋" w:eastAsia="仿宋" w:hAnsi="仿宋"/>
          <w:b w:val="0"/>
          <w:color w:val="000000"/>
        </w:rPr>
      </w:pPr>
      <w:bookmarkStart w:id="59"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59"/>
    </w:p>
    <w:p w:rsidR="00CC3BF3" w:rsidRDefault="00FF7BC9">
      <w:pPr>
        <w:pStyle w:val="2"/>
        <w:rPr>
          <w:rFonts w:ascii="仿宋" w:eastAsia="仿宋" w:hAnsi="仿宋"/>
          <w:color w:val="000000"/>
        </w:rPr>
      </w:pPr>
      <w:bookmarkStart w:id="60"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政拨款支出决算明细表（政府经济分类科目）</w:t>
      </w:r>
      <w:bookmarkEnd w:id="60"/>
    </w:p>
    <w:p w:rsidR="00CC3BF3" w:rsidRDefault="00FF7BC9">
      <w:pPr>
        <w:pStyle w:val="2"/>
        <w:rPr>
          <w:rFonts w:ascii="仿宋" w:eastAsia="仿宋" w:hAnsi="仿宋"/>
          <w:color w:val="000000"/>
        </w:rPr>
      </w:pPr>
      <w:bookmarkStart w:id="61" w:name="_Toc15396624"/>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1"/>
    </w:p>
    <w:p w:rsidR="00CC3BF3" w:rsidRDefault="00FF7BC9">
      <w:pPr>
        <w:pStyle w:val="2"/>
        <w:rPr>
          <w:rFonts w:ascii="仿宋" w:eastAsia="仿宋" w:hAnsi="仿宋"/>
          <w:color w:val="000000"/>
        </w:rPr>
      </w:pPr>
      <w:bookmarkStart w:id="62"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2"/>
    </w:p>
    <w:p w:rsidR="00CC3BF3" w:rsidRDefault="00FF7BC9">
      <w:pPr>
        <w:pStyle w:val="2"/>
        <w:rPr>
          <w:rFonts w:ascii="仿宋" w:eastAsia="仿宋" w:hAnsi="仿宋"/>
          <w:color w:val="000000"/>
        </w:rPr>
      </w:pPr>
      <w:bookmarkStart w:id="63"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3"/>
    </w:p>
    <w:p w:rsidR="00CC3BF3" w:rsidRDefault="00FF7BC9">
      <w:pPr>
        <w:pStyle w:val="2"/>
        <w:rPr>
          <w:rFonts w:ascii="仿宋" w:eastAsia="仿宋" w:hAnsi="仿宋"/>
          <w:color w:val="000000"/>
        </w:rPr>
      </w:pPr>
      <w:bookmarkStart w:id="64"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4"/>
    </w:p>
    <w:p w:rsidR="00CC3BF3" w:rsidRDefault="00FF7BC9">
      <w:pPr>
        <w:pStyle w:val="2"/>
        <w:rPr>
          <w:rFonts w:ascii="仿宋" w:eastAsia="仿宋" w:hAnsi="仿宋"/>
          <w:color w:val="000000"/>
        </w:rPr>
      </w:pPr>
      <w:bookmarkStart w:id="65"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65"/>
    </w:p>
    <w:p w:rsidR="00CC3BF3" w:rsidRDefault="00FF7BC9">
      <w:pPr>
        <w:pStyle w:val="2"/>
        <w:rPr>
          <w:rFonts w:ascii="仿宋" w:eastAsia="仿宋" w:hAnsi="仿宋"/>
          <w:color w:val="000000"/>
        </w:rPr>
      </w:pPr>
      <w:bookmarkStart w:id="66"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66"/>
    </w:p>
    <w:p w:rsidR="00CC3BF3" w:rsidRDefault="00FF7BC9">
      <w:pPr>
        <w:pStyle w:val="2"/>
        <w:rPr>
          <w:rFonts w:ascii="仿宋" w:eastAsia="仿宋" w:hAnsi="仿宋"/>
          <w:color w:val="000000"/>
        </w:rPr>
      </w:pPr>
      <w:bookmarkStart w:id="67"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67"/>
    </w:p>
    <w:p w:rsidR="00CC3BF3" w:rsidRDefault="00FF7BC9">
      <w:pPr>
        <w:pStyle w:val="2"/>
        <w:rPr>
          <w:rFonts w:ascii="仿宋" w:eastAsia="仿宋" w:hAnsi="仿宋"/>
          <w:color w:val="000000"/>
        </w:rPr>
      </w:pPr>
      <w:bookmarkStart w:id="68"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68"/>
    </w:p>
    <w:sectPr w:rsidR="00CC3BF3" w:rsidSect="00CC3BF3">
      <w:footerReference w:type="default" r:id="rId24"/>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7A4" w:rsidRDefault="000077A4" w:rsidP="00CC3BF3">
      <w:r>
        <w:separator/>
      </w:r>
    </w:p>
  </w:endnote>
  <w:endnote w:type="continuationSeparator" w:id="0">
    <w:p w:rsidR="000077A4" w:rsidRDefault="000077A4" w:rsidP="00CC3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小标宋_GBK">
    <w:altName w:val="Arial Unicode MS"/>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8A" w:rsidRDefault="00651E8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E85F75">
    <w:pPr>
      <w:pStyle w:val="a5"/>
      <w:jc w:val="center"/>
    </w:pPr>
    <w:r w:rsidRPr="00E85F75">
      <w:fldChar w:fldCharType="begin"/>
    </w:r>
    <w:r w:rsidR="00FF7BC9">
      <w:instrText>PAGE   \* MERGEFORMAT</w:instrText>
    </w:r>
    <w:r w:rsidRPr="00E85F75">
      <w:fldChar w:fldCharType="separate"/>
    </w:r>
    <w:r w:rsidR="00FF7BC9">
      <w:rPr>
        <w:lang w:val="zh-CN"/>
      </w:rPr>
      <w:t>30</w:t>
    </w:r>
    <w:r>
      <w:rPr>
        <w:lang w:val="zh-CN"/>
      </w:rPr>
      <w:fldChar w:fldCharType="end"/>
    </w:r>
  </w:p>
  <w:p w:rsidR="00CC3BF3" w:rsidRDefault="00CC3BF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8A" w:rsidRDefault="00651E8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CC3BF3">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CC3BF3">
    <w:pPr>
      <w:pStyle w:val="a5"/>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CC3BF3">
    <w:pPr>
      <w:pStyle w:val="a5"/>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CC3BF3">
    <w:pPr>
      <w:pStyle w:val="a5"/>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E85F75">
    <w:pPr>
      <w:pStyle w:val="a5"/>
      <w:jc w:val="center"/>
    </w:pPr>
    <w:r w:rsidRPr="00E85F75">
      <w:fldChar w:fldCharType="begin"/>
    </w:r>
    <w:r w:rsidR="00FF7BC9">
      <w:instrText>PAGE   \* MERGEFORMAT</w:instrText>
    </w:r>
    <w:r w:rsidRPr="00E85F75">
      <w:fldChar w:fldCharType="separate"/>
    </w:r>
    <w:r w:rsidR="00CB21E8" w:rsidRPr="00CB21E8">
      <w:rPr>
        <w:noProof/>
        <w:lang w:val="zh-CN"/>
      </w:rPr>
      <w:t>15</w:t>
    </w:r>
    <w:r>
      <w:rPr>
        <w:lang w:val="zh-CN"/>
      </w:rPr>
      <w:fldChar w:fldCharType="end"/>
    </w:r>
  </w:p>
  <w:p w:rsidR="00CC3BF3" w:rsidRDefault="00CC3B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7A4" w:rsidRDefault="000077A4" w:rsidP="00CC3BF3">
      <w:r>
        <w:separator/>
      </w:r>
    </w:p>
  </w:footnote>
  <w:footnote w:type="continuationSeparator" w:id="0">
    <w:p w:rsidR="000077A4" w:rsidRDefault="000077A4" w:rsidP="00CC3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8A" w:rsidRDefault="00651E8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F3" w:rsidRDefault="00CC3BF3">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8A" w:rsidRDefault="00651E8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cs="Times New Roman" w:hint="eastAsia"/>
      </w:rPr>
    </w:lvl>
  </w:abstractNum>
  <w:abstractNum w:abstractNumId="1">
    <w:nsid w:val="E2FA047D"/>
    <w:multiLevelType w:val="singleLevel"/>
    <w:tmpl w:val="E2FA047D"/>
    <w:lvl w:ilvl="0">
      <w:start w:val="3"/>
      <w:numFmt w:val="chineseCounting"/>
      <w:suff w:val="space"/>
      <w:lvlText w:val="第%1部分"/>
      <w:lvlJc w:val="left"/>
      <w:rPr>
        <w:rFonts w:cs="Times New Roman" w:hint="eastAsia"/>
      </w:rPr>
    </w:lvl>
  </w:abstractNum>
  <w:abstractNum w:abstractNumId="2">
    <w:nsid w:val="1272550B"/>
    <w:multiLevelType w:val="multilevel"/>
    <w:tmpl w:val="1272550B"/>
    <w:lvl w:ilvl="0">
      <w:start w:val="1"/>
      <w:numFmt w:val="japaneseCounting"/>
      <w:lvlText w:val="%1、"/>
      <w:lvlJc w:val="left"/>
      <w:pPr>
        <w:ind w:left="1360" w:hanging="720"/>
      </w:pPr>
      <w:rPr>
        <w:rFonts w:cs="Times New Roman" w:hint="default"/>
        <w:b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1361C"/>
    <w:rsid w:val="00002C38"/>
    <w:rsid w:val="000077A4"/>
    <w:rsid w:val="000222C6"/>
    <w:rsid w:val="00023495"/>
    <w:rsid w:val="0002549F"/>
    <w:rsid w:val="00032CDC"/>
    <w:rsid w:val="0003656E"/>
    <w:rsid w:val="00043479"/>
    <w:rsid w:val="000437FD"/>
    <w:rsid w:val="000467F0"/>
    <w:rsid w:val="00056F66"/>
    <w:rsid w:val="0006487A"/>
    <w:rsid w:val="00065F8F"/>
    <w:rsid w:val="00073A19"/>
    <w:rsid w:val="00073F21"/>
    <w:rsid w:val="000768F2"/>
    <w:rsid w:val="000826FF"/>
    <w:rsid w:val="0009184B"/>
    <w:rsid w:val="0009593C"/>
    <w:rsid w:val="00096DA7"/>
    <w:rsid w:val="000B047F"/>
    <w:rsid w:val="000B5923"/>
    <w:rsid w:val="000B5A48"/>
    <w:rsid w:val="000B6FF3"/>
    <w:rsid w:val="000C153A"/>
    <w:rsid w:val="000C3467"/>
    <w:rsid w:val="000C3CA6"/>
    <w:rsid w:val="000C5DBF"/>
    <w:rsid w:val="000D1267"/>
    <w:rsid w:val="000D1D50"/>
    <w:rsid w:val="000D5782"/>
    <w:rsid w:val="000E6613"/>
    <w:rsid w:val="000E7119"/>
    <w:rsid w:val="000F3553"/>
    <w:rsid w:val="00114E9B"/>
    <w:rsid w:val="00134E36"/>
    <w:rsid w:val="00145A9E"/>
    <w:rsid w:val="0014729F"/>
    <w:rsid w:val="00157BAB"/>
    <w:rsid w:val="001654D1"/>
    <w:rsid w:val="001655B1"/>
    <w:rsid w:val="0018106D"/>
    <w:rsid w:val="001877A7"/>
    <w:rsid w:val="00191536"/>
    <w:rsid w:val="00196687"/>
    <w:rsid w:val="001A22CD"/>
    <w:rsid w:val="001A3E94"/>
    <w:rsid w:val="001B2268"/>
    <w:rsid w:val="001B3EE3"/>
    <w:rsid w:val="001C0962"/>
    <w:rsid w:val="001D7531"/>
    <w:rsid w:val="001E737D"/>
    <w:rsid w:val="001F0592"/>
    <w:rsid w:val="001F7506"/>
    <w:rsid w:val="002006CD"/>
    <w:rsid w:val="00202B36"/>
    <w:rsid w:val="00204B7A"/>
    <w:rsid w:val="00210845"/>
    <w:rsid w:val="0021101A"/>
    <w:rsid w:val="00220536"/>
    <w:rsid w:val="00235629"/>
    <w:rsid w:val="00242FE8"/>
    <w:rsid w:val="00260C38"/>
    <w:rsid w:val="002616C0"/>
    <w:rsid w:val="002662AA"/>
    <w:rsid w:val="00266353"/>
    <w:rsid w:val="00280496"/>
    <w:rsid w:val="00295495"/>
    <w:rsid w:val="002B2613"/>
    <w:rsid w:val="002D641C"/>
    <w:rsid w:val="002F1818"/>
    <w:rsid w:val="002F567B"/>
    <w:rsid w:val="00312CB9"/>
    <w:rsid w:val="003216A9"/>
    <w:rsid w:val="003361AA"/>
    <w:rsid w:val="00341D88"/>
    <w:rsid w:val="00365230"/>
    <w:rsid w:val="0037013F"/>
    <w:rsid w:val="00376314"/>
    <w:rsid w:val="00380C92"/>
    <w:rsid w:val="003A484F"/>
    <w:rsid w:val="003B0BE0"/>
    <w:rsid w:val="003B0C1B"/>
    <w:rsid w:val="003B27B6"/>
    <w:rsid w:val="003B688C"/>
    <w:rsid w:val="003C0291"/>
    <w:rsid w:val="003C39AE"/>
    <w:rsid w:val="003C7B60"/>
    <w:rsid w:val="003D1FB2"/>
    <w:rsid w:val="003D3DEB"/>
    <w:rsid w:val="003D66DA"/>
    <w:rsid w:val="003E1310"/>
    <w:rsid w:val="003E2DDE"/>
    <w:rsid w:val="003E6F55"/>
    <w:rsid w:val="00406254"/>
    <w:rsid w:val="00414142"/>
    <w:rsid w:val="004223DE"/>
    <w:rsid w:val="00434489"/>
    <w:rsid w:val="00437085"/>
    <w:rsid w:val="00443880"/>
    <w:rsid w:val="004464F4"/>
    <w:rsid w:val="00471401"/>
    <w:rsid w:val="00473F31"/>
    <w:rsid w:val="0048263A"/>
    <w:rsid w:val="0048446C"/>
    <w:rsid w:val="00487E5D"/>
    <w:rsid w:val="00495701"/>
    <w:rsid w:val="004A1A8D"/>
    <w:rsid w:val="004A535A"/>
    <w:rsid w:val="004A711F"/>
    <w:rsid w:val="004B199D"/>
    <w:rsid w:val="004B4690"/>
    <w:rsid w:val="004E0A2D"/>
    <w:rsid w:val="004E206B"/>
    <w:rsid w:val="004E6DF7"/>
    <w:rsid w:val="004F0FBD"/>
    <w:rsid w:val="005018C4"/>
    <w:rsid w:val="00505A47"/>
    <w:rsid w:val="00512AFE"/>
    <w:rsid w:val="00512FDA"/>
    <w:rsid w:val="00520DA0"/>
    <w:rsid w:val="00553063"/>
    <w:rsid w:val="005664BB"/>
    <w:rsid w:val="00566B86"/>
    <w:rsid w:val="0057481D"/>
    <w:rsid w:val="00577510"/>
    <w:rsid w:val="00581F03"/>
    <w:rsid w:val="0058486E"/>
    <w:rsid w:val="005D1C8B"/>
    <w:rsid w:val="005D1D6D"/>
    <w:rsid w:val="005D5CED"/>
    <w:rsid w:val="005F0F51"/>
    <w:rsid w:val="005F1A4C"/>
    <w:rsid w:val="005F28C9"/>
    <w:rsid w:val="00605688"/>
    <w:rsid w:val="006070AF"/>
    <w:rsid w:val="00607E6C"/>
    <w:rsid w:val="006101B1"/>
    <w:rsid w:val="00614360"/>
    <w:rsid w:val="00614E44"/>
    <w:rsid w:val="00620D64"/>
    <w:rsid w:val="00622830"/>
    <w:rsid w:val="00630AEF"/>
    <w:rsid w:val="006325F8"/>
    <w:rsid w:val="00633DF9"/>
    <w:rsid w:val="00634C9A"/>
    <w:rsid w:val="006440E4"/>
    <w:rsid w:val="00651E8A"/>
    <w:rsid w:val="0065209D"/>
    <w:rsid w:val="0066343B"/>
    <w:rsid w:val="00664777"/>
    <w:rsid w:val="00664D43"/>
    <w:rsid w:val="006748A4"/>
    <w:rsid w:val="00683E73"/>
    <w:rsid w:val="00690BDA"/>
    <w:rsid w:val="006A26EC"/>
    <w:rsid w:val="006A3141"/>
    <w:rsid w:val="006A5E34"/>
    <w:rsid w:val="006B2422"/>
    <w:rsid w:val="006B2B9A"/>
    <w:rsid w:val="006C082E"/>
    <w:rsid w:val="006C1937"/>
    <w:rsid w:val="006E49AE"/>
    <w:rsid w:val="006F020C"/>
    <w:rsid w:val="007127B7"/>
    <w:rsid w:val="00714F6A"/>
    <w:rsid w:val="00732204"/>
    <w:rsid w:val="007340F6"/>
    <w:rsid w:val="007416B6"/>
    <w:rsid w:val="007416BA"/>
    <w:rsid w:val="00746F48"/>
    <w:rsid w:val="0075404D"/>
    <w:rsid w:val="0076182A"/>
    <w:rsid w:val="00767B7E"/>
    <w:rsid w:val="007770C3"/>
    <w:rsid w:val="00784D24"/>
    <w:rsid w:val="00785FBA"/>
    <w:rsid w:val="00786E4A"/>
    <w:rsid w:val="007875EB"/>
    <w:rsid w:val="0079426B"/>
    <w:rsid w:val="007A5A2F"/>
    <w:rsid w:val="007B1668"/>
    <w:rsid w:val="007C3552"/>
    <w:rsid w:val="007D312A"/>
    <w:rsid w:val="007D3F19"/>
    <w:rsid w:val="007E23B0"/>
    <w:rsid w:val="007F1991"/>
    <w:rsid w:val="007F2C2F"/>
    <w:rsid w:val="007F55FC"/>
    <w:rsid w:val="007F5665"/>
    <w:rsid w:val="00800112"/>
    <w:rsid w:val="008022A2"/>
    <w:rsid w:val="00811132"/>
    <w:rsid w:val="008253BB"/>
    <w:rsid w:val="0083706E"/>
    <w:rsid w:val="008423A5"/>
    <w:rsid w:val="00850625"/>
    <w:rsid w:val="00853718"/>
    <w:rsid w:val="00855221"/>
    <w:rsid w:val="00860645"/>
    <w:rsid w:val="00871F71"/>
    <w:rsid w:val="00885AF4"/>
    <w:rsid w:val="008939CD"/>
    <w:rsid w:val="008B0077"/>
    <w:rsid w:val="008B768C"/>
    <w:rsid w:val="008C4DB1"/>
    <w:rsid w:val="008C4EAF"/>
    <w:rsid w:val="008C5176"/>
    <w:rsid w:val="008C7FD0"/>
    <w:rsid w:val="008E1DE7"/>
    <w:rsid w:val="008E53B1"/>
    <w:rsid w:val="008E707C"/>
    <w:rsid w:val="008F6212"/>
    <w:rsid w:val="00900B08"/>
    <w:rsid w:val="00902155"/>
    <w:rsid w:val="00902FA3"/>
    <w:rsid w:val="00923564"/>
    <w:rsid w:val="0092392E"/>
    <w:rsid w:val="009315F9"/>
    <w:rsid w:val="00940595"/>
    <w:rsid w:val="00944B2E"/>
    <w:rsid w:val="00946945"/>
    <w:rsid w:val="00951248"/>
    <w:rsid w:val="0095152F"/>
    <w:rsid w:val="00954C49"/>
    <w:rsid w:val="00963E0E"/>
    <w:rsid w:val="0097099F"/>
    <w:rsid w:val="00971997"/>
    <w:rsid w:val="00971FFC"/>
    <w:rsid w:val="0098660A"/>
    <w:rsid w:val="009931C3"/>
    <w:rsid w:val="009B2C43"/>
    <w:rsid w:val="009B4EAE"/>
    <w:rsid w:val="009B7573"/>
    <w:rsid w:val="009C22F4"/>
    <w:rsid w:val="009C2E98"/>
    <w:rsid w:val="009D3447"/>
    <w:rsid w:val="009D4711"/>
    <w:rsid w:val="009F1185"/>
    <w:rsid w:val="009F18CD"/>
    <w:rsid w:val="009F2A13"/>
    <w:rsid w:val="00A04EB0"/>
    <w:rsid w:val="00A13CC1"/>
    <w:rsid w:val="00A16847"/>
    <w:rsid w:val="00A236C8"/>
    <w:rsid w:val="00A237D8"/>
    <w:rsid w:val="00A268C4"/>
    <w:rsid w:val="00A305A5"/>
    <w:rsid w:val="00A307CD"/>
    <w:rsid w:val="00A40677"/>
    <w:rsid w:val="00A40A00"/>
    <w:rsid w:val="00A4142F"/>
    <w:rsid w:val="00A56DF2"/>
    <w:rsid w:val="00A654D3"/>
    <w:rsid w:val="00A67AB5"/>
    <w:rsid w:val="00A725DA"/>
    <w:rsid w:val="00A91760"/>
    <w:rsid w:val="00A93B00"/>
    <w:rsid w:val="00A93C21"/>
    <w:rsid w:val="00AC3C6A"/>
    <w:rsid w:val="00AD5620"/>
    <w:rsid w:val="00AD7C1B"/>
    <w:rsid w:val="00AE16BA"/>
    <w:rsid w:val="00AE1EBE"/>
    <w:rsid w:val="00AE2CC8"/>
    <w:rsid w:val="00AE2DC8"/>
    <w:rsid w:val="00B03C9D"/>
    <w:rsid w:val="00B0458C"/>
    <w:rsid w:val="00B06013"/>
    <w:rsid w:val="00B060AE"/>
    <w:rsid w:val="00B07DC1"/>
    <w:rsid w:val="00B10517"/>
    <w:rsid w:val="00B14E76"/>
    <w:rsid w:val="00B161B8"/>
    <w:rsid w:val="00B2048C"/>
    <w:rsid w:val="00B310B9"/>
    <w:rsid w:val="00B34402"/>
    <w:rsid w:val="00B35F3F"/>
    <w:rsid w:val="00B36CBB"/>
    <w:rsid w:val="00B425E0"/>
    <w:rsid w:val="00B440AA"/>
    <w:rsid w:val="00B44B70"/>
    <w:rsid w:val="00B53C56"/>
    <w:rsid w:val="00B77EA6"/>
    <w:rsid w:val="00B81598"/>
    <w:rsid w:val="00B841F1"/>
    <w:rsid w:val="00B86BD5"/>
    <w:rsid w:val="00B87018"/>
    <w:rsid w:val="00B944D6"/>
    <w:rsid w:val="00BB4DF0"/>
    <w:rsid w:val="00BC289F"/>
    <w:rsid w:val="00BC5361"/>
    <w:rsid w:val="00BC5460"/>
    <w:rsid w:val="00BC6B50"/>
    <w:rsid w:val="00BD0E25"/>
    <w:rsid w:val="00BD6DC1"/>
    <w:rsid w:val="00BE5205"/>
    <w:rsid w:val="00BF5BD6"/>
    <w:rsid w:val="00BF75A5"/>
    <w:rsid w:val="00C03E31"/>
    <w:rsid w:val="00C14A2A"/>
    <w:rsid w:val="00C261F7"/>
    <w:rsid w:val="00C33E72"/>
    <w:rsid w:val="00C354B2"/>
    <w:rsid w:val="00C35554"/>
    <w:rsid w:val="00C42709"/>
    <w:rsid w:val="00C43B94"/>
    <w:rsid w:val="00C533CC"/>
    <w:rsid w:val="00C5751C"/>
    <w:rsid w:val="00C61BFC"/>
    <w:rsid w:val="00C62B85"/>
    <w:rsid w:val="00C65438"/>
    <w:rsid w:val="00C66C0D"/>
    <w:rsid w:val="00C91CBB"/>
    <w:rsid w:val="00CB21E8"/>
    <w:rsid w:val="00CB6B90"/>
    <w:rsid w:val="00CC09B6"/>
    <w:rsid w:val="00CC3BF3"/>
    <w:rsid w:val="00CC666F"/>
    <w:rsid w:val="00CD1E3F"/>
    <w:rsid w:val="00CE44F6"/>
    <w:rsid w:val="00CE49DA"/>
    <w:rsid w:val="00CE7B61"/>
    <w:rsid w:val="00D00095"/>
    <w:rsid w:val="00D03E30"/>
    <w:rsid w:val="00D13D1B"/>
    <w:rsid w:val="00D14CD9"/>
    <w:rsid w:val="00D16FCE"/>
    <w:rsid w:val="00D20620"/>
    <w:rsid w:val="00D26091"/>
    <w:rsid w:val="00D34E7C"/>
    <w:rsid w:val="00D35489"/>
    <w:rsid w:val="00D37C14"/>
    <w:rsid w:val="00D51276"/>
    <w:rsid w:val="00D7035F"/>
    <w:rsid w:val="00D81300"/>
    <w:rsid w:val="00D878C4"/>
    <w:rsid w:val="00D90B9E"/>
    <w:rsid w:val="00D95B85"/>
    <w:rsid w:val="00DA65AC"/>
    <w:rsid w:val="00DB0F51"/>
    <w:rsid w:val="00DB1913"/>
    <w:rsid w:val="00DC410D"/>
    <w:rsid w:val="00DC68CA"/>
    <w:rsid w:val="00DC7CBA"/>
    <w:rsid w:val="00DD73B7"/>
    <w:rsid w:val="00DD7516"/>
    <w:rsid w:val="00DF28BC"/>
    <w:rsid w:val="00DF34B9"/>
    <w:rsid w:val="00E01053"/>
    <w:rsid w:val="00E07ACF"/>
    <w:rsid w:val="00E331A1"/>
    <w:rsid w:val="00E33202"/>
    <w:rsid w:val="00E336A9"/>
    <w:rsid w:val="00E37959"/>
    <w:rsid w:val="00E504BD"/>
    <w:rsid w:val="00E50624"/>
    <w:rsid w:val="00E568DF"/>
    <w:rsid w:val="00E64269"/>
    <w:rsid w:val="00E82267"/>
    <w:rsid w:val="00E85F75"/>
    <w:rsid w:val="00EA010F"/>
    <w:rsid w:val="00ED1B63"/>
    <w:rsid w:val="00ED3C1F"/>
    <w:rsid w:val="00ED4085"/>
    <w:rsid w:val="00ED420E"/>
    <w:rsid w:val="00EE2F57"/>
    <w:rsid w:val="00EE3ACD"/>
    <w:rsid w:val="00EF3558"/>
    <w:rsid w:val="00EF4C34"/>
    <w:rsid w:val="00EF70FA"/>
    <w:rsid w:val="00EF77C6"/>
    <w:rsid w:val="00F05438"/>
    <w:rsid w:val="00F1361C"/>
    <w:rsid w:val="00F160C7"/>
    <w:rsid w:val="00F36D8F"/>
    <w:rsid w:val="00F417B1"/>
    <w:rsid w:val="00F475DF"/>
    <w:rsid w:val="00F602DF"/>
    <w:rsid w:val="00F61105"/>
    <w:rsid w:val="00F81FD9"/>
    <w:rsid w:val="00F841AA"/>
    <w:rsid w:val="00FA23E8"/>
    <w:rsid w:val="00FB0AD4"/>
    <w:rsid w:val="00FD198E"/>
    <w:rsid w:val="00FD2DE1"/>
    <w:rsid w:val="00FD3CC1"/>
    <w:rsid w:val="00FE01F1"/>
    <w:rsid w:val="00FF1E02"/>
    <w:rsid w:val="00FF30B4"/>
    <w:rsid w:val="00FF7A66"/>
    <w:rsid w:val="00FF7BC9"/>
    <w:rsid w:val="014A5DF3"/>
    <w:rsid w:val="040150B0"/>
    <w:rsid w:val="09384763"/>
    <w:rsid w:val="09573CBE"/>
    <w:rsid w:val="0B4D54CD"/>
    <w:rsid w:val="0BF76788"/>
    <w:rsid w:val="0C3A1705"/>
    <w:rsid w:val="10C055FF"/>
    <w:rsid w:val="12FE3056"/>
    <w:rsid w:val="16BB723D"/>
    <w:rsid w:val="18D863A0"/>
    <w:rsid w:val="19D5670A"/>
    <w:rsid w:val="1AC46C0B"/>
    <w:rsid w:val="1ADA3C41"/>
    <w:rsid w:val="1BDE6C63"/>
    <w:rsid w:val="1C6E5F74"/>
    <w:rsid w:val="1C902A48"/>
    <w:rsid w:val="1CA23DF5"/>
    <w:rsid w:val="1D3878A1"/>
    <w:rsid w:val="1E552E57"/>
    <w:rsid w:val="1E8F58F7"/>
    <w:rsid w:val="22043E42"/>
    <w:rsid w:val="240371BF"/>
    <w:rsid w:val="24DE10D6"/>
    <w:rsid w:val="29FD04D3"/>
    <w:rsid w:val="2C444FCC"/>
    <w:rsid w:val="2CBC11BE"/>
    <w:rsid w:val="2D4423E8"/>
    <w:rsid w:val="2D531E3C"/>
    <w:rsid w:val="2D8E1DA7"/>
    <w:rsid w:val="2E8D278E"/>
    <w:rsid w:val="319F7F4E"/>
    <w:rsid w:val="31E50193"/>
    <w:rsid w:val="320D6A81"/>
    <w:rsid w:val="33682E69"/>
    <w:rsid w:val="35DF6ED4"/>
    <w:rsid w:val="3BA86872"/>
    <w:rsid w:val="3BDA7E7A"/>
    <w:rsid w:val="3CC20158"/>
    <w:rsid w:val="3EF14518"/>
    <w:rsid w:val="42481A4F"/>
    <w:rsid w:val="426634F2"/>
    <w:rsid w:val="42D4233E"/>
    <w:rsid w:val="434978A7"/>
    <w:rsid w:val="442477E4"/>
    <w:rsid w:val="44404C7A"/>
    <w:rsid w:val="454F54A9"/>
    <w:rsid w:val="488B1607"/>
    <w:rsid w:val="498258FA"/>
    <w:rsid w:val="4A4E2E8D"/>
    <w:rsid w:val="4AEA7336"/>
    <w:rsid w:val="4B0E1CD6"/>
    <w:rsid w:val="4BFE43B1"/>
    <w:rsid w:val="4C544B16"/>
    <w:rsid w:val="4FE81C8F"/>
    <w:rsid w:val="50420558"/>
    <w:rsid w:val="509F1456"/>
    <w:rsid w:val="50CC6E7E"/>
    <w:rsid w:val="52CC4E9F"/>
    <w:rsid w:val="53505A74"/>
    <w:rsid w:val="55144CED"/>
    <w:rsid w:val="551A71EB"/>
    <w:rsid w:val="55CC7E00"/>
    <w:rsid w:val="580A67ED"/>
    <w:rsid w:val="5A3377BF"/>
    <w:rsid w:val="5A731ECF"/>
    <w:rsid w:val="5B3206B3"/>
    <w:rsid w:val="5F4636F4"/>
    <w:rsid w:val="60606E7D"/>
    <w:rsid w:val="616A6BD5"/>
    <w:rsid w:val="616B59BC"/>
    <w:rsid w:val="61B42A1A"/>
    <w:rsid w:val="62E12F3B"/>
    <w:rsid w:val="63923EE5"/>
    <w:rsid w:val="64A639FB"/>
    <w:rsid w:val="670907FC"/>
    <w:rsid w:val="6868798F"/>
    <w:rsid w:val="6A1C0DE9"/>
    <w:rsid w:val="6A6F631F"/>
    <w:rsid w:val="6BA23D67"/>
    <w:rsid w:val="6BC95F82"/>
    <w:rsid w:val="6D4937A4"/>
    <w:rsid w:val="6EBF6043"/>
    <w:rsid w:val="71F14A82"/>
    <w:rsid w:val="724B77AA"/>
    <w:rsid w:val="72BC646F"/>
    <w:rsid w:val="742F0820"/>
    <w:rsid w:val="74503A24"/>
    <w:rsid w:val="76960658"/>
    <w:rsid w:val="76DD0D99"/>
    <w:rsid w:val="777C40F4"/>
    <w:rsid w:val="78211513"/>
    <w:rsid w:val="78917DDA"/>
    <w:rsid w:val="7A956AFD"/>
    <w:rsid w:val="7B53503B"/>
    <w:rsid w:val="7B7C57E2"/>
    <w:rsid w:val="7EC02116"/>
    <w:rsid w:val="7F831D69"/>
    <w:rsid w:val="7FDD3E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semiHidden="0" w:unhideWhenUsed="0" w:qFormat="1"/>
    <w:lsdException w:name="toc 3" w:semiHidden="0"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Hyperlink" w:semiHidden="0" w:unhideWhenUsed="0" w:qFormat="1"/>
    <w:lsdException w:name="Strong" w:semiHidden="0" w:unhideWhenUsed="0" w:qFormat="1"/>
    <w:lsdException w:name="Emphasis" w:locked="1" w:semiHidden="0" w:uiPriority="0" w:unhideWhenUsed="0" w:qFormat="1"/>
    <w:lsdException w:name="Normal (Web)"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BF3"/>
    <w:pPr>
      <w:widowControl w:val="0"/>
      <w:jc w:val="both"/>
    </w:pPr>
    <w:rPr>
      <w:kern w:val="2"/>
      <w:sz w:val="21"/>
      <w:szCs w:val="24"/>
    </w:rPr>
  </w:style>
  <w:style w:type="paragraph" w:styleId="1">
    <w:name w:val="heading 1"/>
    <w:basedOn w:val="a"/>
    <w:next w:val="a"/>
    <w:link w:val="1Char"/>
    <w:uiPriority w:val="99"/>
    <w:qFormat/>
    <w:rsid w:val="00CC3BF3"/>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CC3BF3"/>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CC3BF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CC3BF3"/>
    <w:pPr>
      <w:spacing w:beforeLines="30"/>
    </w:pPr>
    <w:rPr>
      <w:rFonts w:ascii="仿宋_GB2312" w:eastAsia="仿宋_GB2312"/>
      <w:kern w:val="0"/>
      <w:sz w:val="24"/>
      <w:szCs w:val="20"/>
    </w:rPr>
  </w:style>
  <w:style w:type="paragraph" w:styleId="30">
    <w:name w:val="toc 3"/>
    <w:basedOn w:val="a"/>
    <w:next w:val="a"/>
    <w:uiPriority w:val="99"/>
    <w:qFormat/>
    <w:rsid w:val="00CC3BF3"/>
    <w:pPr>
      <w:tabs>
        <w:tab w:val="right" w:leader="dot" w:pos="8296"/>
      </w:tabs>
      <w:ind w:leftChars="400" w:left="840"/>
    </w:pPr>
  </w:style>
  <w:style w:type="paragraph" w:styleId="a4">
    <w:name w:val="Balloon Text"/>
    <w:basedOn w:val="a"/>
    <w:link w:val="Char0"/>
    <w:uiPriority w:val="99"/>
    <w:semiHidden/>
    <w:qFormat/>
    <w:rsid w:val="00CC3BF3"/>
    <w:rPr>
      <w:sz w:val="18"/>
      <w:szCs w:val="18"/>
    </w:rPr>
  </w:style>
  <w:style w:type="paragraph" w:styleId="a5">
    <w:name w:val="footer"/>
    <w:basedOn w:val="a"/>
    <w:link w:val="Char1"/>
    <w:uiPriority w:val="99"/>
    <w:qFormat/>
    <w:rsid w:val="00CC3BF3"/>
    <w:pPr>
      <w:tabs>
        <w:tab w:val="center" w:pos="4153"/>
        <w:tab w:val="right" w:pos="8306"/>
      </w:tabs>
      <w:snapToGrid w:val="0"/>
      <w:jc w:val="left"/>
    </w:pPr>
    <w:rPr>
      <w:rFonts w:ascii="Calibri" w:hAnsi="Calibri"/>
      <w:kern w:val="0"/>
      <w:sz w:val="18"/>
      <w:szCs w:val="20"/>
    </w:rPr>
  </w:style>
  <w:style w:type="paragraph" w:styleId="a6">
    <w:name w:val="header"/>
    <w:basedOn w:val="a"/>
    <w:link w:val="Char2"/>
    <w:uiPriority w:val="99"/>
    <w:semiHidden/>
    <w:qFormat/>
    <w:rsid w:val="00CC3BF3"/>
    <w:pPr>
      <w:pBdr>
        <w:bottom w:val="single" w:sz="6" w:space="1" w:color="auto"/>
      </w:pBdr>
      <w:tabs>
        <w:tab w:val="center" w:pos="4153"/>
        <w:tab w:val="right" w:pos="8306"/>
      </w:tabs>
      <w:snapToGrid w:val="0"/>
      <w:jc w:val="center"/>
    </w:pPr>
    <w:rPr>
      <w:rFonts w:ascii="Calibri" w:hAnsi="Calibri"/>
      <w:kern w:val="0"/>
      <w:sz w:val="18"/>
      <w:szCs w:val="20"/>
    </w:rPr>
  </w:style>
  <w:style w:type="paragraph" w:styleId="10">
    <w:name w:val="toc 1"/>
    <w:basedOn w:val="a"/>
    <w:next w:val="a"/>
    <w:uiPriority w:val="99"/>
    <w:qFormat/>
    <w:rsid w:val="00CC3BF3"/>
    <w:pPr>
      <w:tabs>
        <w:tab w:val="right" w:leader="dot" w:pos="8296"/>
      </w:tabs>
      <w:spacing w:before="93"/>
      <w:jc w:val="center"/>
    </w:pPr>
    <w:rPr>
      <w:rFonts w:ascii="仿宋" w:eastAsia="仿宋" w:hAnsi="仿宋"/>
      <w:sz w:val="28"/>
      <w:szCs w:val="28"/>
    </w:rPr>
  </w:style>
  <w:style w:type="paragraph" w:styleId="20">
    <w:name w:val="toc 2"/>
    <w:basedOn w:val="a"/>
    <w:next w:val="a"/>
    <w:uiPriority w:val="99"/>
    <w:qFormat/>
    <w:rsid w:val="00CC3BF3"/>
    <w:pPr>
      <w:tabs>
        <w:tab w:val="right" w:leader="dot" w:pos="8296"/>
      </w:tabs>
      <w:ind w:leftChars="200" w:left="420"/>
    </w:pPr>
  </w:style>
  <w:style w:type="paragraph" w:styleId="a7">
    <w:name w:val="Normal (Web)"/>
    <w:basedOn w:val="a"/>
    <w:uiPriority w:val="99"/>
    <w:semiHidden/>
    <w:unhideWhenUsed/>
    <w:qFormat/>
    <w:rsid w:val="00CC3BF3"/>
    <w:pPr>
      <w:widowControl/>
      <w:spacing w:before="100" w:beforeAutospacing="1" w:after="100" w:afterAutospacing="1"/>
      <w:jc w:val="left"/>
    </w:pPr>
    <w:rPr>
      <w:rFonts w:ascii="宋体" w:hAnsi="宋体" w:cs="宋体"/>
      <w:kern w:val="0"/>
      <w:sz w:val="24"/>
    </w:rPr>
  </w:style>
  <w:style w:type="character" w:styleId="a8">
    <w:name w:val="Strong"/>
    <w:basedOn w:val="a0"/>
    <w:uiPriority w:val="99"/>
    <w:qFormat/>
    <w:rsid w:val="00CC3BF3"/>
    <w:rPr>
      <w:rFonts w:cs="Times New Roman"/>
      <w:b/>
    </w:rPr>
  </w:style>
  <w:style w:type="character" w:styleId="a9">
    <w:name w:val="Hyperlink"/>
    <w:basedOn w:val="a0"/>
    <w:uiPriority w:val="99"/>
    <w:qFormat/>
    <w:rsid w:val="00CC3BF3"/>
    <w:rPr>
      <w:rFonts w:cs="Times New Roman"/>
      <w:color w:val="0000FF"/>
      <w:u w:val="single"/>
    </w:rPr>
  </w:style>
  <w:style w:type="table" w:styleId="aa">
    <w:name w:val="Table Grid"/>
    <w:basedOn w:val="a1"/>
    <w:qFormat/>
    <w:locked/>
    <w:rsid w:val="00CC3BF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locked/>
    <w:rsid w:val="00CC3BF3"/>
    <w:rPr>
      <w:rFonts w:ascii="Times New Roman" w:hAnsi="Times New Roman" w:cs="Times New Roman"/>
      <w:b/>
      <w:bCs/>
      <w:kern w:val="44"/>
      <w:sz w:val="44"/>
      <w:szCs w:val="44"/>
    </w:rPr>
  </w:style>
  <w:style w:type="character" w:customStyle="1" w:styleId="2Char">
    <w:name w:val="标题 2 Char"/>
    <w:basedOn w:val="a0"/>
    <w:link w:val="2"/>
    <w:uiPriority w:val="99"/>
    <w:qFormat/>
    <w:locked/>
    <w:rsid w:val="00CC3BF3"/>
    <w:rPr>
      <w:rFonts w:ascii="Cambria" w:eastAsia="宋体" w:hAnsi="Cambria" w:cs="Times New Roman"/>
      <w:b/>
      <w:bCs/>
      <w:kern w:val="2"/>
      <w:sz w:val="32"/>
      <w:szCs w:val="32"/>
    </w:rPr>
  </w:style>
  <w:style w:type="character" w:customStyle="1" w:styleId="3Char">
    <w:name w:val="标题 3 Char"/>
    <w:basedOn w:val="a0"/>
    <w:link w:val="3"/>
    <w:uiPriority w:val="99"/>
    <w:qFormat/>
    <w:locked/>
    <w:rsid w:val="00CC3BF3"/>
    <w:rPr>
      <w:rFonts w:ascii="Times New Roman" w:hAnsi="Times New Roman" w:cs="Times New Roman"/>
      <w:b/>
      <w:bCs/>
      <w:kern w:val="2"/>
      <w:sz w:val="32"/>
      <w:szCs w:val="32"/>
    </w:rPr>
  </w:style>
  <w:style w:type="character" w:customStyle="1" w:styleId="BodyTextChar">
    <w:name w:val="Body Text Char"/>
    <w:basedOn w:val="a0"/>
    <w:link w:val="a3"/>
    <w:uiPriority w:val="99"/>
    <w:semiHidden/>
    <w:qFormat/>
    <w:rsid w:val="00CC3BF3"/>
    <w:rPr>
      <w:rFonts w:ascii="Times New Roman" w:hAnsi="Times New Roman" w:cs="Times New Roman"/>
      <w:sz w:val="24"/>
      <w:szCs w:val="24"/>
    </w:rPr>
  </w:style>
  <w:style w:type="character" w:customStyle="1" w:styleId="FooterChar">
    <w:name w:val="Footer Char"/>
    <w:basedOn w:val="a0"/>
    <w:link w:val="a5"/>
    <w:uiPriority w:val="99"/>
    <w:semiHidden/>
    <w:qFormat/>
    <w:rsid w:val="00CC3BF3"/>
    <w:rPr>
      <w:rFonts w:ascii="Times New Roman" w:hAnsi="Times New Roman" w:cs="Times New Roman"/>
      <w:sz w:val="18"/>
      <w:szCs w:val="18"/>
    </w:rPr>
  </w:style>
  <w:style w:type="character" w:customStyle="1" w:styleId="HeaderChar">
    <w:name w:val="Header Char"/>
    <w:basedOn w:val="a0"/>
    <w:link w:val="a6"/>
    <w:uiPriority w:val="99"/>
    <w:semiHidden/>
    <w:qFormat/>
    <w:rsid w:val="00CC3BF3"/>
    <w:rPr>
      <w:rFonts w:ascii="Times New Roman" w:hAnsi="Times New Roman" w:cs="Times New Roman"/>
      <w:sz w:val="18"/>
      <w:szCs w:val="18"/>
    </w:rPr>
  </w:style>
  <w:style w:type="character" w:customStyle="1" w:styleId="Char2">
    <w:name w:val="页眉 Char"/>
    <w:link w:val="a6"/>
    <w:uiPriority w:val="99"/>
    <w:semiHidden/>
    <w:qFormat/>
    <w:locked/>
    <w:rsid w:val="00CC3BF3"/>
    <w:rPr>
      <w:sz w:val="18"/>
    </w:rPr>
  </w:style>
  <w:style w:type="character" w:customStyle="1" w:styleId="Char1">
    <w:name w:val="页脚 Char"/>
    <w:link w:val="a5"/>
    <w:uiPriority w:val="99"/>
    <w:qFormat/>
    <w:locked/>
    <w:rsid w:val="00CC3BF3"/>
    <w:rPr>
      <w:sz w:val="18"/>
    </w:rPr>
  </w:style>
  <w:style w:type="character" w:customStyle="1" w:styleId="Char">
    <w:name w:val="正文文本 Char"/>
    <w:link w:val="a3"/>
    <w:uiPriority w:val="99"/>
    <w:qFormat/>
    <w:locked/>
    <w:rsid w:val="00CC3BF3"/>
    <w:rPr>
      <w:rFonts w:ascii="仿宋_GB2312" w:eastAsia="仿宋_GB2312" w:hAnsi="Times New Roman"/>
      <w:sz w:val="24"/>
    </w:rPr>
  </w:style>
  <w:style w:type="paragraph" w:customStyle="1" w:styleId="Default">
    <w:name w:val="Default"/>
    <w:uiPriority w:val="99"/>
    <w:qFormat/>
    <w:rsid w:val="00CC3BF3"/>
    <w:pPr>
      <w:widowControl w:val="0"/>
      <w:autoSpaceDE w:val="0"/>
      <w:autoSpaceDN w:val="0"/>
      <w:adjustRightInd w:val="0"/>
    </w:pPr>
    <w:rPr>
      <w:rFonts w:ascii="仿宋" w:eastAsia="仿宋" w:hAnsi="Calibri" w:cs="仿宋"/>
      <w:color w:val="000000"/>
      <w:sz w:val="24"/>
      <w:szCs w:val="24"/>
    </w:rPr>
  </w:style>
  <w:style w:type="paragraph" w:styleId="ab">
    <w:name w:val="List Paragraph"/>
    <w:basedOn w:val="a"/>
    <w:uiPriority w:val="99"/>
    <w:qFormat/>
    <w:rsid w:val="00CC3BF3"/>
    <w:pPr>
      <w:ind w:firstLineChars="200" w:firstLine="420"/>
    </w:pPr>
  </w:style>
  <w:style w:type="paragraph" w:customStyle="1" w:styleId="TOC1">
    <w:name w:val="TOC 标题1"/>
    <w:basedOn w:val="1"/>
    <w:next w:val="a"/>
    <w:uiPriority w:val="99"/>
    <w:qFormat/>
    <w:rsid w:val="00CC3BF3"/>
    <w:pPr>
      <w:widowControl/>
      <w:spacing w:before="480" w:after="0" w:line="276" w:lineRule="auto"/>
      <w:jc w:val="left"/>
      <w:outlineLvl w:val="9"/>
    </w:pPr>
    <w:rPr>
      <w:rFonts w:ascii="Cambria" w:hAnsi="Cambria"/>
      <w:color w:val="365F91"/>
      <w:kern w:val="0"/>
      <w:sz w:val="28"/>
      <w:szCs w:val="28"/>
    </w:rPr>
  </w:style>
  <w:style w:type="character" w:customStyle="1" w:styleId="Char0">
    <w:name w:val="批注框文本 Char"/>
    <w:basedOn w:val="a0"/>
    <w:link w:val="a4"/>
    <w:uiPriority w:val="99"/>
    <w:semiHidden/>
    <w:qFormat/>
    <w:locked/>
    <w:rsid w:val="00CC3BF3"/>
    <w:rPr>
      <w:rFonts w:ascii="Times New Roman" w:hAnsi="Times New Roman" w:cs="Times New Roman"/>
      <w:kern w:val="2"/>
      <w:sz w:val="18"/>
      <w:szCs w:val="18"/>
    </w:rPr>
  </w:style>
  <w:style w:type="character" w:customStyle="1" w:styleId="font31">
    <w:name w:val="font31"/>
    <w:basedOn w:val="a0"/>
    <w:qFormat/>
    <w:rsid w:val="00CC3BF3"/>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1853</Words>
  <Characters>10564</Characters>
  <Application>Microsoft Office Word</Application>
  <DocSecurity>0</DocSecurity>
  <Lines>88</Lines>
  <Paragraphs>24</Paragraphs>
  <ScaleCrop>false</ScaleCrop>
  <Company>四川省财政厅</Company>
  <LinksUpToDate>false</LinksUpToDate>
  <CharactersWithSpaces>12393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张彬茜</dc:creator>
  <cp:lastModifiedBy>User</cp:lastModifiedBy>
  <cp:revision>4</cp:revision>
  <cp:lastPrinted>2020-10-31T02:06:00Z</cp:lastPrinted>
  <dcterms:created xsi:type="dcterms:W3CDTF">2019-09-01T06:25:00Z</dcterms:created>
  <dcterms:modified xsi:type="dcterms:W3CDTF">2025-01-14T02:14:00Z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2052-10.8.2.7061</vt:lpwstr>
  </property>
</Properties>
</file>