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96475"/>
      <w:bookmarkStart w:id="2" w:name="_Toc15377193"/>
      <w:bookmarkStart w:id="3" w:name="_Toc15396597"/>
      <w:bookmarkStart w:id="4" w:name="_Toc15378441"/>
      <w:bookmarkStart w:id="5" w:name="_Toc15377425"/>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96476"/>
      <w:bookmarkStart w:id="7" w:name="_Toc15377194"/>
      <w:bookmarkStart w:id="8" w:name="_Toc15396598"/>
      <w:bookmarkStart w:id="9" w:name="_Toc15377426"/>
      <w:bookmarkStart w:id="10" w:name="_Toc15378442"/>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rPr>
        <w:t>广汉市松林镇学校部门决算</w:t>
      </w:r>
      <w:bookmarkEnd w:id="6"/>
      <w:bookmarkEnd w:id="7"/>
      <w:bookmarkEnd w:id="8"/>
      <w:bookmarkEnd w:id="9"/>
      <w:bookmarkEnd w:id="10"/>
      <w:bookmarkEnd w:id="11"/>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numPr>
          <w:ilvl w:val="0"/>
          <w:numId w:val="1"/>
        </w:numPr>
        <w:adjustRightInd w:val="0"/>
        <w:snapToGrid w:val="0"/>
        <w:spacing w:line="440" w:lineRule="exact"/>
        <w:ind w:leftChars="0"/>
        <w:jc w:val="left"/>
        <w:rPr>
          <w:sz w:val="24"/>
        </w:rPr>
      </w:pPr>
      <w:r>
        <w:rPr>
          <w:rFonts w:hint="eastAsia"/>
          <w:sz w:val="24"/>
        </w:rPr>
        <w:t>基本职能及主要工作</w:t>
      </w:r>
    </w:p>
    <w:p>
      <w:pPr>
        <w:pStyle w:val="11"/>
        <w:numPr>
          <w:ilvl w:val="0"/>
          <w:numId w:val="1"/>
        </w:numPr>
        <w:adjustRightInd w:val="0"/>
        <w:snapToGrid w:val="0"/>
        <w:spacing w:line="440" w:lineRule="exact"/>
        <w:ind w:leftChars="0"/>
        <w:jc w:val="left"/>
        <w:rPr>
          <w:sz w:val="24"/>
        </w:rPr>
      </w:pPr>
      <w:r>
        <w:rPr>
          <w:rFonts w:hint="eastAsia"/>
          <w:sz w:val="24"/>
        </w:rPr>
        <w:t>机构设置</w:t>
      </w:r>
    </w:p>
    <w:p>
      <w:pPr>
        <w:pStyle w:val="10"/>
        <w:adjustRightInd w:val="0"/>
        <w:snapToGrid w:val="0"/>
        <w:spacing w:before="0" w:line="440" w:lineRule="exact"/>
        <w:jc w:val="left"/>
        <w:rPr>
          <w:sz w:val="24"/>
          <w:szCs w:val="24"/>
        </w:rPr>
      </w:pPr>
      <w:r>
        <w:rPr>
          <w:rFonts w:hint="eastAsia"/>
          <w:sz w:val="24"/>
        </w:rPr>
        <w:t>第二部分度部门决算情况说明</w:t>
      </w:r>
    </w:p>
    <w:p>
      <w:pPr>
        <w:pStyle w:val="11"/>
        <w:numPr>
          <w:ilvl w:val="0"/>
          <w:numId w:val="2"/>
        </w:numPr>
        <w:adjustRightInd w:val="0"/>
        <w:snapToGrid w:val="0"/>
        <w:spacing w:line="440" w:lineRule="exact"/>
        <w:ind w:leftChars="0"/>
        <w:jc w:val="left"/>
        <w:rPr>
          <w:sz w:val="24"/>
        </w:rPr>
      </w:pPr>
      <w:r>
        <w:rPr>
          <w:rFonts w:hint="eastAsia"/>
          <w:sz w:val="24"/>
        </w:rPr>
        <w:t>收入支出决算总体情况说明</w:t>
      </w:r>
    </w:p>
    <w:p>
      <w:pPr>
        <w:pStyle w:val="11"/>
        <w:numPr>
          <w:ilvl w:val="0"/>
          <w:numId w:val="1"/>
        </w:numPr>
        <w:adjustRightInd w:val="0"/>
        <w:snapToGrid w:val="0"/>
        <w:spacing w:line="440" w:lineRule="exact"/>
        <w:ind w:leftChars="0"/>
        <w:jc w:val="left"/>
        <w:rPr>
          <w:sz w:val="24"/>
        </w:rPr>
      </w:pPr>
      <w:r>
        <w:rPr>
          <w:rFonts w:hint="eastAsia"/>
          <w:sz w:val="24"/>
        </w:rPr>
        <w:t>收入决算情况说明</w:t>
      </w:r>
    </w:p>
    <w:p>
      <w:pPr>
        <w:pStyle w:val="11"/>
        <w:numPr>
          <w:ilvl w:val="0"/>
          <w:numId w:val="1"/>
        </w:numPr>
        <w:adjustRightInd w:val="0"/>
        <w:snapToGrid w:val="0"/>
        <w:spacing w:line="440" w:lineRule="exact"/>
        <w:ind w:leftChars="0"/>
        <w:jc w:val="left"/>
        <w:rPr>
          <w:sz w:val="24"/>
        </w:rPr>
      </w:pPr>
      <w:r>
        <w:rPr>
          <w:rFonts w:hint="eastAsia"/>
          <w:sz w:val="24"/>
        </w:rPr>
        <w:t>支出决算情况说明</w:t>
      </w:r>
    </w:p>
    <w:p>
      <w:pPr>
        <w:pStyle w:val="11"/>
        <w:numPr>
          <w:ilvl w:val="0"/>
          <w:numId w:val="1"/>
        </w:numPr>
        <w:adjustRightInd w:val="0"/>
        <w:snapToGrid w:val="0"/>
        <w:spacing w:line="440" w:lineRule="exact"/>
        <w:ind w:leftChars="0"/>
        <w:jc w:val="left"/>
        <w:rPr>
          <w:sz w:val="24"/>
        </w:rPr>
      </w:pPr>
      <w:r>
        <w:rPr>
          <w:rFonts w:hint="eastAsia"/>
          <w:sz w:val="24"/>
        </w:rPr>
        <w:t>财政拨款收入支出决算总体情况说明</w:t>
      </w:r>
    </w:p>
    <w:p>
      <w:pPr>
        <w:pStyle w:val="11"/>
        <w:numPr>
          <w:ilvl w:val="0"/>
          <w:numId w:val="1"/>
        </w:numPr>
        <w:adjustRightInd w:val="0"/>
        <w:snapToGrid w:val="0"/>
        <w:spacing w:line="440" w:lineRule="exact"/>
        <w:ind w:leftChars="0"/>
        <w:jc w:val="left"/>
        <w:rPr>
          <w:sz w:val="24"/>
        </w:rPr>
      </w:pPr>
      <w:r>
        <w:rPr>
          <w:rFonts w:hint="eastAsia"/>
          <w:sz w:val="24"/>
        </w:rPr>
        <w:t>一般公共预算财政拨款支出决算情况说明</w:t>
      </w:r>
    </w:p>
    <w:p>
      <w:pPr>
        <w:rPr>
          <w:sz w:val="24"/>
        </w:rPr>
      </w:pPr>
      <w:r>
        <w:rPr>
          <w:rFonts w:hint="eastAsia"/>
        </w:rPr>
        <w:t xml:space="preserve">    </w:t>
      </w:r>
      <w:r>
        <w:rPr>
          <w:rFonts w:hint="eastAsia"/>
          <w:sz w:val="24"/>
        </w:rPr>
        <w:t>七、</w:t>
      </w:r>
      <w:r>
        <w:rPr>
          <w:sz w:val="24"/>
        </w:rPr>
        <w:t>“</w:t>
      </w:r>
      <w:r>
        <w:rPr>
          <w:rFonts w:hint="eastAsia"/>
          <w:sz w:val="24"/>
        </w:rPr>
        <w:t xml:space="preserve">三公”经费财政拨款支出决算情况说明  </w:t>
      </w:r>
    </w:p>
    <w:p>
      <w:pPr>
        <w:pStyle w:val="11"/>
        <w:adjustRightInd w:val="0"/>
        <w:snapToGrid w:val="0"/>
        <w:spacing w:line="440" w:lineRule="exact"/>
        <w:jc w:val="left"/>
        <w:rPr>
          <w:sz w:val="24"/>
        </w:rPr>
      </w:pPr>
      <w:r>
        <w:rPr>
          <w:rFonts w:hint="eastAsia"/>
          <w:sz w:val="24"/>
        </w:rPr>
        <w:t>八、政府性基金预算支出决算情况说明</w:t>
      </w:r>
    </w:p>
    <w:p>
      <w:pPr>
        <w:pStyle w:val="11"/>
        <w:adjustRightInd w:val="0"/>
        <w:snapToGrid w:val="0"/>
        <w:spacing w:line="440" w:lineRule="exact"/>
        <w:ind w:leftChars="0"/>
        <w:jc w:val="left"/>
        <w:rPr>
          <w:rFonts w:ascii="仿宋" w:hAnsi="仿宋" w:eastAsia="仿宋"/>
          <w:sz w:val="24"/>
        </w:rPr>
      </w:pPr>
      <w:r>
        <w:rPr>
          <w:rFonts w:hint="eastAsia" w:ascii="仿宋" w:hAnsi="仿宋" w:eastAsia="仿宋"/>
          <w:sz w:val="24"/>
        </w:rPr>
        <w:t>九、</w:t>
      </w:r>
      <w:r>
        <w:rPr>
          <w:sz w:val="24"/>
        </w:rPr>
        <w:t xml:space="preserve"> 国</w:t>
      </w:r>
      <w:r>
        <w:rPr>
          <w:rFonts w:hint="eastAsia"/>
          <w:sz w:val="24"/>
        </w:rPr>
        <w:t xml:space="preserve">有资本经营预算支出决算情况说明 </w:t>
      </w:r>
    </w:p>
    <w:p>
      <w:pPr>
        <w:adjustRightInd w:val="0"/>
        <w:snapToGrid w:val="0"/>
        <w:spacing w:line="440" w:lineRule="exact"/>
        <w:ind w:firstLine="480" w:firstLineChars="200"/>
        <w:jc w:val="left"/>
        <w:rPr>
          <w:rFonts w:ascii="仿宋" w:hAnsi="仿宋" w:eastAsia="仿宋" w:cstheme="minorBidi"/>
          <w:sz w:val="24"/>
        </w:rPr>
      </w:pPr>
      <w:r>
        <w:rPr>
          <w:rStyle w:val="15"/>
          <w:rFonts w:hint="eastAsia" w:ascii="仿宋" w:hAnsi="仿宋" w:eastAsia="仿宋"/>
          <w:color w:val="000000" w:themeColor="text1"/>
          <w:sz w:val="24"/>
          <w:u w:val="none"/>
          <w14:textFill>
            <w14:solidFill>
              <w14:schemeClr w14:val="tx1"/>
            </w14:solidFill>
          </w14:textFill>
        </w:rPr>
        <w:t>十、</w:t>
      </w:r>
      <w:r>
        <w:rPr>
          <w:rFonts w:hint="eastAsia"/>
          <w:sz w:val="24"/>
        </w:rPr>
        <w:t>其他重要事项的情况说明</w:t>
      </w:r>
      <w:r>
        <w:rPr>
          <w:rFonts w:ascii="仿宋" w:hAnsi="仿宋" w:eastAsia="仿宋"/>
          <w:sz w:val="24"/>
        </w:rPr>
        <w:tab/>
      </w:r>
    </w:p>
    <w:p>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一、</w:t>
      </w:r>
      <w:r>
        <w:rPr>
          <w:rFonts w:hint="eastAsia"/>
          <w:sz w:val="24"/>
        </w:rPr>
        <w:t>收入支出决算总表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四、</w:t>
      </w:r>
      <w:r>
        <w:rPr>
          <w:rFonts w:hint="eastAsia"/>
          <w:sz w:val="24"/>
        </w:rPr>
        <w:t>财政拨款收入支出决算总表</w:t>
      </w:r>
    </w:p>
    <w:p>
      <w:pPr>
        <w:pStyle w:val="11"/>
        <w:adjustRightInd w:val="0"/>
        <w:snapToGrid w:val="0"/>
        <w:spacing w:line="440" w:lineRule="exact"/>
        <w:jc w:val="left"/>
        <w:rPr>
          <w:rFonts w:ascii="仿宋" w:hAnsi="仿宋" w:eastAsia="仿宋"/>
          <w:sz w:val="24"/>
        </w:rPr>
      </w:pPr>
      <w:r>
        <w:rPr>
          <w:rFonts w:hint="eastAsia" w:ascii="仿宋" w:hAnsi="仿宋" w:eastAsia="仿宋"/>
          <w:sz w:val="24"/>
        </w:rPr>
        <w:t>五、财政拨款支出决算明细表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六、</w:t>
      </w:r>
      <w:r>
        <w:rPr>
          <w:rFonts w:hint="eastAsia"/>
          <w:sz w:val="24"/>
        </w:rPr>
        <w:t>一般公共预算财政拨款支出决算表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七、</w:t>
      </w:r>
      <w:r>
        <w:rPr>
          <w:rFonts w:hint="eastAsia"/>
          <w:sz w:val="24"/>
        </w:rPr>
        <w:t>一般公共预算财政拨款支出决算明细表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八、</w:t>
      </w:r>
      <w:r>
        <w:rPr>
          <w:rFonts w:hint="eastAsia"/>
          <w:sz w:val="24"/>
        </w:rPr>
        <w:t>一般公共预算财政拨款基本支出决算表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九、</w:t>
      </w:r>
      <w:r>
        <w:rPr>
          <w:rFonts w:hint="eastAsia"/>
          <w:sz w:val="24"/>
        </w:rPr>
        <w:t>一般公共预算财政拨款项目支出决算表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w:t>
      </w:r>
      <w:r>
        <w:rPr>
          <w:rFonts w:hint="eastAsia"/>
          <w:sz w:val="24"/>
        </w:rPr>
        <w:t>一般公共预算财政拨款“三公”经费支出决算表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十一、</w:t>
      </w:r>
      <w:r>
        <w:rPr>
          <w:rFonts w:hint="eastAsia"/>
          <w:sz w:val="24"/>
        </w:rPr>
        <w:t>政府性基金预算财政拨款收入支出决算表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十二、</w:t>
      </w:r>
      <w:r>
        <w:rPr>
          <w:rFonts w:hint="eastAsia"/>
          <w:sz w:val="24"/>
        </w:rPr>
        <w:t>政府性基金预算财政拨款“三公”经费支出决算表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p>
    <w:p>
      <w:pPr>
        <w:pStyle w:val="2"/>
        <w:jc w:val="center"/>
        <w:rPr>
          <w:rStyle w:val="24"/>
          <w:rFonts w:ascii="黑体" w:hAnsi="黑体" w:eastAsia="黑体"/>
          <w:b/>
          <w:bCs w:val="0"/>
        </w:rPr>
      </w:pPr>
      <w:bookmarkStart w:id="12" w:name="_Toc15377196"/>
      <w:bookmarkStart w:id="13" w:name="_Toc15396599"/>
      <w:r>
        <w:rPr>
          <w:rFonts w:hint="eastAsia" w:ascii="黑体" w:hAnsi="黑体" w:eastAsia="黑体"/>
          <w:b w:val="0"/>
        </w:rPr>
        <w:t xml:space="preserve">第一部分 </w:t>
      </w:r>
      <w:r>
        <w:rPr>
          <w:rStyle w:val="24"/>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25"/>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5"/>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ascii="仿宋" w:hAnsi="仿宋" w:eastAsia="仿宋"/>
          <w:bCs/>
          <w:color w:val="000000"/>
          <w:sz w:val="32"/>
          <w:szCs w:val="32"/>
        </w:rPr>
      </w:pPr>
      <w:bookmarkStart w:id="16" w:name="_Toc15378445"/>
      <w:bookmarkStart w:id="17" w:name="_Toc15377198"/>
      <w:r>
        <w:rPr>
          <w:rFonts w:hint="eastAsia" w:ascii="仿宋" w:hAnsi="仿宋" w:eastAsia="仿宋"/>
          <w:bCs/>
          <w:color w:val="000000"/>
          <w:sz w:val="32"/>
          <w:szCs w:val="32"/>
        </w:rPr>
        <w:t>（一）主要职能。</w:t>
      </w:r>
      <w:bookmarkEnd w:id="16"/>
      <w:bookmarkEnd w:id="17"/>
      <w:bookmarkStart w:id="18" w:name="_Toc15377199"/>
      <w:bookmarkStart w:id="19" w:name="_Toc15378446"/>
    </w:p>
    <w:p>
      <w:pPr>
        <w:pStyle w:val="5"/>
        <w:adjustRightInd w:val="0"/>
        <w:snapToGrid w:val="0"/>
        <w:spacing w:before="93" w:line="600" w:lineRule="exact"/>
        <w:ind w:firstLine="630" w:firstLineChars="210"/>
        <w:outlineLvl w:val="2"/>
        <w:rPr>
          <w:rFonts w:ascii="仿宋" w:hAnsi="仿宋" w:eastAsia="仿宋"/>
          <w:bCs/>
          <w:color w:val="000000"/>
          <w:sz w:val="32"/>
          <w:szCs w:val="32"/>
        </w:rPr>
      </w:pPr>
      <w:r>
        <w:rPr>
          <w:rFonts w:hint="eastAsia" w:asciiTheme="minorEastAsia" w:hAnsiTheme="minorEastAsia" w:eastAsiaTheme="minorEastAsia"/>
        </w:rPr>
        <w:t>松林镇学校是一所九年一贯制义务教育学校，主要从事小学、初中的义务教育。</w:t>
      </w:r>
    </w:p>
    <w:p>
      <w:pPr>
        <w:pStyle w:val="30"/>
        <w:autoSpaceDN w:val="0"/>
        <w:spacing w:line="480" w:lineRule="atLeast"/>
        <w:ind w:firstLine="800" w:firstLineChars="250"/>
        <w:jc w:val="both"/>
        <w:rPr>
          <w:rFonts w:ascii="仿宋" w:hAnsi="仿宋" w:eastAsia="仿宋"/>
          <w:bCs/>
          <w:color w:val="000000"/>
          <w:sz w:val="32"/>
          <w:szCs w:val="32"/>
        </w:rPr>
      </w:pPr>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pStyle w:val="30"/>
        <w:autoSpaceDN w:val="0"/>
        <w:spacing w:line="480" w:lineRule="atLeast"/>
        <w:ind w:firstLine="750" w:firstLineChars="250"/>
        <w:jc w:val="both"/>
        <w:rPr>
          <w:rFonts w:asciiTheme="minorEastAsia" w:hAnsiTheme="minorEastAsia" w:eastAsiaTheme="minorEastAsia"/>
          <w:sz w:val="30"/>
          <w:szCs w:val="30"/>
        </w:rPr>
      </w:pPr>
      <w:r>
        <w:rPr>
          <w:rFonts w:hint="eastAsia" w:asciiTheme="minorEastAsia" w:hAnsiTheme="minorEastAsia" w:eastAsiaTheme="minorEastAsia"/>
          <w:sz w:val="30"/>
          <w:szCs w:val="30"/>
        </w:rPr>
        <w:t xml:space="preserve">本年，我校紧紧围绕上级要求，结合学校实际，一、发挥党支部的先锋示范作用，推动学校各项工作全面和谐铺开。  二、抓细节常规，促活动开展，认真落实德育为首的学校管理。  三、推进和谐教师队伍建设，内强素质有方法。四、教学管理重在落实，努力探索教师自觉工作的有效方式。  五、科研兴校，注重实效 六、重学校安全，突出针对性和实效性  七、后勤服务到位，理财有方。  八、工会坚持以教学为中心加强教师队伍建设，以维护职工合法权益为基本职责，以教代会为主要方式推进学校的民主管理，以文体为载体推进学校精神文明建设，以为教职工办实事为己任，努力为大家排忧解难。 九、外塑形象，和谐教育 </w:t>
      </w:r>
    </w:p>
    <w:p/>
    <w:p>
      <w:pPr>
        <w:pStyle w:val="3"/>
        <w:rPr>
          <w:rStyle w:val="25"/>
          <w:b w:val="0"/>
          <w:bCs w:val="0"/>
        </w:rPr>
      </w:pPr>
      <w:bookmarkStart w:id="20" w:name="_Toc15377200"/>
      <w:bookmarkStart w:id="21" w:name="_Toc15396601"/>
      <w:r>
        <w:rPr>
          <w:rFonts w:hint="eastAsia" w:ascii="黑体" w:eastAsia="黑体"/>
          <w:b w:val="0"/>
          <w:color w:val="000000"/>
        </w:rPr>
        <w:t>二、</w:t>
      </w:r>
      <w:r>
        <w:rPr>
          <w:rFonts w:hint="eastAsia" w:ascii="黑体" w:hAnsi="黑体" w:eastAsia="黑体"/>
          <w:b w:val="0"/>
          <w:color w:val="000000"/>
        </w:rPr>
        <w:t>机</w:t>
      </w:r>
      <w:r>
        <w:rPr>
          <w:rStyle w:val="25"/>
          <w:rFonts w:hint="eastAsia" w:ascii="黑体" w:hAnsi="黑体" w:eastAsia="黑体"/>
          <w:b w:val="0"/>
          <w:bCs w:val="0"/>
        </w:rPr>
        <w:t>构设置</w:t>
      </w:r>
      <w:bookmarkEnd w:id="20"/>
      <w:bookmarkEnd w:id="21"/>
    </w:p>
    <w:p>
      <w:pPr>
        <w:ind w:firstLine="567"/>
        <w:rPr>
          <w:rFonts w:asciiTheme="minorEastAsia" w:hAnsiTheme="minorEastAsia" w:eastAsiaTheme="minorEastAsia"/>
          <w:sz w:val="30"/>
          <w:szCs w:val="30"/>
        </w:rPr>
      </w:pPr>
      <w:r>
        <w:rPr>
          <w:rFonts w:hint="eastAsia" w:cs="仿宋" w:asciiTheme="minorEastAsia" w:hAnsiTheme="minorEastAsia" w:eastAsiaTheme="minorEastAsia"/>
          <w:bCs/>
          <w:color w:val="000000"/>
          <w:sz w:val="30"/>
          <w:szCs w:val="30"/>
        </w:rPr>
        <w:t>本单位为广汉市教育局所属二级</w:t>
      </w:r>
      <w:r>
        <w:rPr>
          <w:rFonts w:hint="eastAsia" w:cs="仿宋" w:asciiTheme="minorEastAsia" w:hAnsiTheme="minorEastAsia" w:eastAsiaTheme="minorEastAsia"/>
          <w:bCs/>
          <w:color w:val="000000"/>
          <w:spacing w:val="14"/>
          <w:sz w:val="30"/>
          <w:szCs w:val="30"/>
        </w:rPr>
        <w:t>预算单位，单位性质</w:t>
      </w:r>
      <w:r>
        <w:rPr>
          <w:rFonts w:hint="eastAsia" w:cs="仿宋" w:asciiTheme="minorEastAsia" w:hAnsiTheme="minorEastAsia" w:eastAsiaTheme="minorEastAsia"/>
          <w:bCs/>
          <w:color w:val="000000"/>
          <w:sz w:val="30"/>
          <w:szCs w:val="30"/>
        </w:rPr>
        <w:t>为财政补助事业单位，决算编报类型为单户表，按照事业单位会计制度填报决算数据。</w:t>
      </w:r>
      <w:r>
        <w:rPr>
          <w:rFonts w:hint="eastAsia" w:asciiTheme="minorEastAsia" w:hAnsiTheme="minorEastAsia" w:eastAsiaTheme="minorEastAsia"/>
          <w:sz w:val="30"/>
          <w:szCs w:val="30"/>
        </w:rPr>
        <w:t>年末独立编制机构数1，年末机构人员实有人数82人。</w:t>
      </w:r>
    </w:p>
    <w:p>
      <w:pPr>
        <w:widowControl/>
        <w:jc w:val="left"/>
        <w:rPr>
          <w:rFonts w:asciiTheme="minorEastAsia" w:hAnsiTheme="minorEastAsia" w:eastAsiaTheme="minorEastAsia"/>
          <w:color w:val="000000"/>
          <w:kern w:val="0"/>
          <w:sz w:val="30"/>
          <w:szCs w:val="30"/>
        </w:rPr>
      </w:pPr>
      <w:r>
        <w:rPr>
          <w:rFonts w:asciiTheme="minorEastAsia" w:hAnsiTheme="minorEastAsia" w:eastAsiaTheme="minorEastAsia"/>
          <w:color w:val="000000"/>
          <w:sz w:val="30"/>
          <w:szCs w:val="30"/>
        </w:rPr>
        <w:br w:type="page"/>
      </w:r>
    </w:p>
    <w:p>
      <w:pPr>
        <w:pStyle w:val="2"/>
        <w:ind w:right="440"/>
        <w:jc w:val="right"/>
        <w:rPr>
          <w:rStyle w:val="24"/>
          <w:rFonts w:ascii="黑体" w:hAnsi="黑体" w:eastAsia="黑体"/>
          <w:b w:val="0"/>
          <w:bCs w:val="0"/>
        </w:rPr>
      </w:pPr>
      <w:bookmarkStart w:id="22" w:name="_Toc15377204"/>
      <w:bookmarkStart w:id="23" w:name="_Toc15396602"/>
      <w:r>
        <w:rPr>
          <w:rFonts w:hint="eastAsia" w:ascii="黑体" w:hAnsi="黑体" w:eastAsia="黑体"/>
          <w:b w:val="0"/>
          <w:color w:val="000000"/>
        </w:rPr>
        <w:t>第二部分</w:t>
      </w:r>
      <w:r>
        <w:rPr>
          <w:rFonts w:hint="eastAsia" w:ascii="黑体" w:hAnsi="黑体" w:eastAsia="黑体"/>
          <w:color w:val="000000"/>
        </w:rPr>
        <w:t xml:space="preserve"> </w:t>
      </w:r>
      <w:r>
        <w:rPr>
          <w:rStyle w:val="24"/>
          <w:rFonts w:hint="eastAsia" w:ascii="黑体" w:hAnsi="黑体" w:eastAsia="黑体"/>
          <w:b w:val="0"/>
          <w:bCs w:val="0"/>
        </w:rPr>
        <w:t>2019年度部门决算情况说明</w:t>
      </w:r>
      <w:bookmarkEnd w:id="22"/>
      <w:bookmarkEnd w:id="23"/>
    </w:p>
    <w:p/>
    <w:p>
      <w:pPr>
        <w:pStyle w:val="23"/>
        <w:numPr>
          <w:ilvl w:val="0"/>
          <w:numId w:val="3"/>
        </w:numPr>
        <w:spacing w:line="600" w:lineRule="exact"/>
        <w:ind w:firstLineChars="0"/>
        <w:outlineLvl w:val="1"/>
        <w:rPr>
          <w:rStyle w:val="25"/>
          <w:rFonts w:ascii="黑体" w:hAnsi="黑体" w:eastAsia="黑体"/>
          <w:b w:val="0"/>
        </w:rPr>
      </w:pPr>
      <w:bookmarkStart w:id="24" w:name="_Toc15377205"/>
      <w:bookmarkStart w:id="25" w:name="_Toc15396603"/>
      <w:r>
        <w:rPr>
          <w:rFonts w:hint="eastAsia" w:ascii="黑体" w:hAnsi="黑体" w:eastAsia="黑体"/>
          <w:color w:val="000000"/>
          <w:sz w:val="32"/>
          <w:szCs w:val="32"/>
        </w:rPr>
        <w:t>收</w:t>
      </w:r>
      <w:r>
        <w:rPr>
          <w:rStyle w:val="25"/>
          <w:rFonts w:hint="eastAsia" w:ascii="黑体" w:hAnsi="黑体" w:eastAsia="黑体"/>
          <w:b w:val="0"/>
        </w:rPr>
        <w:t>入支出决算总体情况说明</w:t>
      </w:r>
      <w:bookmarkEnd w:id="24"/>
      <w:bookmarkEnd w:id="25"/>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2019年度收入1250万元、支出1232万元。与2018年相比，收入增加85万、增长9.83</w:t>
      </w:r>
      <w:r>
        <w:rPr>
          <w:rFonts w:ascii="仿宋" w:hAnsi="仿宋" w:eastAsia="仿宋"/>
          <w:color w:val="000000"/>
          <w:sz w:val="32"/>
          <w:szCs w:val="32"/>
        </w:rPr>
        <w:t>%</w:t>
      </w:r>
      <w:r>
        <w:rPr>
          <w:rFonts w:hint="eastAsia" w:ascii="仿宋" w:hAnsi="仿宋" w:eastAsia="仿宋"/>
          <w:color w:val="000000"/>
          <w:sz w:val="32"/>
          <w:szCs w:val="32"/>
        </w:rPr>
        <w:t>。支出增加117万元，支出增长10.5%，主要变动原因是教师工资及学校办公经费增加，学校的维修维护及设备更新。</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w:t>
      </w:r>
      <w:r>
        <w:rPr>
          <w:rFonts w:ascii="仿宋" w:hAnsi="仿宋" w:eastAsia="仿宋"/>
          <w:color w:val="000000" w:themeColor="text1"/>
          <w:sz w:val="32"/>
          <w:szCs w:val="32"/>
          <w14:textFill>
            <w14:solidFill>
              <w14:schemeClr w14:val="tx1"/>
            </w14:solidFill>
          </w14:textFill>
        </w:rPr>
        <w:t>1</w:t>
      </w:r>
      <w:r>
        <w:rPr>
          <w:rFonts w:hint="eastAsia" w:ascii="仿宋" w:hAnsi="仿宋" w:eastAsia="仿宋"/>
          <w:color w:val="000000" w:themeColor="text1"/>
          <w:sz w:val="32"/>
          <w:szCs w:val="32"/>
          <w14:textFill>
            <w14:solidFill>
              <w14:schemeClr w14:val="tx1"/>
            </w14:solidFill>
          </w14:textFill>
        </w:rPr>
        <w:t>：收、支决算总计变动情况图）（柱状图）</w:t>
      </w:r>
    </w:p>
    <w:tbl>
      <w:tblPr>
        <w:tblStyle w:val="12"/>
        <w:tblW w:w="21103" w:type="dxa"/>
        <w:tblInd w:w="93" w:type="dxa"/>
        <w:tblLayout w:type="autofit"/>
        <w:tblCellMar>
          <w:top w:w="0" w:type="dxa"/>
          <w:left w:w="108" w:type="dxa"/>
          <w:bottom w:w="0" w:type="dxa"/>
          <w:right w:w="108" w:type="dxa"/>
        </w:tblCellMar>
      </w:tblPr>
      <w:tblGrid>
        <w:gridCol w:w="1480"/>
        <w:gridCol w:w="840"/>
        <w:gridCol w:w="1480"/>
        <w:gridCol w:w="840"/>
        <w:gridCol w:w="1473"/>
        <w:gridCol w:w="7"/>
        <w:gridCol w:w="840"/>
        <w:gridCol w:w="29"/>
        <w:gridCol w:w="1451"/>
        <w:gridCol w:w="22"/>
        <w:gridCol w:w="818"/>
        <w:gridCol w:w="19"/>
        <w:gridCol w:w="1475"/>
        <w:gridCol w:w="837"/>
        <w:gridCol w:w="1475"/>
        <w:gridCol w:w="1096"/>
        <w:gridCol w:w="1474"/>
        <w:gridCol w:w="837"/>
        <w:gridCol w:w="1473"/>
        <w:gridCol w:w="837"/>
        <w:gridCol w:w="1473"/>
        <w:gridCol w:w="837"/>
      </w:tblGrid>
      <w:tr>
        <w:trPr>
          <w:gridAfter w:val="11"/>
          <w:wAfter w:w="11823" w:type="dxa"/>
          <w:trHeight w:val="308" w:hRule="atLeast"/>
        </w:trPr>
        <w:tc>
          <w:tcPr>
            <w:tcW w:w="9280" w:type="dxa"/>
            <w:gridSpan w:val="11"/>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收入</w:t>
            </w:r>
          </w:p>
        </w:tc>
      </w:tr>
      <w:tr>
        <w:trPr>
          <w:gridAfter w:val="11"/>
          <w:wAfter w:w="11823" w:type="dxa"/>
          <w:trHeight w:val="308" w:hRule="atLeast"/>
        </w:trPr>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收入总计</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6960" w:type="dxa"/>
            <w:gridSpan w:val="9"/>
            <w:tcBorders>
              <w:top w:val="nil"/>
              <w:left w:val="nil"/>
              <w:bottom w:val="single" w:color="000000" w:sz="4" w:space="0"/>
              <w:right w:val="single" w:color="000000" w:sz="4" w:space="0"/>
            </w:tcBorders>
            <w:shd w:val="clear" w:color="FFFFFF" w:fill="C0C0C0"/>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其中：本年收入</w:t>
            </w:r>
          </w:p>
        </w:tc>
      </w:tr>
      <w:tr>
        <w:trPr>
          <w:gridAfter w:val="11"/>
          <w:wAfter w:w="11823" w:type="dxa"/>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财政拨款收入</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事业收入</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c>
          <w:tcPr>
            <w:tcW w:w="84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r>
      <w:tr>
        <w:trPr>
          <w:gridAfter w:val="11"/>
          <w:wAfter w:w="11823" w:type="dxa"/>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gridAfter w:val="11"/>
          <w:wAfter w:w="11823" w:type="dxa"/>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gridAfter w:val="11"/>
          <w:wAfter w:w="11823" w:type="dxa"/>
          <w:trHeight w:val="308" w:hRule="atLeast"/>
        </w:trPr>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4</w:t>
            </w:r>
          </w:p>
        </w:tc>
        <w:tc>
          <w:tcPr>
            <w:tcW w:w="148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6</w:t>
            </w:r>
          </w:p>
        </w:tc>
        <w:tc>
          <w:tcPr>
            <w:tcW w:w="148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7</w:t>
            </w:r>
          </w:p>
        </w:tc>
        <w:tc>
          <w:tcPr>
            <w:tcW w:w="84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8</w:t>
            </w:r>
          </w:p>
        </w:tc>
      </w:tr>
      <w:tr>
        <w:trPr>
          <w:gridAfter w:val="11"/>
          <w:wAfter w:w="11823" w:type="dxa"/>
          <w:trHeight w:val="308" w:hRule="atLeast"/>
        </w:trPr>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1,250.65</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9.83</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1,152.56</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4.13</w:t>
            </w:r>
          </w:p>
        </w:tc>
        <w:tc>
          <w:tcPr>
            <w:tcW w:w="148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34.83</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30.40</w:t>
            </w:r>
          </w:p>
        </w:tc>
        <w:tc>
          <w:tcPr>
            <w:tcW w:w="148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36.02</w:t>
            </w:r>
          </w:p>
        </w:tc>
        <w:tc>
          <w:tcPr>
            <w:tcW w:w="840"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r>
      <w:tr>
        <w:trPr>
          <w:trHeight w:val="308" w:hRule="atLeast"/>
        </w:trPr>
        <w:tc>
          <w:tcPr>
            <w:tcW w:w="21103" w:type="dxa"/>
            <w:gridSpan w:val="22"/>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支出</w:t>
            </w:r>
          </w:p>
        </w:tc>
      </w:tr>
      <w:tr>
        <w:trPr>
          <w:trHeight w:val="308" w:hRule="atLeast"/>
        </w:trPr>
        <w:tc>
          <w:tcPr>
            <w:tcW w:w="1477"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本年支出</w:t>
            </w:r>
          </w:p>
        </w:tc>
        <w:tc>
          <w:tcPr>
            <w:tcW w:w="839"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8787" w:type="dxa"/>
            <w:gridSpan w:val="20"/>
            <w:tcBorders>
              <w:top w:val="nil"/>
              <w:left w:val="nil"/>
              <w:bottom w:val="single" w:color="000000" w:sz="4" w:space="0"/>
              <w:right w:val="single" w:color="000000" w:sz="4" w:space="0"/>
            </w:tcBorders>
            <w:shd w:val="clear" w:color="FFFFFF" w:fill="C0C0C0"/>
            <w:vAlign w:val="center"/>
          </w:tcPr>
          <w:p>
            <w:pPr>
              <w:widowControl/>
              <w:jc w:val="left"/>
              <w:rPr>
                <w:rFonts w:ascii="宋体" w:hAnsi="宋体" w:cs="Arial"/>
                <w:color w:val="000000"/>
                <w:kern w:val="0"/>
                <w:sz w:val="22"/>
                <w:szCs w:val="22"/>
              </w:rPr>
            </w:pPr>
            <w:r>
              <w:rPr>
                <w:rFonts w:hint="eastAsia" w:ascii="宋体" w:hAnsi="宋体" w:cs="Arial"/>
                <w:color w:val="000000"/>
                <w:kern w:val="0"/>
                <w:sz w:val="22"/>
                <w:szCs w:val="22"/>
              </w:rPr>
              <w:t>其中：</w:t>
            </w:r>
          </w:p>
        </w:tc>
      </w:tr>
      <w:tr>
        <w:trPr>
          <w:trHeight w:val="308" w:hRule="atLeast"/>
        </w:trPr>
        <w:tc>
          <w:tcPr>
            <w:tcW w:w="147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9"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6973" w:type="dxa"/>
            <w:gridSpan w:val="10"/>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按支出性质</w:t>
            </w:r>
          </w:p>
        </w:tc>
        <w:tc>
          <w:tcPr>
            <w:tcW w:w="11814" w:type="dxa"/>
            <w:gridSpan w:val="10"/>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按支出经济分类</w:t>
            </w:r>
          </w:p>
        </w:tc>
      </w:tr>
      <w:tr>
        <w:trPr>
          <w:trHeight w:val="312" w:hRule="atLeast"/>
        </w:trPr>
        <w:tc>
          <w:tcPr>
            <w:tcW w:w="147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9"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6"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基本支出</w:t>
            </w:r>
          </w:p>
        </w:tc>
        <w:tc>
          <w:tcPr>
            <w:tcW w:w="838"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项目支出</w:t>
            </w:r>
          </w:p>
        </w:tc>
        <w:tc>
          <w:tcPr>
            <w:tcW w:w="876" w:type="dxa"/>
            <w:gridSpan w:val="3"/>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3"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c>
          <w:tcPr>
            <w:tcW w:w="837"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5"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工资福利支出</w:t>
            </w:r>
          </w:p>
        </w:tc>
        <w:tc>
          <w:tcPr>
            <w:tcW w:w="837"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5"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商品和服务支出</w:t>
            </w:r>
          </w:p>
        </w:tc>
        <w:tc>
          <w:tcPr>
            <w:tcW w:w="1096"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4"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对个人和家庭的补助</w:t>
            </w:r>
          </w:p>
        </w:tc>
        <w:tc>
          <w:tcPr>
            <w:tcW w:w="837"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资本性支出</w:t>
            </w:r>
          </w:p>
        </w:tc>
        <w:tc>
          <w:tcPr>
            <w:tcW w:w="837"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7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c>
          <w:tcPr>
            <w:tcW w:w="837"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r>
      <w:tr>
        <w:trPr>
          <w:trHeight w:val="312" w:hRule="atLeast"/>
        </w:trPr>
        <w:tc>
          <w:tcPr>
            <w:tcW w:w="147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9"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6"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8"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3"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76"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3"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5"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5"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096"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4"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3"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73"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37"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77"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9</w:t>
            </w:r>
          </w:p>
        </w:tc>
        <w:tc>
          <w:tcPr>
            <w:tcW w:w="839"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10</w:t>
            </w:r>
          </w:p>
        </w:tc>
        <w:tc>
          <w:tcPr>
            <w:tcW w:w="1476"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11</w:t>
            </w:r>
          </w:p>
        </w:tc>
        <w:tc>
          <w:tcPr>
            <w:tcW w:w="838"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12</w:t>
            </w:r>
          </w:p>
        </w:tc>
        <w:tc>
          <w:tcPr>
            <w:tcW w:w="14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13</w:t>
            </w:r>
          </w:p>
        </w:tc>
        <w:tc>
          <w:tcPr>
            <w:tcW w:w="876" w:type="dxa"/>
            <w:gridSpan w:val="3"/>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14</w:t>
            </w:r>
          </w:p>
        </w:tc>
        <w:tc>
          <w:tcPr>
            <w:tcW w:w="1473"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15</w:t>
            </w:r>
          </w:p>
        </w:tc>
        <w:tc>
          <w:tcPr>
            <w:tcW w:w="837"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16</w:t>
            </w:r>
          </w:p>
        </w:tc>
        <w:tc>
          <w:tcPr>
            <w:tcW w:w="1475"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17</w:t>
            </w:r>
          </w:p>
        </w:tc>
        <w:tc>
          <w:tcPr>
            <w:tcW w:w="837"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18</w:t>
            </w:r>
          </w:p>
        </w:tc>
        <w:tc>
          <w:tcPr>
            <w:tcW w:w="1475"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19</w:t>
            </w:r>
          </w:p>
        </w:tc>
        <w:tc>
          <w:tcPr>
            <w:tcW w:w="1096"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20</w:t>
            </w:r>
          </w:p>
        </w:tc>
        <w:tc>
          <w:tcPr>
            <w:tcW w:w="1474"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21</w:t>
            </w:r>
          </w:p>
        </w:tc>
        <w:tc>
          <w:tcPr>
            <w:tcW w:w="837"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22</w:t>
            </w:r>
          </w:p>
        </w:tc>
        <w:tc>
          <w:tcPr>
            <w:tcW w:w="14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23</w:t>
            </w:r>
          </w:p>
        </w:tc>
        <w:tc>
          <w:tcPr>
            <w:tcW w:w="837"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24</w:t>
            </w:r>
          </w:p>
        </w:tc>
        <w:tc>
          <w:tcPr>
            <w:tcW w:w="14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25</w:t>
            </w:r>
          </w:p>
        </w:tc>
        <w:tc>
          <w:tcPr>
            <w:tcW w:w="837"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26</w:t>
            </w:r>
          </w:p>
        </w:tc>
      </w:tr>
      <w:tr>
        <w:trPr>
          <w:trHeight w:val="308" w:hRule="atLeast"/>
        </w:trPr>
        <w:tc>
          <w:tcPr>
            <w:tcW w:w="147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1,232.97</w:t>
            </w:r>
          </w:p>
        </w:tc>
        <w:tc>
          <w:tcPr>
            <w:tcW w:w="839"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10.50</w:t>
            </w:r>
          </w:p>
        </w:tc>
        <w:tc>
          <w:tcPr>
            <w:tcW w:w="147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1,227.97</w:t>
            </w:r>
          </w:p>
        </w:tc>
        <w:tc>
          <w:tcPr>
            <w:tcW w:w="83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11.47</w:t>
            </w:r>
          </w:p>
        </w:tc>
        <w:tc>
          <w:tcPr>
            <w:tcW w:w="14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76"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-64.81</w:t>
            </w:r>
          </w:p>
        </w:tc>
        <w:tc>
          <w:tcPr>
            <w:tcW w:w="1473"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3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995.37</w:t>
            </w:r>
          </w:p>
        </w:tc>
        <w:tc>
          <w:tcPr>
            <w:tcW w:w="83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8.02</w:t>
            </w:r>
          </w:p>
        </w:tc>
        <w:tc>
          <w:tcPr>
            <w:tcW w:w="147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173.04</w:t>
            </w:r>
          </w:p>
        </w:tc>
        <w:tc>
          <w:tcPr>
            <w:tcW w:w="109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2,552.59</w:t>
            </w:r>
          </w:p>
        </w:tc>
        <w:tc>
          <w:tcPr>
            <w:tcW w:w="147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64.56</w:t>
            </w:r>
          </w:p>
        </w:tc>
        <w:tc>
          <w:tcPr>
            <w:tcW w:w="83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3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37"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r>
    </w:tbl>
    <w:p>
      <w:pPr>
        <w:spacing w:line="600" w:lineRule="exact"/>
        <w:ind w:firstLine="640" w:firstLineChars="200"/>
        <w:jc w:val="left"/>
        <w:rPr>
          <w:rFonts w:ascii="仿宋_GB2312" w:eastAsia="仿宋_GB2312"/>
          <w:color w:val="000000"/>
          <w:sz w:val="32"/>
          <w:szCs w:val="32"/>
        </w:rPr>
      </w:pPr>
    </w:p>
    <w:p>
      <w:pPr>
        <w:pStyle w:val="23"/>
        <w:numPr>
          <w:ilvl w:val="0"/>
          <w:numId w:val="3"/>
        </w:numPr>
        <w:spacing w:line="600" w:lineRule="exact"/>
        <w:ind w:firstLineChars="0"/>
        <w:outlineLvl w:val="1"/>
        <w:rPr>
          <w:rStyle w:val="25"/>
          <w:rFonts w:ascii="黑体" w:hAnsi="黑体" w:eastAsia="黑体"/>
          <w:b w:val="0"/>
        </w:rPr>
      </w:pPr>
      <w:bookmarkStart w:id="26" w:name="_Toc15396604"/>
      <w:bookmarkStart w:id="27" w:name="_Toc15377206"/>
      <w:r>
        <w:rPr>
          <w:rFonts w:hint="eastAsia" w:ascii="黑体" w:hAnsi="黑体" w:eastAsia="黑体"/>
          <w:color w:val="000000"/>
          <w:sz w:val="32"/>
          <w:szCs w:val="32"/>
        </w:rPr>
        <w:t>收</w:t>
      </w:r>
      <w:r>
        <w:rPr>
          <w:rStyle w:val="25"/>
          <w:rFonts w:hint="eastAsia" w:ascii="黑体" w:hAnsi="黑体" w:eastAsia="黑体"/>
          <w:b w:val="0"/>
        </w:rPr>
        <w:t>入决算情况说明</w:t>
      </w:r>
      <w:bookmarkEnd w:id="26"/>
      <w:bookmarkEnd w:id="27"/>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9年本年收入合计1223万元，其中：一般公共预算财政拨款收入1152万元，占94</w:t>
      </w:r>
      <w:r>
        <w:rPr>
          <w:rFonts w:ascii="仿宋" w:hAnsi="仿宋" w:eastAsia="仿宋"/>
          <w:color w:val="000000"/>
          <w:sz w:val="32"/>
          <w:szCs w:val="32"/>
        </w:rPr>
        <w:t>%</w:t>
      </w:r>
      <w:r>
        <w:rPr>
          <w:rFonts w:hint="eastAsia" w:ascii="仿宋" w:hAnsi="仿宋" w:eastAsia="仿宋"/>
          <w:color w:val="000000"/>
          <w:sz w:val="32"/>
          <w:szCs w:val="32"/>
        </w:rPr>
        <w:t>；政府性基金预算财政拨款收入5万元，占0.4</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14:textFill>
            <w14:solidFill>
              <w14:schemeClr w14:val="tx1"/>
            </w14:solidFill>
          </w14:textFill>
        </w:rPr>
        <w:t>上级补助收入0</w:t>
      </w:r>
      <w:r>
        <w:rPr>
          <w:rFonts w:hint="eastAsia" w:ascii="仿宋" w:hAnsi="仿宋" w:eastAsia="仿宋"/>
          <w:color w:val="000000"/>
          <w:sz w:val="32"/>
          <w:szCs w:val="32"/>
        </w:rPr>
        <w:t>万元，占0</w:t>
      </w:r>
      <w:r>
        <w:rPr>
          <w:rFonts w:ascii="仿宋" w:hAnsi="仿宋" w:eastAsia="仿宋"/>
          <w:color w:val="000000"/>
          <w:sz w:val="32"/>
          <w:szCs w:val="32"/>
        </w:rPr>
        <w:t>%</w:t>
      </w:r>
      <w:r>
        <w:rPr>
          <w:rFonts w:hint="eastAsia" w:ascii="仿宋" w:hAnsi="仿宋" w:eastAsia="仿宋"/>
          <w:color w:val="000000"/>
          <w:sz w:val="32"/>
          <w:szCs w:val="32"/>
        </w:rPr>
        <w:t>；事业收入34.8万元，占2.8</w:t>
      </w:r>
      <w:r>
        <w:rPr>
          <w:rFonts w:ascii="仿宋" w:hAnsi="仿宋" w:eastAsia="仿宋"/>
          <w:color w:val="000000"/>
          <w:sz w:val="32"/>
          <w:szCs w:val="32"/>
        </w:rPr>
        <w:t>%</w:t>
      </w:r>
      <w:r>
        <w:rPr>
          <w:rFonts w:hint="eastAsia" w:ascii="仿宋" w:hAnsi="仿宋" w:eastAsia="仿宋"/>
          <w:color w:val="000000"/>
          <w:sz w:val="32"/>
          <w:szCs w:val="32"/>
        </w:rPr>
        <w:t>；经营收入0万元，占0</w:t>
      </w:r>
      <w:r>
        <w:rPr>
          <w:rFonts w:ascii="仿宋" w:hAnsi="仿宋" w:eastAsia="仿宋"/>
          <w:color w:val="000000"/>
          <w:sz w:val="32"/>
          <w:szCs w:val="32"/>
        </w:rPr>
        <w:t>%</w:t>
      </w:r>
      <w:r>
        <w:rPr>
          <w:rFonts w:hint="eastAsia" w:ascii="仿宋" w:hAnsi="仿宋" w:eastAsia="仿宋"/>
          <w:color w:val="000000"/>
          <w:sz w:val="32"/>
          <w:szCs w:val="32"/>
        </w:rPr>
        <w:t>；附属单位上缴收入0万元，占0</w:t>
      </w:r>
      <w:r>
        <w:rPr>
          <w:rFonts w:ascii="仿宋" w:hAnsi="仿宋" w:eastAsia="仿宋"/>
          <w:color w:val="000000"/>
          <w:sz w:val="32"/>
          <w:szCs w:val="32"/>
        </w:rPr>
        <w:t>%</w:t>
      </w:r>
      <w:r>
        <w:rPr>
          <w:rFonts w:hint="eastAsia" w:ascii="仿宋" w:hAnsi="仿宋" w:eastAsia="仿宋"/>
          <w:color w:val="000000"/>
          <w:sz w:val="32"/>
          <w:szCs w:val="32"/>
        </w:rPr>
        <w:t>；其他收入36万元，占2.9</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outlineLvl w:val="1"/>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（图2：收入决算结构图）（饼状图）</w:t>
      </w:r>
    </w:p>
    <w:tbl>
      <w:tblPr>
        <w:tblStyle w:val="12"/>
        <w:tblW w:w="12880" w:type="dxa"/>
        <w:tblInd w:w="93" w:type="dxa"/>
        <w:tblLayout w:type="autofit"/>
        <w:tblCellMar>
          <w:top w:w="0" w:type="dxa"/>
          <w:left w:w="108" w:type="dxa"/>
          <w:bottom w:w="0" w:type="dxa"/>
          <w:right w:w="108" w:type="dxa"/>
        </w:tblCellMar>
      </w:tblPr>
      <w:tblGrid>
        <w:gridCol w:w="1840"/>
        <w:gridCol w:w="1840"/>
        <w:gridCol w:w="1840"/>
        <w:gridCol w:w="1840"/>
        <w:gridCol w:w="1840"/>
        <w:gridCol w:w="1840"/>
        <w:gridCol w:w="1840"/>
      </w:tblGrid>
      <w:tr>
        <w:trPr>
          <w:trHeight w:val="312" w:hRule="atLeast"/>
        </w:trPr>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本年收入合计</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财政拨款收入</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上级补助收入</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事业收入</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经营收入</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附属单位上缴收入</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其他收入</w:t>
            </w: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9" w:hRule="atLeast"/>
        </w:trPr>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3</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4</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5</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6</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7</w:t>
            </w:r>
          </w:p>
        </w:tc>
      </w:tr>
      <w:tr>
        <w:trPr>
          <w:trHeight w:val="309" w:hRule="atLeast"/>
        </w:trPr>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12,234,110.29</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11,525,630.29</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348,300.00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360,180.00</w:t>
            </w:r>
          </w:p>
        </w:tc>
      </w:tr>
    </w:tbl>
    <w:p>
      <w:pPr>
        <w:spacing w:line="600" w:lineRule="exact"/>
        <w:ind w:firstLine="640" w:firstLineChars="200"/>
        <w:rPr>
          <w:rFonts w:ascii="仿宋_GB2312" w:eastAsia="仿宋_GB2312"/>
          <w:color w:val="FF0000"/>
          <w:sz w:val="32"/>
          <w:szCs w:val="32"/>
        </w:rPr>
      </w:pPr>
    </w:p>
    <w:p>
      <w:pPr>
        <w:pStyle w:val="23"/>
        <w:numPr>
          <w:ilvl w:val="0"/>
          <w:numId w:val="3"/>
        </w:numPr>
        <w:spacing w:line="600" w:lineRule="exact"/>
        <w:ind w:firstLineChars="0"/>
        <w:outlineLvl w:val="1"/>
        <w:rPr>
          <w:rStyle w:val="25"/>
          <w:rFonts w:ascii="黑体" w:hAnsi="黑体" w:eastAsia="黑体"/>
          <w:b w:val="0"/>
        </w:rPr>
      </w:pPr>
      <w:bookmarkStart w:id="28" w:name="_Toc15377207"/>
      <w:bookmarkStart w:id="29" w:name="_Toc15396605"/>
      <w:r>
        <w:rPr>
          <w:rFonts w:hint="eastAsia" w:ascii="黑体" w:hAnsi="黑体" w:eastAsia="黑体"/>
          <w:color w:val="000000"/>
          <w:sz w:val="32"/>
          <w:szCs w:val="32"/>
        </w:rPr>
        <w:t>支</w:t>
      </w:r>
      <w:r>
        <w:rPr>
          <w:rStyle w:val="25"/>
          <w:rFonts w:hint="eastAsia" w:ascii="黑体" w:hAnsi="黑体" w:eastAsia="黑体"/>
          <w:b w:val="0"/>
        </w:rPr>
        <w:t>出决算情况说明</w:t>
      </w:r>
      <w:bookmarkEnd w:id="28"/>
      <w:bookmarkEnd w:id="29"/>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9年本年支出合计1232万元，其中：基本支出1227万元，占99</w:t>
      </w:r>
      <w:r>
        <w:rPr>
          <w:rFonts w:ascii="仿宋" w:hAnsi="仿宋" w:eastAsia="仿宋"/>
          <w:color w:val="000000"/>
          <w:sz w:val="32"/>
          <w:szCs w:val="32"/>
        </w:rPr>
        <w:t>%</w:t>
      </w:r>
      <w:r>
        <w:rPr>
          <w:rFonts w:hint="eastAsia" w:ascii="仿宋" w:hAnsi="仿宋" w:eastAsia="仿宋"/>
          <w:color w:val="000000"/>
          <w:sz w:val="32"/>
          <w:szCs w:val="32"/>
        </w:rPr>
        <w:t>；项目支出5万元，占0.4</w:t>
      </w:r>
      <w:r>
        <w:rPr>
          <w:rFonts w:ascii="仿宋" w:hAnsi="仿宋" w:eastAsia="仿宋"/>
          <w:color w:val="000000"/>
          <w:sz w:val="32"/>
          <w:szCs w:val="32"/>
        </w:rPr>
        <w:t>%</w:t>
      </w:r>
      <w:r>
        <w:rPr>
          <w:rFonts w:hint="eastAsia" w:ascii="仿宋" w:hAnsi="仿宋" w:eastAsia="仿宋"/>
          <w:color w:val="000000"/>
          <w:sz w:val="32"/>
          <w:szCs w:val="32"/>
        </w:rPr>
        <w:t>；上缴上级支出0万元，占0</w:t>
      </w:r>
      <w:r>
        <w:rPr>
          <w:rFonts w:ascii="仿宋" w:hAnsi="仿宋" w:eastAsia="仿宋"/>
          <w:color w:val="000000"/>
          <w:sz w:val="32"/>
          <w:szCs w:val="32"/>
        </w:rPr>
        <w:t>%</w:t>
      </w:r>
      <w:r>
        <w:rPr>
          <w:rFonts w:hint="eastAsia" w:ascii="仿宋" w:hAnsi="仿宋" w:eastAsia="仿宋"/>
          <w:color w:val="000000"/>
          <w:sz w:val="32"/>
          <w:szCs w:val="32"/>
        </w:rPr>
        <w:t>；经营支出0万元，占0</w:t>
      </w:r>
      <w:r>
        <w:rPr>
          <w:rFonts w:ascii="仿宋" w:hAnsi="仿宋" w:eastAsia="仿宋"/>
          <w:color w:val="000000"/>
          <w:sz w:val="32"/>
          <w:szCs w:val="32"/>
        </w:rPr>
        <w:t>%</w:t>
      </w:r>
      <w:r>
        <w:rPr>
          <w:rFonts w:hint="eastAsia" w:ascii="仿宋" w:hAnsi="仿宋" w:eastAsia="仿宋"/>
          <w:color w:val="000000"/>
          <w:sz w:val="32"/>
          <w:szCs w:val="32"/>
        </w:rPr>
        <w:t>；对附属单位补助支出0万元，占0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（图3：支出决算结构图）（饼状图）</w:t>
      </w:r>
    </w:p>
    <w:tbl>
      <w:tblPr>
        <w:tblStyle w:val="12"/>
        <w:tblW w:w="11040" w:type="dxa"/>
        <w:tblInd w:w="93" w:type="dxa"/>
        <w:tblLayout w:type="autofit"/>
        <w:tblCellMar>
          <w:top w:w="0" w:type="dxa"/>
          <w:left w:w="108" w:type="dxa"/>
          <w:bottom w:w="0" w:type="dxa"/>
          <w:right w:w="108" w:type="dxa"/>
        </w:tblCellMar>
      </w:tblPr>
      <w:tblGrid>
        <w:gridCol w:w="1840"/>
        <w:gridCol w:w="1840"/>
        <w:gridCol w:w="1840"/>
        <w:gridCol w:w="1840"/>
        <w:gridCol w:w="1840"/>
        <w:gridCol w:w="1840"/>
      </w:tblGrid>
      <w:tr>
        <w:trPr>
          <w:trHeight w:val="312" w:hRule="atLeast"/>
        </w:trPr>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本年支出合计</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基本支出</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项目支出</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上缴上级支出</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经营支出</w:t>
            </w:r>
          </w:p>
        </w:tc>
        <w:tc>
          <w:tcPr>
            <w:tcW w:w="1840"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对附属单位补助支出</w:t>
            </w: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12" w:hRule="atLeast"/>
        </w:trPr>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84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9" w:hRule="atLeast"/>
        </w:trPr>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3</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4</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5</w:t>
            </w:r>
          </w:p>
        </w:tc>
        <w:tc>
          <w:tcPr>
            <w:tcW w:w="1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6</w:t>
            </w:r>
          </w:p>
        </w:tc>
      </w:tr>
      <w:tr>
        <w:trPr>
          <w:trHeight w:val="309" w:hRule="atLeast"/>
        </w:trPr>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12,329,692.66</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12,279,692.66</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50,000.00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c>
          <w:tcPr>
            <w:tcW w:w="1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color w:val="000000"/>
                <w:kern w:val="0"/>
                <w:sz w:val="22"/>
                <w:szCs w:val="22"/>
              </w:rPr>
            </w:pPr>
            <w:r>
              <w:rPr>
                <w:rFonts w:hint="eastAsia" w:ascii="宋体" w:hAnsi="宋体" w:cs="Arial"/>
                <w:b/>
                <w:bCs/>
                <w:color w:val="000000"/>
                <w:kern w:val="0"/>
                <w:sz w:val="22"/>
                <w:szCs w:val="22"/>
              </w:rPr>
              <w:t>0.00</w:t>
            </w:r>
          </w:p>
        </w:tc>
      </w:tr>
    </w:tbl>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25"/>
          <w:rFonts w:ascii="黑体" w:hAnsi="黑体" w:eastAsia="黑体"/>
          <w:b w:val="0"/>
        </w:rPr>
      </w:pPr>
      <w:bookmarkStart w:id="30" w:name="_Toc15377208"/>
      <w:bookmarkStart w:id="31" w:name="_Toc15396606"/>
      <w:r>
        <w:rPr>
          <w:rFonts w:hint="eastAsia" w:ascii="黑体" w:hAnsi="黑体" w:eastAsia="黑体"/>
          <w:color w:val="000000"/>
          <w:sz w:val="32"/>
          <w:szCs w:val="32"/>
        </w:rPr>
        <w:t>四、财</w:t>
      </w:r>
      <w:r>
        <w:rPr>
          <w:rStyle w:val="25"/>
          <w:rFonts w:hint="eastAsia" w:ascii="黑体" w:hAnsi="黑体" w:eastAsia="黑体"/>
          <w:b w:val="0"/>
        </w:rPr>
        <w:t>政拨款收入支出决算总体情况说明</w:t>
      </w:r>
      <w:bookmarkEnd w:id="30"/>
      <w:bookmarkEnd w:id="31"/>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9年财政拨款收、支总计1175万元。与</w:t>
      </w:r>
      <w:r>
        <w:rPr>
          <w:rFonts w:ascii="仿宋" w:hAnsi="仿宋" w:eastAsia="仿宋"/>
          <w:color w:val="000000"/>
          <w:sz w:val="32"/>
          <w:szCs w:val="32"/>
        </w:rPr>
        <w:t>201</w:t>
      </w:r>
      <w:r>
        <w:rPr>
          <w:rFonts w:hint="eastAsia" w:ascii="仿宋" w:hAnsi="仿宋" w:eastAsia="仿宋"/>
          <w:color w:val="000000"/>
          <w:sz w:val="32"/>
          <w:szCs w:val="32"/>
        </w:rPr>
        <w:t>8年相比，财政拨款收、支总计各增加64万元，增长7.92</w:t>
      </w:r>
      <w:r>
        <w:rPr>
          <w:rFonts w:ascii="仿宋" w:hAnsi="仿宋" w:eastAsia="仿宋"/>
          <w:color w:val="000000"/>
          <w:sz w:val="32"/>
          <w:szCs w:val="32"/>
        </w:rPr>
        <w:t>%</w:t>
      </w:r>
      <w:r>
        <w:rPr>
          <w:rFonts w:hint="eastAsia" w:ascii="仿宋" w:hAnsi="仿宋" w:eastAsia="仿宋"/>
          <w:color w:val="000000"/>
          <w:sz w:val="32"/>
          <w:szCs w:val="32"/>
        </w:rPr>
        <w:t>。主要变动原因是教师工资及学校办公经费增加，政府加大了对学校的投入，学校的维修维护及设备更新。</w:t>
      </w:r>
    </w:p>
    <w:p>
      <w:pPr>
        <w:spacing w:line="600" w:lineRule="exact"/>
        <w:ind w:firstLine="640"/>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（图4：财政拨款收、支决算总计变动情况）（柱状图）</w:t>
      </w:r>
    </w:p>
    <w:tbl>
      <w:tblPr>
        <w:tblStyle w:val="12"/>
        <w:tblW w:w="25520" w:type="dxa"/>
        <w:tblInd w:w="93" w:type="dxa"/>
        <w:tblLayout w:type="autofit"/>
        <w:tblCellMar>
          <w:top w:w="0" w:type="dxa"/>
          <w:left w:w="108" w:type="dxa"/>
          <w:bottom w:w="0" w:type="dxa"/>
          <w:right w:w="108" w:type="dxa"/>
        </w:tblCellMar>
      </w:tblPr>
      <w:tblGrid>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tblGrid>
      <w:tr>
        <w:trPr>
          <w:trHeight w:val="308" w:hRule="atLeast"/>
        </w:trPr>
        <w:tc>
          <w:tcPr>
            <w:tcW w:w="25520" w:type="dxa"/>
            <w:gridSpan w:val="22"/>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本年支出</w:t>
            </w:r>
          </w:p>
        </w:tc>
      </w:tr>
      <w:tr>
        <w:trPr>
          <w:trHeight w:val="308" w:hRule="atLeast"/>
        </w:trPr>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合计</w:t>
            </w:r>
          </w:p>
        </w:tc>
        <w:tc>
          <w:tcPr>
            <w:tcW w:w="6960" w:type="dxa"/>
            <w:gridSpan w:val="6"/>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按预算分类</w:t>
            </w:r>
          </w:p>
        </w:tc>
        <w:tc>
          <w:tcPr>
            <w:tcW w:w="4640" w:type="dxa"/>
            <w:gridSpan w:val="4"/>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按支出性质</w:t>
            </w:r>
          </w:p>
        </w:tc>
        <w:tc>
          <w:tcPr>
            <w:tcW w:w="11600" w:type="dxa"/>
            <w:gridSpan w:val="10"/>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按支出经济分类</w:t>
            </w:r>
          </w:p>
        </w:tc>
      </w:tr>
      <w:tr>
        <w:trPr>
          <w:trHeight w:val="312" w:hRule="atLeast"/>
        </w:trPr>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4640" w:type="dxa"/>
            <w:gridSpan w:val="4"/>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一般公共预算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政府性基金预算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基本支出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项目支出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工资福利支出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商品和服务支出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对个人和家庭的补助</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资本性支出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r>
      <w:tr>
        <w:trPr>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4640" w:type="dxa"/>
            <w:gridSpan w:val="4"/>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其中：机关运行经费</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r>
      <w:tr>
        <w:trPr>
          <w:trHeight w:val="600"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28</w:t>
            </w:r>
          </w:p>
        </w:tc>
      </w:tr>
      <w:tr>
        <w:trPr>
          <w:trHeight w:val="308" w:hRule="atLeast"/>
        </w:trPr>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1,175.42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110.49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26.36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8.89</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-64.81</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995.37</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8.02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115.49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20.75</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64.56</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-10.38</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r>
    </w:tbl>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25"/>
          <w:rFonts w:ascii="黑体" w:hAnsi="黑体" w:eastAsia="黑体"/>
          <w:b w:val="0"/>
        </w:rPr>
      </w:pPr>
      <w:bookmarkStart w:id="32" w:name="_Toc15377209"/>
      <w:bookmarkStart w:id="33"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5"/>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9年一般公共预算财政拨款支出1170万元，占本年支出合计的86</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8年相比，一般公共预算财政拨款增加69万元，增长7.96</w:t>
      </w:r>
      <w:r>
        <w:rPr>
          <w:rFonts w:ascii="仿宋" w:hAnsi="仿宋" w:eastAsia="仿宋"/>
          <w:color w:val="000000"/>
          <w:sz w:val="32"/>
          <w:szCs w:val="32"/>
        </w:rPr>
        <w:t>%</w:t>
      </w:r>
      <w:r>
        <w:rPr>
          <w:rFonts w:hint="eastAsia" w:ascii="仿宋" w:hAnsi="仿宋" w:eastAsia="仿宋"/>
          <w:color w:val="000000"/>
          <w:sz w:val="32"/>
          <w:szCs w:val="32"/>
        </w:rPr>
        <w:t>。主要变动原因是教师工资及学校办公经费增加。</w:t>
      </w:r>
    </w:p>
    <w:p>
      <w:pPr>
        <w:spacing w:line="60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（图5：一般公共预算财政拨款支出决算变动情况）（柱状图）</w:t>
      </w:r>
    </w:p>
    <w:tbl>
      <w:tblPr>
        <w:tblStyle w:val="12"/>
        <w:tblW w:w="25520" w:type="dxa"/>
        <w:tblInd w:w="93" w:type="dxa"/>
        <w:tblLayout w:type="autofit"/>
        <w:tblCellMar>
          <w:top w:w="0" w:type="dxa"/>
          <w:left w:w="108" w:type="dxa"/>
          <w:bottom w:w="0" w:type="dxa"/>
          <w:right w:w="108" w:type="dxa"/>
        </w:tblCellMar>
      </w:tblPr>
      <w:tblGrid>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tblGrid>
      <w:tr>
        <w:trPr>
          <w:trHeight w:val="308" w:hRule="atLeast"/>
        </w:trPr>
        <w:tc>
          <w:tcPr>
            <w:tcW w:w="25520" w:type="dxa"/>
            <w:gridSpan w:val="22"/>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本年支出</w:t>
            </w:r>
          </w:p>
        </w:tc>
      </w:tr>
      <w:tr>
        <w:trPr>
          <w:trHeight w:val="308" w:hRule="atLeast"/>
        </w:trPr>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合计</w:t>
            </w:r>
          </w:p>
        </w:tc>
        <w:tc>
          <w:tcPr>
            <w:tcW w:w="6960" w:type="dxa"/>
            <w:gridSpan w:val="6"/>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按预算分类</w:t>
            </w:r>
          </w:p>
        </w:tc>
        <w:tc>
          <w:tcPr>
            <w:tcW w:w="4640" w:type="dxa"/>
            <w:gridSpan w:val="4"/>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按支出性质</w:t>
            </w:r>
          </w:p>
        </w:tc>
        <w:tc>
          <w:tcPr>
            <w:tcW w:w="11600" w:type="dxa"/>
            <w:gridSpan w:val="10"/>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按支出经济分类</w:t>
            </w:r>
          </w:p>
        </w:tc>
      </w:tr>
      <w:tr>
        <w:trPr>
          <w:trHeight w:val="312" w:hRule="atLeast"/>
        </w:trPr>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4640" w:type="dxa"/>
            <w:gridSpan w:val="4"/>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一般公共预算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政府性基金预算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基本支出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项目支出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工资福利支出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商品和服务支出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对个人和家庭的补助</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资本性支出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r>
      <w:tr>
        <w:trPr>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4640" w:type="dxa"/>
            <w:gridSpan w:val="4"/>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其中：机关运行经费</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r>
      <w:tr>
        <w:trPr>
          <w:trHeight w:val="600"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28</w:t>
            </w:r>
          </w:p>
        </w:tc>
      </w:tr>
      <w:tr>
        <w:trPr>
          <w:trHeight w:val="308" w:hRule="atLeast"/>
        </w:trPr>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1,175.42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110.49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26.36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8.89</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-64.81</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995.37</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8.02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115.49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20.75</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64.56</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-10.38</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r>
    </w:tbl>
    <w:p>
      <w:pPr>
        <w:spacing w:line="600" w:lineRule="exact"/>
        <w:ind w:firstLine="640" w:firstLineChars="200"/>
        <w:rPr>
          <w:rFonts w:ascii="仿宋" w:hAnsi="仿宋" w:eastAsia="仿宋"/>
          <w:color w:val="000000" w:themeColor="text1"/>
          <w:sz w:val="32"/>
          <w:szCs w:val="32"/>
          <w14:textFill>
            <w14:solidFill>
              <w14:schemeClr w14:val="tx1"/>
            </w14:solidFill>
          </w14:textFill>
        </w:rPr>
      </w:pP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rPr>
          <w:rFonts w:ascii="仿宋" w:hAnsi="仿宋" w:eastAsia="仿宋"/>
          <w:b/>
          <w:color w:val="000000" w:themeColor="text1"/>
          <w:sz w:val="32"/>
          <w:szCs w:val="32"/>
          <w14:textFill>
            <w14:solidFill>
              <w14:schemeClr w14:val="tx1"/>
            </w14:solidFill>
          </w14:textFill>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14:textFill>
            <w14:solidFill>
              <w14:schemeClr w14:val="tx1"/>
            </w14:solidFill>
          </w14:textFill>
        </w:rPr>
        <w:t>政拨款支出1170万元，主要用于以下方面</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一般公共服务（类）</w:t>
      </w:r>
      <w:r>
        <w:rPr>
          <w:rFonts w:hint="eastAsia" w:ascii="仿宋" w:hAnsi="仿宋" w:eastAsia="仿宋"/>
          <w:color w:val="000000" w:themeColor="text1"/>
          <w:sz w:val="32"/>
          <w:szCs w:val="32"/>
          <w14:textFill>
            <w14:solidFill>
              <w14:schemeClr w14:val="tx1"/>
            </w14:solidFill>
          </w14:textFill>
        </w:rPr>
        <w:t>支出0万元，占0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教育支出（类）</w:t>
      </w:r>
      <w:r>
        <w:rPr>
          <w:rFonts w:hint="eastAsia" w:ascii="仿宋" w:hAnsi="仿宋" w:eastAsia="仿宋"/>
          <w:color w:val="000000" w:themeColor="text1"/>
          <w:sz w:val="32"/>
          <w:szCs w:val="32"/>
          <w14:textFill>
            <w14:solidFill>
              <w14:schemeClr w14:val="tx1"/>
            </w14:solidFill>
          </w14:textFill>
        </w:rPr>
        <w:t>830万元，占70.9</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科学技术（类）</w:t>
      </w:r>
      <w:r>
        <w:rPr>
          <w:rFonts w:hint="eastAsia" w:ascii="仿宋" w:hAnsi="仿宋" w:eastAsia="仿宋"/>
          <w:color w:val="000000" w:themeColor="text1"/>
          <w:sz w:val="32"/>
          <w:szCs w:val="32"/>
          <w14:textFill>
            <w14:solidFill>
              <w14:schemeClr w14:val="tx1"/>
            </w14:solidFill>
          </w14:textFill>
        </w:rPr>
        <w:t>支出0万元，占0</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文化旅游体育与传媒（类）支出0万元，占0</w:t>
      </w:r>
      <w:r>
        <w:rPr>
          <w:rFonts w:ascii="仿宋" w:hAnsi="仿宋" w:eastAsia="仿宋"/>
          <w:b/>
          <w:bCs/>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社会保障和就业（类）</w:t>
      </w:r>
      <w:r>
        <w:rPr>
          <w:rFonts w:hint="eastAsia" w:ascii="仿宋" w:hAnsi="仿宋" w:eastAsia="仿宋"/>
          <w:color w:val="000000" w:themeColor="text1"/>
          <w:sz w:val="32"/>
          <w:szCs w:val="32"/>
          <w14:textFill>
            <w14:solidFill>
              <w14:schemeClr w14:val="tx1"/>
            </w14:solidFill>
          </w14:textFill>
        </w:rPr>
        <w:t>支出193万元，占16.4</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bCs/>
          <w:color w:val="000000" w:themeColor="text1"/>
          <w:sz w:val="32"/>
          <w:szCs w:val="32"/>
          <w14:textFill>
            <w14:solidFill>
              <w14:schemeClr w14:val="tx1"/>
            </w14:solidFill>
          </w14:textFill>
        </w:rPr>
        <w:t>卫生健康支出</w:t>
      </w:r>
      <w:r>
        <w:rPr>
          <w:rFonts w:hint="eastAsia" w:ascii="仿宋" w:hAnsi="仿宋" w:eastAsia="仿宋"/>
          <w:color w:val="000000" w:themeColor="text1"/>
          <w:sz w:val="32"/>
          <w:szCs w:val="32"/>
          <w14:textFill>
            <w14:solidFill>
              <w14:schemeClr w14:val="tx1"/>
            </w14:solidFill>
          </w14:textFill>
        </w:rPr>
        <w:t>62万元，占5.2</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；住房保障支出83万元，占7</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（罗列全部功能分类科目，至类级。）</w:t>
      </w:r>
    </w:p>
    <w:p>
      <w:pPr>
        <w:spacing w:line="600" w:lineRule="exact"/>
        <w:ind w:firstLine="640"/>
        <w:rPr>
          <w:rFonts w:ascii="仿宋" w:hAnsi="仿宋" w:eastAsia="仿宋"/>
          <w:color w:val="000000" w:themeColor="text1"/>
          <w:sz w:val="32"/>
          <w:szCs w:val="32"/>
          <w14:textFill>
            <w14:solidFill>
              <w14:schemeClr w14:val="tx1"/>
            </w14:solidFill>
          </w14:textFill>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tbl>
      <w:tblPr>
        <w:tblStyle w:val="12"/>
        <w:tblW w:w="25520" w:type="dxa"/>
        <w:tblInd w:w="93" w:type="dxa"/>
        <w:tblLayout w:type="autofit"/>
        <w:tblCellMar>
          <w:top w:w="0" w:type="dxa"/>
          <w:left w:w="108" w:type="dxa"/>
          <w:bottom w:w="0" w:type="dxa"/>
          <w:right w:w="108" w:type="dxa"/>
        </w:tblCellMar>
      </w:tblPr>
      <w:tblGrid>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gridCol w:w="1480"/>
        <w:gridCol w:w="840"/>
      </w:tblGrid>
      <w:tr>
        <w:trPr>
          <w:trHeight w:val="308" w:hRule="atLeast"/>
        </w:trPr>
        <w:tc>
          <w:tcPr>
            <w:tcW w:w="25520" w:type="dxa"/>
            <w:gridSpan w:val="22"/>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本年支出</w:t>
            </w:r>
          </w:p>
        </w:tc>
      </w:tr>
      <w:tr>
        <w:trPr>
          <w:trHeight w:val="308" w:hRule="atLeast"/>
        </w:trPr>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合计</w:t>
            </w:r>
          </w:p>
        </w:tc>
        <w:tc>
          <w:tcPr>
            <w:tcW w:w="6960" w:type="dxa"/>
            <w:gridSpan w:val="6"/>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按预算分类</w:t>
            </w:r>
          </w:p>
        </w:tc>
        <w:tc>
          <w:tcPr>
            <w:tcW w:w="4640" w:type="dxa"/>
            <w:gridSpan w:val="4"/>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按支出性质</w:t>
            </w:r>
          </w:p>
        </w:tc>
        <w:tc>
          <w:tcPr>
            <w:tcW w:w="11600" w:type="dxa"/>
            <w:gridSpan w:val="10"/>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按支出经济分类</w:t>
            </w:r>
          </w:p>
        </w:tc>
      </w:tr>
      <w:tr>
        <w:trPr>
          <w:trHeight w:val="312" w:hRule="atLeast"/>
        </w:trPr>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4640" w:type="dxa"/>
            <w:gridSpan w:val="4"/>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一般公共预算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政府性基金预算</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基本支出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项目支出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工资福利支出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商品和服务支出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对个人和家庭的补助</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资本性支出</w:t>
            </w:r>
          </w:p>
        </w:tc>
        <w:tc>
          <w:tcPr>
            <w:tcW w:w="2320"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其他</w:t>
            </w:r>
          </w:p>
        </w:tc>
      </w:tr>
      <w:tr>
        <w:trPr>
          <w:trHeight w:val="312"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4640" w:type="dxa"/>
            <w:gridSpan w:val="4"/>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232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2320"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其中：机关运行经费</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r>
      <w:tr>
        <w:trPr>
          <w:trHeight w:val="600" w:hRule="atLeast"/>
        </w:trPr>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金额</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比上年增减%</w:t>
            </w: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148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c>
          <w:tcPr>
            <w:tcW w:w="840" w:type="dxa"/>
            <w:vMerge w:val="continue"/>
            <w:tcBorders>
              <w:top w:val="nil"/>
              <w:left w:val="nil"/>
              <w:bottom w:val="single" w:color="000000" w:sz="4" w:space="0"/>
              <w:right w:val="single" w:color="000000" w:sz="4" w:space="0"/>
            </w:tcBorders>
            <w:vAlign w:val="center"/>
          </w:tcPr>
          <w:p>
            <w:pPr>
              <w:widowControl/>
              <w:jc w:val="left"/>
              <w:rPr>
                <w:rFonts w:ascii="宋体" w:hAnsi="宋体" w:cs="Arial"/>
                <w:color w:val="000000"/>
                <w:kern w:val="0"/>
                <w:sz w:val="22"/>
                <w:szCs w:val="22"/>
              </w:rPr>
            </w:pPr>
          </w:p>
        </w:tc>
      </w:tr>
      <w:tr>
        <w:trPr>
          <w:trHeight w:val="308" w:hRule="atLeast"/>
        </w:trPr>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18</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19</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20</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21</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22</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23</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24</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25</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26</w:t>
            </w:r>
          </w:p>
        </w:tc>
        <w:tc>
          <w:tcPr>
            <w:tcW w:w="148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27</w:t>
            </w:r>
          </w:p>
        </w:tc>
        <w:tc>
          <w:tcPr>
            <w:tcW w:w="840"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22"/>
                <w:szCs w:val="22"/>
              </w:rPr>
            </w:pPr>
            <w:r>
              <w:rPr>
                <w:rFonts w:hint="eastAsia" w:ascii="宋体" w:hAnsi="宋体" w:cs="Arial"/>
                <w:color w:val="000000"/>
                <w:kern w:val="0"/>
                <w:sz w:val="22"/>
                <w:szCs w:val="22"/>
              </w:rPr>
              <w:t>28</w:t>
            </w:r>
          </w:p>
        </w:tc>
      </w:tr>
      <w:tr>
        <w:trPr>
          <w:trHeight w:val="308" w:hRule="atLeast"/>
        </w:trPr>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1,175.42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7.96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110.49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26.36</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1,170.42</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8.89</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5.00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-64.81</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995.37</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8.02</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115.49</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20.75</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64.56</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-10.38</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148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c>
          <w:tcPr>
            <w:tcW w:w="840"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color w:val="000000"/>
                <w:kern w:val="0"/>
                <w:sz w:val="22"/>
                <w:szCs w:val="22"/>
              </w:rPr>
            </w:pPr>
            <w:r>
              <w:rPr>
                <w:rFonts w:hint="eastAsia" w:ascii="宋体" w:hAnsi="宋体" w:cs="Arial"/>
                <w:color w:val="000000"/>
                <w:kern w:val="0"/>
                <w:sz w:val="22"/>
                <w:szCs w:val="22"/>
              </w:rPr>
              <w:t>0.00</w:t>
            </w:r>
          </w:p>
        </w:tc>
      </w:tr>
    </w:tbl>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6" w:name="_Toc15377212"/>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7213"/>
      <w:bookmarkStart w:id="38" w:name="_Toc15378460"/>
      <w:bookmarkStart w:id="39" w:name="_Toc15377444"/>
      <w:r>
        <w:rPr>
          <w:rFonts w:hint="eastAsia" w:ascii="仿宋" w:hAnsi="仿宋" w:eastAsia="仿宋"/>
          <w:b/>
          <w:color w:val="000000" w:themeColor="text1"/>
          <w:sz w:val="32"/>
          <w:szCs w:val="32"/>
          <w14:textFill>
            <w14:solidFill>
              <w14:schemeClr w14:val="tx1"/>
            </w14:solidFill>
          </w14:textFill>
        </w:rPr>
        <w:t>2019年般公共预算支出决算数为</w:t>
      </w:r>
      <w:r>
        <w:rPr>
          <w:rFonts w:hint="eastAsia" w:ascii="仿宋" w:hAnsi="仿宋" w:eastAsia="仿宋"/>
          <w:color w:val="000000" w:themeColor="text1"/>
          <w:sz w:val="32"/>
          <w:szCs w:val="32"/>
          <w14:textFill>
            <w14:solidFill>
              <w14:schemeClr w14:val="tx1"/>
            </w14:solidFill>
          </w14:textFill>
        </w:rPr>
        <w:t>1170万元，</w:t>
      </w:r>
      <w:r>
        <w:rPr>
          <w:rStyle w:val="14"/>
          <w:rFonts w:hint="eastAsia" w:ascii="仿宋" w:hAnsi="仿宋" w:eastAsia="仿宋"/>
          <w:bCs/>
          <w:color w:val="000000" w:themeColor="text1"/>
          <w:sz w:val="32"/>
          <w:szCs w:val="32"/>
          <w14:textFill>
            <w14:solidFill>
              <w14:schemeClr w14:val="tx1"/>
            </w14:solidFill>
          </w14:textFill>
        </w:rPr>
        <w:t>完成</w:t>
      </w:r>
      <w:r>
        <w:rPr>
          <w:rStyle w:val="14"/>
          <w:rFonts w:hint="eastAsia" w:ascii="仿宋" w:hAnsi="仿宋" w:eastAsia="仿宋"/>
          <w:bCs/>
          <w:color w:val="000000"/>
          <w:sz w:val="32"/>
          <w:szCs w:val="32"/>
        </w:rPr>
        <w:t>预算100</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37"/>
      <w:bookmarkEnd w:id="38"/>
      <w:bookmarkEnd w:id="39"/>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1.</w:t>
      </w:r>
      <w:r>
        <w:rPr>
          <w:rStyle w:val="14"/>
          <w:rFonts w:hint="eastAsia" w:ascii="仿宋" w:hAnsi="仿宋" w:eastAsia="仿宋"/>
          <w:bCs/>
          <w:color w:val="000000"/>
          <w:sz w:val="32"/>
          <w:szCs w:val="32"/>
        </w:rPr>
        <w:t>一般公共服务（类）0（款）0（项）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支出决算为0万元，完成预算0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2.</w:t>
      </w:r>
      <w:r>
        <w:rPr>
          <w:rStyle w:val="14"/>
          <w:rFonts w:hint="eastAsia" w:ascii="仿宋" w:hAnsi="仿宋" w:eastAsia="仿宋"/>
          <w:bCs/>
          <w:color w:val="000000"/>
          <w:sz w:val="32"/>
          <w:szCs w:val="32"/>
        </w:rPr>
        <w:t>教育（类）（款）（项）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支出决算为830万元，完成预算100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3.</w:t>
      </w:r>
      <w:r>
        <w:rPr>
          <w:rStyle w:val="14"/>
          <w:rFonts w:hint="eastAsia" w:ascii="仿宋" w:hAnsi="仿宋" w:eastAsia="仿宋"/>
          <w:bCs/>
          <w:color w:val="000000"/>
          <w:sz w:val="32"/>
          <w:szCs w:val="32"/>
        </w:rPr>
        <w:t>科学技术（类）0（款）0（项）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支出决算为0万元，完成预算0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4.</w:t>
      </w:r>
      <w:r>
        <w:rPr>
          <w:rStyle w:val="14"/>
          <w:rFonts w:hint="eastAsia" w:ascii="仿宋" w:hAnsi="仿宋" w:eastAsia="仿宋"/>
          <w:bCs/>
          <w:color w:val="000000"/>
          <w:sz w:val="32"/>
          <w:szCs w:val="32"/>
        </w:rPr>
        <w:t>文化旅游体育与传媒（类）0（款）0项）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支出决算为0万元，完成预算0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5.</w:t>
      </w:r>
      <w:r>
        <w:rPr>
          <w:rStyle w:val="14"/>
          <w:rFonts w:hint="eastAsia" w:ascii="仿宋" w:hAnsi="仿宋" w:eastAsia="仿宋"/>
          <w:bCs/>
          <w:color w:val="000000"/>
          <w:sz w:val="32"/>
          <w:szCs w:val="32"/>
        </w:rPr>
        <w:t>社会保障和就业（类）（款）（项）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支出决算为83万元，完成预算100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6.</w:t>
      </w:r>
      <w:r>
        <w:rPr>
          <w:rFonts w:hint="eastAsia" w:ascii="仿宋" w:hAnsi="仿宋" w:eastAsia="仿宋"/>
          <w:b/>
          <w:bCs/>
          <w:color w:val="000000" w:themeColor="text1"/>
          <w:sz w:val="32"/>
          <w:szCs w:val="32"/>
          <w14:textFill>
            <w14:solidFill>
              <w14:schemeClr w14:val="tx1"/>
            </w14:solidFill>
          </w14:textFill>
        </w:rPr>
        <w:t>卫生健康</w:t>
      </w:r>
      <w:r>
        <w:rPr>
          <w:rStyle w:val="14"/>
          <w:rFonts w:hint="eastAsia" w:ascii="仿宋" w:hAnsi="仿宋" w:eastAsia="仿宋"/>
          <w:bCs/>
          <w:color w:val="000000"/>
          <w:sz w:val="32"/>
          <w:szCs w:val="32"/>
        </w:rPr>
        <w:t>（类）（款）（项）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支出决算为62万元，完成预算100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25"/>
        </w:rPr>
      </w:pPr>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5"/>
          <w:rFonts w:hint="eastAsia" w:ascii="黑体" w:hAnsi="黑体" w:eastAsia="黑体"/>
          <w:b w:val="0"/>
        </w:rPr>
        <w:t>般公共预算财政拨款基本支出决算情况说明</w:t>
      </w:r>
      <w:bookmarkEnd w:id="40"/>
      <w:bookmarkEnd w:id="41"/>
      <w:r>
        <w:rPr>
          <w:rStyle w:val="2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9年一般公共预算财政拨款基本支出1170万元，其中：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1059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110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5"/>
          <w:rFonts w:ascii="黑体" w:hAnsi="黑体" w:eastAsia="黑体"/>
          <w:b w:val="0"/>
        </w:rPr>
      </w:pPr>
      <w:bookmarkStart w:id="42" w:name="_Toc15377215"/>
      <w:bookmarkStart w:id="43" w:name="_Toc15396609"/>
      <w:r>
        <w:rPr>
          <w:rFonts w:hint="eastAsia" w:ascii="黑体" w:eastAsia="黑体"/>
          <w:color w:val="000000"/>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9年“三公”经费财政拨款支出决算为0万元，完成预算0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9年“三公”经费财政拨款支出决算中，因公出国（境）费支出决算0万元，占0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；公务用车购置及运行维护费支出决算0万元，占0</w:t>
      </w:r>
      <w:r>
        <w:rPr>
          <w:rFonts w:ascii="仿宋" w:hAnsi="仿宋" w:eastAsia="仿宋"/>
          <w:color w:val="000000"/>
          <w:sz w:val="32"/>
          <w:szCs w:val="32"/>
        </w:rPr>
        <w:t>%</w:t>
      </w:r>
      <w:r>
        <w:rPr>
          <w:rFonts w:hint="eastAsia" w:ascii="仿宋" w:hAnsi="仿宋" w:eastAsia="仿宋"/>
          <w:color w:val="000000"/>
          <w:sz w:val="32"/>
          <w:szCs w:val="32"/>
        </w:rPr>
        <w:t>；公务接待费支出决算0万元，占0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全年安排因公出国（境）团组0次，出国（境）0人。因公出国（境）支出决算比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。开支内容包括：…（团组名称、出访地点、取得成效）</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rPr>
        <w:t>0万元。全年按规定更新购置公务用车0辆，金额0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月底，单位共有公务用车0辆，其中：主要领导干部用车0辆、机要通信用车0辆、应急保障用车0辆、 执法执勤用车0辆…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rPr>
        <w:t>0万元。主要用于</w:t>
      </w:r>
      <w:r>
        <w:rPr>
          <w:rFonts w:ascii="仿宋_GB2312" w:eastAsia="仿宋_GB2312"/>
          <w:color w:val="000000"/>
          <w:sz w:val="32"/>
          <w:szCs w:val="32"/>
        </w:rPr>
        <w:t>…</w:t>
      </w:r>
      <w:r>
        <w:rPr>
          <w:rFonts w:hint="eastAsia" w:ascii="仿宋_GB2312" w:eastAsia="仿宋_GB2312"/>
          <w:color w:val="000000"/>
          <w:sz w:val="32"/>
          <w:szCs w:val="32"/>
        </w:rPr>
        <w:t>（具体工作）等所需的公务用车燃料费、维修费、过路过桥费、保险费等支出。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rPr>
        <w:t>0</w:t>
      </w:r>
      <w:r>
        <w:rPr>
          <w:rFonts w:hint="eastAsia" w:ascii="仿宋_GB2312" w:eastAsia="仿宋_GB2312"/>
          <w:color w:val="000000"/>
          <w:sz w:val="32"/>
          <w:szCs w:val="32"/>
        </w:rPr>
        <w:t>万元，主要用于……(执行公务、开展业务活动开支的交通费、住宿费、用餐费等)。国内公务接待0批次，0人次（不包括陪同人员），共计支出0万元，具体内容包括：…（接待具体项目、金额）。</w:t>
      </w:r>
    </w:p>
    <w:p>
      <w:pPr>
        <w:spacing w:line="600" w:lineRule="exact"/>
        <w:ind w:firstLine="643" w:firstLineChars="200"/>
        <w:rPr>
          <w:rFonts w:ascii="仿宋_GB2312" w:eastAsia="仿宋_GB2312"/>
          <w:color w:val="000000" w:themeColor="text1"/>
          <w:sz w:val="32"/>
          <w:szCs w:val="32"/>
          <w14:textFill>
            <w14:solidFill>
              <w14:schemeClr w14:val="tx1"/>
            </w14:solidFill>
          </w14:textFill>
        </w:rPr>
      </w:pPr>
      <w:r>
        <w:rPr>
          <w:rFonts w:hint="eastAsia" w:ascii="仿宋" w:hAnsi="仿宋" w:eastAsia="仿宋"/>
          <w:b/>
          <w:color w:val="000000"/>
          <w:sz w:val="32"/>
          <w:szCs w:val="32"/>
        </w:rPr>
        <w:t>外事接待支出</w:t>
      </w:r>
      <w:r>
        <w:rPr>
          <w:rFonts w:hint="eastAsia" w:ascii="仿宋" w:hAnsi="仿宋" w:eastAsia="仿宋"/>
          <w:color w:val="000000"/>
          <w:sz w:val="32"/>
          <w:szCs w:val="32"/>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14:textFill>
            <w14:solidFill>
              <w14:schemeClr w14:val="tx1"/>
            </w14:solidFill>
          </w14:textFill>
        </w:rPr>
        <w:t>，外事接待0批次，0人，共计支出0万元，主要用于接待</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（具体项目）</w:t>
      </w:r>
    </w:p>
    <w:p>
      <w:pPr>
        <w:spacing w:line="600" w:lineRule="exact"/>
        <w:ind w:firstLine="640"/>
        <w:outlineLvl w:val="1"/>
        <w:rPr>
          <w:rFonts w:ascii="黑体" w:eastAsia="黑体"/>
          <w:color w:val="000000"/>
          <w:sz w:val="32"/>
          <w:szCs w:val="32"/>
        </w:rPr>
      </w:pPr>
      <w:bookmarkStart w:id="46" w:name="_Toc15396610"/>
      <w:bookmarkStart w:id="47" w:name="_Toc15377218"/>
    </w:p>
    <w:p>
      <w:pPr>
        <w:spacing w:line="600" w:lineRule="exact"/>
        <w:ind w:firstLine="640"/>
        <w:outlineLvl w:val="1"/>
        <w:rPr>
          <w:rStyle w:val="25"/>
          <w:rFonts w:ascii="黑体" w:hAnsi="黑体" w:eastAsia="黑体"/>
        </w:rPr>
      </w:pPr>
      <w:r>
        <w:rPr>
          <w:rFonts w:hint="eastAsia" w:ascii="黑体" w:eastAsia="黑体"/>
          <w:color w:val="000000"/>
          <w:sz w:val="32"/>
          <w:szCs w:val="32"/>
        </w:rPr>
        <w:t>八、</w:t>
      </w:r>
      <w:r>
        <w:rPr>
          <w:rStyle w:val="25"/>
          <w:rFonts w:hint="eastAsia" w:ascii="黑体" w:hAnsi="黑体" w:eastAsia="黑体"/>
          <w:b w:val="0"/>
        </w:rPr>
        <w:t>政府性基金预算支出决算情况说明</w:t>
      </w:r>
      <w:bookmarkEnd w:id="46"/>
      <w:bookmarkEnd w:id="4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9年政府性基金预算拨款支出5万元。</w:t>
      </w:r>
    </w:p>
    <w:p>
      <w:pPr>
        <w:spacing w:line="600" w:lineRule="exact"/>
        <w:ind w:firstLine="640"/>
        <w:rPr>
          <w:rFonts w:ascii="仿宋_GB2312" w:eastAsia="仿宋_GB2312"/>
          <w:color w:val="000000"/>
          <w:sz w:val="32"/>
          <w:szCs w:val="32"/>
        </w:rPr>
      </w:pPr>
    </w:p>
    <w:p>
      <w:pPr>
        <w:numPr>
          <w:ilvl w:val="0"/>
          <w:numId w:val="4"/>
        </w:numPr>
        <w:spacing w:line="600" w:lineRule="exact"/>
        <w:ind w:firstLine="640"/>
        <w:outlineLvl w:val="1"/>
        <w:rPr>
          <w:rStyle w:val="25"/>
          <w:rFonts w:ascii="黑体" w:hAnsi="黑体" w:eastAsia="黑体"/>
          <w:b w:val="0"/>
        </w:rPr>
      </w:pPr>
      <w:bookmarkStart w:id="48" w:name="_Toc15377219"/>
      <w:bookmarkStart w:id="49" w:name="_Toc15396611"/>
      <w:r>
        <w:rPr>
          <w:rStyle w:val="25"/>
          <w:rFonts w:hint="eastAsia" w:ascii="黑体" w:hAnsi="黑体" w:eastAsia="黑体"/>
          <w:b w:val="0"/>
        </w:rPr>
        <w:t>国有资本经营预算支出决算情况说明</w:t>
      </w:r>
      <w:bookmarkEnd w:id="48"/>
      <w:bookmarkEnd w:id="49"/>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9年国有资本经营预算拨款支出0万元。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5"/>
          <w:rFonts w:ascii="黑体" w:hAnsi="黑体" w:eastAsia="黑体"/>
        </w:rPr>
      </w:pPr>
      <w:bookmarkStart w:id="50" w:name="_Toc15396612"/>
      <w:bookmarkStart w:id="51" w:name="_Toc15377221"/>
      <w:r>
        <w:rPr>
          <w:rFonts w:hint="eastAsia" w:ascii="黑体" w:hAnsi="黑体" w:eastAsia="黑体"/>
          <w:color w:val="000000"/>
          <w:sz w:val="32"/>
          <w:szCs w:val="32"/>
        </w:rPr>
        <w:t>十</w:t>
      </w:r>
      <w:r>
        <w:rPr>
          <w:rStyle w:val="25"/>
          <w:rFonts w:hint="eastAsia" w:ascii="黑体" w:hAnsi="黑体" w:eastAsia="黑体"/>
        </w:rPr>
        <w:t>、</w:t>
      </w:r>
      <w:r>
        <w:rPr>
          <w:rStyle w:val="25"/>
          <w:rFonts w:hint="eastAsia" w:ascii="黑体" w:hAnsi="黑体" w:eastAsia="黑体"/>
          <w:b w:val="0"/>
        </w:rPr>
        <w:t>其他重要事项的情况说明</w:t>
      </w:r>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sz w:val="32"/>
          <w:szCs w:val="32"/>
        </w:rPr>
        <w:t>201</w:t>
      </w:r>
      <w:r>
        <w:rPr>
          <w:rFonts w:hint="eastAsia" w:ascii="仿宋_GB2312" w:eastAsia="仿宋_GB2312"/>
          <w:color w:val="000000"/>
          <w:sz w:val="32"/>
          <w:szCs w:val="32"/>
        </w:rPr>
        <w:t>9年，0机关运行经费支出0万元，比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p>
    <w:p>
      <w:pPr>
        <w:spacing w:line="600" w:lineRule="exact"/>
        <w:ind w:firstLine="643" w:firstLineChars="200"/>
        <w:rPr>
          <w:rFonts w:ascii="仿宋" w:hAnsi="仿宋" w:eastAsia="仿宋"/>
          <w:b/>
          <w:color w:val="FF0000"/>
          <w:sz w:val="32"/>
          <w:szCs w:val="32"/>
        </w:rPr>
      </w:pP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9年，政府采购支出总额4万元，其中：政府采购货物支出4万元、政府采购工程支出0万元、政府采购服务支出0万元。主要用于教学。授予中小企业合同金额0万元，占政府采购支出总额的0</w:t>
      </w:r>
      <w:r>
        <w:rPr>
          <w:rFonts w:ascii="仿宋_GB2312" w:eastAsia="仿宋_GB2312"/>
          <w:color w:val="000000"/>
          <w:sz w:val="32"/>
          <w:szCs w:val="32"/>
        </w:rPr>
        <w:t>%</w:t>
      </w:r>
      <w:r>
        <w:rPr>
          <w:rFonts w:hint="eastAsia" w:ascii="仿宋_GB2312" w:eastAsia="仿宋_GB2312"/>
          <w:color w:val="000000"/>
          <w:sz w:val="32"/>
          <w:szCs w:val="32"/>
        </w:rPr>
        <w:t>，其中：授予小微企业合同金额0万元，占政府采购支出总额的0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rPr>
          <w:rFonts w:ascii="仿宋" w:hAnsi="仿宋" w:eastAsia="仿宋"/>
          <w:b/>
          <w:color w:val="FF0000"/>
          <w:sz w:val="32"/>
          <w:szCs w:val="32"/>
        </w:rPr>
      </w:pP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日，0共有车辆0辆，其中：主要领导干部用车0辆、机要通信用车0辆、应急保障用车0辆、其他用车0辆……</w:t>
      </w:r>
      <w:r>
        <w:rPr>
          <w:rFonts w:hint="eastAsia" w:ascii="仿宋_GB2312" w:eastAsia="仿宋_GB2312"/>
          <w:color w:val="000000" w:themeColor="text1"/>
          <w:sz w:val="32"/>
          <w:szCs w:val="32"/>
          <w14:textFill>
            <w14:solidFill>
              <w14:schemeClr w14:val="tx1"/>
            </w14:solidFill>
          </w14:textFill>
        </w:rPr>
        <w:t>其他用车主要是用于……单价</w:t>
      </w:r>
      <w:r>
        <w:rPr>
          <w:rFonts w:ascii="仿宋_GB2312" w:eastAsia="仿宋_GB2312"/>
          <w:color w:val="000000" w:themeColor="text1"/>
          <w:sz w:val="32"/>
          <w:szCs w:val="32"/>
          <w14:textFill>
            <w14:solidFill>
              <w14:schemeClr w14:val="tx1"/>
            </w14:solidFill>
          </w14:textFill>
        </w:rPr>
        <w:t>50</w:t>
      </w:r>
      <w:r>
        <w:rPr>
          <w:rFonts w:hint="eastAsia" w:ascii="仿宋_GB2312" w:eastAsia="仿宋_GB2312"/>
          <w:color w:val="000000" w:themeColor="text1"/>
          <w:sz w:val="32"/>
          <w:szCs w:val="32"/>
          <w14:textFill>
            <w14:solidFill>
              <w14:schemeClr w14:val="tx1"/>
            </w14:solidFill>
          </w14:textFill>
        </w:rPr>
        <w:t>万元以上通用设备0台（套），单价</w:t>
      </w:r>
      <w:r>
        <w:rPr>
          <w:rFonts w:ascii="仿宋_GB2312" w:eastAsia="仿宋_GB2312"/>
          <w:color w:val="000000" w:themeColor="text1"/>
          <w:sz w:val="32"/>
          <w:szCs w:val="32"/>
          <w14:textFill>
            <w14:solidFill>
              <w14:schemeClr w14:val="tx1"/>
            </w14:solidFill>
          </w14:textFill>
        </w:rPr>
        <w:t>100</w:t>
      </w:r>
      <w:r>
        <w:rPr>
          <w:rFonts w:hint="eastAsia" w:ascii="仿宋_GB2312" w:eastAsia="仿宋_GB2312"/>
          <w:color w:val="000000"/>
          <w:sz w:val="32"/>
          <w:szCs w:val="32"/>
        </w:rPr>
        <w:t>万元以上专用设备0台（套）。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w:t>
      </w:r>
      <w:r>
        <w:rPr>
          <w:rFonts w:hint="eastAsia" w:asciiTheme="minorEastAsia" w:hAnsiTheme="minorEastAsia" w:eastAsiaTheme="minorEastAsia"/>
          <w:sz w:val="30"/>
          <w:szCs w:val="30"/>
        </w:rPr>
        <w:t>2019年中央专项彩票公益金支持项目村学校少年宫项目</w:t>
      </w:r>
      <w:r>
        <w:rPr>
          <w:rFonts w:hint="eastAsia" w:ascii="仿宋_GB2312" w:hAnsi="仿宋_GB2312" w:eastAsia="仿宋_GB2312" w:cs="仿宋_GB2312"/>
          <w:sz w:val="32"/>
          <w:szCs w:val="32"/>
        </w:rPr>
        <w:t>开展了预算事前绩效评估，对1个项目编制了绩效目标，预算执行过程中，选取1个项目开展绩效监控，年终执行完毕后，对1个项目开展了绩效目标完成情况自评。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本部门按要求对2019年部门整体支出开展绩效自评，从评价情况来看</w:t>
      </w:r>
      <w:r>
        <w:rPr>
          <w:rFonts w:hint="eastAsia" w:ascii="宋体" w:hAnsi="宋体"/>
          <w:kern w:val="0"/>
          <w:sz w:val="30"/>
          <w:szCs w:val="30"/>
        </w:rPr>
        <w:t>2019年度完成955名中、小学生的培养，保障教师社会保险、住房公积金的缴纳，保障教师奖励绩效工资及质量考核奖。完成学前教育174名幼儿的培养</w:t>
      </w:r>
      <w:r>
        <w:rPr>
          <w:rFonts w:hint="eastAsia" w:ascii="仿宋_GB2312" w:hAnsi="仿宋_GB2312" w:eastAsia="仿宋_GB2312" w:cs="仿宋_GB2312"/>
          <w:sz w:val="32"/>
          <w:szCs w:val="32"/>
        </w:rPr>
        <w:t>。</w:t>
      </w:r>
    </w:p>
    <w:p>
      <w:p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1.项目绩效目标完成情况。</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本部门在2019年度部门决算中反映</w:t>
      </w:r>
      <w:r>
        <w:rPr>
          <w:rFonts w:hint="eastAsia" w:asciiTheme="minorEastAsia" w:hAnsiTheme="minorEastAsia" w:eastAsiaTheme="minorEastAsia"/>
          <w:sz w:val="30"/>
          <w:szCs w:val="30"/>
        </w:rPr>
        <w:t>2019年中央专项彩票公益金支持项目村学校少年宫项目</w:t>
      </w:r>
      <w:r>
        <w:rPr>
          <w:rFonts w:hint="eastAsia" w:ascii="仿宋_GB2312" w:hAnsi="仿宋_GB2312" w:eastAsia="仿宋_GB2312" w:cs="仿宋_GB2312"/>
          <w:sz w:val="32"/>
          <w:szCs w:val="32"/>
        </w:rPr>
        <w:t>等1个项目绩效目标实际完成情况。</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Theme="minorEastAsia" w:hAnsiTheme="minorEastAsia" w:eastAsiaTheme="minorEastAsia"/>
          <w:sz w:val="30"/>
          <w:szCs w:val="30"/>
        </w:rPr>
        <w:t>2019年中央专项彩票公益金支持项目村学校少年宫项目</w:t>
      </w:r>
      <w:r>
        <w:rPr>
          <w:rFonts w:hint="eastAsia" w:ascii="仿宋_GB2312" w:hAnsi="仿宋_GB2312" w:eastAsia="仿宋_GB2312" w:cs="仿宋_GB2312"/>
          <w:sz w:val="32"/>
          <w:szCs w:val="32"/>
        </w:rPr>
        <w:t>项目绩效目标完成情况综述。项目全年预算数5万元，执行数为5万元，完成预算的100%。通过项目实施，促进了学校乡村少年宫活动的有效开展，极大丰富了学校广大师生的少年宫活动形式和内容，有效提高学校的教育教学质量。发现的主要问题：</w:t>
      </w:r>
      <w:r>
        <w:rPr>
          <w:rFonts w:hint="eastAsia" w:ascii="宋体" w:hAnsi="宋体" w:cs="黑体"/>
          <w:kern w:val="0"/>
          <w:sz w:val="30"/>
          <w:szCs w:val="30"/>
        </w:rPr>
        <w:t>乡村教育资源短缺、学位不足，部分农村学校和教学点比较薄弱，城乡教育资源不均衡</w:t>
      </w:r>
      <w:r>
        <w:rPr>
          <w:rFonts w:hint="eastAsia" w:ascii="仿宋_GB2312" w:hAnsi="仿宋_GB2312" w:eastAsia="仿宋_GB2312" w:cs="仿宋_GB2312"/>
          <w:sz w:val="32"/>
          <w:szCs w:val="32"/>
        </w:rPr>
        <w:t>。下一步改进措施：</w:t>
      </w:r>
      <w:r>
        <w:rPr>
          <w:rFonts w:hint="eastAsia" w:ascii="宋体" w:hAnsi="宋体" w:cs="黑体"/>
          <w:kern w:val="0"/>
          <w:sz w:val="30"/>
          <w:szCs w:val="30"/>
        </w:rPr>
        <w:t>进一步改善教育办学条件，加强学校基础设施建设</w:t>
      </w:r>
      <w:r>
        <w:rPr>
          <w:rFonts w:hint="eastAsia" w:ascii="仿宋_GB2312" w:hAnsi="仿宋_GB2312" w:eastAsia="仿宋_GB2312" w:cs="仿宋_GB2312"/>
          <w:sz w:val="32"/>
          <w:szCs w:val="32"/>
        </w:rPr>
        <w:t>。</w:t>
      </w:r>
    </w:p>
    <w:p>
      <w:pPr>
        <w:spacing w:line="580" w:lineRule="exact"/>
        <w:ind w:firstLine="640" w:firstLineChars="200"/>
        <w:rPr>
          <w:rFonts w:ascii="仿宋_GB2312" w:hAnsi="仿宋_GB2312" w:eastAsia="仿宋_GB2312" w:cs="仿宋_GB2312"/>
          <w:sz w:val="32"/>
          <w:szCs w:val="32"/>
        </w:rPr>
      </w:pPr>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Theme="minorEastAsia" w:hAnsiTheme="minorEastAsia" w:eastAsiaTheme="minorEastAsia"/>
                <w:sz w:val="24"/>
              </w:rPr>
              <w:t>2019年中央专项彩票公益金支持项目村学校少年宫项目</w:t>
            </w: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广汉市松林镇学校</w:t>
            </w: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5</w:t>
            </w:r>
          </w:p>
        </w:tc>
      </w:tr>
      <w:tr>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5</w:t>
            </w:r>
          </w:p>
        </w:tc>
      </w:tr>
      <w:tr>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r>
              <w:rPr>
                <w:rFonts w:hint="eastAsia" w:ascii="宋体" w:hAnsi="宋体" w:cs="宋体"/>
                <w:color w:val="000000"/>
                <w:sz w:val="24"/>
              </w:rPr>
              <w:t>0</w:t>
            </w: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1</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1</w:t>
            </w:r>
          </w:p>
        </w:tc>
      </w:tr>
      <w:tr>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添置少年宫教育教学设备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添置少年宫教育教学设备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添置少年宫教育教学设备</w:t>
            </w: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补充少年宫活动耗材及活动用品一批</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补充少年宫活动耗材及活动用品一批</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补充少年宫活动耗材及活动用品一批</w:t>
            </w: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改善少年宫活动条件，丰富少年宫活动内容</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改善少年宫活动条件，丰富少年宫活动内容</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改善少年宫活动条件，丰富少年宫活动内容</w:t>
            </w: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丰富和提高师生文化及艺体素养</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丰富和提高师生文化及艺体素养</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丰富和提高师生文化及艺体素养</w:t>
            </w: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90</w:t>
            </w: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本部门按要求对2019年部门整体支出绩效评价情况开展自评，《XX部门2019年部门整体支出绩效评价报告》见附件（附件1）。</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5"/>
        </w:numPr>
        <w:spacing w:line="600" w:lineRule="exact"/>
        <w:ind w:firstLine="660" w:firstLineChars="150"/>
        <w:jc w:val="center"/>
        <w:outlineLvl w:val="0"/>
        <w:rPr>
          <w:rStyle w:val="24"/>
          <w:rFonts w:ascii="黑体" w:hAnsi="黑体" w:eastAsia="黑体"/>
          <w:b w:val="0"/>
        </w:rPr>
      </w:pPr>
      <w:bookmarkStart w:id="55" w:name="_Toc15377225"/>
      <w:bookmarkStart w:id="56" w:name="_Toc15396613"/>
      <w:r>
        <w:rPr>
          <w:rFonts w:hint="eastAsia" w:ascii="黑体" w:hAnsi="黑体" w:eastAsia="黑体"/>
          <w:color w:val="000000"/>
          <w:sz w:val="44"/>
          <w:szCs w:val="44"/>
        </w:rPr>
        <w:t>名</w:t>
      </w:r>
      <w:r>
        <w:rPr>
          <w:rStyle w:val="24"/>
          <w:rFonts w:hint="eastAsia" w:ascii="黑体" w:hAnsi="黑体" w:eastAsia="黑体"/>
          <w:b w:val="0"/>
        </w:rPr>
        <w:t>词解释</w:t>
      </w:r>
      <w:bookmarkEnd w:id="55"/>
      <w:bookmarkEnd w:id="56"/>
    </w:p>
    <w:p>
      <w:pPr>
        <w:spacing w:line="600" w:lineRule="exact"/>
        <w:jc w:val="left"/>
        <w:rPr>
          <w:rFonts w:ascii="宋体"/>
          <w:b/>
          <w:color w:val="000000"/>
          <w:sz w:val="44"/>
          <w:szCs w:val="44"/>
        </w:rPr>
      </w:pPr>
    </w:p>
    <w:p>
      <w:pPr>
        <w:pStyle w:val="22"/>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pStyle w:val="22"/>
        <w:spacing w:line="560" w:lineRule="exact"/>
        <w:ind w:firstLine="640" w:firstLineChars="200"/>
        <w:rPr>
          <w:rFonts w:ascii="仿宋_GB2312" w:eastAsia="仿宋_GB2312" w:cs="黑体"/>
          <w:sz w:val="32"/>
          <w:szCs w:val="32"/>
        </w:rPr>
      </w:pP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4"/>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4"/>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rPr>
        <w:t>松林镇学校</w:t>
      </w:r>
      <w:r>
        <w:rPr>
          <w:rFonts w:hint="eastAsia" w:ascii="方正小标宋简体" w:hAnsi="宋体" w:eastAsia="方正小标宋简体"/>
          <w:color w:val="000000"/>
          <w:kern w:val="0"/>
          <w:sz w:val="40"/>
          <w:szCs w:val="44"/>
          <w:lang w:val="zh-CN"/>
        </w:rPr>
        <w:t>部门</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autoSpaceDE w:val="0"/>
        <w:autoSpaceDN w:val="0"/>
        <w:adjustRightInd w:val="0"/>
        <w:ind w:firstLine="600" w:firstLineChars="200"/>
        <w:jc w:val="left"/>
        <w:rPr>
          <w:rFonts w:hint="eastAsia" w:ascii="宋体" w:hAnsi="宋体" w:cs="仿宋_GB2312"/>
          <w:kern w:val="0"/>
          <w:sz w:val="30"/>
          <w:szCs w:val="30"/>
        </w:rPr>
      </w:pPr>
      <w:r>
        <w:rPr>
          <w:rFonts w:hint="eastAsia" w:ascii="宋体" w:hAnsi="宋体"/>
          <w:kern w:val="0"/>
          <w:sz w:val="30"/>
          <w:szCs w:val="30"/>
        </w:rPr>
        <w:t>广汉市连山镇松林学校的基本职能为九年一贯制中小学。</w:t>
      </w:r>
      <w:r>
        <w:rPr>
          <w:rFonts w:hint="eastAsia" w:ascii="宋体" w:hAnsi="宋体" w:cs="仿宋_GB2312"/>
          <w:kern w:val="0"/>
          <w:sz w:val="30"/>
          <w:szCs w:val="30"/>
        </w:rPr>
        <w:t>认真贯彻落实党的教育方针，坚持依法办学，认真履行教育法、教师法等法律法规，积极做好教师队伍培训，重点做好校园安全和师生的安全教育工作，努力完成好各项教育教学任务。</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p>
    <w:p>
      <w:pPr>
        <w:snapToGrid w:val="0"/>
        <w:spacing w:line="520" w:lineRule="exact"/>
        <w:ind w:firstLine="600" w:firstLineChars="200"/>
        <w:rPr>
          <w:rFonts w:hint="eastAsia" w:ascii="宋体" w:hAnsi="宋体"/>
          <w:sz w:val="30"/>
          <w:szCs w:val="30"/>
        </w:rPr>
      </w:pPr>
      <w:r>
        <w:rPr>
          <w:rFonts w:hint="eastAsia" w:ascii="宋体" w:hAnsi="宋体"/>
          <w:sz w:val="30"/>
          <w:szCs w:val="30"/>
        </w:rPr>
        <w:t>学校设有办公室、教务处、政教处、总务处等四个处室。</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（三）人员概况。</w:t>
      </w:r>
    </w:p>
    <w:p>
      <w:pPr>
        <w:autoSpaceDE w:val="0"/>
        <w:autoSpaceDN w:val="0"/>
        <w:adjustRightInd w:val="0"/>
        <w:spacing w:line="580" w:lineRule="exact"/>
        <w:ind w:firstLine="600" w:firstLineChars="200"/>
        <w:jc w:val="left"/>
        <w:rPr>
          <w:rFonts w:hint="eastAsia" w:ascii="宋体" w:hAnsi="宋体"/>
          <w:kern w:val="0"/>
          <w:sz w:val="30"/>
          <w:szCs w:val="30"/>
        </w:rPr>
      </w:pPr>
      <w:r>
        <w:rPr>
          <w:rFonts w:hint="eastAsia" w:ascii="宋体" w:hAnsi="宋体"/>
          <w:sz w:val="30"/>
          <w:szCs w:val="30"/>
        </w:rPr>
        <w:t>我校为财政全额拨款事业单位，学校全部收支纳入财政综合预算。</w:t>
      </w:r>
      <w:r>
        <w:rPr>
          <w:rFonts w:hint="eastAsia" w:ascii="宋体" w:hAnsi="宋体"/>
          <w:kern w:val="0"/>
          <w:sz w:val="30"/>
          <w:szCs w:val="30"/>
        </w:rPr>
        <w:t>2019年我校现有编制数89人，在职教职工82人，退休职工46人，特岗教师6人，内设机构1个，学校无公务车。</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autoSpaceDE w:val="0"/>
        <w:autoSpaceDN w:val="0"/>
        <w:adjustRightInd w:val="0"/>
        <w:spacing w:line="580" w:lineRule="exact"/>
        <w:ind w:firstLine="600" w:firstLineChars="200"/>
        <w:jc w:val="left"/>
        <w:rPr>
          <w:rFonts w:ascii="宋体" w:hAnsi="宋体"/>
          <w:kern w:val="0"/>
          <w:sz w:val="30"/>
          <w:szCs w:val="30"/>
        </w:rPr>
      </w:pPr>
      <w:r>
        <w:rPr>
          <w:rFonts w:hint="eastAsia" w:ascii="宋体" w:hAnsi="宋体"/>
          <w:kern w:val="0"/>
          <w:sz w:val="30"/>
          <w:szCs w:val="30"/>
        </w:rPr>
        <w:t>广汉市连山镇松林学校2019年初结转和结余为22.85万元，2019年预算收入总额为1223.41万元，其中：教育支出888.26万元，社会保障和就业支出193.89万元，医疗卫生与计划生育支出62.09万元，住房保障支出83.71万元，中央专项彩票公益金支持项目农村少年宫项目资金5.00万元。</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rPr>
      </w:pP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（二）部门财政资金支出情况。</w:t>
      </w:r>
    </w:p>
    <w:p>
      <w:pPr>
        <w:autoSpaceDE w:val="0"/>
        <w:autoSpaceDN w:val="0"/>
        <w:adjustRightInd w:val="0"/>
        <w:spacing w:line="580" w:lineRule="exact"/>
        <w:ind w:firstLine="600" w:firstLineChars="200"/>
        <w:jc w:val="left"/>
        <w:rPr>
          <w:rFonts w:hint="eastAsia" w:ascii="宋体" w:hAnsi="宋体"/>
          <w:kern w:val="0"/>
          <w:sz w:val="30"/>
          <w:szCs w:val="30"/>
        </w:rPr>
      </w:pPr>
      <w:r>
        <w:rPr>
          <w:rFonts w:hint="eastAsia" w:ascii="宋体" w:hAnsi="宋体"/>
          <w:kern w:val="0"/>
          <w:sz w:val="30"/>
          <w:szCs w:val="30"/>
        </w:rPr>
        <w:t>广汉市连山镇松林学校2019年决算支出总额为1232.96万元，其中：教育支出888.26万元，社会保障和就业支出193.89万元，医疗卫生与计划生育支出62.09万元，住房保障支出83.71万元，中央专项彩票公益金支持项目农村少年宫项目资金5.00万元。</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包括部门绩效目标制定、目标实现、预算编制准确、支出控制、预算动态调整、执行进度、预算完成情况和违规记录等情况。</w:t>
      </w:r>
    </w:p>
    <w:p>
      <w:pPr>
        <w:snapToGrid w:val="0"/>
        <w:spacing w:line="588" w:lineRule="exact"/>
        <w:ind w:firstLine="600" w:firstLineChars="200"/>
        <w:rPr>
          <w:rFonts w:ascii="宋体" w:hAnsi="宋体"/>
          <w:sz w:val="30"/>
          <w:szCs w:val="30"/>
        </w:rPr>
      </w:pPr>
      <w:r>
        <w:rPr>
          <w:rFonts w:hint="eastAsia" w:ascii="宋体" w:hAnsi="宋体"/>
          <w:sz w:val="30"/>
          <w:szCs w:val="30"/>
        </w:rPr>
        <w:t>（一）本单位遵照上级部门要求，认真进行财务预、决算组织、编报、审核及预决算公开工作。严格按照预算执行学校财务支付。</w:t>
      </w:r>
    </w:p>
    <w:p>
      <w:pPr>
        <w:snapToGrid w:val="0"/>
        <w:spacing w:line="588" w:lineRule="exact"/>
        <w:ind w:firstLine="600" w:firstLineChars="200"/>
        <w:rPr>
          <w:rFonts w:ascii="宋体" w:hAnsi="宋体"/>
          <w:sz w:val="30"/>
          <w:szCs w:val="30"/>
        </w:rPr>
      </w:pPr>
      <w:r>
        <w:rPr>
          <w:rFonts w:hint="eastAsia" w:ascii="宋体" w:hAnsi="宋体"/>
          <w:sz w:val="30"/>
          <w:szCs w:val="30"/>
        </w:rPr>
        <w:t>（二）建立健全学校财务制度，严格按照制度规范学校财务行为，坚持公开公平公正原则，将学校经济活动置于全体教职员工监督之下。</w:t>
      </w:r>
    </w:p>
    <w:p>
      <w:pPr>
        <w:snapToGrid w:val="0"/>
        <w:spacing w:line="588" w:lineRule="exact"/>
        <w:ind w:firstLine="600" w:firstLineChars="200"/>
        <w:rPr>
          <w:rFonts w:ascii="宋体" w:hAnsi="宋体"/>
          <w:sz w:val="30"/>
          <w:szCs w:val="30"/>
        </w:rPr>
      </w:pPr>
      <w:r>
        <w:rPr>
          <w:rFonts w:hint="eastAsia" w:ascii="宋体" w:hAnsi="宋体"/>
          <w:sz w:val="30"/>
          <w:szCs w:val="30"/>
        </w:rPr>
        <w:t>（三）建立健全内控制度，严格按照内控制度流程规范实施学校经济活动，充分发挥学校内审小组职能，每月按时对学校账务进行审核，发现问题，及时纠正。</w:t>
      </w:r>
    </w:p>
    <w:p>
      <w:pPr>
        <w:ind w:firstLine="600" w:firstLineChars="200"/>
        <w:rPr>
          <w:rFonts w:ascii="宋体" w:hAnsi="宋体"/>
          <w:sz w:val="30"/>
          <w:szCs w:val="30"/>
        </w:rPr>
      </w:pPr>
      <w:r>
        <w:rPr>
          <w:rFonts w:hint="eastAsia" w:ascii="宋体" w:hAnsi="宋体"/>
          <w:sz w:val="30"/>
          <w:szCs w:val="30"/>
        </w:rPr>
        <w:t>（四）遵守国家财经纪律和财务会计各项制度，加强财务管理，提高资金使用效益。分清资金渠道，严格掌握费用、开支范围和开支标准，认真审核原始凭证。对不符合制度规定的收支或手续不全、凭证不实者有权拒付，属于违反财经纪律的行为，必须坚决抵制。</w:t>
      </w:r>
    </w:p>
    <w:p>
      <w:pPr>
        <w:autoSpaceDE w:val="0"/>
        <w:autoSpaceDN w:val="0"/>
        <w:adjustRightInd w:val="0"/>
        <w:spacing w:line="580" w:lineRule="exact"/>
        <w:ind w:firstLine="600" w:firstLineChars="200"/>
        <w:jc w:val="left"/>
        <w:rPr>
          <w:rFonts w:ascii="宋体" w:hAnsi="宋体"/>
          <w:kern w:val="0"/>
          <w:sz w:val="30"/>
          <w:szCs w:val="30"/>
        </w:rPr>
      </w:pPr>
      <w:r>
        <w:rPr>
          <w:rFonts w:hint="eastAsia" w:ascii="宋体" w:hAnsi="宋体"/>
          <w:kern w:val="0"/>
          <w:sz w:val="30"/>
          <w:szCs w:val="30"/>
        </w:rPr>
        <w:t>2019年预算收入总额为1223.41万元，其中：人员经费为1059.92万元，日常公用经费为168.04万元，项目支出5.00万元。</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包括绩效自评公开、评价结果整改和应用结果反馈等情况。</w:t>
      </w:r>
    </w:p>
    <w:p>
      <w:pPr>
        <w:autoSpaceDE w:val="0"/>
        <w:autoSpaceDN w:val="0"/>
        <w:adjustRightInd w:val="0"/>
        <w:spacing w:line="580" w:lineRule="exact"/>
        <w:ind w:firstLine="600" w:firstLineChars="200"/>
        <w:jc w:val="left"/>
        <w:rPr>
          <w:rFonts w:hint="eastAsia" w:ascii="宋体" w:hAnsi="宋体"/>
          <w:kern w:val="0"/>
          <w:sz w:val="30"/>
          <w:szCs w:val="30"/>
        </w:rPr>
      </w:pPr>
      <w:r>
        <w:rPr>
          <w:rFonts w:hint="eastAsia" w:ascii="宋体" w:hAnsi="宋体"/>
          <w:kern w:val="0"/>
          <w:sz w:val="30"/>
          <w:szCs w:val="30"/>
        </w:rPr>
        <w:t>广汉市连山镇松林学校严格按照预算执行。在收到财政下达的各类款项后，按照资金的用途使用，支出总额控制在预算总额以内，按照预算执行进度，及时支付。2019年末结转结余资金为17.68万元。</w:t>
      </w:r>
    </w:p>
    <w:p>
      <w:pPr>
        <w:autoSpaceDE w:val="0"/>
        <w:autoSpaceDN w:val="0"/>
        <w:adjustRightInd w:val="0"/>
        <w:spacing w:line="580" w:lineRule="exact"/>
        <w:ind w:firstLine="600" w:firstLineChars="200"/>
        <w:jc w:val="left"/>
        <w:rPr>
          <w:rFonts w:ascii="宋体" w:hAnsi="宋体"/>
          <w:kern w:val="0"/>
          <w:sz w:val="30"/>
          <w:szCs w:val="30"/>
        </w:rPr>
      </w:pPr>
      <w:r>
        <w:rPr>
          <w:rFonts w:hint="eastAsia" w:ascii="宋体" w:hAnsi="宋体"/>
          <w:kern w:val="0"/>
          <w:sz w:val="30"/>
          <w:szCs w:val="30"/>
        </w:rPr>
        <w:t>广汉市连山镇松林学校严格遵守各项财经纪律，加强学校财务管理工作，制定了相关规章制度，加强和细化了预算编制，严格按照预算执行，确保财务收支平衡，保障学校工作正常开展和教育教学目标的完成。</w:t>
      </w:r>
    </w:p>
    <w:p>
      <w:pPr>
        <w:autoSpaceDE w:val="0"/>
        <w:autoSpaceDN w:val="0"/>
        <w:adjustRightInd w:val="0"/>
        <w:spacing w:line="580" w:lineRule="exact"/>
        <w:ind w:firstLine="600" w:firstLineChars="200"/>
        <w:jc w:val="left"/>
        <w:rPr>
          <w:rFonts w:hint="eastAsia" w:ascii="宋体" w:hAnsi="宋体"/>
          <w:kern w:val="0"/>
          <w:sz w:val="30"/>
          <w:szCs w:val="30"/>
        </w:rPr>
      </w:pPr>
      <w:r>
        <w:rPr>
          <w:rFonts w:hint="eastAsia" w:ascii="宋体" w:hAnsi="宋体"/>
          <w:kern w:val="0"/>
          <w:sz w:val="30"/>
          <w:szCs w:val="30"/>
        </w:rPr>
        <w:t>根据学校的具体情况，广汉市连山镇松林学校制定了《广汉市连山镇松林学校内部控制制度》，进一步完善了财务收支审批制度、会计工作人员岗位制度等相关制度，相关工作人员在工作中严格执行规章制度，加强了内部监督和控制，加强了对学校资产的监督和管理，财务运行透明，按照财政局的要求，广汉市连山镇松林学校及时对预算和决算信息进行公开，接受广大人民群众的监督。</w:t>
      </w:r>
    </w:p>
    <w:p>
      <w:pPr>
        <w:spacing w:line="580" w:lineRule="exact"/>
        <w:ind w:firstLine="600" w:firstLineChars="200"/>
        <w:rPr>
          <w:rFonts w:hint="eastAsia" w:ascii="宋体" w:hAnsi="宋体"/>
          <w:sz w:val="30"/>
          <w:szCs w:val="30"/>
        </w:rPr>
      </w:pPr>
      <w:r>
        <w:rPr>
          <w:rFonts w:hint="eastAsia" w:ascii="宋体" w:hAnsi="宋体"/>
          <w:kern w:val="0"/>
          <w:sz w:val="30"/>
          <w:szCs w:val="30"/>
        </w:rPr>
        <w:t>广汉市连山镇松林学校</w:t>
      </w:r>
      <w:r>
        <w:rPr>
          <w:rFonts w:hint="eastAsia" w:ascii="宋体" w:hAnsi="宋体"/>
          <w:sz w:val="30"/>
          <w:szCs w:val="30"/>
        </w:rPr>
        <w:t>以党的教育方针和</w:t>
      </w:r>
      <w:r>
        <w:rPr>
          <w:rFonts w:hint="eastAsia" w:ascii="宋体" w:hAnsi="宋体"/>
          <w:sz w:val="30"/>
          <w:szCs w:val="30"/>
          <w:lang w:val="en-US" w:eastAsia="zh-CN"/>
        </w:rPr>
        <w:t>党的</w:t>
      </w:r>
      <w:bookmarkStart w:id="73" w:name="_GoBack"/>
      <w:bookmarkEnd w:id="73"/>
      <w:r>
        <w:rPr>
          <w:rFonts w:hint="eastAsia" w:ascii="宋体" w:hAnsi="宋体"/>
          <w:sz w:val="30"/>
          <w:szCs w:val="30"/>
        </w:rPr>
        <w:t>十九大精神为指导，以广汉市教育局工作要点为依据，把思想统一到以人为本上，做到再提升；把精力集中到提高教育质量上，做到再强化；把力量凝聚到教育均衡发展上，做到再攻坚；把着力点放到作风转变上，做到更务实，攻坚克难，努力办好人民满意教育。把“立德树人”作为教育的根本任务，以“提升学校教育质量、提升师生综合素质、提升学校内涵品质、凸显学校办学特色”为工作目标，深入推进校园文化建设、教师素质提升工程的重点工作，全面提高学校的综合实力和办学水平。</w:t>
      </w:r>
    </w:p>
    <w:p>
      <w:pPr>
        <w:spacing w:line="580" w:lineRule="exact"/>
        <w:ind w:firstLine="600" w:firstLineChars="200"/>
        <w:rPr>
          <w:rFonts w:hint="eastAsia" w:ascii="宋体" w:hAnsi="宋体"/>
          <w:kern w:val="0"/>
          <w:sz w:val="30"/>
          <w:szCs w:val="30"/>
        </w:rPr>
      </w:pPr>
      <w:r>
        <w:rPr>
          <w:rFonts w:hint="eastAsia" w:ascii="宋体" w:hAnsi="宋体"/>
          <w:kern w:val="0"/>
          <w:sz w:val="30"/>
          <w:szCs w:val="30"/>
        </w:rPr>
        <w:t>广汉市连山镇松林学校2019年完成了323名困难寄宿生生活补助，完成了955名适龄儿童九年义务教育任务，参与乡村教师网络研修88人，义务教育巩固率100%，校园文化建设进一步提高，提升了学校、教师社会影响力。</w:t>
      </w:r>
    </w:p>
    <w:p>
      <w:pPr>
        <w:autoSpaceDE w:val="0"/>
        <w:autoSpaceDN w:val="0"/>
        <w:adjustRightInd w:val="0"/>
        <w:spacing w:line="580" w:lineRule="exact"/>
        <w:ind w:firstLine="600" w:firstLineChars="200"/>
        <w:jc w:val="left"/>
        <w:rPr>
          <w:rFonts w:ascii="宋体" w:hAnsi="宋体"/>
          <w:kern w:val="0"/>
          <w:sz w:val="30"/>
          <w:szCs w:val="30"/>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spacing w:line="580" w:lineRule="exact"/>
        <w:ind w:firstLine="600" w:firstLineChars="200"/>
        <w:rPr>
          <w:rFonts w:hint="eastAsia" w:ascii="宋体" w:hAnsi="宋体"/>
          <w:kern w:val="0"/>
          <w:sz w:val="30"/>
          <w:szCs w:val="30"/>
        </w:rPr>
      </w:pPr>
      <w:r>
        <w:rPr>
          <w:rFonts w:hint="eastAsia" w:ascii="宋体" w:hAnsi="宋体"/>
          <w:kern w:val="0"/>
          <w:sz w:val="30"/>
          <w:szCs w:val="30"/>
        </w:rPr>
        <w:t>广汉市连山镇松林学校在预算编制、预算执行和支出绩效方面，都按照规定严格执行，合理安排支出，无追加预算现象发生，使财政资金发挥最大效益。</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widowControl/>
        <w:adjustRightInd w:val="0"/>
        <w:snapToGrid w:val="0"/>
        <w:spacing w:line="580" w:lineRule="exact"/>
        <w:ind w:firstLine="600" w:firstLineChars="200"/>
        <w:contextualSpacing/>
        <w:jc w:val="left"/>
        <w:rPr>
          <w:rFonts w:ascii="仿宋_GB2312" w:hAnsi="宋体" w:eastAsia="仿宋_GB2312" w:cs="宋体"/>
          <w:color w:val="000000"/>
          <w:kern w:val="0"/>
          <w:sz w:val="30"/>
          <w:szCs w:val="30"/>
          <w:shd w:val="clear" w:color="auto" w:fill="FFFFFF"/>
          <w:lang w:val="zh-CN"/>
        </w:rPr>
      </w:pPr>
      <w:r>
        <w:rPr>
          <w:rFonts w:hint="eastAsia" w:ascii="宋体" w:hAnsi="宋体"/>
          <w:kern w:val="0"/>
          <w:sz w:val="30"/>
          <w:szCs w:val="30"/>
        </w:rPr>
        <w:t>预算编制细化程度不够。</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spacing w:line="580" w:lineRule="exact"/>
        <w:ind w:firstLine="600" w:firstLineChars="200"/>
        <w:rPr>
          <w:rFonts w:hint="eastAsia" w:ascii="宋体" w:hAnsi="宋体"/>
          <w:kern w:val="0"/>
          <w:sz w:val="30"/>
          <w:szCs w:val="30"/>
        </w:rPr>
      </w:pPr>
      <w:r>
        <w:rPr>
          <w:rFonts w:hint="eastAsia" w:ascii="宋体" w:hAnsi="宋体"/>
          <w:kern w:val="0"/>
          <w:sz w:val="30"/>
          <w:szCs w:val="30"/>
        </w:rPr>
        <w:t>广汉市连山镇松林学校将进一步重视预算编制工作，提高预算编制的精确度，尽量减少结转结余额度。学校需要进一步加强财务管理，严格财务审核，控制超支现象发生。</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rPr>
        <w:t>松林镇学校</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utoSpaceDE w:val="0"/>
        <w:autoSpaceDN w:val="0"/>
        <w:adjustRightInd w:val="0"/>
        <w:spacing w:line="580" w:lineRule="exact"/>
        <w:ind w:firstLine="600" w:firstLineChars="200"/>
        <w:jc w:val="left"/>
        <w:rPr>
          <w:rFonts w:ascii="楷体_GB2312" w:eastAsia="楷体_GB2312"/>
          <w:sz w:val="30"/>
          <w:szCs w:val="30"/>
        </w:rPr>
      </w:pPr>
      <w:r>
        <w:rPr>
          <w:rFonts w:hint="eastAsia" w:ascii="楷体_GB2312" w:eastAsia="楷体_GB2312"/>
          <w:sz w:val="30"/>
          <w:szCs w:val="30"/>
        </w:rPr>
        <w:t>2019年下达项目资金文件，川财教（2019）7号，2019年中央专项彩票公益金支持项目村学校少年宫项目。下达专项资金5.00万元，用于中小学校少年宫全面改善贫困地区义务教育薄弱学校基本办学条件。</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autoSpaceDE w:val="0"/>
        <w:autoSpaceDN w:val="0"/>
        <w:adjustRightInd w:val="0"/>
        <w:spacing w:line="580" w:lineRule="exact"/>
        <w:ind w:firstLine="600" w:firstLineChars="200"/>
        <w:jc w:val="left"/>
        <w:rPr>
          <w:rFonts w:hint="eastAsia" w:ascii="楷体_GB2312" w:eastAsia="楷体_GB2312"/>
          <w:sz w:val="30"/>
          <w:szCs w:val="30"/>
        </w:rPr>
      </w:pPr>
      <w:r>
        <w:rPr>
          <w:rFonts w:hint="eastAsia" w:ascii="楷体_GB2312" w:eastAsia="楷体_GB2312"/>
          <w:sz w:val="30"/>
          <w:szCs w:val="30"/>
        </w:rPr>
        <w:t>按照《行政事业单位会计制度》及专项资金管理办法的规定，明确了专项资金的使用范围及管理核算要求，始终坚持专款专用、专户管理、专账核算。用于开办了乡村学校少年宫的单位申报此项目资金。资金为加强财务管理，提高资金使用效益，加强教育系统内部会计监督，提高会计信息质量。</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3．资金管理办法制定情况，资金支持具体项目的条件、范围与支持方式概况。</w:t>
      </w:r>
    </w:p>
    <w:p>
      <w:pPr>
        <w:autoSpaceDE w:val="0"/>
        <w:autoSpaceDN w:val="0"/>
        <w:adjustRightInd w:val="0"/>
        <w:spacing w:line="580" w:lineRule="exact"/>
        <w:ind w:firstLine="600" w:firstLineChars="200"/>
        <w:jc w:val="left"/>
        <w:rPr>
          <w:rFonts w:hint="eastAsia" w:ascii="仿宋_GB2312" w:eastAsia="仿宋_GB2312"/>
          <w:sz w:val="30"/>
          <w:szCs w:val="30"/>
        </w:rPr>
      </w:pPr>
      <w:r>
        <w:rPr>
          <w:rFonts w:hint="eastAsia" w:ascii="仿宋_GB2312" w:eastAsia="仿宋_GB2312"/>
          <w:sz w:val="30"/>
          <w:szCs w:val="30"/>
        </w:rPr>
        <w:t>1.项目资金年度预算、实际执行、执行率情况（含预算调整情况，项目资金结余结转）</w:t>
      </w:r>
    </w:p>
    <w:p>
      <w:pPr>
        <w:autoSpaceDE w:val="0"/>
        <w:autoSpaceDN w:val="0"/>
        <w:adjustRightInd w:val="0"/>
        <w:spacing w:line="580" w:lineRule="exact"/>
        <w:ind w:firstLine="600" w:firstLineChars="200"/>
        <w:jc w:val="left"/>
        <w:rPr>
          <w:rFonts w:ascii="仿宋_GB2312" w:eastAsia="仿宋_GB2312"/>
          <w:sz w:val="30"/>
          <w:szCs w:val="30"/>
        </w:rPr>
      </w:pPr>
      <w:r>
        <w:rPr>
          <w:rFonts w:hint="eastAsia" w:ascii="仿宋_GB2312" w:eastAsia="仿宋_GB2312"/>
          <w:sz w:val="30"/>
          <w:szCs w:val="30"/>
        </w:rPr>
        <w:t>上级下达的专项资金均按照资金跟着项目走的原则规范使用。2019年使用资金5.00万元。</w:t>
      </w:r>
    </w:p>
    <w:p>
      <w:pPr>
        <w:autoSpaceDE w:val="0"/>
        <w:autoSpaceDN w:val="0"/>
        <w:adjustRightInd w:val="0"/>
        <w:spacing w:line="580" w:lineRule="exact"/>
        <w:ind w:firstLine="600" w:firstLineChars="200"/>
        <w:jc w:val="left"/>
        <w:rPr>
          <w:rFonts w:hint="eastAsia" w:ascii="仿宋_GB2312" w:eastAsia="仿宋_GB2312"/>
          <w:sz w:val="30"/>
          <w:szCs w:val="30"/>
        </w:rPr>
      </w:pPr>
      <w:r>
        <w:rPr>
          <w:rFonts w:hint="eastAsia" w:ascii="仿宋_GB2312" w:eastAsia="仿宋_GB2312"/>
          <w:sz w:val="30"/>
          <w:szCs w:val="30"/>
        </w:rPr>
        <w:t>2.评价点位资金到位（如有配套资金，一并说明）及使用情况</w:t>
      </w:r>
    </w:p>
    <w:p>
      <w:pPr>
        <w:autoSpaceDE w:val="0"/>
        <w:autoSpaceDN w:val="0"/>
        <w:adjustRightInd w:val="0"/>
        <w:spacing w:line="580" w:lineRule="exact"/>
        <w:ind w:firstLine="600" w:firstLineChars="200"/>
        <w:jc w:val="left"/>
        <w:rPr>
          <w:rFonts w:ascii="仿宋_GB2312" w:eastAsia="仿宋_GB2312"/>
          <w:sz w:val="30"/>
          <w:szCs w:val="30"/>
        </w:rPr>
      </w:pPr>
      <w:r>
        <w:rPr>
          <w:rFonts w:hint="eastAsia" w:ascii="仿宋_GB2312" w:eastAsia="仿宋_GB2312"/>
          <w:sz w:val="30"/>
          <w:szCs w:val="30"/>
        </w:rPr>
        <w:t>川财教（2019）7号，2019年中央专项彩票公益金支持项目村学校少年宫项目，下达专项资金5.00万元。</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4．资金分配的原则及考虑因素。</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主要用于添置少年宫活动设备和补充少年宫活动耗材及用品。</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添置少年宫活动设备和补充少年宫活动耗材及用品。</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2．项目应实现的具体绩效目标，包括目标的量化、细化情况以及项目实施进度计划等。</w:t>
      </w:r>
    </w:p>
    <w:p>
      <w:pPr>
        <w:adjustRightInd w:val="0"/>
        <w:snapToGrid w:val="0"/>
        <w:spacing w:line="600" w:lineRule="exact"/>
        <w:ind w:firstLine="720"/>
        <w:rPr>
          <w:rFonts w:hint="eastAsia" w:ascii="仿宋_GB2312" w:hAnsi="宋体" w:eastAsia="仿宋_GB2312"/>
          <w:sz w:val="30"/>
          <w:szCs w:val="30"/>
          <w:lang w:val="zh-CN"/>
        </w:rPr>
      </w:pPr>
      <w:r>
        <w:rPr>
          <w:rFonts w:hint="eastAsia" w:ascii="宋体" w:hAnsi="宋体" w:cs="宋体"/>
          <w:color w:val="000000"/>
          <w:sz w:val="30"/>
          <w:szCs w:val="30"/>
        </w:rPr>
        <w:t>改善少年宫活动条件，丰富少年宫活动内容，丰富和提高师生文化及艺体素养</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3．分析评价申报内容是否与实际相符，申报目标是否合理可行。</w:t>
      </w:r>
    </w:p>
    <w:p>
      <w:pPr>
        <w:adjustRightInd w:val="0"/>
        <w:snapToGrid w:val="0"/>
        <w:spacing w:line="600" w:lineRule="exact"/>
        <w:ind w:firstLine="720"/>
        <w:rPr>
          <w:rFonts w:hint="eastAsia" w:ascii="仿宋_GB2312" w:hAnsi="宋体" w:eastAsia="仿宋_GB2312"/>
          <w:sz w:val="30"/>
          <w:szCs w:val="30"/>
          <w:lang w:val="zh-CN"/>
        </w:rPr>
      </w:pPr>
      <w:r>
        <w:rPr>
          <w:rFonts w:hint="eastAsia" w:ascii="宋体" w:hAnsi="宋体" w:cs="宋体"/>
          <w:color w:val="000000"/>
          <w:sz w:val="30"/>
          <w:szCs w:val="30"/>
        </w:rPr>
        <w:t>改善了少年宫活动条件，丰富了少年宫活动内容，丰富和提高了师生文化及艺体素养。</w:t>
      </w:r>
    </w:p>
    <w:p>
      <w:pPr>
        <w:adjustRightInd w:val="0"/>
        <w:snapToGrid w:val="0"/>
        <w:spacing w:line="600" w:lineRule="exact"/>
        <w:ind w:firstLine="720"/>
        <w:rPr>
          <w:rFonts w:ascii="仿宋_GB2312" w:hAnsi="宋体" w:eastAsia="仿宋_GB2312"/>
          <w:sz w:val="32"/>
          <w:szCs w:val="32"/>
          <w:lang w:val="zh-CN"/>
        </w:rPr>
      </w:pP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hint="eastAsia" w:ascii="楷体_GB2312" w:hAnsi="宋体" w:eastAsia="楷体_GB2312"/>
          <w:sz w:val="32"/>
          <w:szCs w:val="32"/>
          <w:lang w:val="zh-CN"/>
        </w:rPr>
      </w:pPr>
      <w:r>
        <w:rPr>
          <w:rFonts w:hint="eastAsia" w:ascii="楷体_GB2312" w:hAnsi="宋体" w:eastAsia="楷体_GB2312"/>
          <w:sz w:val="32"/>
          <w:szCs w:val="32"/>
          <w:lang w:val="zh-CN"/>
        </w:rPr>
        <w:t>1．资金计划。</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添置少年宫活动设备和补充少年宫活动耗材及用品。</w:t>
      </w:r>
    </w:p>
    <w:p>
      <w:pPr>
        <w:adjustRightInd w:val="0"/>
        <w:snapToGrid w:val="0"/>
        <w:spacing w:line="600" w:lineRule="exact"/>
        <w:ind w:firstLine="720"/>
        <w:rPr>
          <w:rFonts w:hint="eastAsia" w:ascii="楷体_GB2312" w:hAnsi="宋体" w:eastAsia="楷体_GB2312"/>
          <w:sz w:val="32"/>
          <w:szCs w:val="32"/>
          <w:lang w:val="zh-CN"/>
        </w:rPr>
      </w:pPr>
      <w:r>
        <w:rPr>
          <w:rFonts w:hint="eastAsia" w:ascii="楷体_GB2312" w:hAnsi="宋体" w:eastAsia="楷体_GB2312"/>
          <w:sz w:val="32"/>
          <w:szCs w:val="32"/>
          <w:lang w:val="zh-CN"/>
        </w:rPr>
        <w:t>2．资金到位。</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资金到位率100%、到位及时。</w:t>
      </w:r>
    </w:p>
    <w:p>
      <w:pPr>
        <w:adjustRightInd w:val="0"/>
        <w:snapToGrid w:val="0"/>
        <w:spacing w:line="600" w:lineRule="exact"/>
        <w:ind w:firstLine="720"/>
        <w:rPr>
          <w:rFonts w:hint="eastAsia" w:ascii="楷体_GB2312" w:hAnsi="宋体" w:eastAsia="楷体_GB2312"/>
          <w:sz w:val="32"/>
          <w:szCs w:val="32"/>
          <w:lang w:val="zh-CN"/>
        </w:rPr>
      </w:pPr>
      <w:r>
        <w:rPr>
          <w:rFonts w:hint="eastAsia" w:ascii="楷体_GB2312" w:hAnsi="宋体" w:eastAsia="楷体_GB2312"/>
          <w:sz w:val="32"/>
          <w:szCs w:val="32"/>
          <w:lang w:val="zh-CN"/>
        </w:rPr>
        <w:t>3．资金使用。</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资金使用规范及有效，资金支付范围、支付标准、支付进度、支付依据等合规合法、与预算相符。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我校财务管理制度健全，严格执行财务管理制度，账务处理及时，会计核算规范。</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楷体_GB2312" w:hAnsi="宋体" w:eastAsia="楷体_GB2312"/>
          <w:sz w:val="32"/>
          <w:szCs w:val="32"/>
          <w:lang w:val="zh-CN"/>
        </w:rPr>
      </w:pPr>
      <w:r>
        <w:rPr>
          <w:rFonts w:hint="eastAsia" w:ascii="楷体_GB2312" w:hAnsi="宋体" w:eastAsia="楷体_GB2312"/>
          <w:sz w:val="32"/>
          <w:szCs w:val="32"/>
          <w:lang w:val="zh-CN"/>
        </w:rPr>
        <w:t>学校实施采购，财政根据学校项目支出实行支付。</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（二）项目管理情况。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学校少年宫专款专用。</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（三）项目监管情况。</w:t>
      </w:r>
    </w:p>
    <w:p>
      <w:pPr>
        <w:adjustRightInd w:val="0"/>
        <w:snapToGrid w:val="0"/>
        <w:spacing w:line="600" w:lineRule="exact"/>
        <w:ind w:firstLine="720"/>
        <w:rPr>
          <w:rFonts w:hint="eastAsia" w:ascii="楷体_GB2312" w:hAnsi="宋体" w:eastAsia="楷体_GB2312"/>
          <w:sz w:val="32"/>
          <w:szCs w:val="32"/>
          <w:lang w:val="zh-CN"/>
        </w:rPr>
      </w:pPr>
      <w:r>
        <w:rPr>
          <w:rFonts w:hint="eastAsia" w:ascii="楷体_GB2312" w:hAnsi="宋体" w:eastAsia="楷体_GB2312"/>
          <w:sz w:val="32"/>
          <w:szCs w:val="32"/>
          <w:lang w:val="zh-CN"/>
        </w:rPr>
        <w:t>学校少年宫专项审计。</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项目完成目标，质量标准、进度计划、成本控制目标的都符合要求。</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0"/>
          <w:szCs w:val="30"/>
          <w:lang w:val="zh-CN"/>
        </w:rPr>
      </w:pPr>
      <w:r>
        <w:rPr>
          <w:rFonts w:hint="eastAsia" w:ascii="宋体" w:hAnsi="宋体" w:cs="宋体"/>
          <w:color w:val="000000"/>
          <w:sz w:val="30"/>
          <w:szCs w:val="30"/>
        </w:rPr>
        <w:t>改善了少年宫活动条件，丰富了少年宫活动内容，丰富和提高了师生文化及艺体素养。</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720"/>
        <w:rPr>
          <w:rFonts w:hint="eastAsia" w:ascii="仿宋_GB2312" w:hAnsi="宋体" w:eastAsia="仿宋_GB2312"/>
          <w:sz w:val="30"/>
          <w:szCs w:val="30"/>
          <w:lang w:val="zh-CN"/>
        </w:rPr>
      </w:pPr>
      <w:r>
        <w:rPr>
          <w:rFonts w:hint="eastAsia" w:ascii="宋体" w:hAnsi="宋体" w:cs="宋体"/>
          <w:color w:val="000000"/>
          <w:sz w:val="30"/>
          <w:szCs w:val="30"/>
        </w:rPr>
        <w:t>改善了少年宫活动条件，丰富了少年宫活动内容，丰富和提高了师生文化及艺体素养。</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utoSpaceDE w:val="0"/>
        <w:autoSpaceDN w:val="0"/>
        <w:adjustRightInd w:val="0"/>
        <w:spacing w:line="580" w:lineRule="exact"/>
        <w:ind w:firstLine="600" w:firstLineChars="200"/>
        <w:jc w:val="left"/>
        <w:rPr>
          <w:rFonts w:ascii="宋体" w:hAnsi="宋体" w:cs="黑体"/>
          <w:kern w:val="0"/>
          <w:sz w:val="30"/>
          <w:szCs w:val="30"/>
        </w:rPr>
      </w:pPr>
      <w:r>
        <w:rPr>
          <w:rFonts w:hint="eastAsia" w:ascii="仿宋_GB2312" w:hAnsi="宋体" w:eastAsia="仿宋_GB2312"/>
          <w:sz w:val="30"/>
          <w:szCs w:val="30"/>
          <w:lang w:val="zh-CN"/>
        </w:rPr>
        <w:tab/>
      </w:r>
      <w:r>
        <w:rPr>
          <w:rFonts w:hint="eastAsia" w:ascii="宋体" w:hAnsi="宋体" w:cs="黑体"/>
          <w:kern w:val="0"/>
          <w:sz w:val="30"/>
          <w:szCs w:val="30"/>
        </w:rPr>
        <w:t>乡村教育资源短缺、学位不足，部分农村学校和教学点比较薄弱，城乡教育资源不均衡。</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utoSpaceDE w:val="0"/>
        <w:autoSpaceDN w:val="0"/>
        <w:adjustRightInd w:val="0"/>
        <w:spacing w:line="580" w:lineRule="exact"/>
        <w:ind w:firstLine="600" w:firstLineChars="200"/>
        <w:jc w:val="left"/>
        <w:rPr>
          <w:rFonts w:ascii="宋体" w:hAnsi="宋体" w:cs="黑体"/>
          <w:kern w:val="0"/>
          <w:sz w:val="30"/>
          <w:szCs w:val="30"/>
        </w:rPr>
      </w:pPr>
      <w:r>
        <w:rPr>
          <w:rFonts w:hint="eastAsia" w:ascii="宋体" w:hAnsi="宋体" w:cs="黑体"/>
          <w:kern w:val="0"/>
          <w:sz w:val="30"/>
          <w:szCs w:val="30"/>
        </w:rPr>
        <w:t>需要进一步改善教育办学条件，加强学校基础设施建设。</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24"/>
          <w:rFonts w:ascii="黑体" w:hAnsi="黑体" w:eastAsia="黑体"/>
          <w:b w:val="0"/>
        </w:rPr>
      </w:pPr>
    </w:p>
    <w:p>
      <w:pPr>
        <w:widowControl/>
        <w:jc w:val="left"/>
        <w:rPr>
          <w:rStyle w:val="24"/>
          <w:rFonts w:ascii="黑体" w:hAnsi="黑体" w:eastAsia="黑体"/>
          <w:b w:val="0"/>
        </w:rPr>
      </w:pPr>
      <w:r>
        <w:rPr>
          <w:rStyle w:val="24"/>
          <w:rFonts w:ascii="黑体" w:hAnsi="黑体" w:eastAsia="黑体"/>
          <w:b w:val="0"/>
        </w:rPr>
        <w:br w:type="page"/>
      </w:r>
    </w:p>
    <w:p>
      <w:pPr>
        <w:spacing w:line="600" w:lineRule="exact"/>
        <w:jc w:val="center"/>
        <w:outlineLvl w:val="0"/>
        <w:rPr>
          <w:rStyle w:val="24"/>
          <w:rFonts w:ascii="黑体" w:hAnsi="黑体" w:eastAsia="黑体"/>
          <w:b w:val="0"/>
        </w:rPr>
      </w:pPr>
    </w:p>
    <w:p>
      <w:pPr>
        <w:spacing w:line="600" w:lineRule="exact"/>
        <w:jc w:val="center"/>
        <w:outlineLvl w:val="0"/>
        <w:rPr>
          <w:rStyle w:val="24"/>
          <w:rFonts w:ascii="黑体" w:hAnsi="黑体" w:eastAsia="黑体"/>
          <w:b w:val="0"/>
        </w:rPr>
      </w:pPr>
      <w:bookmarkStart w:id="59" w:name="_Toc15396618"/>
      <w:r>
        <w:rPr>
          <w:rFonts w:hint="eastAsia" w:ascii="黑体" w:hAnsi="黑体" w:eastAsia="黑体"/>
          <w:color w:val="000000"/>
          <w:sz w:val="44"/>
          <w:szCs w:val="44"/>
        </w:rPr>
        <w:t>第</w:t>
      </w:r>
      <w:r>
        <w:rPr>
          <w:rStyle w:val="24"/>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5"/>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5"/>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5"/>
          <w:rFonts w:hint="eastAsia" w:ascii="仿宋" w:hAnsi="仿宋" w:eastAsia="仿宋"/>
          <w:b w:val="0"/>
          <w:bCs w:val="0"/>
        </w:rPr>
        <w:t>三、</w:t>
      </w:r>
      <w:r>
        <w:rPr>
          <w:rFonts w:hint="eastAsia" w:ascii="仿宋" w:hAnsi="仿宋" w:eastAsia="仿宋"/>
          <w:b w:val="0"/>
          <w:color w:val="000000"/>
        </w:rPr>
        <w:t>支</w:t>
      </w:r>
      <w:r>
        <w:rPr>
          <w:rStyle w:val="25"/>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5"/>
          <w:rFonts w:hint="eastAsia" w:ascii="仿宋" w:hAnsi="仿宋" w:eastAsia="仿宋"/>
          <w:b w:val="0"/>
          <w:bCs w:val="0"/>
        </w:rPr>
        <w:t>四、</w:t>
      </w:r>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63"/>
    </w:p>
    <w:p>
      <w:pPr>
        <w:pStyle w:val="3"/>
        <w:rPr>
          <w:rStyle w:val="25"/>
          <w:rFonts w:ascii="仿宋" w:hAnsi="仿宋" w:eastAsia="仿宋"/>
          <w:b w:val="0"/>
          <w:bCs w:val="0"/>
        </w:rPr>
      </w:pPr>
      <w:bookmarkStart w:id="64" w:name="_Toc15396623"/>
      <w:r>
        <w:rPr>
          <w:rStyle w:val="25"/>
          <w:rFonts w:hint="eastAsia" w:ascii="仿宋" w:hAnsi="仿宋" w:eastAsia="仿宋"/>
          <w:b w:val="0"/>
          <w:bCs w:val="0"/>
        </w:rPr>
        <w:t>五、</w:t>
      </w:r>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5"/>
          <w:rFonts w:hint="eastAsia" w:ascii="仿宋" w:hAnsi="仿宋" w:eastAsia="仿宋"/>
          <w:b w:val="0"/>
          <w:bCs w:val="0"/>
        </w:rPr>
        <w:t>六、</w:t>
      </w: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5"/>
          <w:rFonts w:hint="eastAsia" w:ascii="仿宋" w:hAnsi="仿宋" w:eastAsia="仿宋"/>
          <w:b w:val="0"/>
          <w:bCs w:val="0"/>
        </w:rPr>
        <w:t>七、</w:t>
      </w:r>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5"/>
          <w:rFonts w:hint="eastAsia" w:ascii="仿宋" w:hAnsi="仿宋" w:eastAsia="仿宋"/>
          <w:b w:val="0"/>
          <w:bCs w:val="0"/>
        </w:rPr>
        <w:t>八、</w:t>
      </w:r>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5"/>
          <w:rFonts w:hint="eastAsia" w:ascii="仿宋" w:hAnsi="仿宋" w:eastAsia="仿宋"/>
          <w:b w:val="0"/>
          <w:bCs w:val="0"/>
        </w:rPr>
        <w:t>九、</w:t>
      </w:r>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5"/>
          <w:rFonts w:hint="eastAsia" w:ascii="仿宋" w:hAnsi="仿宋" w:eastAsia="仿宋"/>
          <w:b w:val="0"/>
          <w:bCs w:val="0"/>
        </w:rPr>
        <w:t>十、</w:t>
      </w:r>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5"/>
          <w:rFonts w:hint="eastAsia" w:ascii="仿宋" w:hAnsi="仿宋" w:eastAsia="仿宋"/>
          <w:b w:val="0"/>
          <w:bCs w:val="0"/>
        </w:rPr>
        <w:t>十一、</w:t>
      </w:r>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5"/>
          <w:rFonts w:hint="eastAsia" w:ascii="仿宋" w:hAnsi="仿宋" w:eastAsia="仿宋"/>
          <w:b w:val="0"/>
          <w:bCs w:val="0"/>
        </w:rPr>
        <w:t>十二、</w:t>
      </w:r>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14:textFill>
            <w14:solidFill>
              <w14:schemeClr w14:val="tx1"/>
            </w14:solidFill>
          </w14:textFill>
        </w:rPr>
      </w:pPr>
      <w:bookmarkStart w:id="72" w:name="_Toc15396631"/>
      <w:r>
        <w:rPr>
          <w:rStyle w:val="25"/>
          <w:rFonts w:hint="eastAsia" w:ascii="仿宋" w:hAnsi="仿宋" w:eastAsia="仿宋"/>
          <w:b w:val="0"/>
          <w:bCs w:val="0"/>
        </w:rPr>
        <w:t>十三、</w:t>
      </w:r>
      <w:r>
        <w:rPr>
          <w:rFonts w:hint="eastAsia" w:ascii="仿宋" w:hAnsi="仿宋" w:eastAsia="仿宋"/>
          <w:b w:val="0"/>
          <w:color w:val="000000"/>
        </w:rPr>
        <w:t>国</w:t>
      </w:r>
      <w:r>
        <w:rPr>
          <w:rStyle w:val="25"/>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0000000"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altName w:val="汉仪书宋二KW"/>
    <w:panose1 w:val="02010601030101010101"/>
    <w:charset w:val="86"/>
    <w:family w:val="auto"/>
    <w:pitch w:val="default"/>
    <w:sig w:usb0="00000000" w:usb1="00000000" w:usb2="00000010" w:usb3="00000000" w:csb0="00040000" w:csb1="00000000"/>
  </w:font>
  <w:font w:name="Arial">
    <w:panose1 w:val="020B0704020202090204"/>
    <w:charset w:val="00"/>
    <w:family w:val="swiss"/>
    <w:pitch w:val="default"/>
    <w:sig w:usb0="E0000AFF" w:usb1="00007843" w:usb2="00000001" w:usb3="00000000" w:csb0="400001BF" w:csb1="DFF70000"/>
  </w:font>
  <w:font w:name="楷体_GB2312">
    <w:altName w:val="汉仪楷体简"/>
    <w:panose1 w:val="00000000000000000000"/>
    <w:charset w:val="86"/>
    <w:family w:val="modern"/>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CFB" w:usb2="00000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8"/>
          <w:jc w:val="center"/>
        </w:pPr>
        <w:r>
          <w:fldChar w:fldCharType="begin"/>
        </w:r>
        <w:r>
          <w:instrText xml:space="preserve">PAGE   \* MERGEFORMAT</w:instrText>
        </w:r>
        <w:r>
          <w:fldChar w:fldCharType="separate"/>
        </w:r>
        <w:r>
          <w:rPr>
            <w:lang w:val="zh-CN"/>
          </w:rPr>
          <w:t>25</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6E340FF7"/>
    <w:multiLevelType w:val="multilevel"/>
    <w:tmpl w:val="6E340FF7"/>
    <w:lvl w:ilvl="0" w:tentative="0">
      <w:start w:val="1"/>
      <w:numFmt w:val="none"/>
      <w:lvlText w:val="一、"/>
      <w:lvlJc w:val="left"/>
      <w:pPr>
        <w:ind w:left="900" w:hanging="4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753D6949"/>
    <w:multiLevelType w:val="multilevel"/>
    <w:tmpl w:val="753D6949"/>
    <w:lvl w:ilvl="0" w:tentative="0">
      <w:start w:val="1"/>
      <w:numFmt w:val="japaneseCounting"/>
      <w:lvlText w:val="%1、"/>
      <w:lvlJc w:val="left"/>
      <w:pPr>
        <w:ind w:left="900" w:hanging="4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97817"/>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0362"/>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7054D"/>
    <w:rsid w:val="00280496"/>
    <w:rsid w:val="00294DC9"/>
    <w:rsid w:val="00295495"/>
    <w:rsid w:val="002A31DE"/>
    <w:rsid w:val="002B2613"/>
    <w:rsid w:val="002D19B0"/>
    <w:rsid w:val="002D6D05"/>
    <w:rsid w:val="002F1818"/>
    <w:rsid w:val="002F567B"/>
    <w:rsid w:val="00316B8F"/>
    <w:rsid w:val="003216A9"/>
    <w:rsid w:val="00335A74"/>
    <w:rsid w:val="0036561B"/>
    <w:rsid w:val="0037013F"/>
    <w:rsid w:val="00380C92"/>
    <w:rsid w:val="003A4346"/>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43BD"/>
    <w:rsid w:val="00505A47"/>
    <w:rsid w:val="00512FDA"/>
    <w:rsid w:val="00520DA0"/>
    <w:rsid w:val="005664BB"/>
    <w:rsid w:val="00566FFA"/>
    <w:rsid w:val="0057149D"/>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07ECD"/>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96DE2"/>
    <w:rsid w:val="00697F65"/>
    <w:rsid w:val="006A3141"/>
    <w:rsid w:val="006A5E34"/>
    <w:rsid w:val="006B2422"/>
    <w:rsid w:val="006B2B9A"/>
    <w:rsid w:val="006C1937"/>
    <w:rsid w:val="006E2C9C"/>
    <w:rsid w:val="006F020C"/>
    <w:rsid w:val="007127B7"/>
    <w:rsid w:val="0071798E"/>
    <w:rsid w:val="00727533"/>
    <w:rsid w:val="00733AA8"/>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2C81"/>
    <w:rsid w:val="007F55FC"/>
    <w:rsid w:val="007F5665"/>
    <w:rsid w:val="00800112"/>
    <w:rsid w:val="008110A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2B1F"/>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46B3F"/>
    <w:rsid w:val="00951248"/>
    <w:rsid w:val="0095152F"/>
    <w:rsid w:val="00954C49"/>
    <w:rsid w:val="009551AC"/>
    <w:rsid w:val="00955E37"/>
    <w:rsid w:val="0097099F"/>
    <w:rsid w:val="00971997"/>
    <w:rsid w:val="00971FFC"/>
    <w:rsid w:val="0098660A"/>
    <w:rsid w:val="00987415"/>
    <w:rsid w:val="009931C3"/>
    <w:rsid w:val="009B2C43"/>
    <w:rsid w:val="009B4EAE"/>
    <w:rsid w:val="009B7573"/>
    <w:rsid w:val="009C22F4"/>
    <w:rsid w:val="009C2E98"/>
    <w:rsid w:val="009C3735"/>
    <w:rsid w:val="009C37FB"/>
    <w:rsid w:val="009D3447"/>
    <w:rsid w:val="009D35B1"/>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858C8"/>
    <w:rsid w:val="00A91760"/>
    <w:rsid w:val="00A93B00"/>
    <w:rsid w:val="00A93C21"/>
    <w:rsid w:val="00AB01E7"/>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93FB1"/>
    <w:rsid w:val="00DA634F"/>
    <w:rsid w:val="00DA65AC"/>
    <w:rsid w:val="00DB1913"/>
    <w:rsid w:val="00DC410D"/>
    <w:rsid w:val="00DC5A81"/>
    <w:rsid w:val="00DC68CA"/>
    <w:rsid w:val="00DC7CBA"/>
    <w:rsid w:val="00DD73B7"/>
    <w:rsid w:val="00DE6025"/>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2FE4"/>
    <w:rsid w:val="00F36D8F"/>
    <w:rsid w:val="00F417B1"/>
    <w:rsid w:val="00F45853"/>
    <w:rsid w:val="00F5781A"/>
    <w:rsid w:val="00F602DF"/>
    <w:rsid w:val="00F754A1"/>
    <w:rsid w:val="00F81FD9"/>
    <w:rsid w:val="00F841AA"/>
    <w:rsid w:val="00F84A94"/>
    <w:rsid w:val="00F87E96"/>
    <w:rsid w:val="00FA23E8"/>
    <w:rsid w:val="00FD3CC1"/>
    <w:rsid w:val="00FF1E02"/>
    <w:rsid w:val="00FF30B4"/>
    <w:rsid w:val="10C055FF"/>
    <w:rsid w:val="16BB723D"/>
    <w:rsid w:val="240371BF"/>
    <w:rsid w:val="29FD04D3"/>
    <w:rsid w:val="319F7F4E"/>
    <w:rsid w:val="4ECE2238"/>
    <w:rsid w:val="72734D90"/>
    <w:rsid w:val="79999FC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Body Text"/>
    <w:basedOn w:val="1"/>
    <w:link w:val="21"/>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5"/>
    <w:qFormat/>
    <w:locked/>
    <w:uiPriority w:val="99"/>
    <w:rPr>
      <w:rFonts w:ascii="仿宋_GB2312" w:hAnsi="Times New Roman" w:eastAsia="仿宋_GB2312"/>
      <w:sz w:val="24"/>
    </w:rPr>
  </w:style>
  <w:style w:type="paragraph" w:customStyle="1" w:styleId="22">
    <w:name w:val="Defaul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2"/>
    <w:qFormat/>
    <w:uiPriority w:val="9"/>
    <w:rPr>
      <w:rFonts w:ascii="Times New Roman" w:hAnsi="Times New Roman"/>
      <w:b/>
      <w:bCs/>
      <w:kern w:val="44"/>
      <w:sz w:val="44"/>
      <w:szCs w:val="44"/>
    </w:rPr>
  </w:style>
  <w:style w:type="character" w:customStyle="1" w:styleId="25">
    <w:name w:val="标题 2 Char"/>
    <w:basedOn w:val="13"/>
    <w:link w:val="3"/>
    <w:qFormat/>
    <w:uiPriority w:val="9"/>
    <w:rPr>
      <w:rFonts w:asciiTheme="majorHAnsi" w:hAnsiTheme="majorHAnsi" w:eastAsiaTheme="majorEastAsia" w:cstheme="majorBidi"/>
      <w:b/>
      <w:bCs/>
      <w:kern w:val="2"/>
      <w:sz w:val="32"/>
      <w:szCs w:val="32"/>
    </w:rPr>
  </w:style>
  <w:style w:type="paragraph" w:customStyle="1" w:styleId="2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4"/>
    <w:qFormat/>
    <w:uiPriority w:val="9"/>
    <w:rPr>
      <w:rFonts w:ascii="Times New Roman" w:hAnsi="Times New Roman"/>
      <w:b/>
      <w:bCs/>
      <w:kern w:val="2"/>
      <w:sz w:val="32"/>
      <w:szCs w:val="32"/>
    </w:rPr>
  </w:style>
  <w:style w:type="paragraph" w:customStyle="1" w:styleId="2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0">
    <w:name w:val="p0"/>
    <w:basedOn w:val="1"/>
    <w:uiPriority w:val="0"/>
    <w:pPr>
      <w:widowControl/>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27</Pages>
  <Words>1831</Words>
  <Characters>10440</Characters>
  <Lines>87</Lines>
  <Paragraphs>24</Paragraphs>
  <TotalTime>228</TotalTime>
  <ScaleCrop>false</ScaleCrop>
  <LinksUpToDate>false</LinksUpToDate>
  <CharactersWithSpaces>12247</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2020-10-28T13:52:00Z</dcterms:created>
  <dc:creator>曹颖</dc:creator>
  <cp:lastModifiedBy>nemoya</cp:lastModifiedBy>
  <cp:lastPrinted>2020-07-23T10:58:00Z</cp:lastPrinted>
  <dcterms:modified xsi:type="dcterms:W3CDTF">2025-03-03T14:36:18Z</dcterms:modified>
  <dc:title>四川省***</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467805DD6D93B958E24DC56741CDE0B0_42</vt:lpwstr>
  </property>
</Properties>
</file>