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871DA1">
      <w:pPr>
        <w:spacing w:line="60" w:lineRule="atLeast"/>
        <w:jc w:val="center"/>
        <w:rPr>
          <w:rFonts w:eastAsia="方正小标宋简体"/>
          <w:bCs/>
          <w:color w:val="FF0000"/>
          <w:spacing w:val="-57"/>
          <w:sz w:val="116"/>
          <w:szCs w:val="116"/>
        </w:rPr>
      </w:pPr>
    </w:p>
    <w:p w14:paraId="3788F440">
      <w:pPr>
        <w:jc w:val="right"/>
        <w:rPr>
          <w:rFonts w:eastAsia="仿宋_GB2312"/>
          <w:sz w:val="32"/>
          <w:szCs w:val="32"/>
        </w:rPr>
      </w:pPr>
    </w:p>
    <w:p w14:paraId="2026744F">
      <w:pPr>
        <w:wordWrap w:val="0"/>
        <w:jc w:val="right"/>
        <w:rPr>
          <w:bCs/>
          <w:sz w:val="44"/>
          <w:szCs w:val="44"/>
        </w:rPr>
      </w:pPr>
      <w:r>
        <w:rPr>
          <w:rFonts w:eastAsia="仿宋_GB2312"/>
          <w:sz w:val="32"/>
          <w:szCs w:val="32"/>
        </w:rPr>
        <w:t>德环审批</w:t>
      </w:r>
      <w:r>
        <w:rPr>
          <w:rFonts w:eastAsia="仿宋_GB2312"/>
          <w:color w:val="000000"/>
          <w:sz w:val="32"/>
          <w:szCs w:val="32"/>
        </w:rPr>
        <w:t>〔</w:t>
      </w:r>
      <w:r>
        <w:rPr>
          <w:rFonts w:hint="eastAsia" w:eastAsia="仿宋_GB2312"/>
          <w:color w:val="000000"/>
          <w:sz w:val="32"/>
          <w:szCs w:val="32"/>
          <w:lang w:val="en-US" w:eastAsia="zh-CN"/>
        </w:rPr>
        <w:t>2025</w:t>
      </w:r>
      <w:r>
        <w:rPr>
          <w:rFonts w:eastAsia="仿宋_GB2312"/>
          <w:color w:val="000000"/>
          <w:sz w:val="32"/>
          <w:szCs w:val="32"/>
        </w:rPr>
        <w:t>〕</w:t>
      </w:r>
      <w:r>
        <w:rPr>
          <w:rFonts w:hint="eastAsia"/>
          <w:color w:val="000000"/>
          <w:sz w:val="32"/>
          <w:szCs w:val="32"/>
          <w:lang w:val="en-US" w:eastAsia="zh-CN"/>
        </w:rPr>
        <w:t>62</w:t>
      </w:r>
      <w:r>
        <w:rPr>
          <w:rFonts w:eastAsia="仿宋_GB2312"/>
          <w:sz w:val="32"/>
          <w:szCs w:val="32"/>
        </w:rPr>
        <w:t>号</w:t>
      </w:r>
    </w:p>
    <w:p w14:paraId="721E273E">
      <w:pPr>
        <w:spacing w:line="0" w:lineRule="atLeast"/>
        <w:jc w:val="center"/>
        <w:rPr>
          <w:rFonts w:eastAsia="方正小标宋简体"/>
          <w:sz w:val="44"/>
          <w:szCs w:val="44"/>
        </w:rPr>
      </w:pPr>
    </w:p>
    <w:p w14:paraId="739349AC">
      <w:pPr>
        <w:spacing w:line="600" w:lineRule="exact"/>
        <w:ind w:left="0" w:leftChars="0" w:firstLine="0" w:firstLineChars="0"/>
        <w:jc w:val="center"/>
        <w:rPr>
          <w:rFonts w:eastAsia="方正小标宋简体"/>
          <w:sz w:val="44"/>
          <w:szCs w:val="44"/>
        </w:rPr>
      </w:pPr>
      <w:r>
        <w:rPr>
          <w:rFonts w:eastAsia="方正小标宋简体"/>
          <w:sz w:val="44"/>
          <w:szCs w:val="44"/>
        </w:rPr>
        <w:t>德阳市生态环境局</w:t>
      </w:r>
    </w:p>
    <w:p w14:paraId="506758B4">
      <w:pPr>
        <w:spacing w:line="600" w:lineRule="exact"/>
        <w:ind w:left="0" w:leftChars="0" w:firstLine="0" w:firstLineChars="0"/>
        <w:jc w:val="center"/>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lang w:val="en-US" w:eastAsia="zh-CN"/>
        </w:rPr>
        <w:t>广汉思凯莱特汽车零部件有限公司</w:t>
      </w:r>
    </w:p>
    <w:p w14:paraId="73E77FF1">
      <w:pPr>
        <w:spacing w:line="600" w:lineRule="exact"/>
        <w:ind w:left="0" w:leftChars="0" w:firstLine="0" w:firstLineChars="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val="en-US" w:eastAsia="zh-CN"/>
        </w:rPr>
        <w:t>汽车配件研发生产基地项目</w:t>
      </w:r>
      <w:r>
        <w:rPr>
          <w:rFonts w:ascii="Times New Roman" w:hAnsi="Times New Roman" w:eastAsia="方正小标宋简体" w:cs="Times New Roman"/>
          <w:sz w:val="44"/>
          <w:szCs w:val="44"/>
        </w:rPr>
        <w:t>《环境影响报告表》的批复</w:t>
      </w:r>
    </w:p>
    <w:p w14:paraId="15EC028B">
      <w:pPr>
        <w:pStyle w:val="2"/>
        <w:rPr>
          <w:rFonts w:ascii="Times New Roman" w:hAnsi="Times New Roman" w:eastAsia="方正小标宋简体" w:cs="Times New Roman"/>
          <w:sz w:val="44"/>
          <w:szCs w:val="44"/>
        </w:rPr>
      </w:pPr>
    </w:p>
    <w:p w14:paraId="2C5025CA">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_GB2312" w:hAnsi="仿宋_GB2312" w:cs="仿宋_GB2312"/>
          <w:sz w:val="32"/>
          <w:szCs w:val="32"/>
          <w:lang w:eastAsia="zh-CN"/>
        </w:rPr>
      </w:pPr>
      <w:bookmarkStart w:id="0" w:name="_GoBack"/>
      <w:r>
        <w:rPr>
          <w:rFonts w:hint="eastAsia" w:ascii="仿宋_GB2312" w:hAnsi="仿宋_GB2312" w:eastAsia="仿宋_GB2312" w:cs="仿宋_GB2312"/>
          <w:sz w:val="32"/>
          <w:szCs w:val="32"/>
        </w:rPr>
        <w:t>广汉思凯莱特汽车零部件有限公司</w:t>
      </w:r>
      <w:r>
        <w:rPr>
          <w:rFonts w:hint="eastAsia" w:ascii="仿宋_GB2312" w:hAnsi="仿宋_GB2312" w:cs="仿宋_GB2312"/>
          <w:sz w:val="32"/>
          <w:szCs w:val="32"/>
          <w:lang w:eastAsia="zh-CN"/>
        </w:rPr>
        <w:t>：</w:t>
      </w:r>
    </w:p>
    <w:p w14:paraId="76AA114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你公司报送的</w:t>
      </w:r>
      <w:r>
        <w:rPr>
          <w:rFonts w:hint="eastAsia"/>
          <w:lang w:val="en-US" w:eastAsia="zh-CN"/>
        </w:rPr>
        <w:t>汽车配件研发生产基地项目</w:t>
      </w:r>
      <w:r>
        <w:rPr>
          <w:rFonts w:hint="eastAsia"/>
          <w:lang w:eastAsia="zh-CN"/>
        </w:rPr>
        <w:t>《环境影响报告表》（以下简称“报告表”）收悉。经研究，批复如下：</w:t>
      </w:r>
    </w:p>
    <w:p w14:paraId="479CC82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val="en-US" w:eastAsia="zh-CN"/>
        </w:rPr>
        <w:t>一、</w:t>
      </w:r>
      <w:r>
        <w:rPr>
          <w:rFonts w:hint="eastAsia"/>
          <w:lang w:eastAsia="zh-CN"/>
        </w:rPr>
        <w:t>该项目为新建项目,拟在广汉市德阳高新区成都大道东侧进行建设，用地面积32829平方米。项目内容及规模为：</w:t>
      </w:r>
      <w:r>
        <w:rPr>
          <w:rFonts w:hint="eastAsia"/>
          <w:lang w:val="en-US" w:eastAsia="zh-CN"/>
        </w:rPr>
        <w:t>新建</w:t>
      </w:r>
      <w:r>
        <w:rPr>
          <w:rFonts w:hint="eastAsia"/>
          <w:lang w:eastAsia="zh-CN"/>
        </w:rPr>
        <w:t>2栋生产厂房、1栋办公房、1间附属用房、</w:t>
      </w:r>
      <w:r>
        <w:rPr>
          <w:rFonts w:hint="eastAsia"/>
          <w:lang w:val="en-US" w:eastAsia="zh-CN"/>
        </w:rPr>
        <w:t>污水处理站等公辅设施</w:t>
      </w:r>
      <w:r>
        <w:rPr>
          <w:rFonts w:hint="eastAsia"/>
          <w:lang w:eastAsia="zh-CN"/>
        </w:rPr>
        <w:t>，购置</w:t>
      </w:r>
      <w:r>
        <w:rPr>
          <w:rFonts w:hint="eastAsia"/>
          <w:lang w:val="en-US" w:eastAsia="zh-CN"/>
        </w:rPr>
        <w:t>喷漆室、漆膜固化炉、喷塑房、塑粉固化炉、水分烘干炉、激光切割机、数控车床、铣床、冲床、磨床、锯床、加工中心</w:t>
      </w:r>
      <w:r>
        <w:rPr>
          <w:rFonts w:hint="eastAsia"/>
          <w:lang w:eastAsia="zh-CN"/>
        </w:rPr>
        <w:t>等生产设备，布设汽车零部件</w:t>
      </w:r>
      <w:r>
        <w:rPr>
          <w:rFonts w:hint="eastAsia"/>
          <w:lang w:val="en-US" w:eastAsia="zh-CN"/>
        </w:rPr>
        <w:t>生产线</w:t>
      </w:r>
      <w:r>
        <w:rPr>
          <w:rFonts w:hint="eastAsia"/>
          <w:lang w:eastAsia="zh-CN"/>
        </w:rPr>
        <w:t>，建成后形成年</w:t>
      </w:r>
      <w:r>
        <w:rPr>
          <w:rFonts w:hint="eastAsia"/>
          <w:lang w:val="en-US" w:eastAsia="zh-CN"/>
        </w:rPr>
        <w:t>产汽车零部件10万套</w:t>
      </w:r>
      <w:r>
        <w:rPr>
          <w:rFonts w:hint="eastAsia"/>
          <w:lang w:eastAsia="zh-CN"/>
        </w:rPr>
        <w:t>的生产能力。项目总投资</w:t>
      </w:r>
      <w:r>
        <w:rPr>
          <w:rFonts w:hint="eastAsia"/>
          <w:lang w:val="en-US" w:eastAsia="zh-CN"/>
        </w:rPr>
        <w:t>100</w:t>
      </w:r>
      <w:r>
        <w:rPr>
          <w:rFonts w:hint="eastAsia"/>
          <w:lang w:eastAsia="zh-CN"/>
        </w:rPr>
        <w:t>00万元，其中环保投资3</w:t>
      </w:r>
      <w:r>
        <w:rPr>
          <w:rFonts w:hint="eastAsia"/>
          <w:lang w:val="en-US" w:eastAsia="zh-CN"/>
        </w:rPr>
        <w:t>1</w:t>
      </w:r>
      <w:r>
        <w:rPr>
          <w:rFonts w:hint="eastAsia"/>
          <w:lang w:eastAsia="zh-CN"/>
        </w:rPr>
        <w:t>0万元。</w:t>
      </w:r>
    </w:p>
    <w:p w14:paraId="5200CD3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项目在四川省投资项目在线审批监管平台进行了备案（备案号：川投资备[</w:t>
      </w:r>
      <w:r>
        <w:rPr>
          <w:rFonts w:hint="eastAsia"/>
          <w:lang w:val="en-US" w:eastAsia="zh-CN"/>
        </w:rPr>
        <w:t>2401-510681-04-01-983373</w:t>
      </w:r>
      <w:r>
        <w:rPr>
          <w:rFonts w:hint="eastAsia"/>
          <w:lang w:eastAsia="zh-CN"/>
        </w:rPr>
        <w:t>]</w:t>
      </w:r>
      <w:r>
        <w:rPr>
          <w:rFonts w:hint="eastAsia"/>
          <w:lang w:val="en-US" w:eastAsia="zh-CN"/>
        </w:rPr>
        <w:t>FGQB-0574</w:t>
      </w:r>
      <w:r>
        <w:rPr>
          <w:rFonts w:hint="eastAsia"/>
          <w:lang w:eastAsia="zh-CN"/>
        </w:rPr>
        <w:t>号），符合国家现行产业政策</w:t>
      </w:r>
      <w:r>
        <w:rPr>
          <w:rFonts w:hint="eastAsia"/>
          <w:lang w:val="zh-CN" w:eastAsia="zh-CN"/>
        </w:rPr>
        <w:t>；该项目符合德阳市生态环境分区管控相关要求，</w:t>
      </w:r>
      <w:r>
        <w:rPr>
          <w:rFonts w:hint="eastAsia"/>
          <w:lang w:eastAsia="zh-CN"/>
        </w:rPr>
        <w:t>根据</w:t>
      </w:r>
      <w:r>
        <w:rPr>
          <w:rFonts w:hint="eastAsia"/>
          <w:lang w:val="en-US" w:eastAsia="zh-CN"/>
        </w:rPr>
        <w:t>德阳高新技术产业开发区规划及</w:t>
      </w:r>
      <w:r>
        <w:rPr>
          <w:rFonts w:hint="eastAsia" w:ascii="仿宋_GB2312" w:hAnsi="仿宋_GB2312" w:eastAsia="仿宋_GB2312" w:cs="仿宋_GB2312"/>
          <w:sz w:val="32"/>
          <w:szCs w:val="32"/>
        </w:rPr>
        <w:t>广汉思凯莱特汽车零部件有限公司</w:t>
      </w:r>
      <w:r>
        <w:rPr>
          <w:rFonts w:hint="eastAsia"/>
          <w:lang w:val="en-US" w:eastAsia="zh-CN"/>
        </w:rPr>
        <w:t>取得的《不动产权证》，项目</w:t>
      </w:r>
      <w:r>
        <w:rPr>
          <w:rFonts w:hint="eastAsia"/>
          <w:lang w:eastAsia="zh-CN"/>
        </w:rPr>
        <w:t>用地性质为工业用地，选址</w:t>
      </w:r>
      <w:r>
        <w:rPr>
          <w:rFonts w:hint="eastAsia"/>
          <w:lang w:val="en-US" w:eastAsia="zh-CN"/>
        </w:rPr>
        <w:t>符合规划</w:t>
      </w:r>
      <w:r>
        <w:rPr>
          <w:rFonts w:hint="eastAsia"/>
          <w:lang w:eastAsia="zh-CN"/>
        </w:rPr>
        <w:t>。</w:t>
      </w:r>
    </w:p>
    <w:p w14:paraId="682DCC1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项目在受理和拟批公示期间未收到任何意见反馈，根据专家对《报告表》的审查意见、《报告表》的评价结论，在落实报告表中提出的各项环保对策措施和环境风险防范措施后，项目对环境的不利影响能够得到缓解和控制，项目实施不存在明显的环境制约因素，污染物可以达标排放并符合总量控制要求，原则同意该项目按报告表中所列建设性质、地点、内容、规模、工艺及环保对策措施和风险防范措施进行建设。</w:t>
      </w:r>
    </w:p>
    <w:p w14:paraId="48AFCA7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 xml:space="preserve">二、项目建设及运行中应重点做好以下工作：  </w:t>
      </w:r>
    </w:p>
    <w:p w14:paraId="42F37DF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1D1FB803">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（二）加强施工期管理，合理安排施工时段和施工场地布设，落实施工期各项环境保护措施，有效控制、减轻或消除施工期废水、废渣、噪声、扬尘等对周围环境的影响。</w:t>
      </w:r>
    </w:p>
    <w:p w14:paraId="6323F051">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eastAsia="zh-CN"/>
        </w:rPr>
        <w:t>（三）严格落实并优化报告表提出的各项废气处理措施。</w:t>
      </w:r>
      <w:r>
        <w:rPr>
          <w:rFonts w:hint="eastAsia"/>
          <w:lang w:val="en-US" w:eastAsia="zh-CN"/>
        </w:rPr>
        <w:t>落实水分烘干炉低氮燃烧器，确保烘干烟气经</w:t>
      </w:r>
      <w:r>
        <w:rPr>
          <w:rFonts w:hint="eastAsia"/>
          <w:lang w:eastAsia="zh-CN"/>
        </w:rPr>
        <w:t>收集后由1根15m高排气筒（</w:t>
      </w:r>
      <w:r>
        <w:rPr>
          <w:rFonts w:hint="eastAsia"/>
          <w:lang w:val="en-US" w:eastAsia="zh-CN"/>
        </w:rPr>
        <w:t>DA001</w:t>
      </w:r>
      <w:r>
        <w:rPr>
          <w:rFonts w:hint="eastAsia"/>
          <w:lang w:eastAsia="zh-CN"/>
        </w:rPr>
        <w:t>）达标排放；落实</w:t>
      </w:r>
      <w:r>
        <w:rPr>
          <w:rFonts w:hint="eastAsia"/>
          <w:lang w:val="en-US" w:eastAsia="zh-CN"/>
        </w:rPr>
        <w:t>半密闭喷塑房的负压抽风收集+旋风收粉器+滤芯除尘装置，确保喷塑粉尘经收集后回用于生产，未收集部分经处理后</w:t>
      </w:r>
      <w:r>
        <w:rPr>
          <w:rFonts w:hint="eastAsia"/>
          <w:lang w:eastAsia="zh-CN"/>
        </w:rPr>
        <w:t>由1根15m高排气筒（</w:t>
      </w:r>
      <w:r>
        <w:rPr>
          <w:rFonts w:hint="eastAsia"/>
          <w:lang w:val="en-US" w:eastAsia="zh-CN"/>
        </w:rPr>
        <w:t>DA002</w:t>
      </w:r>
      <w:r>
        <w:rPr>
          <w:rFonts w:hint="eastAsia"/>
          <w:lang w:eastAsia="zh-CN"/>
        </w:rPr>
        <w:t>）达标排放；</w:t>
      </w:r>
      <w:r>
        <w:rPr>
          <w:rFonts w:hint="eastAsia"/>
          <w:lang w:val="en-US" w:eastAsia="zh-CN"/>
        </w:rPr>
        <w:t>落实塑粉固化炉的低氮燃烧器+冷却+两级活性炭吸附装置，确保塑粉固化废气经</w:t>
      </w:r>
      <w:r>
        <w:rPr>
          <w:rFonts w:hint="eastAsia"/>
          <w:lang w:eastAsia="zh-CN"/>
        </w:rPr>
        <w:t>收集处理后由1根15m高排气筒（</w:t>
      </w:r>
      <w:r>
        <w:rPr>
          <w:rFonts w:hint="eastAsia"/>
          <w:lang w:val="en-US" w:eastAsia="zh-CN"/>
        </w:rPr>
        <w:t>DA003</w:t>
      </w:r>
      <w:r>
        <w:rPr>
          <w:rFonts w:hint="eastAsia"/>
          <w:lang w:eastAsia="zh-CN"/>
        </w:rPr>
        <w:t>）达标排放；</w:t>
      </w:r>
      <w:r>
        <w:rPr>
          <w:rFonts w:hint="eastAsia"/>
          <w:lang w:val="en-US" w:eastAsia="zh-CN"/>
        </w:rPr>
        <w:t>落实密闭调漆房和喷漆房的集中抽风+水洗塔+除湿+两级活性炭吸附装置，确保调漆和喷漆有机废气经</w:t>
      </w:r>
      <w:r>
        <w:rPr>
          <w:rFonts w:hint="eastAsia"/>
          <w:lang w:eastAsia="zh-CN"/>
        </w:rPr>
        <w:t>收集处理后由1根15m高排气筒（</w:t>
      </w:r>
      <w:r>
        <w:rPr>
          <w:rFonts w:hint="eastAsia"/>
          <w:lang w:val="en-US" w:eastAsia="zh-CN"/>
        </w:rPr>
        <w:t>DA004</w:t>
      </w:r>
      <w:r>
        <w:rPr>
          <w:rFonts w:hint="eastAsia"/>
          <w:lang w:eastAsia="zh-CN"/>
        </w:rPr>
        <w:t>）达标排放；</w:t>
      </w:r>
      <w:r>
        <w:rPr>
          <w:rFonts w:hint="eastAsia"/>
          <w:lang w:val="en-US" w:eastAsia="zh-CN"/>
        </w:rPr>
        <w:t>落实密闭漆膜固化炉的低氮燃烧器+水洗塔+除湿+两级活性炭吸附装置，确保烤漆废气经</w:t>
      </w:r>
      <w:r>
        <w:rPr>
          <w:rFonts w:hint="eastAsia"/>
          <w:lang w:eastAsia="zh-CN"/>
        </w:rPr>
        <w:t>收集处理后由1根15m高排气筒（</w:t>
      </w:r>
      <w:r>
        <w:rPr>
          <w:rFonts w:hint="eastAsia"/>
          <w:lang w:val="en-US" w:eastAsia="zh-CN"/>
        </w:rPr>
        <w:t>DA005</w:t>
      </w:r>
      <w:r>
        <w:rPr>
          <w:rFonts w:hint="eastAsia"/>
          <w:lang w:eastAsia="zh-CN"/>
        </w:rPr>
        <w:t>）达标排放；</w:t>
      </w:r>
      <w:r>
        <w:rPr>
          <w:rFonts w:hint="eastAsia"/>
          <w:lang w:val="en-US" w:eastAsia="zh-CN"/>
        </w:rPr>
        <w:t>确保</w:t>
      </w:r>
      <w:r>
        <w:rPr>
          <w:rFonts w:hint="eastAsia"/>
          <w:lang w:eastAsia="zh-CN"/>
        </w:rPr>
        <w:t>食堂油烟经油烟净化器处理后经管道引至楼顶</w:t>
      </w:r>
      <w:r>
        <w:rPr>
          <w:rFonts w:hint="eastAsia"/>
          <w:lang w:val="en-US" w:eastAsia="zh-CN"/>
        </w:rPr>
        <w:t>达标</w:t>
      </w:r>
      <w:r>
        <w:rPr>
          <w:rFonts w:hint="eastAsia"/>
          <w:lang w:eastAsia="zh-CN"/>
        </w:rPr>
        <w:t>排放；</w:t>
      </w:r>
      <w:r>
        <w:rPr>
          <w:rFonts w:hint="eastAsia"/>
          <w:lang w:val="en-US" w:eastAsia="zh-CN"/>
        </w:rPr>
        <w:t>确保少量焊接烟气无组织达标排放，</w:t>
      </w:r>
      <w:r>
        <w:rPr>
          <w:rFonts w:hint="eastAsia"/>
          <w:lang w:eastAsia="zh-CN"/>
        </w:rPr>
        <w:t>对周边环境不产生影响。</w:t>
      </w:r>
    </w:p>
    <w:p w14:paraId="12F09AF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（四）严格落实并优化报告表提出的各项废水处理措施。项目</w:t>
      </w:r>
      <w:r>
        <w:rPr>
          <w:rFonts w:hint="eastAsia"/>
          <w:lang w:val="en-US" w:eastAsia="zh-CN"/>
        </w:rPr>
        <w:t>脱脂后清洗废水、水帘柜和水洗塔废水循环使用，定期更换，更换的生产废水经新建污水处理设施</w:t>
      </w:r>
      <w:r>
        <w:rPr>
          <w:rFonts w:hint="eastAsia"/>
          <w:lang w:eastAsia="zh-CN"/>
        </w:rPr>
        <w:t>处理达《污水综合排放标准》（GB8978-1996）三级标准后汇同经</w:t>
      </w:r>
      <w:r>
        <w:rPr>
          <w:rFonts w:hint="eastAsia"/>
          <w:lang w:val="en-US" w:eastAsia="zh-CN"/>
        </w:rPr>
        <w:t>生活污水预处理池处理</w:t>
      </w:r>
      <w:r>
        <w:rPr>
          <w:rFonts w:hint="eastAsia"/>
          <w:lang w:eastAsia="zh-CN"/>
        </w:rPr>
        <w:t>的</w:t>
      </w:r>
      <w:r>
        <w:rPr>
          <w:rFonts w:hint="eastAsia"/>
          <w:lang w:val="en-US" w:eastAsia="zh-CN"/>
        </w:rPr>
        <w:t>生活污水</w:t>
      </w:r>
      <w:r>
        <w:rPr>
          <w:rFonts w:hint="eastAsia"/>
          <w:lang w:eastAsia="zh-CN"/>
        </w:rPr>
        <w:t>一同排入市政污水管网，经广汉市第二污水处理厂处理达《四川省岷江、沱江流域水污染物排放标准》（DB51/2311-2016）中工业园区集中式污水处理厂标准后外排。</w:t>
      </w:r>
    </w:p>
    <w:p w14:paraId="22F0817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（五）严格落实并优化报告表提出的噪声污染防治措施。合理布局生产车间产噪设施，对高噪作业点和高噪设备配套有效的隔音、降噪及减振设施，确保厂界噪声达标排放不扰民。</w:t>
      </w:r>
    </w:p>
    <w:p w14:paraId="67E758F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严格落实并优化报告表提出的各项固体废弃物处置措施。固体废物应按照“减量化、资源化、无害化”的原则进行分类收集和处置，提高回收利用率。加强固体废物产生、收集、贮存、运输、利用、处置全过程环境管理，避免二次污染。</w:t>
      </w:r>
      <w:r>
        <w:rPr>
          <w:rFonts w:hint="eastAsia"/>
          <w:lang w:val="en-US" w:eastAsia="zh-CN"/>
        </w:rPr>
        <w:t>型材废边角料、除尘滤芯、未沾染危险性物质的废包装材料外售废品收购站；废塑粉作为原始用途由粉末涂料供应厂家回收利用；餐厨垃圾交予有餐厨垃圾处理能力的单位处置；沉淀池污泥、含油废棉纱和手套、废矿物油、废油桶、废脱脂剂等化学剂包装容器、废活性炭、废切削液、废过滤绵</w:t>
      </w:r>
      <w:r>
        <w:rPr>
          <w:rFonts w:hint="eastAsia"/>
          <w:lang w:eastAsia="zh-CN"/>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lang w:val="en-US" w:eastAsia="zh-CN"/>
        </w:rPr>
        <w:t>废漆桶、废漆渣暂按危废管理，若鉴别后不属于危废，后期作一般工业固废处理；生活垃圾交环卫部门清运</w:t>
      </w:r>
      <w:r>
        <w:rPr>
          <w:rFonts w:hint="eastAsia"/>
          <w:lang w:eastAsia="zh-CN"/>
        </w:rPr>
        <w:t>。</w:t>
      </w:r>
    </w:p>
    <w:p w14:paraId="38747D6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（七）严格落实并优化报告表提出的地下水和土壤污染防治措施。项目将</w:t>
      </w:r>
      <w:r>
        <w:rPr>
          <w:rFonts w:hint="eastAsia"/>
          <w:lang w:val="en-US" w:eastAsia="zh-CN"/>
        </w:rPr>
        <w:t>危废暂存间、附属用房的油漆库区和化学品区、脱脂槽、脱脂后清洗水池、喷漆房、水帘柜废水循环池、水洗塔水池、污水站水处理池</w:t>
      </w:r>
      <w:r>
        <w:rPr>
          <w:rFonts w:hint="eastAsia"/>
          <w:lang w:eastAsia="zh-CN"/>
        </w:rPr>
        <w:t>设置为重点防渗区，将</w:t>
      </w:r>
      <w:r>
        <w:rPr>
          <w:rFonts w:hint="eastAsia"/>
          <w:lang w:val="en-US" w:eastAsia="zh-CN"/>
        </w:rPr>
        <w:t>生产区、一般固废暂存间设置为一般防渗区，</w:t>
      </w:r>
      <w:r>
        <w:rPr>
          <w:rFonts w:hint="eastAsia"/>
          <w:lang w:eastAsia="zh-CN"/>
        </w:rPr>
        <w:t>将其余区域设置为简单防渗区，分别采取防渗措施。建立和完善地下水、土壤污染监控制度和环境管理体系，发现问题及时采取措施，避免污染周边地下水和土壤环境。</w:t>
      </w:r>
    </w:p>
    <w:p w14:paraId="1BE52489">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八</w:t>
      </w:r>
      <w:r>
        <w:rPr>
          <w:rFonts w:hint="eastAsia"/>
          <w:lang w:eastAsia="zh-CN"/>
        </w:rPr>
        <w:t>）高度重视并全面加强环境风险管理工作。建立健全环境风险防控和环境应急保障体系，严格按照报告表要求，落实并不断优化各项环境风险防范措施，确保环境安全。</w:t>
      </w:r>
    </w:p>
    <w:p w14:paraId="661BECB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九</w:t>
      </w:r>
      <w:r>
        <w:rPr>
          <w:rFonts w:hint="eastAsia"/>
          <w:lang w:eastAsia="zh-CN"/>
        </w:rPr>
        <w:t>）按照相关要求规范设置各类排污口和标志标牌，落实报告表提出的环境管理要求和监测计划。</w:t>
      </w:r>
    </w:p>
    <w:p w14:paraId="6680829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w:t>
      </w:r>
      <w:r>
        <w:rPr>
          <w:rFonts w:hint="eastAsia"/>
          <w:lang w:val="en-US" w:eastAsia="zh-CN"/>
        </w:rPr>
        <w:t>十</w:t>
      </w:r>
      <w:r>
        <w:rPr>
          <w:rFonts w:hint="eastAsia"/>
          <w:lang w:eastAsia="zh-CN"/>
        </w:rPr>
        <w:t>）本项目以2#生产车间边界为起点，向外划定50米范围为卫生防护距离控制区，该区域引进项目时应注意其环境相容性，并协助</w:t>
      </w:r>
      <w:r>
        <w:rPr>
          <w:rFonts w:hint="eastAsia"/>
          <w:lang w:val="en-US" w:eastAsia="zh-CN"/>
        </w:rPr>
        <w:t>园区管委会</w:t>
      </w:r>
      <w:r>
        <w:rPr>
          <w:rFonts w:hint="eastAsia"/>
          <w:lang w:eastAsia="zh-CN"/>
        </w:rPr>
        <w:t>监督项目卫生防护距离内不得新建居住、学校、医院等敏感建筑，发现问题及时向</w:t>
      </w:r>
      <w:r>
        <w:rPr>
          <w:rFonts w:hint="eastAsia"/>
          <w:lang w:val="en-US" w:eastAsia="zh-CN"/>
        </w:rPr>
        <w:t>园区管委会</w:t>
      </w:r>
      <w:r>
        <w:rPr>
          <w:rFonts w:hint="eastAsia"/>
          <w:lang w:eastAsia="zh-CN"/>
        </w:rPr>
        <w:t>和相关部门反映。</w:t>
      </w:r>
    </w:p>
    <w:p w14:paraId="584B71B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三、该项目运营后，</w:t>
      </w:r>
      <w:r>
        <w:rPr>
          <w:rFonts w:hint="eastAsia"/>
          <w:lang w:val="en-US" w:eastAsia="zh-CN"/>
        </w:rPr>
        <w:t>氮氧化物排放量为0.27</w:t>
      </w:r>
      <w:r>
        <w:rPr>
          <w:rFonts w:hint="eastAsia"/>
          <w:lang w:eastAsia="zh-CN"/>
        </w:rPr>
        <w:t>吨/年，</w:t>
      </w:r>
      <w:r>
        <w:rPr>
          <w:rFonts w:hint="eastAsia"/>
          <w:lang w:val="en-US" w:eastAsia="zh-CN"/>
        </w:rPr>
        <w:t>挥发性有机物排放量为0.433</w:t>
      </w:r>
      <w:r>
        <w:rPr>
          <w:rFonts w:hint="eastAsia"/>
          <w:lang w:eastAsia="zh-CN"/>
        </w:rPr>
        <w:t>吨/年，化学需氧量排放量为</w:t>
      </w:r>
      <w:r>
        <w:rPr>
          <w:rFonts w:hint="eastAsia"/>
          <w:lang w:val="en-US" w:eastAsia="zh-CN"/>
        </w:rPr>
        <w:t>0.111</w:t>
      </w:r>
      <w:r>
        <w:rPr>
          <w:rFonts w:hint="eastAsia"/>
          <w:lang w:eastAsia="zh-CN"/>
        </w:rPr>
        <w:t>吨/年，氨氮排放量为</w:t>
      </w:r>
      <w:r>
        <w:rPr>
          <w:rFonts w:hint="eastAsia"/>
          <w:lang w:val="en-US" w:eastAsia="zh-CN"/>
        </w:rPr>
        <w:t>0.0139</w:t>
      </w:r>
      <w:r>
        <w:rPr>
          <w:rFonts w:hint="eastAsia"/>
          <w:lang w:eastAsia="zh-CN"/>
        </w:rPr>
        <w:t>吨/年，其总量控制指标</w:t>
      </w:r>
      <w:r>
        <w:rPr>
          <w:rFonts w:hint="eastAsia"/>
          <w:lang w:val="en-US" w:eastAsia="zh-CN"/>
        </w:rPr>
        <w:t>按</w:t>
      </w:r>
      <w:r>
        <w:rPr>
          <w:rFonts w:hint="eastAsia"/>
          <w:lang w:eastAsia="zh-CN"/>
        </w:rPr>
        <w:t>德阳市广汉生态环境局</w:t>
      </w:r>
      <w:r>
        <w:rPr>
          <w:rFonts w:hint="eastAsia"/>
          <w:lang w:val="en-US" w:eastAsia="zh-CN"/>
        </w:rPr>
        <w:t>总量文件执行</w:t>
      </w:r>
      <w:r>
        <w:rPr>
          <w:rFonts w:hint="eastAsia"/>
          <w:lang w:eastAsia="zh-CN"/>
        </w:rPr>
        <w:t>。</w:t>
      </w:r>
    </w:p>
    <w:p w14:paraId="4537D135">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四、项目开工建设及投入运营前，应依法完备其他行政许可手续。</w:t>
      </w:r>
    </w:p>
    <w:p w14:paraId="71C3322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402E0F82">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六、纳入排污许可管理的行业，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23F3261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七、高度重视安全生产工作，并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63125A20">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lang w:eastAsia="zh-CN"/>
        </w:rPr>
        <w:t>八、该项目的“三同时”监督检查、排污许可监管、日常环境保护监管工作由德阳市广汉生态环境保护综合行政执法大队负责，并接受各级生态环境部门的监督管理。</w:t>
      </w:r>
      <w:bookmarkEnd w:id="0"/>
    </w:p>
    <w:p w14:paraId="51BF54D0">
      <w:pPr>
        <w:bidi w:val="0"/>
        <w:rPr>
          <w:rFonts w:hint="eastAsia"/>
          <w:lang w:eastAsia="zh-CN"/>
        </w:rPr>
      </w:pPr>
      <w:r>
        <w:rPr>
          <w:rFonts w:hint="eastAsia"/>
          <w:lang w:eastAsia="zh-CN"/>
        </w:rPr>
        <w:t xml:space="preserve">                </w:t>
      </w:r>
    </w:p>
    <w:p w14:paraId="1CDF7A1C">
      <w:pPr>
        <w:bidi w:val="0"/>
        <w:rPr>
          <w:rFonts w:hint="eastAsia"/>
          <w:lang w:eastAsia="zh-CN"/>
        </w:rPr>
      </w:pPr>
      <w:r>
        <w:rPr>
          <w:rFonts w:hint="eastAsia"/>
          <w:lang w:eastAsia="zh-CN"/>
        </w:rPr>
        <w:t xml:space="preserve">                  </w:t>
      </w:r>
    </w:p>
    <w:p w14:paraId="07FFB9EB">
      <w:pPr>
        <w:bidi w:val="0"/>
        <w:jc w:val="center"/>
        <w:rPr>
          <w:rFonts w:hint="eastAsia"/>
          <w:lang w:eastAsia="zh-CN"/>
        </w:rPr>
      </w:pPr>
      <w:r>
        <w:rPr>
          <w:rFonts w:hint="eastAsia"/>
          <w:lang w:val="en-US" w:eastAsia="zh-CN"/>
        </w:rPr>
        <w:t xml:space="preserve">                          </w:t>
      </w:r>
      <w:r>
        <w:rPr>
          <w:rFonts w:hint="eastAsia"/>
          <w:lang w:eastAsia="zh-CN"/>
        </w:rPr>
        <w:t>德阳市生态环境局</w:t>
      </w:r>
    </w:p>
    <w:p w14:paraId="5B7DA9F3">
      <w:pPr>
        <w:bidi w:val="0"/>
        <w:jc w:val="center"/>
        <w:rPr>
          <w:rFonts w:hint="eastAsia"/>
          <w:lang w:eastAsia="zh-CN"/>
        </w:rPr>
      </w:pPr>
      <w:r>
        <w:rPr>
          <w:rFonts w:hint="eastAsia"/>
          <w:lang w:val="en-US" w:eastAsia="zh-CN"/>
        </w:rPr>
        <w:t xml:space="preserve">                          </w:t>
      </w:r>
      <w:r>
        <w:rPr>
          <w:rFonts w:hint="eastAsia"/>
          <w:lang w:eastAsia="zh-CN"/>
        </w:rPr>
        <w:t>202</w:t>
      </w:r>
      <w:r>
        <w:rPr>
          <w:rFonts w:hint="eastAsia"/>
          <w:lang w:val="en-US" w:eastAsia="zh-CN"/>
        </w:rPr>
        <w:t>5</w:t>
      </w:r>
      <w:r>
        <w:rPr>
          <w:rFonts w:hint="eastAsia"/>
          <w:lang w:eastAsia="zh-CN"/>
        </w:rPr>
        <w:t>年</w:t>
      </w:r>
      <w:r>
        <w:rPr>
          <w:rFonts w:hint="eastAsia"/>
          <w:lang w:val="en-US" w:eastAsia="zh-CN"/>
        </w:rPr>
        <w:t>3</w:t>
      </w:r>
      <w:r>
        <w:rPr>
          <w:rFonts w:hint="eastAsia"/>
          <w:lang w:eastAsia="zh-CN"/>
        </w:rPr>
        <w:t>月</w:t>
      </w:r>
      <w:r>
        <w:rPr>
          <w:rFonts w:hint="eastAsia"/>
          <w:lang w:val="en-US" w:eastAsia="zh-CN"/>
        </w:rPr>
        <w:t>4</w:t>
      </w:r>
      <w:r>
        <w:rPr>
          <w:rFonts w:hint="eastAsia"/>
          <w:lang w:eastAsia="zh-CN"/>
        </w:rPr>
        <w:t>日</w:t>
      </w:r>
    </w:p>
    <w:sectPr>
      <w:pgSz w:w="11906" w:h="16838"/>
      <w:pgMar w:top="1440" w:right="1587" w:bottom="1440"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AE534C"/>
    <w:rsid w:val="06C07F19"/>
    <w:rsid w:val="07EE52C1"/>
    <w:rsid w:val="0C4A0047"/>
    <w:rsid w:val="11A36E95"/>
    <w:rsid w:val="121F6F46"/>
    <w:rsid w:val="17722C48"/>
    <w:rsid w:val="17FF1243"/>
    <w:rsid w:val="1A5823C6"/>
    <w:rsid w:val="1DA61023"/>
    <w:rsid w:val="240472A7"/>
    <w:rsid w:val="24602490"/>
    <w:rsid w:val="2A3732D1"/>
    <w:rsid w:val="2B1D6405"/>
    <w:rsid w:val="2E624E98"/>
    <w:rsid w:val="3A6E4FAF"/>
    <w:rsid w:val="3B8A62BD"/>
    <w:rsid w:val="41B502FB"/>
    <w:rsid w:val="432F1B9E"/>
    <w:rsid w:val="449D70C1"/>
    <w:rsid w:val="493B5434"/>
    <w:rsid w:val="4E20458D"/>
    <w:rsid w:val="52EB1116"/>
    <w:rsid w:val="56EF32D7"/>
    <w:rsid w:val="598E3781"/>
    <w:rsid w:val="5A282A37"/>
    <w:rsid w:val="62544876"/>
    <w:rsid w:val="65AB4EFC"/>
    <w:rsid w:val="662B4514"/>
    <w:rsid w:val="6CC97B23"/>
    <w:rsid w:val="6F4577DC"/>
    <w:rsid w:val="77712936"/>
    <w:rsid w:val="78A0421B"/>
    <w:rsid w:val="7BD55DBA"/>
    <w:rsid w:val="7C326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209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link w:val="7"/>
    <w:autoRedefine/>
    <w:qFormat/>
    <w:uiPriority w:val="0"/>
    <w:pPr>
      <w:keepNext/>
      <w:keepLines/>
      <w:spacing w:line="720" w:lineRule="exact"/>
      <w:ind w:firstLine="0" w:firstLineChars="0"/>
      <w:jc w:val="center"/>
      <w:outlineLvl w:val="0"/>
    </w:pPr>
    <w:rPr>
      <w:rFonts w:ascii="Times New Roman" w:hAnsi="Times New Roman" w:eastAsia="方正小标宋简体"/>
      <w:bCs/>
      <w:kern w:val="44"/>
      <w:sz w:val="44"/>
      <w:szCs w:val="44"/>
    </w:rPr>
  </w:style>
  <w:style w:type="character" w:default="1" w:styleId="6">
    <w:name w:val="Default Paragraph Font"/>
    <w:semiHidden/>
    <w:unhideWhenUsed/>
    <w:qFormat/>
    <w:uiPriority w:val="1"/>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
    <w:basedOn w:val="1"/>
    <w:qFormat/>
    <w:uiPriority w:val="0"/>
    <w:pPr>
      <w:spacing w:line="360" w:lineRule="auto"/>
      <w:ind w:firstLine="200" w:firstLineChars="200"/>
    </w:pPr>
    <w:rPr>
      <w:sz w:val="24"/>
      <w:szCs w:val="2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标题 1 字符"/>
    <w:basedOn w:val="6"/>
    <w:link w:val="3"/>
    <w:autoRedefine/>
    <w:qFormat/>
    <w:uiPriority w:val="9"/>
    <w:rPr>
      <w:rFonts w:ascii="Times New Roman" w:hAnsi="Times New Roman" w:eastAsia="方正小标宋简体"/>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2916</Words>
  <Characters>3038</Characters>
  <Lines>0</Lines>
  <Paragraphs>0</Paragraphs>
  <TotalTime>16</TotalTime>
  <ScaleCrop>false</ScaleCrop>
  <LinksUpToDate>false</LinksUpToDate>
  <CharactersWithSpaces>3126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2023-12-08T06:40:00Z</dcterms:created>
  <dc:creator>HY</dc:creator>
  <cp:lastModifiedBy>熊莉</cp:lastModifiedBy>
  <dcterms:modified xsi:type="dcterms:W3CDTF">2025-03-04T07:44:00Z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D091645DFB2645E7BFBA4E25C363A14C_13</vt:lpwstr>
  </property>
</Properties>
</file>