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67</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四川钢杰新材料科技有限公司四川钢杰新材料、净化彩钢板、净化配件与装配式建筑研发、加工基地建设项目</w:t>
      </w:r>
      <w:r>
        <w:rPr>
          <w:rFonts w:ascii="Times New Roman" w:hAnsi="Times New Roman" w:eastAsia="方正小标宋简体" w:cs="Times New Roman"/>
          <w:sz w:val="44"/>
          <w:szCs w:val="44"/>
        </w:rPr>
        <w:t>《环境影响报告表》的批复</w:t>
      </w:r>
    </w:p>
    <w:p w14:paraId="15EC028B">
      <w:pPr>
        <w:pStyle w:val="7"/>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bidi w:val="0"/>
        <w:adjustRightInd/>
        <w:spacing w:line="540" w:lineRule="exact"/>
        <w:ind w:left="0" w:leftChars="0" w:firstLine="0" w:firstLineChars="0"/>
        <w:textAlignment w:val="auto"/>
        <w:rPr>
          <w:rFonts w:hint="eastAsia" w:ascii="仿宋_GB2312" w:hAnsi="仿宋_GB2312" w:cs="仿宋_GB2312"/>
          <w:sz w:val="32"/>
          <w:szCs w:val="32"/>
          <w:lang w:eastAsia="zh-CN"/>
        </w:rPr>
      </w:pPr>
      <w:bookmarkStart w:id="6" w:name="_GoBack"/>
      <w:r>
        <w:rPr>
          <w:rFonts w:hint="eastAsia" w:ascii="仿宋_GB2312" w:hAnsi="仿宋_GB2312" w:eastAsia="仿宋_GB2312" w:cs="仿宋_GB2312"/>
          <w:sz w:val="32"/>
          <w:szCs w:val="32"/>
        </w:rPr>
        <w:t>四川钢杰新材料科技有限公司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你公司报送的</w:t>
      </w:r>
      <w:r>
        <w:rPr>
          <w:rFonts w:hint="eastAsia"/>
          <w:lang w:val="en-US" w:eastAsia="zh-CN"/>
        </w:rPr>
        <w:t>四川钢杰新材料、净化彩钢板、净化配件与装配式建筑研发、加工基地建设项目</w:t>
      </w:r>
      <w:r>
        <w:rPr>
          <w:rFonts w:hint="eastAsia"/>
          <w:lang w:eastAsia="zh-CN"/>
        </w:rPr>
        <w:t>《环境影响报告表》（以下简称“报告表”）收悉。经研究，批复如下：</w:t>
      </w:r>
    </w:p>
    <w:p w14:paraId="6E27F619">
      <w:pPr>
        <w:keepNext w:val="0"/>
        <w:keepLines w:val="0"/>
        <w:pageBreakBefore w:val="0"/>
        <w:widowControl w:val="0"/>
        <w:kinsoku/>
        <w:wordWrap/>
        <w:overflowPunct/>
        <w:topLinePunct w:val="0"/>
        <w:autoSpaceDE/>
        <w:autoSpaceDN w:val="0"/>
        <w:bidi w:val="0"/>
        <w:adjustRightInd/>
        <w:snapToGrid w:val="0"/>
        <w:spacing w:line="54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lang w:val="en-US" w:eastAsia="zh-CN"/>
        </w:rPr>
        <w:t>一、</w:t>
      </w:r>
      <w:r>
        <w:rPr>
          <w:rFonts w:hint="eastAsia" w:ascii="仿宋_GB2312" w:hAnsi="仿宋_GB2312" w:eastAsia="仿宋_GB2312" w:cs="仿宋_GB2312"/>
          <w:sz w:val="32"/>
          <w:szCs w:val="32"/>
          <w:lang w:val="en-US" w:eastAsia="zh-CN"/>
        </w:rPr>
        <w:t>该项目为新建项目,拟在广汉市成都大道二段5号建设，用地面积33806.2平方米。项目内容及规模为：新建生产车间及</w:t>
      </w:r>
      <w:r>
        <w:rPr>
          <w:rFonts w:hint="eastAsia" w:ascii="仿宋_GB2312" w:hAnsi="仿宋_GB2312" w:cs="仿宋_GB2312"/>
          <w:sz w:val="32"/>
          <w:szCs w:val="32"/>
          <w:lang w:val="en-US" w:eastAsia="zh-CN"/>
        </w:rPr>
        <w:t>相关</w:t>
      </w:r>
      <w:r>
        <w:rPr>
          <w:rFonts w:hint="eastAsia" w:ascii="仿宋_GB2312" w:hAnsi="仿宋_GB2312" w:eastAsia="仿宋_GB2312" w:cs="仿宋_GB2312"/>
          <w:sz w:val="32"/>
          <w:szCs w:val="32"/>
          <w:lang w:val="en-US" w:eastAsia="zh-CN"/>
        </w:rPr>
        <w:t>公辅设施，购置金属隔热夹芯板生产线、覆膜机、全自动淋胶机、喷涂生产线、点胶机等设备，布设</w:t>
      </w:r>
      <w:bookmarkStart w:id="0" w:name="OLE_LINK5"/>
      <w:r>
        <w:rPr>
          <w:rFonts w:hint="eastAsia" w:ascii="仿宋_GB2312" w:hAnsi="仿宋_GB2312" w:eastAsia="仿宋_GB2312" w:cs="仿宋_GB2312"/>
          <w:sz w:val="32"/>
          <w:szCs w:val="32"/>
          <w:lang w:val="en-US" w:eastAsia="zh-CN"/>
        </w:rPr>
        <w:t>净化板、</w:t>
      </w:r>
      <w:bookmarkStart w:id="1" w:name="OLE_LINK16"/>
      <w:r>
        <w:rPr>
          <w:rFonts w:hint="eastAsia" w:ascii="仿宋_GB2312" w:hAnsi="仿宋_GB2312" w:eastAsia="仿宋_GB2312" w:cs="仿宋_GB2312"/>
          <w:sz w:val="32"/>
          <w:szCs w:val="32"/>
          <w:lang w:val="en-US" w:eastAsia="zh-CN"/>
        </w:rPr>
        <w:t>净化门窗</w:t>
      </w:r>
      <w:bookmarkEnd w:id="1"/>
      <w:r>
        <w:rPr>
          <w:rFonts w:hint="eastAsia" w:ascii="仿宋_GB2312" w:hAnsi="仿宋_GB2312" w:eastAsia="仿宋_GB2312" w:cs="仿宋_GB2312"/>
          <w:sz w:val="32"/>
          <w:szCs w:val="32"/>
          <w:lang w:val="en-US" w:eastAsia="zh-CN"/>
        </w:rPr>
        <w:t>、</w:t>
      </w:r>
      <w:bookmarkStart w:id="2" w:name="OLE_LINK17"/>
      <w:r>
        <w:rPr>
          <w:rFonts w:hint="eastAsia" w:ascii="仿宋_GB2312" w:hAnsi="仿宋_GB2312" w:eastAsia="仿宋_GB2312" w:cs="仿宋_GB2312"/>
          <w:sz w:val="32"/>
          <w:szCs w:val="32"/>
          <w:lang w:val="en-US" w:eastAsia="zh-CN"/>
        </w:rPr>
        <w:t>装配式厢房</w:t>
      </w:r>
      <w:bookmarkEnd w:id="2"/>
      <w:r>
        <w:rPr>
          <w:rFonts w:hint="eastAsia" w:ascii="仿宋_GB2312" w:hAnsi="仿宋_GB2312" w:eastAsia="仿宋_GB2312" w:cs="仿宋_GB2312"/>
          <w:sz w:val="32"/>
          <w:szCs w:val="32"/>
          <w:lang w:val="en-US" w:eastAsia="zh-CN"/>
        </w:rPr>
        <w:t>、配套不锈钢制品</w:t>
      </w:r>
      <w:r>
        <w:rPr>
          <w:rFonts w:hint="eastAsia" w:ascii="仿宋_GB2312" w:hAnsi="仿宋_GB2312" w:cs="仿宋_GB2312"/>
          <w:sz w:val="32"/>
          <w:szCs w:val="32"/>
          <w:lang w:val="en-US" w:eastAsia="zh-CN"/>
        </w:rPr>
        <w:t>生产线</w:t>
      </w:r>
      <w:r>
        <w:rPr>
          <w:rFonts w:hint="eastAsia" w:ascii="仿宋_GB2312" w:hAnsi="仿宋_GB2312" w:eastAsia="仿宋_GB2312" w:cs="仿宋_GB2312"/>
          <w:sz w:val="32"/>
          <w:szCs w:val="32"/>
          <w:lang w:val="en-US" w:eastAsia="zh-CN"/>
        </w:rPr>
        <w:t>，项目建成后形成年产净化板150万m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（其中30万m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作为本项目装配式箱房生产环节的原料使用，120万m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外售）、净化门窗1万套（其中净化门7000套、净化窗3000套）、装配式厢房6000套、配套不锈钢制品2000套</w:t>
      </w:r>
      <w:r>
        <w:rPr>
          <w:rFonts w:hint="eastAsia" w:ascii="仿宋_GB2312" w:hAnsi="仿宋_GB2312" w:cs="仿宋_GB2312"/>
          <w:sz w:val="32"/>
          <w:szCs w:val="32"/>
          <w:lang w:val="en-US" w:eastAsia="zh-CN"/>
        </w:rPr>
        <w:t>的生产能力，另购入</w:t>
      </w:r>
      <w:r>
        <w:rPr>
          <w:rFonts w:hint="eastAsia" w:ascii="仿宋_GB2312" w:hAnsi="仿宋_GB2312" w:eastAsia="仿宋_GB2312" w:cs="仿宋_GB2312"/>
          <w:sz w:val="32"/>
          <w:szCs w:val="32"/>
          <w:lang w:val="en-US" w:eastAsia="zh-CN"/>
        </w:rPr>
        <w:t>铝型材8000套作为项目产品配套销售。</w:t>
      </w:r>
      <w:bookmarkEnd w:id="0"/>
      <w:r>
        <w:rPr>
          <w:rFonts w:hint="eastAsia" w:ascii="仿宋_GB2312" w:hAnsi="仿宋_GB2312" w:eastAsia="仿宋_GB2312" w:cs="仿宋_GB2312"/>
          <w:sz w:val="32"/>
          <w:szCs w:val="32"/>
          <w:lang w:val="en-US" w:eastAsia="zh-CN"/>
        </w:rPr>
        <w:t>项目总投资10000万元，其中环保投资68.5万元。</w:t>
      </w:r>
    </w:p>
    <w:p w14:paraId="5200CD3C">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项目在四川省投资项目在线审批监管平台进行了备案（备案号：川投资备[2</w:t>
      </w:r>
      <w:r>
        <w:rPr>
          <w:rFonts w:hint="eastAsia"/>
          <w:lang w:val="en-US" w:eastAsia="zh-CN"/>
        </w:rPr>
        <w:t>309</w:t>
      </w:r>
      <w:r>
        <w:rPr>
          <w:rFonts w:hint="eastAsia"/>
          <w:lang w:eastAsia="zh-CN"/>
        </w:rPr>
        <w:t>-510681-0</w:t>
      </w:r>
      <w:r>
        <w:rPr>
          <w:rFonts w:hint="eastAsia"/>
          <w:lang w:val="en-US" w:eastAsia="zh-CN"/>
        </w:rPr>
        <w:t>4</w:t>
      </w:r>
      <w:r>
        <w:rPr>
          <w:rFonts w:hint="eastAsia"/>
          <w:lang w:eastAsia="zh-CN"/>
        </w:rPr>
        <w:t>-0</w:t>
      </w:r>
      <w:r>
        <w:rPr>
          <w:rFonts w:hint="eastAsia"/>
          <w:lang w:val="en-US" w:eastAsia="zh-CN"/>
        </w:rPr>
        <w:t>1</w:t>
      </w:r>
      <w:r>
        <w:rPr>
          <w:rFonts w:hint="eastAsia"/>
          <w:lang w:eastAsia="zh-CN"/>
        </w:rPr>
        <w:t>-</w:t>
      </w:r>
      <w:r>
        <w:rPr>
          <w:rFonts w:hint="eastAsia"/>
          <w:lang w:val="en-US" w:eastAsia="zh-CN"/>
        </w:rPr>
        <w:t>909166</w:t>
      </w:r>
      <w:r>
        <w:rPr>
          <w:rFonts w:hint="eastAsia"/>
          <w:lang w:eastAsia="zh-CN"/>
        </w:rPr>
        <w:t>]</w:t>
      </w:r>
      <w:r>
        <w:rPr>
          <w:rFonts w:hint="eastAsia"/>
          <w:lang w:val="en-US" w:eastAsia="zh-CN"/>
        </w:rPr>
        <w:t>FGQB-0394</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根据《广汉市国土空间总体规划（</w:t>
      </w:r>
      <w:r>
        <w:rPr>
          <w:rFonts w:hint="eastAsia"/>
          <w:lang w:val="en-US" w:eastAsia="zh-CN"/>
        </w:rPr>
        <w:t>2021-2035</w:t>
      </w:r>
      <w:r>
        <w:rPr>
          <w:rFonts w:hint="eastAsia"/>
          <w:lang w:eastAsia="zh-CN"/>
        </w:rPr>
        <w:t>）》和</w:t>
      </w:r>
      <w:r>
        <w:rPr>
          <w:rFonts w:hint="eastAsia" w:ascii="仿宋_GB2312" w:hAnsi="仿宋_GB2312" w:eastAsia="仿宋_GB2312" w:cs="仿宋_GB2312"/>
          <w:sz w:val="32"/>
          <w:szCs w:val="32"/>
        </w:rPr>
        <w:t>四川钢杰新材料科技有限公司</w:t>
      </w:r>
      <w:r>
        <w:rPr>
          <w:rFonts w:hint="eastAsia"/>
          <w:lang w:val="en-US" w:eastAsia="zh-CN"/>
        </w:rPr>
        <w:t>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5DF44071">
      <w:pPr>
        <w:pStyle w:val="3"/>
        <w:keepNext w:val="0"/>
        <w:keepLines w:val="0"/>
        <w:pageBreakBefore w:val="0"/>
        <w:widowControl w:val="0"/>
        <w:kinsoku/>
        <w:wordWrap/>
        <w:overflowPunct/>
        <w:topLinePunct w:val="0"/>
        <w:autoSpaceDE/>
        <w:bidi w:val="0"/>
        <w:adjustRightInd/>
        <w:spacing w:line="540" w:lineRule="exact"/>
        <w:ind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kern w:val="2"/>
          <w:sz w:val="32"/>
          <w:szCs w:val="24"/>
          <w:lang w:val="en-US" w:eastAsia="zh-CN" w:bidi="ar-SA"/>
        </w:rPr>
        <w:t>（三）严格落实并优化报告表提出的各项废气处理措施。</w:t>
      </w:r>
      <w:r>
        <w:rPr>
          <w:rFonts w:hint="eastAsia" w:ascii="仿宋_GB2312" w:hAnsi="仿宋_GB2312" w:eastAsia="仿宋_GB2312" w:cs="仿宋_GB2312"/>
          <w:kern w:val="2"/>
          <w:sz w:val="32"/>
          <w:szCs w:val="32"/>
          <w:lang w:val="en-US" w:eastAsia="zh-CN" w:bidi="ar-SA"/>
        </w:rPr>
        <w:t>落实激光切割和焊接工序的集气罩+烟尘除尘器，确保激光切割烟尘和焊接烟尘经收集处理后由一根15m高排气筒达标排放；设置密闭喷塑房，落实喷塑房负压收集+旋风+脉冲滤芯除尘器，确保喷塑粉尘经收集处理后由一根15m高排气筒达标排放；</w:t>
      </w:r>
      <w:r>
        <w:rPr>
          <w:rFonts w:hint="eastAsia" w:ascii="仿宋_GB2312" w:hAnsi="仿宋_GB2312" w:cs="仿宋_GB2312"/>
          <w:kern w:val="2"/>
          <w:sz w:val="32"/>
          <w:szCs w:val="32"/>
          <w:lang w:val="en-US" w:eastAsia="zh-CN" w:bidi="ar-SA"/>
        </w:rPr>
        <w:t>设置密闭混涂胶房、塑粉</w:t>
      </w:r>
      <w:r>
        <w:rPr>
          <w:rFonts w:hint="eastAsia" w:ascii="仿宋_GB2312" w:hAnsi="仿宋_GB2312" w:eastAsia="仿宋_GB2312" w:cs="仿宋_GB2312"/>
          <w:kern w:val="2"/>
          <w:sz w:val="32"/>
          <w:szCs w:val="32"/>
          <w:lang w:val="en-US" w:eastAsia="zh-CN" w:bidi="ar-SA"/>
        </w:rPr>
        <w:t>固化间</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落实混涂胶、加压固化、打胶密封工序的集气罩以及塑粉固化的负压抽风系统</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确保混涂胶、加压固化、打胶密封有机废气、塑粉固化有机废气及天然气燃烧废气经二级活性炭装置处理后由一根15m高排气筒达标排放；落实净化板切割工序的集气罩+脉冲布袋除尘器，确保净化板切割颗粒物经收集处理后由一根15m高排气筒达标排放；确保</w:t>
      </w:r>
      <w:r>
        <w:rPr>
          <w:rFonts w:hint="eastAsia" w:ascii="仿宋_GB2312" w:hAnsi="仿宋_GB2312" w:cs="仿宋_GB2312"/>
          <w:kern w:val="2"/>
          <w:sz w:val="32"/>
          <w:szCs w:val="32"/>
          <w:lang w:val="en-US" w:eastAsia="zh-CN" w:bidi="ar-SA"/>
        </w:rPr>
        <w:t>少量</w:t>
      </w:r>
      <w:r>
        <w:rPr>
          <w:rFonts w:hint="eastAsia" w:ascii="仿宋_GB2312" w:hAnsi="仿宋_GB2312" w:eastAsia="仿宋_GB2312" w:cs="仿宋_GB2312"/>
          <w:kern w:val="2"/>
          <w:sz w:val="32"/>
          <w:szCs w:val="32"/>
          <w:lang w:val="en-US" w:eastAsia="zh-CN" w:bidi="ar-SA"/>
        </w:rPr>
        <w:t>净化板成品暂存废气、危废暂存间废气达标排放，对周围环境不产生影响；确保食堂油烟经油烟净化器处理后引至食堂楼顶排气筒达标排放。</w:t>
      </w:r>
    </w:p>
    <w:p w14:paraId="12F09AF5">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项目无生产废水产生，</w:t>
      </w:r>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食堂废水经隔油池预处理后会同</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生活污水经预处理池处理达</w:t>
      </w:r>
      <w:r>
        <w:rPr>
          <w:rFonts w:hint="eastAsia"/>
          <w:lang w:eastAsia="zh-CN"/>
        </w:rPr>
        <w:t>《污水综合排放标准》（GB8978-1996）三级标准排入市政污水管网，经广汉市第二污水处理厂处理达《四川省岷江、沱江流域水污染物排放标准》（DB51/2311-2016）中工业园区集中式污水处理厂标准后外排。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预处理池污泥</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交有一般固废处置能力的单位处置；</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餐厨废油脂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交有处置能力的单位处置；</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废金属及金属碎屑</w:t>
      </w:r>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（不含油）</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废包装</w:t>
      </w:r>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袋</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废芯材边角料</w:t>
      </w:r>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废焊条焊丝焊渣外售</w:t>
      </w:r>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资源</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回收站回收利用</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废活性炭</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bookmarkStart w:id="3" w:name="OLE_LINK56"/>
      <w:bookmarkStart w:id="4" w:name="OLE_LINK55"/>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废润滑油</w:t>
      </w:r>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含油废手套及抹布</w:t>
      </w:r>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废润滑油桶</w:t>
      </w:r>
      <w:bookmarkEnd w:id="3"/>
      <w:bookmarkEnd w:id="4"/>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废玻璃胶管</w:t>
      </w:r>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废胶水</w:t>
      </w:r>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及</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废胶水</w:t>
      </w:r>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桶</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和固化剂桶</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危废暂存间、</w:t>
      </w:r>
      <w:bookmarkStart w:id="5" w:name="OLE_LINK54"/>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胶水库房、预处理池、隔油池</w:t>
      </w:r>
      <w:bookmarkEnd w:id="5"/>
      <w:r>
        <w:rPr>
          <w:rFonts w:hint="eastAsia" w:ascii="仿宋_GB2312" w:hAnsi="仿宋_GB2312" w:cs="仿宋_GB2312"/>
          <w:bCs/>
          <w:color w:val="000000" w:themeColor="text1"/>
          <w:kern w:val="2"/>
          <w:sz w:val="32"/>
          <w:szCs w:val="32"/>
          <w:lang w:val="en-US" w:eastAsia="zh-CN" w:bidi="ar-SA"/>
          <w14:textFill>
            <w14:solidFill>
              <w14:schemeClr w14:val="tx1"/>
            </w14:solidFill>
          </w14:textFill>
        </w:rPr>
        <w:t>、混涂胶区域</w:t>
      </w:r>
      <w:r>
        <w:rPr>
          <w:rFonts w:hint="eastAsia"/>
          <w:lang w:eastAsia="zh-CN"/>
        </w:rPr>
        <w:t>设置为重点防渗区，将</w:t>
      </w:r>
      <w:r>
        <w:rPr>
          <w:rFonts w:hint="eastAsia"/>
          <w:lang w:val="en-US" w:eastAsia="zh-CN"/>
        </w:rPr>
        <w:t>除重点防渗以外的区域设置为一般防渗区，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三、该项目运营后，挥发性有机物排放量为</w:t>
      </w:r>
      <w:r>
        <w:rPr>
          <w:rFonts w:hint="eastAsia"/>
          <w:lang w:val="en-US" w:eastAsia="zh-CN"/>
        </w:rPr>
        <w:t>0.38</w:t>
      </w:r>
      <w:r>
        <w:rPr>
          <w:rFonts w:hint="eastAsia"/>
          <w:lang w:eastAsia="zh-CN"/>
        </w:rPr>
        <w:t>吨/年，氮氧化物排放量为</w:t>
      </w:r>
      <w:r>
        <w:rPr>
          <w:rFonts w:hint="eastAsia"/>
          <w:lang w:val="en-US" w:eastAsia="zh-CN"/>
        </w:rPr>
        <w:t>0.01</w:t>
      </w:r>
      <w:r>
        <w:rPr>
          <w:rFonts w:hint="eastAsia"/>
          <w:lang w:eastAsia="zh-CN"/>
        </w:rPr>
        <w:t>吨/年，其总量控制指标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bidi w:val="0"/>
        <w:adjustRightIn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bookmarkEnd w:id="6"/>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3</w:t>
      </w:r>
      <w:r>
        <w:rPr>
          <w:rFonts w:hint="eastAsia"/>
          <w:lang w:eastAsia="zh-CN"/>
        </w:rPr>
        <w:t>月</w:t>
      </w:r>
      <w:r>
        <w:rPr>
          <w:rFonts w:hint="eastAsia"/>
          <w:lang w:val="en-US" w:eastAsia="zh-CN"/>
        </w:rPr>
        <w:t>10</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34C"/>
    <w:rsid w:val="03C6021E"/>
    <w:rsid w:val="04CA0A4C"/>
    <w:rsid w:val="06C07F19"/>
    <w:rsid w:val="07CC1A54"/>
    <w:rsid w:val="07EE52C1"/>
    <w:rsid w:val="103B6450"/>
    <w:rsid w:val="11A36E95"/>
    <w:rsid w:val="130E3A31"/>
    <w:rsid w:val="13D824BF"/>
    <w:rsid w:val="17722C48"/>
    <w:rsid w:val="17FF1243"/>
    <w:rsid w:val="1A0A2B20"/>
    <w:rsid w:val="1A5823C6"/>
    <w:rsid w:val="1B876BD4"/>
    <w:rsid w:val="1D9B6A3E"/>
    <w:rsid w:val="1DA61023"/>
    <w:rsid w:val="240472A7"/>
    <w:rsid w:val="24602490"/>
    <w:rsid w:val="2B1D6405"/>
    <w:rsid w:val="2D6A4793"/>
    <w:rsid w:val="2E624E98"/>
    <w:rsid w:val="351E38FE"/>
    <w:rsid w:val="379871D0"/>
    <w:rsid w:val="3A1E65D5"/>
    <w:rsid w:val="3A4B7556"/>
    <w:rsid w:val="3A6E4FAF"/>
    <w:rsid w:val="3B8A62BD"/>
    <w:rsid w:val="3C937D6B"/>
    <w:rsid w:val="3DE677EB"/>
    <w:rsid w:val="40E225DB"/>
    <w:rsid w:val="432F1B9E"/>
    <w:rsid w:val="449D70C1"/>
    <w:rsid w:val="493B5434"/>
    <w:rsid w:val="4E20458D"/>
    <w:rsid w:val="4E772300"/>
    <w:rsid w:val="512A5D2C"/>
    <w:rsid w:val="52EB1116"/>
    <w:rsid w:val="53D86437"/>
    <w:rsid w:val="56EF32D7"/>
    <w:rsid w:val="597638E0"/>
    <w:rsid w:val="598E3781"/>
    <w:rsid w:val="5A282A37"/>
    <w:rsid w:val="5BE814B1"/>
    <w:rsid w:val="5DFF593E"/>
    <w:rsid w:val="5FEC1CFE"/>
    <w:rsid w:val="65AB4EFC"/>
    <w:rsid w:val="662B4514"/>
    <w:rsid w:val="67F2798F"/>
    <w:rsid w:val="69E71561"/>
    <w:rsid w:val="6CC97B23"/>
    <w:rsid w:val="6DDA41B9"/>
    <w:rsid w:val="6F4577DC"/>
    <w:rsid w:val="77712936"/>
    <w:rsid w:val="78A0421B"/>
    <w:rsid w:val="7AA433B1"/>
    <w:rsid w:val="7BD55DBA"/>
    <w:rsid w:val="7C326B40"/>
    <w:rsid w:val="7D20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8"/>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rPr>
      <w:kern w:val="0"/>
      <w:sz w:val="24"/>
      <w:szCs w:val="20"/>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正文"/>
    <w:basedOn w:val="1"/>
    <w:qFormat/>
    <w:uiPriority w:val="0"/>
    <w:pPr>
      <w:spacing w:line="360" w:lineRule="auto"/>
      <w:ind w:firstLine="200" w:firstLineChars="200"/>
    </w:pPr>
    <w:rPr>
      <w:sz w:val="24"/>
      <w:szCs w:val="28"/>
    </w:rPr>
  </w:style>
  <w:style w:type="character" w:customStyle="1" w:styleId="8">
    <w:name w:val="标题 1 字符"/>
    <w:basedOn w:val="6"/>
    <w:link w:val="2"/>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2751</Words>
  <Characters>2872</Characters>
  <Lines>0</Lines>
  <Paragraphs>0</Paragraphs>
  <TotalTime>1</TotalTime>
  <ScaleCrop>false</ScaleCrop>
  <LinksUpToDate>false</LinksUpToDate>
  <CharactersWithSpaces>2962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2025-03-10T06:34:50Z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A46BC8D1CF1B47B18B198B858DAA2614_13</vt:lpwstr>
  </property>
</Properties>
</file>