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82</w:t>
      </w:r>
      <w:r>
        <w:rPr>
          <w:rFonts w:eastAsia="仿宋_GB2312"/>
          <w:sz w:val="32"/>
          <w:szCs w:val="32"/>
        </w:rPr>
        <w:t>号</w:t>
      </w:r>
    </w:p>
    <w:p w14:paraId="721E273E">
      <w:pPr>
        <w:spacing w:line="0" w:lineRule="atLeast"/>
        <w:jc w:val="center"/>
        <w:rPr>
          <w:rFonts w:eastAsia="方正小标宋简体"/>
          <w:sz w:val="44"/>
          <w:szCs w:val="44"/>
        </w:rPr>
      </w:pPr>
      <w:bookmarkStart w:id="0" w:name="_GoBack"/>
      <w:bookmarkEnd w:id="0"/>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广汉天时利和机械有限公司新能源电动摩托车零部件生产及组装项目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广汉天时利和机械有限公司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lang w:val="en-US" w:eastAsia="zh-CN"/>
        </w:rPr>
        <w:t>新能源电动摩托车零部件生产及组装项目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一、</w:t>
      </w:r>
      <w:r>
        <w:rPr>
          <w:rFonts w:hint="eastAsia"/>
          <w:lang w:eastAsia="zh-CN"/>
        </w:rPr>
        <w:t>该项目为新建项目,拟在广汉市高雄路三段6号已购厂区进行建设，用地面积35682.30平方米。项目内容及规模为：新建1间</w:t>
      </w:r>
      <w:r>
        <w:rPr>
          <w:rFonts w:hint="eastAsia"/>
          <w:lang w:val="en-US" w:eastAsia="zh-CN"/>
        </w:rPr>
        <w:t>2#</w:t>
      </w:r>
      <w:r>
        <w:rPr>
          <w:rFonts w:hint="eastAsia"/>
          <w:lang w:eastAsia="zh-CN"/>
        </w:rPr>
        <w:t>生产厂房，</w:t>
      </w:r>
      <w:r>
        <w:rPr>
          <w:rFonts w:hint="eastAsia"/>
          <w:lang w:val="en-US" w:eastAsia="zh-CN"/>
        </w:rPr>
        <w:t>对现有1#车间进行适应性改造，</w:t>
      </w:r>
      <w:r>
        <w:rPr>
          <w:rFonts w:hint="eastAsia"/>
          <w:lang w:eastAsia="zh-CN"/>
        </w:rPr>
        <w:t>依托</w:t>
      </w:r>
      <w:r>
        <w:rPr>
          <w:rFonts w:hint="eastAsia"/>
          <w:lang w:val="en-US" w:eastAsia="zh-CN"/>
        </w:rPr>
        <w:t>并配套建设</w:t>
      </w:r>
      <w:r>
        <w:rPr>
          <w:rFonts w:hint="eastAsia"/>
          <w:lang w:eastAsia="zh-CN"/>
        </w:rPr>
        <w:t>相关公辅设施，购置</w:t>
      </w:r>
      <w:r>
        <w:rPr>
          <w:rFonts w:hint="eastAsia"/>
          <w:lang w:val="en-US" w:eastAsia="zh-CN"/>
        </w:rPr>
        <w:t>金属切割下料、折弯、机械成型、冲孔、焊接、打磨抛光等机加</w:t>
      </w:r>
      <w:r>
        <w:rPr>
          <w:rFonts w:hint="eastAsia"/>
          <w:lang w:eastAsia="zh-CN"/>
        </w:rPr>
        <w:t>设备、涂装前处理和电泳流水线、喷塑机、喷漆房、固化烘箱等生产设备，布设新能源电动摩托车零配件生产线，建成后形成年产新能源电动摩托车零配件15万套（其中车架15万件、车厢15万件）的生产能力。项目总投资4500万元，其中环保投资114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2203-510681-04-01-812267</w:t>
      </w:r>
      <w:r>
        <w:rPr>
          <w:rFonts w:hint="eastAsia"/>
          <w:lang w:eastAsia="zh-CN"/>
        </w:rPr>
        <w:t>]</w:t>
      </w:r>
      <w:r>
        <w:rPr>
          <w:rFonts w:hint="eastAsia"/>
          <w:lang w:val="en-US" w:eastAsia="zh-CN"/>
        </w:rPr>
        <w:t>FGQB-0062</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《广汉市国土空间总体规划（2021-2035年）》及</w:t>
      </w:r>
      <w:r>
        <w:rPr>
          <w:rFonts w:hint="eastAsia" w:ascii="仿宋_GB2312" w:hAnsi="仿宋_GB2312" w:eastAsia="仿宋_GB2312" w:cs="仿宋_GB2312"/>
          <w:sz w:val="32"/>
          <w:szCs w:val="32"/>
        </w:rPr>
        <w:t>广汉天时利和机械有限公司</w:t>
      </w:r>
      <w:r>
        <w:rPr>
          <w:rFonts w:hint="eastAsia"/>
          <w:lang w:val="en-US" w:eastAsia="zh-CN"/>
        </w:rPr>
        <w:t>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eastAsia="zh-CN"/>
        </w:rPr>
        <w:t>（三）严格落实并优化报告表提出的各项废气处理措施。</w:t>
      </w:r>
      <w:r>
        <w:rPr>
          <w:rFonts w:hint="eastAsia"/>
          <w:lang w:val="en-US" w:eastAsia="zh-CN"/>
        </w:rPr>
        <w:t>落实切割工序、固定焊接工位、打磨工序的集气罩及密闭抛丸设备的抽气装置，确保切割、焊接烟尘经一套脉冲式焊烟净化器处理，打磨、抛光粉尘经布袋除尘器处理后由1根15m高排气筒（DA001）达标排放；落实电泳槽进出口、电泳固化烘箱进出口的集气罩+水喷淋塔+过滤棉+二级活性炭装置及蒸汽发生器的抽气装置，确保电泳有机废气、电泳固化有机废气、天然气燃烧废气（热水浸泡、电泳固化工序）经收集处理后由1根15m高排气筒（DA002）达标排放；设置密闭的喷漆房，落实喷漆工序的微负压收集+水帘柜装置，喷漆固化、喷塑固化工序的集气罩/微负压收集，危废暂存间的抽气装置，确保喷漆、喷漆固化、喷塑固化有机废气、漆雾及天然气燃烧废气、危废间废气收集至一套水喷淋塔+过滤棉+二级活性炭装置处理后由1根15m高排气筒（DA003）达标排放；落实喷塑室自带抽风装置+布袋除尘器措施，确保喷塑粉尘经收集处理后由1根15m高排气筒（DA004）达标排放；确保食堂油烟经油烟净化器处理后引至屋顶达标排放，对周边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（四）严格落实并优化报告表提出的各项废水处理措施。项目生活污水、经隔油器处理后的食堂废水由厂区预处理池处理，</w:t>
      </w:r>
      <w:r>
        <w:rPr>
          <w:rFonts w:hint="eastAsia"/>
          <w:lang w:val="en-US" w:eastAsia="zh-CN"/>
        </w:rPr>
        <w:t>循环使用后定期外排的</w:t>
      </w:r>
      <w:r>
        <w:rPr>
          <w:rFonts w:hint="eastAsia"/>
          <w:lang w:eastAsia="zh-CN"/>
        </w:rPr>
        <w:t>表面处理清洗废水经一体化污水处理设备处理达《污水综合排放标准》（GB8978-1996）中三级标准后</w:t>
      </w:r>
      <w:r>
        <w:rPr>
          <w:rFonts w:hint="eastAsia"/>
          <w:lang w:val="en-US" w:eastAsia="zh-CN"/>
        </w:rPr>
        <w:t>汇同蒸汽发生器废水</w:t>
      </w:r>
      <w:r>
        <w:rPr>
          <w:rFonts w:hint="eastAsia"/>
          <w:lang w:eastAsia="zh-CN"/>
        </w:rPr>
        <w:t>一同排入园区污水管网，经广汉市第二污水处理厂处理达《四川省岷江、沱江流域水污染物排放标准》（DB51/2311-2016）中工业园区集中式污水处理厂标准后外排。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餐厨垃圾及废油脂、预处理池污泥交由有相应处理能力的单位处理；废边角料、废滤芯及焊渣、废钢丸、除尘器收尘、废包装材料、废布袋、废超滤膜分类收集后定期外售；废切削液、废液压油、废包装桶、废过滤棉、污水处理设备压滤泥饼、废过滤介质、槽渣、废活性炭、废润滑油、含油棉纱废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漆渣、喷漆废水、喷淋塔废水暂按危废管理，若鉴别后不属于危废，后期作一般工业固废处理；生活垃圾交环卫部门清运</w:t>
      </w:r>
      <w:r>
        <w:rPr>
          <w:rFonts w:hint="eastAsia"/>
          <w:lang w:eastAsia="zh-CN"/>
        </w:rPr>
        <w:t>。</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lang w:val="en-US" w:eastAsia="zh-CN"/>
        </w:rPr>
        <w:t>危废暂存间、油类存放区、辅料区、喷漆固化区、喷塑固化区、涂装前处理和电泳固化区、一体化污水处理设备区域、废水收集池</w:t>
      </w:r>
      <w:r>
        <w:rPr>
          <w:rFonts w:hint="eastAsia"/>
          <w:lang w:eastAsia="zh-CN"/>
        </w:rPr>
        <w:t>设置为重点防渗区，将</w:t>
      </w:r>
      <w:r>
        <w:rPr>
          <w:rFonts w:hint="eastAsia"/>
          <w:lang w:val="en-US" w:eastAsia="zh-CN"/>
        </w:rPr>
        <w:t>1#厂房和2#厂房除重点防渗区以外的其他区域设置为一般防渗区，</w:t>
      </w:r>
      <w:r>
        <w:rPr>
          <w:rFonts w:hint="eastAsia"/>
          <w:lang w:eastAsia="zh-CN"/>
        </w:rPr>
        <w:t>将1#办公楼、2#办公楼和厂区道路地面设置为简单防渗区，分别采取防渗措施。建立和完善地下水、土壤污染监控制度和环境管理体系，发现问题及时采取措施，避免污染周边地下水和土壤环境。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8082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418CA67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十</w:t>
      </w:r>
      <w:r>
        <w:rPr>
          <w:rFonts w:hint="eastAsia"/>
          <w:lang w:eastAsia="zh-CN"/>
        </w:rPr>
        <w:t>）本项目以</w:t>
      </w:r>
      <w:r>
        <w:rPr>
          <w:rFonts w:hint="eastAsia"/>
          <w:lang w:val="en-US" w:eastAsia="zh-CN"/>
        </w:rPr>
        <w:t>1#、</w:t>
      </w:r>
      <w:r>
        <w:rPr>
          <w:rFonts w:hint="eastAsia"/>
          <w:lang w:eastAsia="zh-CN"/>
        </w:rPr>
        <w:t>2#生产车间边界为起点，向外划定50米范围为卫生防护距离控制区，该区域引进项目时应注意其环境相容性，并协助园区管委会监督项目卫生防护距离内不得新建居住、学校、医院等敏感建筑，发现问题及时向园区管委会和相关部门反映。</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三、该项目运营后，</w:t>
      </w:r>
      <w:r>
        <w:rPr>
          <w:rFonts w:hint="eastAsia"/>
          <w:lang w:val="en-US" w:eastAsia="zh-CN"/>
        </w:rPr>
        <w:t>氮氧化物排放量为0.1346</w:t>
      </w:r>
      <w:r>
        <w:rPr>
          <w:rFonts w:hint="eastAsia"/>
          <w:lang w:eastAsia="zh-CN"/>
        </w:rPr>
        <w:t>吨/年，</w:t>
      </w:r>
      <w:r>
        <w:rPr>
          <w:rFonts w:hint="eastAsia"/>
          <w:lang w:val="en-US" w:eastAsia="zh-CN"/>
        </w:rPr>
        <w:t>挥发性有机物排放量为1.5429</w:t>
      </w:r>
      <w:r>
        <w:rPr>
          <w:rFonts w:hint="eastAsia"/>
          <w:lang w:eastAsia="zh-CN"/>
        </w:rPr>
        <w:t>吨/年</w:t>
      </w:r>
      <w:r>
        <w:rPr>
          <w:rFonts w:hint="eastAsia"/>
          <w:lang w:val="en-US" w:eastAsia="zh-CN"/>
        </w:rPr>
        <w:t>，</w:t>
      </w:r>
      <w:r>
        <w:rPr>
          <w:rFonts w:hint="eastAsia"/>
          <w:lang w:eastAsia="zh-CN"/>
        </w:rPr>
        <w:t>化学需氧量排放量为</w:t>
      </w:r>
      <w:r>
        <w:rPr>
          <w:rFonts w:hint="eastAsia"/>
          <w:lang w:val="en-US" w:eastAsia="zh-CN"/>
        </w:rPr>
        <w:t>0.104</w:t>
      </w:r>
      <w:r>
        <w:rPr>
          <w:rFonts w:hint="eastAsia"/>
          <w:lang w:eastAsia="zh-CN"/>
        </w:rPr>
        <w:t>吨/年，氨氮排放量为</w:t>
      </w:r>
      <w:r>
        <w:rPr>
          <w:rFonts w:hint="eastAsia"/>
          <w:lang w:val="en-US" w:eastAsia="zh-CN"/>
        </w:rPr>
        <w:t>0.013</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3</w:t>
      </w:r>
      <w:r>
        <w:rPr>
          <w:rFonts w:hint="eastAsia"/>
          <w:lang w:eastAsia="zh-CN"/>
        </w:rPr>
        <w:t>月</w:t>
      </w:r>
      <w:r>
        <w:rPr>
          <w:rFonts w:hint="eastAsia"/>
          <w:lang w:val="en-US" w:eastAsia="zh-CN"/>
        </w:rPr>
        <w:t>28</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0F8C"/>
    <w:rsid w:val="02AE534C"/>
    <w:rsid w:val="06C07F19"/>
    <w:rsid w:val="07EE52C1"/>
    <w:rsid w:val="0BD91586"/>
    <w:rsid w:val="11A36E95"/>
    <w:rsid w:val="121F6F46"/>
    <w:rsid w:val="17722C48"/>
    <w:rsid w:val="17FF1243"/>
    <w:rsid w:val="182A3593"/>
    <w:rsid w:val="185D1ACF"/>
    <w:rsid w:val="1A5823C6"/>
    <w:rsid w:val="1BA51514"/>
    <w:rsid w:val="1DA61023"/>
    <w:rsid w:val="23A4088A"/>
    <w:rsid w:val="240472A7"/>
    <w:rsid w:val="24602490"/>
    <w:rsid w:val="250D7AF6"/>
    <w:rsid w:val="2A3732D1"/>
    <w:rsid w:val="2B1D6405"/>
    <w:rsid w:val="2E624E98"/>
    <w:rsid w:val="39913616"/>
    <w:rsid w:val="3A6E4FAF"/>
    <w:rsid w:val="3B8A62BD"/>
    <w:rsid w:val="432F1B9E"/>
    <w:rsid w:val="449D70C1"/>
    <w:rsid w:val="493B5434"/>
    <w:rsid w:val="4B597903"/>
    <w:rsid w:val="4E20458D"/>
    <w:rsid w:val="50722108"/>
    <w:rsid w:val="52EB1116"/>
    <w:rsid w:val="548968E9"/>
    <w:rsid w:val="56EF32D7"/>
    <w:rsid w:val="583609E1"/>
    <w:rsid w:val="598E3781"/>
    <w:rsid w:val="5A282A37"/>
    <w:rsid w:val="62544876"/>
    <w:rsid w:val="65AB4EFC"/>
    <w:rsid w:val="65F97157"/>
    <w:rsid w:val="662B4514"/>
    <w:rsid w:val="696A6E0F"/>
    <w:rsid w:val="6BE44BDF"/>
    <w:rsid w:val="6CC97B23"/>
    <w:rsid w:val="6F4577DC"/>
    <w:rsid w:val="77712936"/>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3064</Words>
  <Characters>3202</Characters>
  <Lines>0</Lines>
  <Paragraphs>0</Paragraphs>
  <TotalTime>10</TotalTime>
  <ScaleCrop>false</ScaleCrop>
  <LinksUpToDate>false</LinksUpToDate>
  <CharactersWithSpaces>3290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2025-03-06T01:11:00Z</cp:lastPrinted>
  <dcterms:modified xsi:type="dcterms:W3CDTF">2025-03-28T06:54:26Z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BB9E4D98FE0D4A128B78DEE57B1AC325_13</vt:lpwstr>
  </property>
</Properties>
</file>