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lang w:val="zh-CN"/>
        </w:rPr>
      </w:pPr>
      <w:r>
        <w:rPr>
          <w:rFonts w:hint="eastAsia" w:ascii="黑体" w:hAnsi="黑体" w:eastAsia="黑体" w:cs="黑体"/>
          <w:lang w:val="zh-CN"/>
        </w:rPr>
        <w:t>附件</w:t>
      </w:r>
      <w:r>
        <w:rPr>
          <w:rFonts w:ascii="黑体" w:hAnsi="黑体" w:eastAsia="黑体" w:cs="黑体"/>
        </w:rPr>
        <w:t>2</w:t>
      </w:r>
    </w:p>
    <w:p>
      <w:pPr>
        <w:widowControl/>
        <w:spacing w:line="580" w:lineRule="exact"/>
        <w:rPr>
          <w:rFonts w:ascii="宋体" w:hAnsi="宋体" w:eastAsia="宋体"/>
          <w:b/>
          <w:bCs/>
          <w:sz w:val="44"/>
          <w:szCs w:val="44"/>
          <w:shd w:val="clear" w:color="auto" w:fill="FFFFFF"/>
        </w:rPr>
      </w:pPr>
    </w:p>
    <w:p>
      <w:pPr>
        <w:widowControl/>
        <w:spacing w:line="580" w:lineRule="exact"/>
        <w:jc w:val="center"/>
        <w:rPr>
          <w:rFonts w:hint="eastAsia" w:ascii="方正小标宋简体" w:hAnsi="宋体" w:eastAsia="方正小标宋简体"/>
          <w:bCs/>
          <w:sz w:val="44"/>
          <w:szCs w:val="44"/>
          <w:shd w:val="clear" w:color="auto" w:fill="FFFFFF"/>
        </w:rPr>
      </w:pPr>
      <w:r>
        <w:rPr>
          <w:rFonts w:hint="eastAsia" w:ascii="方正小标宋简体" w:hAnsi="宋体" w:eastAsia="方正小标宋简体" w:cs="宋体"/>
          <w:bCs/>
          <w:sz w:val="44"/>
          <w:szCs w:val="44"/>
          <w:shd w:val="clear" w:color="auto" w:fill="FFFFFF"/>
          <w:lang w:val="en-US" w:eastAsia="zh-CN"/>
        </w:rPr>
        <w:t>2021年</w:t>
      </w:r>
      <w:r>
        <w:rPr>
          <w:rFonts w:hint="eastAsia" w:ascii="方正小标宋简体" w:hAnsi="宋体" w:eastAsia="方正小标宋简体" w:cs="宋体"/>
          <w:bCs/>
          <w:sz w:val="44"/>
          <w:szCs w:val="44"/>
          <w:shd w:val="clear" w:color="auto" w:fill="FFFFFF"/>
          <w:lang w:eastAsia="zh-CN"/>
        </w:rPr>
        <w:t>广汉市三水小学部门</w:t>
      </w:r>
      <w:r>
        <w:rPr>
          <w:rFonts w:hint="eastAsia" w:ascii="方正小标宋简体" w:hAnsi="宋体" w:eastAsia="方正小标宋简体" w:cs="宋体"/>
          <w:bCs/>
          <w:sz w:val="44"/>
          <w:szCs w:val="44"/>
          <w:shd w:val="clear" w:color="auto" w:fill="FFFFFF"/>
        </w:rPr>
        <w:t>整体支出</w:t>
      </w:r>
    </w:p>
    <w:p>
      <w:pPr>
        <w:widowControl/>
        <w:spacing w:line="580" w:lineRule="exact"/>
        <w:jc w:val="center"/>
        <w:rPr>
          <w:rFonts w:ascii="仿宋_GB2312" w:hAnsi="宋体"/>
          <w:shd w:val="clear" w:color="auto" w:fill="FFFFFF"/>
        </w:rPr>
      </w:pPr>
      <w:r>
        <w:rPr>
          <w:rFonts w:hint="eastAsia" w:ascii="方正小标宋简体" w:hAnsi="宋体" w:eastAsia="方正小标宋简体" w:cs="宋体"/>
          <w:bCs/>
          <w:sz w:val="44"/>
          <w:szCs w:val="44"/>
          <w:shd w:val="clear" w:color="auto" w:fill="FFFFFF"/>
        </w:rPr>
        <w:t>绩效评价报告</w:t>
      </w:r>
    </w:p>
    <w:p>
      <w:pPr>
        <w:widowControl/>
        <w:adjustRightInd w:val="0"/>
        <w:snapToGrid w:val="0"/>
        <w:spacing w:line="580" w:lineRule="exact"/>
        <w:ind w:firstLine="480" w:firstLineChars="200"/>
        <w:jc w:val="left"/>
        <w:rPr>
          <w:rFonts w:ascii="黑体" w:hAnsi="宋体" w:eastAsia="黑体"/>
          <w:color w:val="000000"/>
          <w:kern w:val="0"/>
          <w:sz w:val="24"/>
          <w:szCs w:val="24"/>
          <w:shd w:val="clear" w:color="auto" w:fill="FFFFFF"/>
        </w:rPr>
      </w:pPr>
    </w:p>
    <w:p>
      <w:pPr>
        <w:widowControl/>
        <w:adjustRightInd w:val="0"/>
        <w:snapToGrid w:val="0"/>
        <w:spacing w:line="580" w:lineRule="exact"/>
        <w:ind w:firstLine="640" w:firstLineChars="200"/>
        <w:jc w:val="left"/>
        <w:rPr>
          <w:rFonts w:ascii="黑体" w:hAnsi="宋体" w:eastAsia="黑体"/>
          <w:color w:val="000000"/>
          <w:kern w:val="0"/>
          <w:shd w:val="clear" w:color="auto" w:fill="FFFFFF"/>
          <w:lang w:val="zh-CN"/>
        </w:rPr>
      </w:pPr>
      <w:r>
        <w:rPr>
          <w:rFonts w:hint="eastAsia" w:ascii="黑体" w:hAnsi="宋体" w:eastAsia="黑体" w:cs="黑体"/>
          <w:color w:val="000000"/>
          <w:kern w:val="0"/>
          <w:shd w:val="clear" w:color="auto" w:fill="FFFFFF"/>
        </w:rPr>
        <w:t>一、</w:t>
      </w:r>
      <w:r>
        <w:rPr>
          <w:rFonts w:hint="eastAsia" w:ascii="黑体" w:hAnsi="宋体" w:eastAsia="黑体" w:cs="黑体"/>
          <w:color w:val="000000"/>
          <w:kern w:val="0"/>
          <w:shd w:val="clear" w:color="auto" w:fill="FFFFFF"/>
          <w:lang w:val="zh-CN"/>
        </w:rPr>
        <w:t>部门（单位）概况</w:t>
      </w:r>
    </w:p>
    <w:p>
      <w:pPr>
        <w:widowControl/>
        <w:adjustRightInd w:val="0"/>
        <w:snapToGrid w:val="0"/>
        <w:spacing w:line="580" w:lineRule="exact"/>
        <w:ind w:firstLine="640" w:firstLineChars="200"/>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（一）机构组成。</w:t>
      </w:r>
    </w:p>
    <w:p>
      <w:pPr>
        <w:widowControl/>
        <w:adjustRightInd w:val="0"/>
        <w:snapToGrid w:val="0"/>
        <w:spacing w:line="580" w:lineRule="exact"/>
        <w:ind w:firstLine="560" w:firstLineChars="200"/>
        <w:jc w:val="left"/>
        <w:rPr>
          <w:rFonts w:hint="eastAsia" w:ascii="楷体_GB2312" w:hAnsi="宋体" w:eastAsia="楷体_GB2312" w:cs="仿宋_GB2312"/>
          <w:color w:val="000000"/>
          <w:kern w:val="0"/>
          <w:shd w:val="clear" w:color="auto" w:fill="FFFFFF"/>
          <w:lang w:val="zh-CN"/>
        </w:rPr>
      </w:pPr>
      <w:r>
        <w:rPr>
          <w:rFonts w:hint="eastAsia" w:ascii="宋体" w:hAnsi="宋体"/>
          <w:sz w:val="28"/>
          <w:szCs w:val="28"/>
        </w:rPr>
        <w:t>我校只有</w:t>
      </w:r>
      <w:r>
        <w:rPr>
          <w:rFonts w:ascii="宋体" w:hAnsi="宋体"/>
          <w:sz w:val="28"/>
          <w:szCs w:val="28"/>
        </w:rPr>
        <w:t>1</w:t>
      </w:r>
      <w:r>
        <w:rPr>
          <w:rFonts w:hint="eastAsia" w:ascii="宋体" w:hAnsi="宋体"/>
          <w:sz w:val="28"/>
          <w:szCs w:val="28"/>
        </w:rPr>
        <w:t>个独立编制机构</w:t>
      </w:r>
    </w:p>
    <w:p>
      <w:pPr>
        <w:widowControl/>
        <w:numPr>
          <w:ilvl w:val="0"/>
          <w:numId w:val="1"/>
        </w:numPr>
        <w:adjustRightInd w:val="0"/>
        <w:snapToGrid w:val="0"/>
        <w:spacing w:line="580" w:lineRule="exact"/>
        <w:ind w:firstLine="640" w:firstLineChars="200"/>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机构职能。</w:t>
      </w:r>
    </w:p>
    <w:p>
      <w:pPr>
        <w:spacing w:line="400" w:lineRule="exact"/>
        <w:ind w:firstLine="560" w:firstLineChars="200"/>
        <w:rPr>
          <w:rFonts w:ascii="宋体"/>
          <w:sz w:val="28"/>
          <w:szCs w:val="28"/>
        </w:rPr>
      </w:pPr>
      <w:r>
        <w:rPr>
          <w:rFonts w:hint="eastAsia" w:ascii="宋体" w:hAnsi="宋体"/>
          <w:sz w:val="28"/>
          <w:szCs w:val="28"/>
        </w:rPr>
        <w:t>我校主要从事小学教育、附学前教育。</w:t>
      </w:r>
    </w:p>
    <w:p>
      <w:pPr>
        <w:widowControl/>
        <w:numPr>
          <w:ilvl w:val="0"/>
          <w:numId w:val="1"/>
        </w:numPr>
        <w:adjustRightInd w:val="0"/>
        <w:snapToGrid w:val="0"/>
        <w:spacing w:line="580" w:lineRule="exact"/>
        <w:ind w:left="0" w:leftChars="0" w:firstLine="640" w:firstLineChars="200"/>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人员概况。</w:t>
      </w:r>
    </w:p>
    <w:p>
      <w:pPr>
        <w:widowControl/>
        <w:numPr>
          <w:ilvl w:val="0"/>
          <w:numId w:val="0"/>
        </w:numPr>
        <w:adjustRightInd w:val="0"/>
        <w:snapToGrid w:val="0"/>
        <w:spacing w:line="580" w:lineRule="exact"/>
        <w:ind w:leftChars="200"/>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2020年，我校在职教师年初人数84人，（本年公招6人，招聘特岗1人，退休1人），</w:t>
      </w:r>
    </w:p>
    <w:p>
      <w:pPr>
        <w:widowControl/>
        <w:numPr>
          <w:ilvl w:val="0"/>
          <w:numId w:val="0"/>
        </w:numPr>
        <w:adjustRightInd w:val="0"/>
        <w:snapToGrid w:val="0"/>
        <w:spacing w:line="580" w:lineRule="exact"/>
        <w:ind w:leftChars="200"/>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年末90人，退休人员年初86人，2019年退休2人，年末88人。</w:t>
      </w:r>
    </w:p>
    <w:p>
      <w:pPr>
        <w:widowControl/>
        <w:adjustRightInd w:val="0"/>
        <w:snapToGrid w:val="0"/>
        <w:spacing w:line="580" w:lineRule="exact"/>
        <w:ind w:firstLine="640" w:firstLineChars="200"/>
        <w:jc w:val="left"/>
        <w:rPr>
          <w:rFonts w:ascii="黑体" w:hAnsi="宋体" w:eastAsia="黑体"/>
          <w:color w:val="000000"/>
          <w:kern w:val="0"/>
          <w:shd w:val="clear" w:color="auto" w:fill="FFFFFF"/>
        </w:rPr>
      </w:pPr>
      <w:r>
        <w:rPr>
          <w:rFonts w:hint="eastAsia" w:ascii="黑体" w:hAnsi="宋体" w:eastAsia="黑体" w:cs="黑体"/>
          <w:color w:val="000000"/>
          <w:kern w:val="0"/>
          <w:shd w:val="clear" w:color="auto" w:fill="FFFFFF"/>
        </w:rPr>
        <w:t>二、部门财政资金收支情况</w:t>
      </w:r>
    </w:p>
    <w:p>
      <w:pPr>
        <w:widowControl/>
        <w:adjustRightInd w:val="0"/>
        <w:snapToGrid w:val="0"/>
        <w:spacing w:line="580" w:lineRule="exact"/>
        <w:ind w:firstLine="640" w:firstLineChars="200"/>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（一）部门财政资金收入情况。</w:t>
      </w:r>
    </w:p>
    <w:p>
      <w:pPr>
        <w:widowControl/>
        <w:adjustRightInd w:val="0"/>
        <w:snapToGrid w:val="0"/>
        <w:spacing w:line="580" w:lineRule="exact"/>
        <w:ind w:firstLine="640" w:firstLineChars="200"/>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本年度实际收到的一般公共预算财政拨款收入</w:t>
      </w:r>
      <w:r>
        <w:rPr>
          <w:rFonts w:hint="eastAsia" w:ascii="楷体_GB2312" w:hAnsi="宋体" w:eastAsia="楷体_GB2312" w:cs="仿宋_GB2312"/>
          <w:color w:val="000000"/>
          <w:kern w:val="0"/>
          <w:shd w:val="clear" w:color="auto" w:fill="FFFFFF"/>
          <w:lang w:val="en-US" w:eastAsia="zh-CN"/>
        </w:rPr>
        <w:t>1151.48</w:t>
      </w:r>
      <w:r>
        <w:rPr>
          <w:rFonts w:hint="eastAsia" w:ascii="楷体_GB2312" w:hAnsi="宋体" w:eastAsia="楷体_GB2312" w:cs="仿宋_GB2312"/>
          <w:color w:val="000000"/>
          <w:kern w:val="0"/>
          <w:shd w:val="clear" w:color="auto" w:fill="FFFFFF"/>
          <w:lang w:val="zh-CN"/>
        </w:rPr>
        <w:t>万元，完成率100%</w:t>
      </w:r>
    </w:p>
    <w:p>
      <w:pPr>
        <w:widowControl/>
        <w:numPr>
          <w:ilvl w:val="0"/>
          <w:numId w:val="2"/>
        </w:numPr>
        <w:adjustRightInd w:val="0"/>
        <w:snapToGrid w:val="0"/>
        <w:spacing w:line="580" w:lineRule="exact"/>
        <w:ind w:firstLine="640" w:firstLineChars="200"/>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部门财政资金支出情况。</w:t>
      </w:r>
    </w:p>
    <w:p>
      <w:pPr>
        <w:widowControl/>
        <w:numPr>
          <w:ilvl w:val="0"/>
          <w:numId w:val="0"/>
        </w:numPr>
        <w:adjustRightInd w:val="0"/>
        <w:snapToGrid w:val="0"/>
        <w:spacing w:line="580" w:lineRule="exact"/>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2020年共计支出</w:t>
      </w:r>
      <w:r>
        <w:rPr>
          <w:rFonts w:hint="eastAsia" w:ascii="楷体_GB2312" w:hAnsi="宋体" w:eastAsia="楷体_GB2312" w:cs="仿宋_GB2312"/>
          <w:color w:val="000000"/>
          <w:kern w:val="0"/>
          <w:shd w:val="clear" w:color="auto" w:fill="FFFFFF"/>
          <w:lang w:val="en-US" w:eastAsia="zh-CN"/>
        </w:rPr>
        <w:t>1171.95</w:t>
      </w:r>
      <w:r>
        <w:rPr>
          <w:rFonts w:hint="eastAsia" w:ascii="楷体_GB2312" w:hAnsi="宋体" w:eastAsia="楷体_GB2312" w:cs="仿宋_GB2312"/>
          <w:color w:val="000000"/>
          <w:kern w:val="0"/>
          <w:shd w:val="clear" w:color="auto" w:fill="FFFFFF"/>
          <w:lang w:val="zh-CN"/>
        </w:rPr>
        <w:t>万元，超支</w:t>
      </w:r>
      <w:r>
        <w:rPr>
          <w:rFonts w:hint="eastAsia" w:ascii="楷体_GB2312" w:hAnsi="宋体" w:eastAsia="楷体_GB2312" w:cs="仿宋_GB2312"/>
          <w:color w:val="000000"/>
          <w:kern w:val="0"/>
          <w:shd w:val="clear" w:color="auto" w:fill="FFFFFF"/>
          <w:lang w:val="en-US" w:eastAsia="zh-CN"/>
        </w:rPr>
        <w:t>12.45</w:t>
      </w:r>
      <w:r>
        <w:rPr>
          <w:rFonts w:hint="eastAsia" w:ascii="楷体_GB2312" w:hAnsi="宋体" w:eastAsia="楷体_GB2312" w:cs="仿宋_GB2312"/>
          <w:color w:val="000000"/>
          <w:kern w:val="0"/>
          <w:shd w:val="clear" w:color="auto" w:fill="FFFFFF"/>
          <w:lang w:val="zh-CN"/>
        </w:rPr>
        <w:t>万元。其中基本支出</w:t>
      </w:r>
      <w:r>
        <w:rPr>
          <w:rFonts w:hint="eastAsia" w:ascii="楷体_GB2312" w:hAnsi="宋体" w:eastAsia="楷体_GB2312" w:cs="仿宋_GB2312"/>
          <w:color w:val="000000"/>
          <w:kern w:val="0"/>
          <w:shd w:val="clear" w:color="auto" w:fill="FFFFFF"/>
          <w:lang w:val="en-US" w:eastAsia="zh-CN"/>
        </w:rPr>
        <w:t>1137.77</w:t>
      </w:r>
      <w:r>
        <w:rPr>
          <w:rFonts w:hint="eastAsia" w:ascii="楷体_GB2312" w:hAnsi="宋体" w:eastAsia="楷体_GB2312" w:cs="仿宋_GB2312"/>
          <w:color w:val="000000"/>
          <w:kern w:val="0"/>
          <w:shd w:val="clear" w:color="auto" w:fill="FFFFFF"/>
          <w:lang w:val="zh-CN"/>
        </w:rPr>
        <w:t>万元，非专审项目支出</w:t>
      </w:r>
      <w:r>
        <w:rPr>
          <w:rFonts w:hint="eastAsia" w:ascii="楷体_GB2312" w:hAnsi="宋体" w:eastAsia="楷体_GB2312" w:cs="仿宋_GB2312"/>
          <w:color w:val="000000"/>
          <w:kern w:val="0"/>
          <w:shd w:val="clear" w:color="auto" w:fill="FFFFFF"/>
          <w:lang w:val="en-US" w:eastAsia="zh-CN"/>
        </w:rPr>
        <w:t>34.18</w:t>
      </w:r>
      <w:r>
        <w:rPr>
          <w:rFonts w:hint="eastAsia" w:ascii="楷体_GB2312" w:hAnsi="宋体" w:eastAsia="楷体_GB2312" w:cs="仿宋_GB2312"/>
          <w:color w:val="000000"/>
          <w:kern w:val="0"/>
          <w:shd w:val="clear" w:color="auto" w:fill="FFFFFF"/>
          <w:lang w:val="zh-CN"/>
        </w:rPr>
        <w:t>元，完成预算100%。</w:t>
      </w:r>
    </w:p>
    <w:p>
      <w:pPr>
        <w:widowControl/>
        <w:adjustRightInd w:val="0"/>
        <w:snapToGrid w:val="0"/>
        <w:spacing w:line="580" w:lineRule="exact"/>
        <w:ind w:firstLine="640" w:firstLineChars="200"/>
        <w:jc w:val="left"/>
        <w:rPr>
          <w:rFonts w:ascii="黑体" w:hAnsi="宋体" w:eastAsia="黑体"/>
          <w:color w:val="000000"/>
          <w:kern w:val="0"/>
          <w:shd w:val="clear" w:color="auto" w:fill="FFFFFF"/>
        </w:rPr>
      </w:pPr>
      <w:r>
        <w:rPr>
          <w:rFonts w:hint="eastAsia" w:ascii="黑体" w:hAnsi="宋体" w:eastAsia="黑体" w:cs="黑体"/>
          <w:color w:val="000000"/>
          <w:kern w:val="0"/>
          <w:shd w:val="clear" w:color="auto" w:fill="FFFFFF"/>
        </w:rPr>
        <w:t>三、部门整体预算绩效管理情况</w:t>
      </w:r>
    </w:p>
    <w:p>
      <w:pPr>
        <w:widowControl/>
        <w:adjustRightInd w:val="0"/>
        <w:snapToGrid w:val="0"/>
        <w:spacing w:line="580" w:lineRule="exact"/>
        <w:ind w:firstLine="640" w:firstLineChars="200"/>
        <w:jc w:val="left"/>
        <w:rPr>
          <w:rFonts w:hint="eastAsia" w:ascii="楷体_GB2312" w:hAnsi="宋体" w:eastAsia="楷体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（一）部门预算管理。</w:t>
      </w:r>
    </w:p>
    <w:p>
      <w:pPr>
        <w:widowControl/>
        <w:adjustRightInd w:val="0"/>
        <w:snapToGrid w:val="0"/>
        <w:spacing w:line="580" w:lineRule="exact"/>
        <w:ind w:firstLine="640" w:firstLineChars="200"/>
        <w:jc w:val="left"/>
        <w:rPr>
          <w:rFonts w:hint="eastAsia" w:ascii="仿宋_GB2312" w:hAnsi="宋体" w:cs="仿宋_GB2312"/>
          <w:color w:val="000000"/>
          <w:kern w:val="0"/>
          <w:shd w:val="clear" w:color="auto" w:fill="FFFFFF"/>
          <w:lang w:val="zh-CN"/>
        </w:rPr>
      </w:pPr>
      <w:r>
        <w:rPr>
          <w:rFonts w:hint="eastAsia" w:ascii="仿宋_GB2312" w:hAnsi="宋体" w:cs="仿宋_GB2312"/>
          <w:color w:val="000000"/>
          <w:kern w:val="0"/>
          <w:shd w:val="clear" w:color="auto" w:fill="FFFFFF"/>
          <w:lang w:val="zh-CN"/>
        </w:rPr>
        <w:t>（一）部门预算管理。</w:t>
      </w:r>
    </w:p>
    <w:p>
      <w:pPr>
        <w:widowControl/>
        <w:numPr>
          <w:ilvl w:val="0"/>
          <w:numId w:val="0"/>
        </w:numPr>
        <w:adjustRightInd w:val="0"/>
        <w:snapToGrid w:val="0"/>
        <w:spacing w:line="580" w:lineRule="exact"/>
        <w:ind w:firstLine="640" w:firstLineChars="200"/>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实行全面预算管理，建立健全预算管理制度;编制收支预算坚持“以收定支、收支平衡、统筹兼顾”的原则;严格执行批复的预算、按照规定调整预算;按照财政部门决算编制要求，真实、完整、准确、及时编制决算。</w:t>
      </w:r>
    </w:p>
    <w:p>
      <w:pPr>
        <w:widowControl/>
        <w:numPr>
          <w:ilvl w:val="0"/>
          <w:numId w:val="0"/>
        </w:numPr>
        <w:adjustRightInd w:val="0"/>
        <w:snapToGrid w:val="0"/>
        <w:spacing w:line="580" w:lineRule="exact"/>
        <w:ind w:firstLine="640" w:firstLineChars="200"/>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预算执行应按预算法要求，严格执行经批准的预算，未列入预算的不支出，不经法定程序不得随意调整变更预算。硬化预算约束，做到“无预算不开支，有预算不超支，无计划不采购”。预算支出按照预算科目执行，严格控制不同预算科目、预算级次或项目间的预算资金调剂。制定科目调剂的程序性文件，按规范做好科目经费调剂使用。严格按经济业务内容和资金用途，从相对应的功能科目和经济科目安排支出计划，进行资金拨付，不得擅自改变科目用途，确保预算执行信息的相关性、有效性和可比性。</w:t>
      </w:r>
    </w:p>
    <w:p>
      <w:pPr>
        <w:widowControl/>
        <w:numPr>
          <w:ilvl w:val="0"/>
          <w:numId w:val="0"/>
        </w:numPr>
        <w:adjustRightInd w:val="0"/>
        <w:snapToGrid w:val="0"/>
        <w:spacing w:line="580" w:lineRule="exact"/>
        <w:ind w:firstLine="640" w:firstLineChars="200"/>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严格执行国家物价政策，建立健全各项收费管理制度，使用财政部门统一监制的收费票据，切实加强收入票据的核查监控，确保收入真实、完整、及时准确入账;严格执行国家有关财务规章制度规定的开支范围及开支标准，严格执行支出控制，严格执行支付控制，资金支付均按报销业务流程和资金支付结算规定办理手续;严格执行支出核算控制，对各项支出实行复核、监督。</w:t>
      </w:r>
    </w:p>
    <w:p>
      <w:pPr>
        <w:widowControl/>
        <w:numPr>
          <w:ilvl w:val="0"/>
          <w:numId w:val="0"/>
        </w:numPr>
        <w:adjustRightInd w:val="0"/>
        <w:snapToGrid w:val="0"/>
        <w:spacing w:line="580" w:lineRule="exact"/>
        <w:ind w:firstLine="640" w:firstLineChars="200"/>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本单位在2020年度的主要任务及完成情况如下：</w:t>
      </w:r>
    </w:p>
    <w:tbl>
      <w:tblPr>
        <w:tblStyle w:val="6"/>
        <w:tblW w:w="10220" w:type="dxa"/>
        <w:tblInd w:w="0" w:type="dxa"/>
        <w:shd w:val="clear" w:color="auto" w:fill="auto"/>
        <w:tblLayout w:type="autofit"/>
        <w:tblCellMar>
          <w:top w:w="0" w:type="dxa"/>
          <w:left w:w="0" w:type="dxa"/>
          <w:bottom w:w="0" w:type="dxa"/>
          <w:right w:w="0" w:type="dxa"/>
        </w:tblCellMar>
      </w:tblPr>
      <w:tblGrid>
        <w:gridCol w:w="1001"/>
        <w:gridCol w:w="1195"/>
        <w:gridCol w:w="1482"/>
        <w:gridCol w:w="901"/>
        <w:gridCol w:w="948"/>
        <w:gridCol w:w="948"/>
        <w:gridCol w:w="3745"/>
      </w:tblGrid>
      <w:tr>
        <w:tblPrEx>
          <w:shd w:val="clear" w:color="auto" w:fill="auto"/>
          <w:tblCellMar>
            <w:top w:w="0" w:type="dxa"/>
            <w:left w:w="0" w:type="dxa"/>
            <w:bottom w:w="0" w:type="dxa"/>
            <w:right w:w="0" w:type="dxa"/>
          </w:tblCellMar>
        </w:tblPrEx>
        <w:trPr>
          <w:trHeight w:val="450" w:hRule="atLeast"/>
        </w:trPr>
        <w:tc>
          <w:tcPr>
            <w:tcW w:w="10220" w:type="dxa"/>
            <w:gridSpan w:val="7"/>
            <w:tcBorders>
              <w:top w:val="nil"/>
              <w:left w:val="nil"/>
              <w:bottom w:val="single" w:color="auto" w:sz="8" w:space="0"/>
              <w:right w:val="nil"/>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ascii="Calibri" w:hAnsi="Calibri" w:eastAsia="宋体" w:cs="Calibri"/>
                <w:b/>
                <w:i w:val="0"/>
                <w:color w:val="000000"/>
                <w:sz w:val="32"/>
                <w:szCs w:val="32"/>
                <w:u w:val="none"/>
              </w:rPr>
            </w:pPr>
            <w:r>
              <w:rPr>
                <w:rFonts w:hint="default" w:ascii="Calibri" w:hAnsi="Calibri" w:eastAsia="宋体" w:cs="Calibri"/>
                <w:b/>
                <w:i w:val="0"/>
                <w:color w:val="000000"/>
                <w:kern w:val="0"/>
                <w:sz w:val="32"/>
                <w:szCs w:val="32"/>
                <w:u w:val="none"/>
                <w:lang w:val="en-US" w:eastAsia="zh-CN" w:bidi="ar"/>
              </w:rPr>
              <w:t>2020</w:t>
            </w:r>
            <w:r>
              <w:rPr>
                <w:rStyle w:val="17"/>
                <w:lang w:val="en-US" w:eastAsia="zh-CN" w:bidi="ar"/>
              </w:rPr>
              <w:t>年三水小学部门整体绩效目标年度主要任务执行情况</w:t>
            </w:r>
          </w:p>
        </w:tc>
      </w:tr>
      <w:tr>
        <w:tblPrEx>
          <w:tblCellMar>
            <w:top w:w="0" w:type="dxa"/>
            <w:left w:w="0" w:type="dxa"/>
            <w:bottom w:w="0" w:type="dxa"/>
            <w:right w:w="0" w:type="dxa"/>
          </w:tblCellMar>
        </w:tblPrEx>
        <w:trPr>
          <w:trHeight w:val="285" w:hRule="atLeast"/>
        </w:trPr>
        <w:tc>
          <w:tcPr>
            <w:tcW w:w="0" w:type="auto"/>
            <w:vMerge w:val="restart"/>
            <w:tcBorders>
              <w:top w:val="nil"/>
              <w:left w:val="single" w:color="auto" w:sz="8" w:space="0"/>
              <w:bottom w:val="single" w:color="000000" w:sz="8" w:space="0"/>
              <w:right w:val="single" w:color="auto" w:sz="8" w:space="0"/>
            </w:tcBorders>
            <w:shd w:val="clear" w:color="000000" w:fill="D3D3D3"/>
            <w:noWrap/>
            <w:tcMar>
              <w:top w:w="15" w:type="dxa"/>
              <w:left w:w="15" w:type="dxa"/>
              <w:right w:w="15" w:type="dxa"/>
            </w:tcMar>
            <w:vAlign w:val="center"/>
          </w:tcPr>
          <w:p>
            <w:pPr>
              <w:keepNext w:val="0"/>
              <w:keepLines w:val="0"/>
              <w:widowControl/>
              <w:suppressLineNumbers w:val="0"/>
              <w:jc w:val="center"/>
              <w:textAlignment w:val="center"/>
              <w:rPr>
                <w:rFonts w:ascii="Tahoma" w:hAnsi="Tahoma" w:eastAsia="Tahoma" w:cs="Tahoma"/>
                <w:i w:val="0"/>
                <w:color w:val="000000"/>
                <w:sz w:val="17"/>
                <w:szCs w:val="17"/>
                <w:u w:val="none"/>
              </w:rPr>
            </w:pPr>
            <w:r>
              <w:rPr>
                <w:rFonts w:hint="default" w:ascii="Tahoma" w:hAnsi="Tahoma" w:eastAsia="Tahoma" w:cs="Tahoma"/>
                <w:i w:val="0"/>
                <w:color w:val="000000"/>
                <w:kern w:val="0"/>
                <w:sz w:val="17"/>
                <w:szCs w:val="17"/>
                <w:u w:val="none"/>
                <w:lang w:val="en-US" w:eastAsia="zh-CN" w:bidi="ar"/>
              </w:rPr>
              <w:t>数据标识</w:t>
            </w:r>
          </w:p>
        </w:tc>
        <w:tc>
          <w:tcPr>
            <w:tcW w:w="0" w:type="auto"/>
            <w:vMerge w:val="restart"/>
            <w:tcBorders>
              <w:top w:val="nil"/>
              <w:left w:val="single" w:color="auto" w:sz="8" w:space="0"/>
              <w:bottom w:val="single" w:color="000000" w:sz="8" w:space="0"/>
              <w:right w:val="single" w:color="auto" w:sz="8" w:space="0"/>
            </w:tcBorders>
            <w:shd w:val="clear" w:color="000000" w:fill="D3D3D3"/>
            <w:noWrap/>
            <w:tcMar>
              <w:top w:w="15" w:type="dxa"/>
              <w:left w:w="15" w:type="dxa"/>
              <w:right w:w="15" w:type="dxa"/>
            </w:tcMar>
            <w:vAlign w:val="center"/>
          </w:tcPr>
          <w:p>
            <w:pPr>
              <w:keepNext w:val="0"/>
              <w:keepLines w:val="0"/>
              <w:widowControl/>
              <w:suppressLineNumbers w:val="0"/>
              <w:jc w:val="center"/>
              <w:textAlignment w:val="center"/>
              <w:rPr>
                <w:rFonts w:hint="default" w:ascii="Tahoma" w:hAnsi="Tahoma" w:eastAsia="Tahoma" w:cs="Tahoma"/>
                <w:i w:val="0"/>
                <w:color w:val="000000"/>
                <w:sz w:val="17"/>
                <w:szCs w:val="17"/>
                <w:u w:val="none"/>
              </w:rPr>
            </w:pPr>
            <w:r>
              <w:rPr>
                <w:rFonts w:hint="default" w:ascii="Tahoma" w:hAnsi="Tahoma" w:eastAsia="Tahoma" w:cs="Tahoma"/>
                <w:i w:val="0"/>
                <w:color w:val="000000"/>
                <w:kern w:val="0"/>
                <w:sz w:val="17"/>
                <w:szCs w:val="17"/>
                <w:u w:val="none"/>
                <w:lang w:val="en-US" w:eastAsia="zh-CN" w:bidi="ar"/>
              </w:rPr>
              <w:t>主要任务</w:t>
            </w:r>
          </w:p>
        </w:tc>
        <w:tc>
          <w:tcPr>
            <w:tcW w:w="0" w:type="auto"/>
            <w:vMerge w:val="restart"/>
            <w:tcBorders>
              <w:top w:val="nil"/>
              <w:left w:val="single" w:color="auto" w:sz="8" w:space="0"/>
              <w:bottom w:val="single" w:color="000000" w:sz="8" w:space="0"/>
              <w:right w:val="single" w:color="auto" w:sz="8" w:space="0"/>
            </w:tcBorders>
            <w:shd w:val="clear" w:color="000000" w:fill="D3D3D3"/>
            <w:noWrap/>
            <w:tcMar>
              <w:top w:w="15" w:type="dxa"/>
              <w:left w:w="15" w:type="dxa"/>
              <w:right w:w="15" w:type="dxa"/>
            </w:tcMar>
            <w:vAlign w:val="center"/>
          </w:tcPr>
          <w:p>
            <w:pPr>
              <w:keepNext w:val="0"/>
              <w:keepLines w:val="0"/>
              <w:widowControl/>
              <w:suppressLineNumbers w:val="0"/>
              <w:jc w:val="center"/>
              <w:textAlignment w:val="center"/>
              <w:rPr>
                <w:rFonts w:hint="default" w:ascii="Tahoma" w:hAnsi="Tahoma" w:eastAsia="Tahoma" w:cs="Tahoma"/>
                <w:i w:val="0"/>
                <w:color w:val="000000"/>
                <w:sz w:val="17"/>
                <w:szCs w:val="17"/>
                <w:u w:val="none"/>
              </w:rPr>
            </w:pPr>
            <w:r>
              <w:rPr>
                <w:rFonts w:hint="default" w:ascii="Tahoma" w:hAnsi="Tahoma" w:eastAsia="Tahoma" w:cs="Tahoma"/>
                <w:i w:val="0"/>
                <w:color w:val="000000"/>
                <w:kern w:val="0"/>
                <w:sz w:val="17"/>
                <w:szCs w:val="17"/>
                <w:u w:val="none"/>
                <w:lang w:val="en-US" w:eastAsia="zh-CN" w:bidi="ar"/>
              </w:rPr>
              <w:t>任务内容</w:t>
            </w:r>
          </w:p>
        </w:tc>
        <w:tc>
          <w:tcPr>
            <w:tcW w:w="0" w:type="auto"/>
            <w:gridSpan w:val="3"/>
            <w:tcBorders>
              <w:top w:val="single" w:color="auto" w:sz="8" w:space="0"/>
              <w:left w:val="nil"/>
              <w:bottom w:val="single" w:color="auto" w:sz="8" w:space="0"/>
              <w:right w:val="single" w:color="000000" w:sz="8" w:space="0"/>
            </w:tcBorders>
            <w:shd w:val="clear" w:color="000000" w:fill="D3D3D3"/>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7"/>
                <w:szCs w:val="17"/>
                <w:u w:val="none"/>
              </w:rPr>
            </w:pPr>
            <w:r>
              <w:rPr>
                <w:rFonts w:hint="eastAsia" w:ascii="宋体" w:hAnsi="宋体" w:eastAsia="宋体" w:cs="宋体"/>
                <w:i w:val="0"/>
                <w:color w:val="000000"/>
                <w:kern w:val="0"/>
                <w:sz w:val="17"/>
                <w:szCs w:val="17"/>
                <w:u w:val="none"/>
                <w:lang w:val="en-US" w:eastAsia="zh-CN" w:bidi="ar"/>
              </w:rPr>
              <w:t>预算执行金额（万元）</w:t>
            </w:r>
          </w:p>
        </w:tc>
        <w:tc>
          <w:tcPr>
            <w:tcW w:w="0" w:type="auto"/>
            <w:vMerge w:val="restart"/>
            <w:tcBorders>
              <w:top w:val="nil"/>
              <w:left w:val="single" w:color="auto" w:sz="8" w:space="0"/>
              <w:bottom w:val="single" w:color="000000" w:sz="8" w:space="0"/>
              <w:right w:val="single" w:color="auto" w:sz="8"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完成情况</w:t>
            </w:r>
          </w:p>
        </w:tc>
      </w:tr>
      <w:tr>
        <w:tblPrEx>
          <w:tblCellMar>
            <w:top w:w="0" w:type="dxa"/>
            <w:left w:w="0" w:type="dxa"/>
            <w:bottom w:w="0" w:type="dxa"/>
            <w:right w:w="0" w:type="dxa"/>
          </w:tblCellMar>
        </w:tblPrEx>
        <w:trPr>
          <w:trHeight w:val="285" w:hRule="atLeast"/>
        </w:trPr>
        <w:tc>
          <w:tcPr>
            <w:tcW w:w="0" w:type="auto"/>
            <w:vMerge w:val="continue"/>
            <w:tcBorders>
              <w:top w:val="nil"/>
              <w:left w:val="single" w:color="auto" w:sz="8" w:space="0"/>
              <w:bottom w:val="single" w:color="000000" w:sz="8" w:space="0"/>
              <w:right w:val="single" w:color="auto" w:sz="8" w:space="0"/>
            </w:tcBorders>
            <w:shd w:val="clear" w:color="000000" w:fill="D3D3D3"/>
            <w:noWrap/>
            <w:tcMar>
              <w:top w:w="15" w:type="dxa"/>
              <w:left w:w="15" w:type="dxa"/>
              <w:right w:w="15" w:type="dxa"/>
            </w:tcMar>
            <w:vAlign w:val="center"/>
          </w:tcPr>
          <w:p>
            <w:pPr>
              <w:jc w:val="center"/>
              <w:rPr>
                <w:rFonts w:hint="default" w:ascii="Tahoma" w:hAnsi="Tahoma" w:eastAsia="Tahoma" w:cs="Tahoma"/>
                <w:i w:val="0"/>
                <w:color w:val="000000"/>
                <w:sz w:val="17"/>
                <w:szCs w:val="17"/>
                <w:u w:val="none"/>
              </w:rPr>
            </w:pPr>
          </w:p>
        </w:tc>
        <w:tc>
          <w:tcPr>
            <w:tcW w:w="0" w:type="auto"/>
            <w:vMerge w:val="continue"/>
            <w:tcBorders>
              <w:top w:val="nil"/>
              <w:left w:val="single" w:color="auto" w:sz="8" w:space="0"/>
              <w:bottom w:val="single" w:color="000000" w:sz="8" w:space="0"/>
              <w:right w:val="single" w:color="auto" w:sz="8" w:space="0"/>
            </w:tcBorders>
            <w:shd w:val="clear" w:color="000000" w:fill="D3D3D3"/>
            <w:noWrap/>
            <w:tcMar>
              <w:top w:w="15" w:type="dxa"/>
              <w:left w:w="15" w:type="dxa"/>
              <w:right w:w="15" w:type="dxa"/>
            </w:tcMar>
            <w:vAlign w:val="center"/>
          </w:tcPr>
          <w:p>
            <w:pPr>
              <w:jc w:val="center"/>
              <w:rPr>
                <w:rFonts w:hint="default" w:ascii="Tahoma" w:hAnsi="Tahoma" w:eastAsia="Tahoma" w:cs="Tahoma"/>
                <w:i w:val="0"/>
                <w:color w:val="000000"/>
                <w:sz w:val="17"/>
                <w:szCs w:val="17"/>
                <w:u w:val="none"/>
              </w:rPr>
            </w:pPr>
          </w:p>
        </w:tc>
        <w:tc>
          <w:tcPr>
            <w:tcW w:w="0" w:type="auto"/>
            <w:vMerge w:val="continue"/>
            <w:tcBorders>
              <w:top w:val="nil"/>
              <w:left w:val="single" w:color="auto" w:sz="8" w:space="0"/>
              <w:bottom w:val="single" w:color="000000" w:sz="8" w:space="0"/>
              <w:right w:val="single" w:color="auto" w:sz="8" w:space="0"/>
            </w:tcBorders>
            <w:shd w:val="clear" w:color="000000" w:fill="D3D3D3"/>
            <w:noWrap/>
            <w:tcMar>
              <w:top w:w="15" w:type="dxa"/>
              <w:left w:w="15" w:type="dxa"/>
              <w:right w:w="15" w:type="dxa"/>
            </w:tcMar>
            <w:vAlign w:val="center"/>
          </w:tcPr>
          <w:p>
            <w:pPr>
              <w:jc w:val="center"/>
              <w:rPr>
                <w:rFonts w:hint="default" w:ascii="Tahoma" w:hAnsi="Tahoma" w:eastAsia="Tahoma" w:cs="Tahoma"/>
                <w:i w:val="0"/>
                <w:color w:val="000000"/>
                <w:sz w:val="17"/>
                <w:szCs w:val="17"/>
                <w:u w:val="none"/>
              </w:rPr>
            </w:pPr>
          </w:p>
        </w:tc>
        <w:tc>
          <w:tcPr>
            <w:tcW w:w="0" w:type="auto"/>
            <w:tcBorders>
              <w:top w:val="nil"/>
              <w:left w:val="nil"/>
              <w:bottom w:val="single" w:color="auto" w:sz="8" w:space="0"/>
              <w:right w:val="single" w:color="auto" w:sz="8" w:space="0"/>
            </w:tcBorders>
            <w:shd w:val="clear" w:color="000000" w:fill="D3D3D3"/>
            <w:noWrap/>
            <w:tcMar>
              <w:top w:w="15" w:type="dxa"/>
              <w:left w:w="15" w:type="dxa"/>
              <w:right w:w="15" w:type="dxa"/>
            </w:tcMar>
            <w:vAlign w:val="center"/>
          </w:tcPr>
          <w:p>
            <w:pPr>
              <w:keepNext w:val="0"/>
              <w:keepLines w:val="0"/>
              <w:widowControl/>
              <w:suppressLineNumbers w:val="0"/>
              <w:jc w:val="center"/>
              <w:textAlignment w:val="center"/>
              <w:rPr>
                <w:rFonts w:hint="default" w:ascii="Tahoma" w:hAnsi="Tahoma" w:eastAsia="Tahoma" w:cs="Tahoma"/>
                <w:i w:val="0"/>
                <w:color w:val="000000"/>
                <w:sz w:val="17"/>
                <w:szCs w:val="17"/>
                <w:u w:val="none"/>
              </w:rPr>
            </w:pPr>
            <w:r>
              <w:rPr>
                <w:rFonts w:hint="default" w:ascii="Tahoma" w:hAnsi="Tahoma" w:eastAsia="Tahoma" w:cs="Tahoma"/>
                <w:i w:val="0"/>
                <w:color w:val="000000"/>
                <w:kern w:val="0"/>
                <w:sz w:val="17"/>
                <w:szCs w:val="17"/>
                <w:u w:val="none"/>
                <w:lang w:val="en-US" w:eastAsia="zh-CN" w:bidi="ar"/>
              </w:rPr>
              <w:t>总额</w:t>
            </w:r>
          </w:p>
        </w:tc>
        <w:tc>
          <w:tcPr>
            <w:tcW w:w="0" w:type="auto"/>
            <w:tcBorders>
              <w:top w:val="nil"/>
              <w:left w:val="nil"/>
              <w:bottom w:val="single" w:color="auto" w:sz="8" w:space="0"/>
              <w:right w:val="single" w:color="auto" w:sz="8" w:space="0"/>
            </w:tcBorders>
            <w:shd w:val="clear" w:color="000000" w:fill="D3D3D3"/>
            <w:noWrap/>
            <w:tcMar>
              <w:top w:w="15" w:type="dxa"/>
              <w:left w:w="15" w:type="dxa"/>
              <w:right w:w="15" w:type="dxa"/>
            </w:tcMar>
            <w:vAlign w:val="center"/>
          </w:tcPr>
          <w:p>
            <w:pPr>
              <w:keepNext w:val="0"/>
              <w:keepLines w:val="0"/>
              <w:widowControl/>
              <w:suppressLineNumbers w:val="0"/>
              <w:jc w:val="center"/>
              <w:textAlignment w:val="center"/>
              <w:rPr>
                <w:rFonts w:hint="default" w:ascii="Tahoma" w:hAnsi="Tahoma" w:eastAsia="Tahoma" w:cs="Tahoma"/>
                <w:i w:val="0"/>
                <w:color w:val="000000"/>
                <w:sz w:val="17"/>
                <w:szCs w:val="17"/>
                <w:u w:val="none"/>
              </w:rPr>
            </w:pPr>
            <w:r>
              <w:rPr>
                <w:rFonts w:hint="default" w:ascii="Tahoma" w:hAnsi="Tahoma" w:eastAsia="Tahoma" w:cs="Tahoma"/>
                <w:i w:val="0"/>
                <w:color w:val="000000"/>
                <w:kern w:val="0"/>
                <w:sz w:val="17"/>
                <w:szCs w:val="17"/>
                <w:u w:val="none"/>
                <w:lang w:val="en-US" w:eastAsia="zh-CN" w:bidi="ar"/>
              </w:rPr>
              <w:t>财政拨款</w:t>
            </w:r>
          </w:p>
        </w:tc>
        <w:tc>
          <w:tcPr>
            <w:tcW w:w="0" w:type="auto"/>
            <w:tcBorders>
              <w:top w:val="nil"/>
              <w:left w:val="nil"/>
              <w:bottom w:val="single" w:color="auto" w:sz="8" w:space="0"/>
              <w:right w:val="single" w:color="auto" w:sz="8" w:space="0"/>
            </w:tcBorders>
            <w:shd w:val="clear" w:color="000000" w:fill="D3D3D3"/>
            <w:noWrap/>
            <w:tcMar>
              <w:top w:w="15" w:type="dxa"/>
              <w:left w:w="15" w:type="dxa"/>
              <w:right w:w="15" w:type="dxa"/>
            </w:tcMar>
            <w:vAlign w:val="center"/>
          </w:tcPr>
          <w:p>
            <w:pPr>
              <w:keepNext w:val="0"/>
              <w:keepLines w:val="0"/>
              <w:widowControl/>
              <w:suppressLineNumbers w:val="0"/>
              <w:jc w:val="center"/>
              <w:textAlignment w:val="center"/>
              <w:rPr>
                <w:rFonts w:hint="default" w:ascii="Tahoma" w:hAnsi="Tahoma" w:eastAsia="Tahoma" w:cs="Tahoma"/>
                <w:i w:val="0"/>
                <w:color w:val="000000"/>
                <w:sz w:val="17"/>
                <w:szCs w:val="17"/>
                <w:u w:val="none"/>
              </w:rPr>
            </w:pPr>
            <w:r>
              <w:rPr>
                <w:rFonts w:hint="default" w:ascii="Tahoma" w:hAnsi="Tahoma" w:eastAsia="Tahoma" w:cs="Tahoma"/>
                <w:i w:val="0"/>
                <w:color w:val="000000"/>
                <w:kern w:val="0"/>
                <w:sz w:val="17"/>
                <w:szCs w:val="17"/>
                <w:u w:val="none"/>
                <w:lang w:val="en-US" w:eastAsia="zh-CN" w:bidi="ar"/>
              </w:rPr>
              <w:t>其他资金</w:t>
            </w:r>
          </w:p>
        </w:tc>
        <w:tc>
          <w:tcPr>
            <w:tcW w:w="0" w:type="auto"/>
            <w:vMerge w:val="continue"/>
            <w:tcBorders>
              <w:top w:val="nil"/>
              <w:left w:val="single" w:color="auto" w:sz="8" w:space="0"/>
              <w:bottom w:val="single" w:color="000000" w:sz="8" w:space="0"/>
              <w:right w:val="single" w:color="auto" w:sz="8" w:space="0"/>
            </w:tcBorders>
            <w:shd w:val="clear" w:color="auto" w:fill="auto"/>
            <w:noWrap/>
            <w:tcMar>
              <w:top w:w="15" w:type="dxa"/>
              <w:left w:w="15" w:type="dxa"/>
              <w:right w:w="15" w:type="dxa"/>
            </w:tcMar>
            <w:vAlign w:val="bottom"/>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465" w:hRule="atLeast"/>
        </w:trPr>
        <w:tc>
          <w:tcPr>
            <w:tcW w:w="0" w:type="auto"/>
            <w:tcBorders>
              <w:top w:val="nil"/>
              <w:left w:val="single" w:color="auto" w:sz="8" w:space="0"/>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任务一</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教师工资保障</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2020</w:t>
            </w:r>
            <w:r>
              <w:rPr>
                <w:rStyle w:val="18"/>
                <w:lang w:val="en-US" w:eastAsia="zh-CN" w:bidi="ar"/>
              </w:rPr>
              <w:t>年教师工资性支出</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628.15</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628.15</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　</w:t>
            </w:r>
          </w:p>
        </w:tc>
        <w:tc>
          <w:tcPr>
            <w:tcW w:w="0" w:type="auto"/>
            <w:tcBorders>
              <w:top w:val="nil"/>
              <w:left w:val="nil"/>
              <w:bottom w:val="single" w:color="auto" w:sz="8" w:space="0"/>
              <w:right w:val="single" w:color="auto" w:sz="8"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足额支付教师工资</w:t>
            </w:r>
          </w:p>
        </w:tc>
      </w:tr>
      <w:tr>
        <w:tblPrEx>
          <w:tblCellMar>
            <w:top w:w="0" w:type="dxa"/>
            <w:left w:w="0" w:type="dxa"/>
            <w:bottom w:w="0" w:type="dxa"/>
            <w:right w:w="0" w:type="dxa"/>
          </w:tblCellMar>
        </w:tblPrEx>
        <w:trPr>
          <w:trHeight w:val="690" w:hRule="atLeast"/>
        </w:trPr>
        <w:tc>
          <w:tcPr>
            <w:tcW w:w="0" w:type="auto"/>
            <w:tcBorders>
              <w:top w:val="nil"/>
              <w:left w:val="single" w:color="auto" w:sz="8" w:space="0"/>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任务二</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教师工资保障</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2020</w:t>
            </w:r>
            <w:r>
              <w:rPr>
                <w:rStyle w:val="18"/>
                <w:lang w:val="en-US" w:eastAsia="zh-CN" w:bidi="ar"/>
              </w:rPr>
              <w:t>年教师社会保障缴费</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181.6</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181.6</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　</w:t>
            </w:r>
          </w:p>
        </w:tc>
        <w:tc>
          <w:tcPr>
            <w:tcW w:w="0" w:type="auto"/>
            <w:tcBorders>
              <w:top w:val="nil"/>
              <w:left w:val="nil"/>
              <w:bottom w:val="single" w:color="auto" w:sz="8" w:space="0"/>
              <w:right w:val="single" w:color="auto" w:sz="8"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足额支付社保缴费</w:t>
            </w:r>
          </w:p>
        </w:tc>
      </w:tr>
      <w:tr>
        <w:tblPrEx>
          <w:tblCellMar>
            <w:top w:w="0" w:type="dxa"/>
            <w:left w:w="0" w:type="dxa"/>
            <w:bottom w:w="0" w:type="dxa"/>
            <w:right w:w="0" w:type="dxa"/>
          </w:tblCellMar>
        </w:tblPrEx>
        <w:trPr>
          <w:trHeight w:val="465" w:hRule="atLeast"/>
        </w:trPr>
        <w:tc>
          <w:tcPr>
            <w:tcW w:w="0" w:type="auto"/>
            <w:tcBorders>
              <w:top w:val="nil"/>
              <w:left w:val="single" w:color="auto" w:sz="8" w:space="0"/>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任务三</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教师工资保障</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2020</w:t>
            </w:r>
            <w:r>
              <w:rPr>
                <w:rStyle w:val="18"/>
                <w:lang w:val="en-US" w:eastAsia="zh-CN" w:bidi="ar"/>
              </w:rPr>
              <w:t>年教师住房公积金</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85.46</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85.46</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　</w:t>
            </w:r>
          </w:p>
        </w:tc>
        <w:tc>
          <w:tcPr>
            <w:tcW w:w="0" w:type="auto"/>
            <w:tcBorders>
              <w:top w:val="nil"/>
              <w:left w:val="nil"/>
              <w:bottom w:val="single" w:color="auto" w:sz="8" w:space="0"/>
              <w:right w:val="single" w:color="auto" w:sz="8"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足额支付住房公积金</w:t>
            </w:r>
          </w:p>
        </w:tc>
      </w:tr>
      <w:tr>
        <w:tblPrEx>
          <w:tblCellMar>
            <w:top w:w="0" w:type="dxa"/>
            <w:left w:w="0" w:type="dxa"/>
            <w:bottom w:w="0" w:type="dxa"/>
            <w:right w:w="0" w:type="dxa"/>
          </w:tblCellMar>
        </w:tblPrEx>
        <w:trPr>
          <w:trHeight w:val="855" w:hRule="atLeast"/>
        </w:trPr>
        <w:tc>
          <w:tcPr>
            <w:tcW w:w="0" w:type="auto"/>
            <w:tcBorders>
              <w:top w:val="nil"/>
              <w:left w:val="single" w:color="auto" w:sz="8" w:space="0"/>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w:t>
            </w:r>
            <w:r>
              <w:rPr>
                <w:rFonts w:hint="eastAsia" w:ascii="Tahoma" w:hAnsi="Tahoma" w:eastAsia="Tahoma" w:cs="Tahoma"/>
                <w:i w:val="0"/>
                <w:color w:val="000000"/>
                <w:kern w:val="0"/>
                <w:sz w:val="18"/>
                <w:szCs w:val="18"/>
                <w:u w:val="none"/>
                <w:lang w:val="en-US" w:eastAsia="zh-CN" w:bidi="ar"/>
              </w:rPr>
              <w:t>四</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援彝教师补助</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援彝教师补助</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5.87</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5.87</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　</w:t>
            </w:r>
          </w:p>
        </w:tc>
        <w:tc>
          <w:tcPr>
            <w:tcW w:w="3020" w:type="dxa"/>
            <w:tcBorders>
              <w:top w:val="nil"/>
              <w:left w:val="nil"/>
              <w:bottom w:val="single" w:color="auto" w:sz="8" w:space="0"/>
              <w:right w:val="single" w:color="auto" w:sz="8"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足额支付援彝教师补助，圆满完成本年度支教工作</w:t>
            </w:r>
          </w:p>
        </w:tc>
      </w:tr>
      <w:tr>
        <w:tblPrEx>
          <w:tblCellMar>
            <w:top w:w="0" w:type="dxa"/>
            <w:left w:w="0" w:type="dxa"/>
            <w:bottom w:w="0" w:type="dxa"/>
            <w:right w:w="0" w:type="dxa"/>
          </w:tblCellMar>
        </w:tblPrEx>
        <w:trPr>
          <w:trHeight w:val="1365" w:hRule="atLeast"/>
        </w:trPr>
        <w:tc>
          <w:tcPr>
            <w:tcW w:w="0" w:type="auto"/>
            <w:tcBorders>
              <w:top w:val="nil"/>
              <w:left w:val="single" w:color="auto" w:sz="8" w:space="0"/>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任务五</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学生培养的购办公用品支出、机关基层党组织活动费等</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18"/>
                <w:lang w:val="en-US" w:eastAsia="zh-CN" w:bidi="ar"/>
              </w:rPr>
              <w:t>用于完成学生小学义务教育培养费用、教师培训费、党组织活动费用</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124.89</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124.89</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　</w:t>
            </w:r>
          </w:p>
        </w:tc>
        <w:tc>
          <w:tcPr>
            <w:tcW w:w="3020" w:type="dxa"/>
            <w:tcBorders>
              <w:top w:val="nil"/>
              <w:left w:val="nil"/>
              <w:bottom w:val="single" w:color="auto" w:sz="8" w:space="0"/>
              <w:right w:val="single" w:color="auto" w:sz="8"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为学校教学工作顺利进行提供了保障</w:t>
            </w:r>
          </w:p>
        </w:tc>
      </w:tr>
      <w:tr>
        <w:tblPrEx>
          <w:tblCellMar>
            <w:top w:w="0" w:type="dxa"/>
            <w:left w:w="0" w:type="dxa"/>
            <w:bottom w:w="0" w:type="dxa"/>
            <w:right w:w="0" w:type="dxa"/>
          </w:tblCellMar>
        </w:tblPrEx>
        <w:trPr>
          <w:trHeight w:val="1140" w:hRule="atLeast"/>
        </w:trPr>
        <w:tc>
          <w:tcPr>
            <w:tcW w:w="0" w:type="auto"/>
            <w:tcBorders>
              <w:top w:val="nil"/>
              <w:left w:val="single" w:color="auto" w:sz="8" w:space="0"/>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任务七</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退休人员生活保障</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退休人员经费地方支出部分及生活补助、医疗门诊补助</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94.53</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94.53</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　</w:t>
            </w:r>
          </w:p>
        </w:tc>
        <w:tc>
          <w:tcPr>
            <w:tcW w:w="0" w:type="auto"/>
            <w:tcBorders>
              <w:top w:val="nil"/>
              <w:left w:val="nil"/>
              <w:bottom w:val="single" w:color="auto" w:sz="8" w:space="0"/>
              <w:right w:val="single" w:color="auto" w:sz="8"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足额支付退休人员经费</w:t>
            </w:r>
          </w:p>
        </w:tc>
      </w:tr>
      <w:tr>
        <w:tblPrEx>
          <w:tblCellMar>
            <w:top w:w="0" w:type="dxa"/>
            <w:left w:w="0" w:type="dxa"/>
            <w:bottom w:w="0" w:type="dxa"/>
            <w:right w:w="0" w:type="dxa"/>
          </w:tblCellMar>
        </w:tblPrEx>
        <w:trPr>
          <w:trHeight w:val="465" w:hRule="atLeast"/>
        </w:trPr>
        <w:tc>
          <w:tcPr>
            <w:tcW w:w="0" w:type="auto"/>
            <w:tcBorders>
              <w:top w:val="nil"/>
              <w:left w:val="single" w:color="auto" w:sz="8" w:space="0"/>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任务八</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教师独生子女奖励</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独子费</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2.04</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2.04</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　</w:t>
            </w:r>
          </w:p>
        </w:tc>
        <w:tc>
          <w:tcPr>
            <w:tcW w:w="0" w:type="auto"/>
            <w:tcBorders>
              <w:top w:val="nil"/>
              <w:left w:val="nil"/>
              <w:bottom w:val="single" w:color="auto" w:sz="8" w:space="0"/>
              <w:right w:val="single" w:color="auto" w:sz="8"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足额支付独子费</w:t>
            </w:r>
          </w:p>
        </w:tc>
      </w:tr>
      <w:tr>
        <w:tblPrEx>
          <w:tblCellMar>
            <w:top w:w="0" w:type="dxa"/>
            <w:left w:w="0" w:type="dxa"/>
            <w:bottom w:w="0" w:type="dxa"/>
            <w:right w:w="0" w:type="dxa"/>
          </w:tblCellMar>
        </w:tblPrEx>
        <w:trPr>
          <w:trHeight w:val="465" w:hRule="atLeast"/>
        </w:trPr>
        <w:tc>
          <w:tcPr>
            <w:tcW w:w="0" w:type="auto"/>
            <w:tcBorders>
              <w:top w:val="nil"/>
              <w:left w:val="single" w:color="auto" w:sz="8" w:space="0"/>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任务九</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遗属人员生活保障</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遗属人员生活补助</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3.73</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3.73</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　</w:t>
            </w:r>
          </w:p>
        </w:tc>
        <w:tc>
          <w:tcPr>
            <w:tcW w:w="0" w:type="auto"/>
            <w:tcBorders>
              <w:top w:val="nil"/>
              <w:left w:val="nil"/>
              <w:bottom w:val="single" w:color="auto" w:sz="8" w:space="0"/>
              <w:right w:val="single" w:color="auto" w:sz="8"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保障了遗属人员生活</w:t>
            </w:r>
          </w:p>
        </w:tc>
      </w:tr>
      <w:tr>
        <w:tblPrEx>
          <w:tblCellMar>
            <w:top w:w="0" w:type="dxa"/>
            <w:left w:w="0" w:type="dxa"/>
            <w:bottom w:w="0" w:type="dxa"/>
            <w:right w:w="0" w:type="dxa"/>
          </w:tblCellMar>
        </w:tblPrEx>
        <w:trPr>
          <w:trHeight w:val="465" w:hRule="atLeast"/>
        </w:trPr>
        <w:tc>
          <w:tcPr>
            <w:tcW w:w="0" w:type="auto"/>
            <w:tcBorders>
              <w:top w:val="nil"/>
              <w:left w:val="single" w:color="auto" w:sz="8" w:space="0"/>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任务十</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保障抚恤金与丧葬费</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保障抚恤金与丧葬费</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8.1</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8.1</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　</w:t>
            </w:r>
          </w:p>
        </w:tc>
        <w:tc>
          <w:tcPr>
            <w:tcW w:w="3020" w:type="dxa"/>
            <w:tcBorders>
              <w:top w:val="nil"/>
              <w:left w:val="nil"/>
              <w:bottom w:val="single" w:color="auto" w:sz="8" w:space="0"/>
              <w:right w:val="single" w:color="auto" w:sz="8"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w:t>
            </w:r>
          </w:p>
        </w:tc>
      </w:tr>
      <w:tr>
        <w:tblPrEx>
          <w:tblCellMar>
            <w:top w:w="0" w:type="dxa"/>
            <w:left w:w="0" w:type="dxa"/>
            <w:bottom w:w="0" w:type="dxa"/>
            <w:right w:w="0" w:type="dxa"/>
          </w:tblCellMar>
        </w:tblPrEx>
        <w:trPr>
          <w:trHeight w:val="465" w:hRule="atLeast"/>
        </w:trPr>
        <w:tc>
          <w:tcPr>
            <w:tcW w:w="0" w:type="auto"/>
            <w:tcBorders>
              <w:top w:val="nil"/>
              <w:left w:val="single" w:color="auto" w:sz="8" w:space="0"/>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任务十</w:t>
            </w:r>
            <w:r>
              <w:rPr>
                <w:rFonts w:hint="eastAsia" w:ascii="Tahoma" w:hAnsi="Tahoma" w:eastAsia="Tahoma" w:cs="Tahoma"/>
                <w:i w:val="0"/>
                <w:color w:val="000000"/>
                <w:kern w:val="0"/>
                <w:sz w:val="18"/>
                <w:szCs w:val="18"/>
                <w:u w:val="none"/>
                <w:lang w:val="en-US" w:eastAsia="zh-CN" w:bidi="ar"/>
              </w:rPr>
              <w:t>一</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保证小学设施设备</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购买设施设备</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3.4</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3.4</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　</w:t>
            </w:r>
          </w:p>
        </w:tc>
        <w:tc>
          <w:tcPr>
            <w:tcW w:w="0" w:type="auto"/>
            <w:tcBorders>
              <w:top w:val="nil"/>
              <w:left w:val="nil"/>
              <w:bottom w:val="single" w:color="auto" w:sz="8" w:space="0"/>
              <w:right w:val="single" w:color="auto" w:sz="8"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按计划进行了政府采购</w:t>
            </w:r>
          </w:p>
        </w:tc>
      </w:tr>
      <w:tr>
        <w:tblPrEx>
          <w:tblCellMar>
            <w:top w:w="0" w:type="dxa"/>
            <w:left w:w="0" w:type="dxa"/>
            <w:bottom w:w="0" w:type="dxa"/>
            <w:right w:w="0" w:type="dxa"/>
          </w:tblCellMar>
        </w:tblPrEx>
        <w:trPr>
          <w:trHeight w:val="915" w:hRule="atLeast"/>
        </w:trPr>
        <w:tc>
          <w:tcPr>
            <w:tcW w:w="0" w:type="auto"/>
            <w:tcBorders>
              <w:top w:val="nil"/>
              <w:left w:val="single" w:color="auto" w:sz="8" w:space="0"/>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任务十</w:t>
            </w:r>
            <w:r>
              <w:rPr>
                <w:rFonts w:hint="eastAsia" w:ascii="Tahoma" w:hAnsi="Tahoma" w:eastAsia="Tahoma" w:cs="Tahoma"/>
                <w:i w:val="0"/>
                <w:color w:val="000000"/>
                <w:kern w:val="0"/>
                <w:sz w:val="18"/>
                <w:szCs w:val="18"/>
                <w:u w:val="none"/>
                <w:lang w:val="en-US" w:eastAsia="zh-CN" w:bidi="ar"/>
              </w:rPr>
              <w:t>二</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保障幼儿园教学、办公活动正常开展</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购买教学用设备</w:t>
            </w:r>
            <w:r>
              <w:rPr>
                <w:rStyle w:val="19"/>
                <w:lang w:val="en-US" w:eastAsia="zh-CN" w:bidi="ar"/>
              </w:rPr>
              <w:t>,</w:t>
            </w:r>
            <w:r>
              <w:rPr>
                <w:rStyle w:val="18"/>
                <w:lang w:val="en-US" w:eastAsia="zh-CN" w:bidi="ar"/>
              </w:rPr>
              <w:t>（财政专户资金</w:t>
            </w:r>
            <w:r>
              <w:rPr>
                <w:rStyle w:val="19"/>
                <w:lang w:val="en-US" w:eastAsia="zh-CN" w:bidi="ar"/>
              </w:rPr>
              <w:t>)</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14.94</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　</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14.94</w:t>
            </w:r>
          </w:p>
        </w:tc>
        <w:tc>
          <w:tcPr>
            <w:tcW w:w="0" w:type="auto"/>
            <w:tcBorders>
              <w:top w:val="nil"/>
              <w:left w:val="nil"/>
              <w:bottom w:val="single" w:color="auto" w:sz="8" w:space="0"/>
              <w:right w:val="single" w:color="auto" w:sz="8"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按计划进行了政府采购</w:t>
            </w:r>
          </w:p>
        </w:tc>
      </w:tr>
      <w:tr>
        <w:tblPrEx>
          <w:tblCellMar>
            <w:top w:w="0" w:type="dxa"/>
            <w:left w:w="0" w:type="dxa"/>
            <w:bottom w:w="0" w:type="dxa"/>
            <w:right w:w="0" w:type="dxa"/>
          </w:tblCellMar>
        </w:tblPrEx>
        <w:trPr>
          <w:trHeight w:val="2715" w:hRule="atLeast"/>
        </w:trPr>
        <w:tc>
          <w:tcPr>
            <w:tcW w:w="0" w:type="auto"/>
            <w:tcBorders>
              <w:top w:val="nil"/>
              <w:left w:val="single" w:color="auto" w:sz="8" w:space="0"/>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任务十</w:t>
            </w:r>
            <w:r>
              <w:rPr>
                <w:rFonts w:hint="eastAsia" w:ascii="Tahoma" w:hAnsi="Tahoma" w:eastAsia="Tahoma" w:cs="Tahoma"/>
                <w:i w:val="0"/>
                <w:color w:val="000000"/>
                <w:kern w:val="0"/>
                <w:sz w:val="18"/>
                <w:szCs w:val="18"/>
                <w:u w:val="none"/>
                <w:lang w:val="en-US" w:eastAsia="zh-CN" w:bidi="ar"/>
              </w:rPr>
              <w:t>三</w:t>
            </w:r>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保障临聘人员工资，保障幼儿园正常教学工作开展</w:t>
            </w:r>
            <w:bookmarkStart w:id="0" w:name="_GoBack"/>
            <w:bookmarkEnd w:id="0"/>
          </w:p>
        </w:tc>
        <w:tc>
          <w:tcPr>
            <w:tcW w:w="1080" w:type="dxa"/>
            <w:tcBorders>
              <w:top w:val="nil"/>
              <w:left w:val="nil"/>
              <w:bottom w:val="single" w:color="auto" w:sz="8" w:space="0"/>
              <w:right w:val="single" w:color="auto" w:sz="8" w:space="0"/>
            </w:tcBorders>
            <w:shd w:val="clear" w:color="000000"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临聘人员工资,保障幼儿园教学工作正常开展；支付幼儿园教材费、幼儿园购办公费等,保障幼儿园各项教学活动顺利进行（财政专户资金)</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19.24</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　</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19.24</w:t>
            </w:r>
          </w:p>
        </w:tc>
        <w:tc>
          <w:tcPr>
            <w:tcW w:w="0" w:type="auto"/>
            <w:tcBorders>
              <w:top w:val="nil"/>
              <w:left w:val="nil"/>
              <w:bottom w:val="single" w:color="auto" w:sz="8" w:space="0"/>
              <w:right w:val="single" w:color="auto" w:sz="8"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保障了幼儿园各项教学工作顺利开展</w:t>
            </w:r>
          </w:p>
        </w:tc>
      </w:tr>
      <w:tr>
        <w:tblPrEx>
          <w:tblCellMar>
            <w:top w:w="0" w:type="dxa"/>
            <w:left w:w="0" w:type="dxa"/>
            <w:bottom w:w="0" w:type="dxa"/>
            <w:right w:w="0" w:type="dxa"/>
          </w:tblCellMar>
        </w:tblPrEx>
        <w:trPr>
          <w:trHeight w:val="285" w:hRule="atLeast"/>
        </w:trPr>
        <w:tc>
          <w:tcPr>
            <w:tcW w:w="0" w:type="auto"/>
            <w:tcBorders>
              <w:top w:val="nil"/>
              <w:left w:val="single" w:color="auto" w:sz="8" w:space="0"/>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合计</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1171.95</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1137.77</w:t>
            </w:r>
          </w:p>
        </w:tc>
        <w:tc>
          <w:tcPr>
            <w:tcW w:w="0" w:type="auto"/>
            <w:tcBorders>
              <w:top w:val="nil"/>
              <w:left w:val="nil"/>
              <w:bottom w:val="single" w:color="auto" w:sz="8" w:space="0"/>
              <w:right w:val="single" w:color="auto" w:sz="8" w:space="0"/>
            </w:tcBorders>
            <w:shd w:val="clear" w:color="000000" w:fill="FFFFFF"/>
            <w:noWrap/>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34.18</w:t>
            </w:r>
          </w:p>
        </w:tc>
        <w:tc>
          <w:tcPr>
            <w:tcW w:w="0" w:type="auto"/>
            <w:tcBorders>
              <w:top w:val="nil"/>
              <w:left w:val="nil"/>
              <w:bottom w:val="single" w:color="auto" w:sz="8" w:space="0"/>
              <w:right w:val="single" w:color="auto" w:sz="8"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default" w:ascii="Calibri" w:hAnsi="Calibri" w:eastAsia="宋体" w:cs="Calibri"/>
                <w:i w:val="0"/>
                <w:color w:val="000000"/>
                <w:sz w:val="16"/>
                <w:szCs w:val="16"/>
                <w:u w:val="none"/>
              </w:rPr>
            </w:pPr>
            <w:r>
              <w:rPr>
                <w:rFonts w:hint="default" w:ascii="Calibri" w:hAnsi="Calibri" w:eastAsia="宋体" w:cs="Calibri"/>
                <w:i w:val="0"/>
                <w:color w:val="000000"/>
                <w:kern w:val="0"/>
                <w:sz w:val="16"/>
                <w:szCs w:val="16"/>
                <w:u w:val="none"/>
                <w:lang w:val="en-US" w:eastAsia="zh-CN" w:bidi="ar"/>
              </w:rPr>
              <w:t>　</w:t>
            </w:r>
          </w:p>
        </w:tc>
      </w:tr>
    </w:tbl>
    <w:p>
      <w:pPr>
        <w:widowControl/>
        <w:adjustRightInd w:val="0"/>
        <w:snapToGrid w:val="0"/>
        <w:spacing w:line="580" w:lineRule="exact"/>
        <w:ind w:firstLine="640" w:firstLineChars="200"/>
        <w:jc w:val="left"/>
        <w:rPr>
          <w:rFonts w:hint="eastAsia" w:ascii="仿宋_GB2312" w:hAnsi="宋体" w:cs="仿宋_GB2312"/>
          <w:color w:val="000000"/>
          <w:kern w:val="0"/>
          <w:shd w:val="clear" w:color="auto" w:fill="FFFFFF"/>
          <w:lang w:val="zh-CN"/>
        </w:rPr>
      </w:pPr>
    </w:p>
    <w:p>
      <w:pPr>
        <w:widowControl/>
        <w:numPr>
          <w:ilvl w:val="0"/>
          <w:numId w:val="0"/>
        </w:numPr>
        <w:adjustRightInd w:val="0"/>
        <w:snapToGrid w:val="0"/>
        <w:spacing w:line="580" w:lineRule="exact"/>
        <w:ind w:firstLine="640" w:firstLineChars="200"/>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本单位在2020年度无违规记录。</w:t>
      </w:r>
    </w:p>
    <w:p>
      <w:pPr>
        <w:widowControl/>
        <w:numPr>
          <w:ilvl w:val="0"/>
          <w:numId w:val="0"/>
        </w:numPr>
        <w:adjustRightInd w:val="0"/>
        <w:snapToGrid w:val="0"/>
        <w:spacing w:line="580" w:lineRule="exact"/>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（二）结果应用情况。</w:t>
      </w:r>
    </w:p>
    <w:p>
      <w:pPr>
        <w:widowControl/>
        <w:numPr>
          <w:ilvl w:val="0"/>
          <w:numId w:val="0"/>
        </w:numPr>
        <w:adjustRightInd w:val="0"/>
        <w:snapToGrid w:val="0"/>
        <w:spacing w:line="580" w:lineRule="exact"/>
        <w:ind w:firstLine="640" w:firstLineChars="200"/>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此次绩效评价严格按照上级部门相关要求，秉承科学规范、公正公平、分级分类、绩效相关等原则，按照从投入、过程到产出、效果和影响力的绩效逻辑路径，结合单位业务开展的实际情况，运用定性分析和定量分析相结合的方法，确保绩效评价有理可循、有据可依。根据绩效评价的要求，我们成立了自评工作领导小组，对照自评方案进行研究和布署，学校领导班子全程参与，按照自评方案的要求，对照各实施项目的内容逐条逐项自评。在自评过程发现问题，查找原因，及时纠正偏差，为下一步工作夯实基础。</w:t>
      </w:r>
    </w:p>
    <w:p>
      <w:pPr>
        <w:widowControl/>
        <w:numPr>
          <w:ilvl w:val="0"/>
          <w:numId w:val="3"/>
        </w:numPr>
        <w:adjustRightInd w:val="0"/>
        <w:snapToGrid w:val="0"/>
        <w:spacing w:line="580" w:lineRule="exact"/>
        <w:ind w:firstLine="640" w:firstLineChars="200"/>
        <w:jc w:val="left"/>
        <w:rPr>
          <w:rFonts w:hint="eastAsia" w:ascii="黑体" w:hAnsi="宋体" w:eastAsia="黑体" w:cs="黑体"/>
          <w:color w:val="000000"/>
          <w:kern w:val="0"/>
          <w:shd w:val="clear" w:color="auto" w:fill="FFFFFF"/>
        </w:rPr>
      </w:pPr>
      <w:r>
        <w:rPr>
          <w:rFonts w:hint="eastAsia" w:ascii="黑体" w:hAnsi="宋体" w:eastAsia="黑体" w:cs="黑体"/>
          <w:color w:val="000000"/>
          <w:kern w:val="0"/>
          <w:shd w:val="clear" w:color="auto" w:fill="FFFFFF"/>
        </w:rPr>
        <w:t>评价结论及建议</w:t>
      </w:r>
    </w:p>
    <w:p>
      <w:pPr>
        <w:widowControl/>
        <w:numPr>
          <w:ilvl w:val="0"/>
          <w:numId w:val="0"/>
        </w:numPr>
        <w:adjustRightInd w:val="0"/>
        <w:snapToGrid w:val="0"/>
        <w:spacing w:line="580" w:lineRule="exact"/>
        <w:ind w:firstLine="640" w:firstLineChars="200"/>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总体绩效评价：圆满完成本年度教育教学工作及各项任务。2020年，在市教育局的精心指导下，学校紧紧围绕工作大局，充分发挥自身优势，履职尽责、攻坚克难，各项工作取得了明显成效，部门整体支出绩效自评为优秀。</w:t>
      </w:r>
    </w:p>
    <w:tbl>
      <w:tblPr>
        <w:tblStyle w:val="6"/>
        <w:tblW w:w="9084" w:type="dxa"/>
        <w:tblInd w:w="96" w:type="dxa"/>
        <w:tblLayout w:type="fixed"/>
        <w:tblCellMar>
          <w:top w:w="0" w:type="dxa"/>
          <w:left w:w="108" w:type="dxa"/>
          <w:bottom w:w="0" w:type="dxa"/>
          <w:right w:w="108" w:type="dxa"/>
        </w:tblCellMar>
      </w:tblPr>
      <w:tblGrid>
        <w:gridCol w:w="1146"/>
        <w:gridCol w:w="567"/>
        <w:gridCol w:w="533"/>
        <w:gridCol w:w="176"/>
        <w:gridCol w:w="244"/>
        <w:gridCol w:w="323"/>
        <w:gridCol w:w="1276"/>
        <w:gridCol w:w="4819"/>
      </w:tblGrid>
      <w:tr>
        <w:tblPrEx>
          <w:tblCellMar>
            <w:top w:w="0" w:type="dxa"/>
            <w:left w:w="108" w:type="dxa"/>
            <w:bottom w:w="0" w:type="dxa"/>
            <w:right w:w="108" w:type="dxa"/>
          </w:tblCellMar>
        </w:tblPrEx>
        <w:trPr>
          <w:trHeight w:val="285" w:hRule="atLeast"/>
        </w:trPr>
        <w:tc>
          <w:tcPr>
            <w:tcW w:w="9084" w:type="dxa"/>
            <w:gridSpan w:val="8"/>
            <w:tcBorders>
              <w:top w:val="nil"/>
              <w:left w:val="nil"/>
              <w:bottom w:val="nil"/>
              <w:right w:val="nil"/>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2020年部门整体支出绩效评价指标体系</w:t>
            </w:r>
          </w:p>
        </w:tc>
      </w:tr>
      <w:tr>
        <w:tblPrEx>
          <w:tblCellMar>
            <w:top w:w="0" w:type="dxa"/>
            <w:left w:w="108" w:type="dxa"/>
            <w:bottom w:w="0" w:type="dxa"/>
            <w:right w:w="108" w:type="dxa"/>
          </w:tblCellMar>
        </w:tblPrEx>
        <w:trPr>
          <w:trHeight w:val="420" w:hRule="atLeast"/>
        </w:trPr>
        <w:tc>
          <w:tcPr>
            <w:tcW w:w="11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kern w:val="0"/>
                <w:sz w:val="16"/>
                <w:szCs w:val="16"/>
              </w:rPr>
            </w:pPr>
            <w:r>
              <w:rPr>
                <w:rFonts w:hint="eastAsia" w:ascii="宋体" w:hAnsi="宋体" w:cs="宋体"/>
                <w:bCs/>
                <w:kern w:val="0"/>
                <w:sz w:val="16"/>
                <w:szCs w:val="16"/>
              </w:rPr>
              <w:t>一级指标</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Cs/>
                <w:kern w:val="0"/>
                <w:sz w:val="16"/>
                <w:szCs w:val="16"/>
              </w:rPr>
            </w:pPr>
            <w:r>
              <w:rPr>
                <w:rFonts w:hint="eastAsia" w:ascii="宋体" w:hAnsi="宋体" w:cs="宋体"/>
                <w:bCs/>
                <w:kern w:val="0"/>
                <w:sz w:val="16"/>
                <w:szCs w:val="16"/>
              </w:rPr>
              <w:t>二级指标</w:t>
            </w:r>
          </w:p>
        </w:tc>
        <w:tc>
          <w:tcPr>
            <w:tcW w:w="709"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Cs/>
                <w:kern w:val="0"/>
                <w:sz w:val="16"/>
                <w:szCs w:val="16"/>
              </w:rPr>
            </w:pPr>
            <w:r>
              <w:rPr>
                <w:rFonts w:hint="eastAsia" w:ascii="宋体" w:hAnsi="宋体" w:cs="宋体"/>
                <w:bCs/>
                <w:kern w:val="0"/>
                <w:sz w:val="16"/>
                <w:szCs w:val="16"/>
              </w:rPr>
              <w:t>三级指标</w:t>
            </w:r>
          </w:p>
        </w:tc>
        <w:tc>
          <w:tcPr>
            <w:tcW w:w="56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Cs/>
                <w:kern w:val="0"/>
                <w:sz w:val="16"/>
                <w:szCs w:val="16"/>
              </w:rPr>
            </w:pPr>
            <w:r>
              <w:rPr>
                <w:rFonts w:hint="eastAsia" w:ascii="宋体" w:hAnsi="宋体" w:cs="宋体"/>
                <w:bCs/>
                <w:kern w:val="0"/>
                <w:sz w:val="16"/>
                <w:szCs w:val="16"/>
              </w:rPr>
              <w:t>分值</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Cs/>
                <w:kern w:val="0"/>
                <w:sz w:val="16"/>
                <w:szCs w:val="16"/>
              </w:rPr>
            </w:pPr>
            <w:r>
              <w:rPr>
                <w:rFonts w:hint="eastAsia" w:ascii="宋体" w:hAnsi="宋体" w:cs="宋体"/>
                <w:bCs/>
                <w:kern w:val="0"/>
                <w:sz w:val="16"/>
                <w:szCs w:val="16"/>
              </w:rPr>
              <w:t>指标解释</w:t>
            </w:r>
          </w:p>
        </w:tc>
        <w:tc>
          <w:tcPr>
            <w:tcW w:w="481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Cs/>
                <w:kern w:val="0"/>
                <w:sz w:val="16"/>
                <w:szCs w:val="16"/>
              </w:rPr>
            </w:pPr>
            <w:r>
              <w:rPr>
                <w:rFonts w:hint="eastAsia" w:ascii="宋体" w:hAnsi="宋体" w:cs="宋体"/>
                <w:bCs/>
                <w:kern w:val="0"/>
                <w:sz w:val="16"/>
                <w:szCs w:val="16"/>
              </w:rPr>
              <w:t>评分标准</w:t>
            </w:r>
          </w:p>
        </w:tc>
      </w:tr>
      <w:tr>
        <w:tblPrEx>
          <w:tblCellMar>
            <w:top w:w="0" w:type="dxa"/>
            <w:left w:w="108" w:type="dxa"/>
            <w:bottom w:w="0" w:type="dxa"/>
            <w:right w:w="108" w:type="dxa"/>
          </w:tblCellMar>
        </w:tblPrEx>
        <w:trPr>
          <w:trHeight w:val="1275" w:hRule="atLeast"/>
        </w:trPr>
        <w:tc>
          <w:tcPr>
            <w:tcW w:w="1146" w:type="dxa"/>
            <w:vMerge w:val="restart"/>
            <w:tcBorders>
              <w:top w:val="nil"/>
              <w:left w:val="single" w:color="auto" w:sz="4" w:space="0"/>
              <w:bottom w:val="single" w:color="000000" w:sz="4" w:space="0"/>
              <w:right w:val="single" w:color="auto" w:sz="4" w:space="0"/>
            </w:tcBorders>
            <w:shd w:val="clear" w:color="auto" w:fill="auto"/>
            <w:textDirection w:val="tbRlV"/>
            <w:vAlign w:val="center"/>
          </w:tcPr>
          <w:p>
            <w:pPr>
              <w:widowControl/>
              <w:jc w:val="center"/>
              <w:rPr>
                <w:rFonts w:ascii="宋体" w:hAnsi="宋体" w:cs="宋体"/>
                <w:kern w:val="0"/>
                <w:sz w:val="16"/>
                <w:szCs w:val="16"/>
              </w:rPr>
            </w:pPr>
            <w:r>
              <w:rPr>
                <w:rFonts w:hint="eastAsia" w:ascii="宋体" w:hAnsi="宋体" w:cs="宋体"/>
                <w:kern w:val="0"/>
                <w:sz w:val="16"/>
                <w:szCs w:val="16"/>
              </w:rPr>
              <w:t>（10分）</w:t>
            </w:r>
            <w:r>
              <w:rPr>
                <w:rFonts w:hint="eastAsia" w:ascii="宋体" w:hAnsi="宋体" w:cs="宋体"/>
                <w:kern w:val="0"/>
                <w:sz w:val="16"/>
                <w:szCs w:val="16"/>
              </w:rPr>
              <w:br w:type="textWrapping"/>
            </w:r>
            <w:r>
              <w:rPr>
                <w:rFonts w:hint="eastAsia" w:ascii="宋体" w:hAnsi="宋体" w:cs="宋体"/>
                <w:kern w:val="0"/>
                <w:sz w:val="16"/>
                <w:szCs w:val="16"/>
              </w:rPr>
              <w:t>预算管理</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预算编制（5分）</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预算安排准确性</w:t>
            </w:r>
          </w:p>
        </w:tc>
        <w:tc>
          <w:tcPr>
            <w:tcW w:w="56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6"/>
                <w:szCs w:val="16"/>
              </w:rPr>
            </w:pPr>
            <w:r>
              <w:rPr>
                <w:rFonts w:hint="eastAsia" w:ascii="宋体" w:hAnsi="宋体" w:cs="宋体"/>
                <w:kern w:val="0"/>
                <w:sz w:val="16"/>
                <w:szCs w:val="16"/>
              </w:rPr>
              <w:t>5</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反映部门（单位）年初预算安排的准确性</w:t>
            </w:r>
          </w:p>
        </w:tc>
        <w:tc>
          <w:tcPr>
            <w:tcW w:w="48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指标得分=（预算资金总来源-中期评估调整取消资金-预算结余注销资金）/预算资金总来源*指标分值，预算资金总来源是指年初预算与执行中追加预算（不含当年中央、省专款）总和</w:t>
            </w:r>
          </w:p>
        </w:tc>
      </w:tr>
      <w:tr>
        <w:tblPrEx>
          <w:tblCellMar>
            <w:top w:w="0" w:type="dxa"/>
            <w:left w:w="108" w:type="dxa"/>
            <w:bottom w:w="0" w:type="dxa"/>
            <w:right w:w="108" w:type="dxa"/>
          </w:tblCellMar>
        </w:tblPrEx>
        <w:trPr>
          <w:trHeight w:val="2535" w:hRule="atLeast"/>
        </w:trPr>
        <w:tc>
          <w:tcPr>
            <w:tcW w:w="114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执行进度（5分）</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部门总体执行进度</w:t>
            </w:r>
          </w:p>
        </w:tc>
        <w:tc>
          <w:tcPr>
            <w:tcW w:w="56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6"/>
                <w:szCs w:val="16"/>
              </w:rPr>
            </w:pPr>
            <w:r>
              <w:rPr>
                <w:rFonts w:hint="eastAsia" w:ascii="宋体" w:hAnsi="宋体" w:cs="宋体"/>
                <w:kern w:val="0"/>
                <w:sz w:val="16"/>
                <w:szCs w:val="16"/>
              </w:rPr>
              <w:t>5</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部门（单位）按要求严格预算管理</w:t>
            </w:r>
          </w:p>
        </w:tc>
        <w:tc>
          <w:tcPr>
            <w:tcW w:w="48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部门总体执行进度达96%以上，不扣分；达92%以上，按80%打分；达88%以上，按60%打分；未达到88%，不得分。</w:t>
            </w:r>
            <w:r>
              <w:rPr>
                <w:rFonts w:hint="eastAsia" w:ascii="宋体" w:hAnsi="宋体" w:cs="宋体"/>
                <w:kern w:val="0"/>
                <w:sz w:val="16"/>
                <w:szCs w:val="16"/>
              </w:rPr>
              <w:br w:type="textWrapping"/>
            </w:r>
            <w:r>
              <w:rPr>
                <w:rFonts w:hint="eastAsia" w:ascii="宋体" w:hAnsi="宋体" w:cs="宋体"/>
                <w:kern w:val="0"/>
                <w:sz w:val="16"/>
                <w:szCs w:val="16"/>
              </w:rP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r>
      <w:tr>
        <w:tblPrEx>
          <w:tblCellMar>
            <w:top w:w="0" w:type="dxa"/>
            <w:left w:w="108" w:type="dxa"/>
            <w:bottom w:w="0" w:type="dxa"/>
            <w:right w:w="108" w:type="dxa"/>
          </w:tblCellMar>
        </w:tblPrEx>
        <w:trPr>
          <w:trHeight w:val="840" w:hRule="atLeast"/>
        </w:trPr>
        <w:tc>
          <w:tcPr>
            <w:tcW w:w="1146" w:type="dxa"/>
            <w:vMerge w:val="restart"/>
            <w:tcBorders>
              <w:top w:val="nil"/>
              <w:left w:val="single" w:color="auto" w:sz="4" w:space="0"/>
              <w:bottom w:val="single" w:color="000000" w:sz="4" w:space="0"/>
              <w:right w:val="single" w:color="auto" w:sz="4" w:space="0"/>
            </w:tcBorders>
            <w:shd w:val="clear" w:color="auto" w:fill="auto"/>
            <w:textDirection w:val="tbRlV"/>
            <w:vAlign w:val="center"/>
          </w:tcPr>
          <w:p>
            <w:pPr>
              <w:widowControl/>
              <w:jc w:val="center"/>
              <w:rPr>
                <w:rFonts w:ascii="宋体" w:hAnsi="宋体" w:cs="宋体"/>
                <w:kern w:val="0"/>
                <w:sz w:val="16"/>
                <w:szCs w:val="16"/>
              </w:rPr>
            </w:pPr>
            <w:r>
              <w:rPr>
                <w:rFonts w:hint="eastAsia" w:ascii="宋体" w:hAnsi="宋体" w:cs="宋体"/>
                <w:kern w:val="0"/>
                <w:sz w:val="16"/>
                <w:szCs w:val="16"/>
              </w:rPr>
              <w:t>（10分）</w:t>
            </w:r>
            <w:r>
              <w:rPr>
                <w:rFonts w:hint="eastAsia" w:ascii="宋体" w:hAnsi="宋体" w:cs="宋体"/>
                <w:kern w:val="0"/>
                <w:sz w:val="16"/>
                <w:szCs w:val="16"/>
              </w:rPr>
              <w:br w:type="textWrapping"/>
            </w:r>
            <w:r>
              <w:rPr>
                <w:rFonts w:hint="eastAsia" w:ascii="宋体" w:hAnsi="宋体" w:cs="宋体"/>
                <w:kern w:val="0"/>
                <w:sz w:val="16"/>
                <w:szCs w:val="16"/>
              </w:rPr>
              <w:t>目标管理</w:t>
            </w:r>
          </w:p>
        </w:tc>
        <w:tc>
          <w:tcPr>
            <w:tcW w:w="56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绩效目标（10分）</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目标填报</w:t>
            </w:r>
          </w:p>
        </w:tc>
        <w:tc>
          <w:tcPr>
            <w:tcW w:w="56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6"/>
                <w:szCs w:val="16"/>
              </w:rPr>
            </w:pPr>
            <w:r>
              <w:rPr>
                <w:rFonts w:hint="eastAsia" w:ascii="宋体" w:hAnsi="宋体" w:cs="宋体"/>
                <w:kern w:val="0"/>
                <w:sz w:val="16"/>
                <w:szCs w:val="16"/>
              </w:rPr>
              <w:t>2</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考核部门是否按要求编制专项资金、部门专项类项目绩效目标</w:t>
            </w:r>
          </w:p>
        </w:tc>
        <w:tc>
          <w:tcPr>
            <w:tcW w:w="48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应编制绩效目标的专项类项目、专项资金未按要求申报绩效目标，发现1个项目扣0.5分；填报内容不规范，发现1处扣0.5分。直至扣完</w:t>
            </w:r>
          </w:p>
        </w:tc>
      </w:tr>
      <w:tr>
        <w:tblPrEx>
          <w:tblCellMar>
            <w:top w:w="0" w:type="dxa"/>
            <w:left w:w="108" w:type="dxa"/>
            <w:bottom w:w="0" w:type="dxa"/>
            <w:right w:w="108" w:type="dxa"/>
          </w:tblCellMar>
        </w:tblPrEx>
        <w:trPr>
          <w:trHeight w:val="840" w:hRule="atLeast"/>
        </w:trPr>
        <w:tc>
          <w:tcPr>
            <w:tcW w:w="114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6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目标量化</w:t>
            </w:r>
          </w:p>
        </w:tc>
        <w:tc>
          <w:tcPr>
            <w:tcW w:w="56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6"/>
                <w:szCs w:val="16"/>
              </w:rPr>
            </w:pPr>
            <w:r>
              <w:rPr>
                <w:rFonts w:hint="eastAsia" w:ascii="宋体" w:hAnsi="宋体" w:cs="宋体"/>
                <w:kern w:val="0"/>
                <w:sz w:val="16"/>
                <w:szCs w:val="16"/>
              </w:rPr>
              <w:t>3</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考核部门申报绩效目标的量化程度</w:t>
            </w:r>
          </w:p>
        </w:tc>
        <w:tc>
          <w:tcPr>
            <w:tcW w:w="48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专项类项目、专项资金设定的产出指标均应量化，效果指标中应至少50%以上量化指标。发现1个项目未达到要求扣0.5分，直至扣完。</w:t>
            </w:r>
          </w:p>
        </w:tc>
      </w:tr>
      <w:tr>
        <w:tblPrEx>
          <w:tblCellMar>
            <w:top w:w="0" w:type="dxa"/>
            <w:left w:w="108" w:type="dxa"/>
            <w:bottom w:w="0" w:type="dxa"/>
            <w:right w:w="108" w:type="dxa"/>
          </w:tblCellMar>
        </w:tblPrEx>
        <w:trPr>
          <w:trHeight w:val="840" w:hRule="atLeast"/>
        </w:trPr>
        <w:tc>
          <w:tcPr>
            <w:tcW w:w="114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6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目标匹配</w:t>
            </w:r>
          </w:p>
        </w:tc>
        <w:tc>
          <w:tcPr>
            <w:tcW w:w="56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6"/>
                <w:szCs w:val="16"/>
              </w:rPr>
            </w:pPr>
            <w:r>
              <w:rPr>
                <w:rFonts w:hint="eastAsia" w:ascii="宋体" w:hAnsi="宋体" w:cs="宋体"/>
                <w:kern w:val="0"/>
                <w:sz w:val="16"/>
                <w:szCs w:val="16"/>
              </w:rPr>
              <w:t>5</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考核部门申报的绩效目标是否与部门职能职责相关</w:t>
            </w:r>
          </w:p>
        </w:tc>
        <w:tc>
          <w:tcPr>
            <w:tcW w:w="48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专项类项目、专项资金设定的绩效目标与部门职能职责不一致的，发现一个项目扣1分，直至扣完。</w:t>
            </w:r>
          </w:p>
        </w:tc>
      </w:tr>
      <w:tr>
        <w:tblPrEx>
          <w:tblCellMar>
            <w:top w:w="0" w:type="dxa"/>
            <w:left w:w="108" w:type="dxa"/>
            <w:bottom w:w="0" w:type="dxa"/>
            <w:right w:w="108" w:type="dxa"/>
          </w:tblCellMar>
        </w:tblPrEx>
        <w:trPr>
          <w:trHeight w:val="1260" w:hRule="atLeast"/>
        </w:trPr>
        <w:tc>
          <w:tcPr>
            <w:tcW w:w="1146" w:type="dxa"/>
            <w:vMerge w:val="restart"/>
            <w:tcBorders>
              <w:top w:val="nil"/>
              <w:left w:val="single" w:color="auto" w:sz="4" w:space="0"/>
              <w:bottom w:val="single" w:color="000000" w:sz="4" w:space="0"/>
              <w:right w:val="single" w:color="auto" w:sz="4" w:space="0"/>
            </w:tcBorders>
            <w:shd w:val="clear" w:color="auto" w:fill="auto"/>
            <w:textDirection w:val="tbRlV"/>
            <w:vAlign w:val="center"/>
          </w:tcPr>
          <w:p>
            <w:pPr>
              <w:widowControl/>
              <w:jc w:val="center"/>
              <w:rPr>
                <w:rFonts w:ascii="宋体" w:hAnsi="宋体" w:cs="宋体"/>
                <w:kern w:val="0"/>
                <w:sz w:val="16"/>
                <w:szCs w:val="16"/>
              </w:rPr>
            </w:pPr>
            <w:r>
              <w:rPr>
                <w:rFonts w:hint="eastAsia" w:ascii="宋体" w:hAnsi="宋体" w:cs="宋体"/>
                <w:kern w:val="0"/>
                <w:sz w:val="16"/>
                <w:szCs w:val="16"/>
              </w:rPr>
              <w:t>（10分）</w:t>
            </w:r>
            <w:r>
              <w:rPr>
                <w:rFonts w:hint="eastAsia" w:ascii="宋体" w:hAnsi="宋体" w:cs="宋体"/>
                <w:kern w:val="0"/>
                <w:sz w:val="16"/>
                <w:szCs w:val="16"/>
              </w:rPr>
              <w:br w:type="textWrapping"/>
            </w:r>
            <w:r>
              <w:rPr>
                <w:rFonts w:hint="eastAsia" w:ascii="宋体" w:hAnsi="宋体" w:cs="宋体"/>
                <w:kern w:val="0"/>
                <w:sz w:val="16"/>
                <w:szCs w:val="16"/>
              </w:rPr>
              <w:t>部门管理</w:t>
            </w:r>
          </w:p>
        </w:tc>
        <w:tc>
          <w:tcPr>
            <w:tcW w:w="56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基础管理（4分）</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管理制度健全性</w:t>
            </w:r>
          </w:p>
        </w:tc>
        <w:tc>
          <w:tcPr>
            <w:tcW w:w="56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6"/>
                <w:szCs w:val="16"/>
              </w:rPr>
            </w:pPr>
            <w:r>
              <w:rPr>
                <w:rFonts w:hint="eastAsia" w:ascii="宋体" w:hAnsi="宋体" w:cs="宋体"/>
                <w:kern w:val="0"/>
                <w:sz w:val="16"/>
                <w:szCs w:val="16"/>
              </w:rPr>
              <w:t>1</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部门（单位）为加强预算管理、推进厉行节约、规范财务行为而制定的管理制度是否健全完整</w:t>
            </w:r>
          </w:p>
        </w:tc>
        <w:tc>
          <w:tcPr>
            <w:tcW w:w="48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是否已制定或具有预算资金管理办法、厉行节约管理措施、内部财务管理制度、会计核算制度等管理制度；相关管理制度是否合法、合规、完整；相关管理制度是否得到有效执行。定性评价。</w:t>
            </w:r>
          </w:p>
        </w:tc>
      </w:tr>
      <w:tr>
        <w:tblPrEx>
          <w:tblCellMar>
            <w:top w:w="0" w:type="dxa"/>
            <w:left w:w="108" w:type="dxa"/>
            <w:bottom w:w="0" w:type="dxa"/>
            <w:right w:w="108" w:type="dxa"/>
          </w:tblCellMar>
        </w:tblPrEx>
        <w:trPr>
          <w:trHeight w:val="1710" w:hRule="atLeast"/>
        </w:trPr>
        <w:tc>
          <w:tcPr>
            <w:tcW w:w="114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6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资金使用合规性</w:t>
            </w:r>
          </w:p>
        </w:tc>
        <w:tc>
          <w:tcPr>
            <w:tcW w:w="56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6"/>
                <w:szCs w:val="16"/>
              </w:rPr>
            </w:pPr>
            <w:r>
              <w:rPr>
                <w:rFonts w:hint="eastAsia" w:ascii="宋体" w:hAnsi="宋体" w:cs="宋体"/>
                <w:kern w:val="0"/>
                <w:sz w:val="16"/>
                <w:szCs w:val="16"/>
              </w:rPr>
              <w:t>1</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部门（单位）使用预算资金是否符合相关的预算财务管理制度的规定</w:t>
            </w:r>
          </w:p>
        </w:tc>
        <w:tc>
          <w:tcPr>
            <w:tcW w:w="48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r>
      <w:tr>
        <w:tblPrEx>
          <w:tblCellMar>
            <w:top w:w="0" w:type="dxa"/>
            <w:left w:w="108" w:type="dxa"/>
            <w:bottom w:w="0" w:type="dxa"/>
            <w:right w:w="108" w:type="dxa"/>
          </w:tblCellMar>
        </w:tblPrEx>
        <w:trPr>
          <w:trHeight w:val="1680" w:hRule="atLeast"/>
        </w:trPr>
        <w:tc>
          <w:tcPr>
            <w:tcW w:w="114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6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财务监控有效性</w:t>
            </w:r>
          </w:p>
        </w:tc>
        <w:tc>
          <w:tcPr>
            <w:tcW w:w="56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6"/>
                <w:szCs w:val="16"/>
              </w:rPr>
            </w:pPr>
            <w:r>
              <w:rPr>
                <w:rFonts w:hint="eastAsia" w:ascii="宋体" w:hAnsi="宋体" w:cs="宋体"/>
                <w:kern w:val="0"/>
                <w:sz w:val="16"/>
                <w:szCs w:val="16"/>
              </w:rPr>
              <w:t>2</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考察部门是否对部门内部、各所属单位，专项资金分配的区（市）县或项目实施主体进行工作监督和定期考核。</w:t>
            </w:r>
          </w:p>
        </w:tc>
        <w:tc>
          <w:tcPr>
            <w:tcW w:w="48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对部门内部、下属单位、分配的专项资金①制定明确的财务监控监督措施，得1分；②监控、监督措施执行有效，得1分。</w:t>
            </w:r>
          </w:p>
        </w:tc>
      </w:tr>
      <w:tr>
        <w:tblPrEx>
          <w:tblCellMar>
            <w:top w:w="0" w:type="dxa"/>
            <w:left w:w="108" w:type="dxa"/>
            <w:bottom w:w="0" w:type="dxa"/>
            <w:right w:w="108" w:type="dxa"/>
          </w:tblCellMar>
        </w:tblPrEx>
        <w:trPr>
          <w:trHeight w:val="975" w:hRule="atLeast"/>
        </w:trPr>
        <w:tc>
          <w:tcPr>
            <w:tcW w:w="114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行政成本（1分）</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“三公”经费控制</w:t>
            </w:r>
          </w:p>
        </w:tc>
        <w:tc>
          <w:tcPr>
            <w:tcW w:w="56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6"/>
                <w:szCs w:val="16"/>
              </w:rPr>
            </w:pPr>
            <w:r>
              <w:rPr>
                <w:rFonts w:hint="eastAsia" w:ascii="宋体" w:hAnsi="宋体" w:cs="宋体"/>
                <w:kern w:val="0"/>
                <w:sz w:val="16"/>
                <w:szCs w:val="16"/>
              </w:rPr>
              <w:t>1</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当年“三公”经费预算与当年决算比，反映“三公”经费控制情况</w:t>
            </w:r>
          </w:p>
        </w:tc>
        <w:tc>
          <w:tcPr>
            <w:tcW w:w="48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部门“三公”经费决算数一项超预算扣0.5分，两项扣1分。</w:t>
            </w:r>
          </w:p>
        </w:tc>
      </w:tr>
      <w:tr>
        <w:tblPrEx>
          <w:tblCellMar>
            <w:top w:w="0" w:type="dxa"/>
            <w:left w:w="108" w:type="dxa"/>
            <w:bottom w:w="0" w:type="dxa"/>
            <w:right w:w="108" w:type="dxa"/>
          </w:tblCellMar>
        </w:tblPrEx>
        <w:trPr>
          <w:trHeight w:val="960" w:hRule="atLeast"/>
        </w:trPr>
        <w:tc>
          <w:tcPr>
            <w:tcW w:w="114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政府采购（1分）</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采购规范性</w:t>
            </w:r>
          </w:p>
        </w:tc>
        <w:tc>
          <w:tcPr>
            <w:tcW w:w="56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6"/>
                <w:szCs w:val="16"/>
              </w:rPr>
            </w:pPr>
            <w:r>
              <w:rPr>
                <w:rFonts w:hint="eastAsia" w:ascii="宋体" w:hAnsi="宋体" w:cs="宋体"/>
                <w:kern w:val="0"/>
                <w:sz w:val="16"/>
                <w:szCs w:val="16"/>
              </w:rPr>
              <w:t>1</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考察政府采购项目的采购程序、 采购方式的规范性</w:t>
            </w:r>
          </w:p>
        </w:tc>
        <w:tc>
          <w:tcPr>
            <w:tcW w:w="48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采购方式、程序中每一点不规范，扣 0.5 分，直至扣完。</w:t>
            </w:r>
          </w:p>
        </w:tc>
      </w:tr>
      <w:tr>
        <w:tblPrEx>
          <w:tblCellMar>
            <w:top w:w="0" w:type="dxa"/>
            <w:left w:w="108" w:type="dxa"/>
            <w:bottom w:w="0" w:type="dxa"/>
            <w:right w:w="108" w:type="dxa"/>
          </w:tblCellMar>
        </w:tblPrEx>
        <w:trPr>
          <w:trHeight w:val="1590" w:hRule="atLeast"/>
        </w:trPr>
        <w:tc>
          <w:tcPr>
            <w:tcW w:w="114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资产管理（2分）</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固定资产在用率</w:t>
            </w:r>
          </w:p>
        </w:tc>
        <w:tc>
          <w:tcPr>
            <w:tcW w:w="56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6"/>
                <w:szCs w:val="16"/>
              </w:rPr>
            </w:pPr>
            <w:r>
              <w:rPr>
                <w:rFonts w:hint="eastAsia" w:ascii="宋体" w:hAnsi="宋体" w:cs="宋体"/>
                <w:kern w:val="0"/>
                <w:sz w:val="16"/>
                <w:szCs w:val="16"/>
              </w:rPr>
              <w:t>2</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部门实际在用固定资产总额与所有固定资产总额的比率， 用以反映和考核部门固定资产使用效率及程度。</w:t>
            </w:r>
          </w:p>
        </w:tc>
        <w:tc>
          <w:tcPr>
            <w:tcW w:w="48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固定资产在用率=（实际在用固定资产总额/所有固定资产总额）×100%。 固定资产在用率达到 95%以上得满分。 相较95%，每降低 5个百分点扣1分，直至扣完。</w:t>
            </w:r>
          </w:p>
        </w:tc>
      </w:tr>
      <w:tr>
        <w:tblPrEx>
          <w:tblCellMar>
            <w:top w:w="0" w:type="dxa"/>
            <w:left w:w="108" w:type="dxa"/>
            <w:bottom w:w="0" w:type="dxa"/>
            <w:right w:w="108" w:type="dxa"/>
          </w:tblCellMar>
        </w:tblPrEx>
        <w:trPr>
          <w:trHeight w:val="1470" w:hRule="atLeast"/>
        </w:trPr>
        <w:tc>
          <w:tcPr>
            <w:tcW w:w="114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信息公开（2分）</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信息公开</w:t>
            </w:r>
          </w:p>
        </w:tc>
        <w:tc>
          <w:tcPr>
            <w:tcW w:w="56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6"/>
                <w:szCs w:val="16"/>
              </w:rPr>
            </w:pPr>
            <w:r>
              <w:rPr>
                <w:rFonts w:hint="eastAsia" w:ascii="宋体" w:hAnsi="宋体" w:cs="宋体"/>
                <w:kern w:val="0"/>
                <w:sz w:val="16"/>
                <w:szCs w:val="16"/>
              </w:rPr>
              <w:t>2</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除涉密单位和信息外，考核部门（单位）是否按财政要求及时完成预算、决算、绩效等信息公开工作</w:t>
            </w:r>
          </w:p>
        </w:tc>
        <w:tc>
          <w:tcPr>
            <w:tcW w:w="48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一项公开工作未完成的扣1分，直至扣完。</w:t>
            </w:r>
          </w:p>
        </w:tc>
      </w:tr>
      <w:tr>
        <w:tblPrEx>
          <w:tblCellMar>
            <w:top w:w="0" w:type="dxa"/>
            <w:left w:w="108" w:type="dxa"/>
            <w:bottom w:w="0" w:type="dxa"/>
            <w:right w:w="108" w:type="dxa"/>
          </w:tblCellMar>
        </w:tblPrEx>
        <w:trPr>
          <w:trHeight w:val="1470" w:hRule="atLeast"/>
        </w:trPr>
        <w:tc>
          <w:tcPr>
            <w:tcW w:w="1146"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jc w:val="center"/>
              <w:rPr>
                <w:rFonts w:ascii="宋体" w:hAnsi="宋体" w:cs="宋体"/>
                <w:kern w:val="0"/>
                <w:sz w:val="16"/>
                <w:szCs w:val="16"/>
              </w:rPr>
            </w:pPr>
            <w:r>
              <w:rPr>
                <w:rFonts w:hint="eastAsia" w:ascii="宋体" w:hAnsi="宋体" w:cs="宋体"/>
                <w:kern w:val="0"/>
                <w:sz w:val="16"/>
                <w:szCs w:val="16"/>
              </w:rPr>
              <w:t>（70分）</w:t>
            </w:r>
            <w:r>
              <w:rPr>
                <w:rFonts w:hint="eastAsia" w:ascii="宋体" w:hAnsi="宋体" w:cs="宋体"/>
                <w:kern w:val="0"/>
                <w:sz w:val="16"/>
                <w:szCs w:val="16"/>
              </w:rPr>
              <w:br w:type="textWrapping"/>
            </w:r>
            <w:r>
              <w:rPr>
                <w:rFonts w:hint="eastAsia" w:ascii="宋体" w:hAnsi="宋体" w:cs="宋体"/>
                <w:kern w:val="0"/>
                <w:sz w:val="16"/>
                <w:szCs w:val="16"/>
              </w:rPr>
              <w:t>履职效能</w:t>
            </w:r>
          </w:p>
        </w:tc>
        <w:tc>
          <w:tcPr>
            <w:tcW w:w="56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重点任务一</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任务完成率</w:t>
            </w:r>
          </w:p>
        </w:tc>
        <w:tc>
          <w:tcPr>
            <w:tcW w:w="567"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68</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得分=分值×实际完成任务量/绩效目标设定任务量×100%。实际完成任务量大于绩效目标设定任务量得满分。</w:t>
            </w:r>
          </w:p>
        </w:tc>
        <w:tc>
          <w:tcPr>
            <w:tcW w:w="481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1.履职效能指标设定，由评价工作组根据部门职能职责、年度工作计划等梳理年度重点工作任务。各项重点任务分值，由评价工作组根据任务重要性在总权重分值（70分）中分配。</w:t>
            </w:r>
            <w:r>
              <w:rPr>
                <w:rFonts w:hint="eastAsia" w:ascii="宋体" w:hAnsi="宋体" w:cs="宋体"/>
                <w:kern w:val="0"/>
                <w:sz w:val="16"/>
                <w:szCs w:val="16"/>
              </w:rPr>
              <w:br w:type="textWrapping"/>
            </w:r>
            <w:r>
              <w:rPr>
                <w:rFonts w:hint="eastAsia" w:ascii="宋体" w:hAnsi="宋体" w:cs="宋体"/>
                <w:kern w:val="0"/>
                <w:sz w:val="16"/>
                <w:szCs w:val="16"/>
              </w:rPr>
              <w:t>2.重点任务指标设定，应根据相关重点任务实际情况，设置具体三级指标。其中，任务完成率和满意度指标是共性指标，每一项重点任务均应设定，共性指标分值应占该重点任务重分值的40%（任务完成率和满意度指标各占20%，如该重点任务不适合做满意度调查，可不设满意度指标，满意度分值合并到任务完成率指标）。关键绩效指标为个性指标，根据具体任务实际确定，每项重点任务至少设定2个关键业绩指标，量化指标不少于1个，个性指标分值应占该重点任务重分值的60%，由评价工作组按指标重要性进行分配。</w:t>
            </w:r>
          </w:p>
        </w:tc>
      </w:tr>
      <w:tr>
        <w:tblPrEx>
          <w:tblCellMar>
            <w:top w:w="0" w:type="dxa"/>
            <w:left w:w="108" w:type="dxa"/>
            <w:bottom w:w="0" w:type="dxa"/>
            <w:right w:w="108" w:type="dxa"/>
          </w:tblCellMar>
        </w:tblPrEx>
        <w:trPr>
          <w:trHeight w:val="975" w:hRule="atLeast"/>
        </w:trPr>
        <w:tc>
          <w:tcPr>
            <w:tcW w:w="11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56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服务对象(受益)对象满意度</w:t>
            </w:r>
          </w:p>
        </w:tc>
        <w:tc>
          <w:tcPr>
            <w:tcW w:w="567"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根据满意度调查评分</w:t>
            </w:r>
          </w:p>
        </w:tc>
        <w:tc>
          <w:tcPr>
            <w:tcW w:w="48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645" w:hRule="atLeast"/>
        </w:trPr>
        <w:tc>
          <w:tcPr>
            <w:tcW w:w="11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56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关键绩效指标一</w:t>
            </w:r>
          </w:p>
        </w:tc>
        <w:tc>
          <w:tcPr>
            <w:tcW w:w="567"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c>
          <w:tcPr>
            <w:tcW w:w="48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525" w:hRule="atLeast"/>
        </w:trPr>
        <w:tc>
          <w:tcPr>
            <w:tcW w:w="11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56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关键绩效指标二</w:t>
            </w:r>
          </w:p>
        </w:tc>
        <w:tc>
          <w:tcPr>
            <w:tcW w:w="567"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c>
          <w:tcPr>
            <w:tcW w:w="48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285" w:hRule="atLeast"/>
        </w:trPr>
        <w:tc>
          <w:tcPr>
            <w:tcW w:w="11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56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w:t>
            </w:r>
          </w:p>
        </w:tc>
        <w:tc>
          <w:tcPr>
            <w:tcW w:w="567"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c>
          <w:tcPr>
            <w:tcW w:w="48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1470" w:hRule="atLeast"/>
        </w:trPr>
        <w:tc>
          <w:tcPr>
            <w:tcW w:w="11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56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重点任务二</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任务完成率</w:t>
            </w:r>
          </w:p>
        </w:tc>
        <w:tc>
          <w:tcPr>
            <w:tcW w:w="56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得分=分值×实际完成任务量/绩效目标设定任务量×100%。实际完成任务量大于绩效目标设定任务量得满分。</w:t>
            </w:r>
          </w:p>
        </w:tc>
        <w:tc>
          <w:tcPr>
            <w:tcW w:w="48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900" w:hRule="atLeast"/>
        </w:trPr>
        <w:tc>
          <w:tcPr>
            <w:tcW w:w="11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56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服务对象或受益对象满意度</w:t>
            </w:r>
          </w:p>
        </w:tc>
        <w:tc>
          <w:tcPr>
            <w:tcW w:w="56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90%</w:t>
            </w:r>
          </w:p>
        </w:tc>
        <w:tc>
          <w:tcPr>
            <w:tcW w:w="48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555" w:hRule="atLeast"/>
        </w:trPr>
        <w:tc>
          <w:tcPr>
            <w:tcW w:w="11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56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关键绩效指标一</w:t>
            </w:r>
          </w:p>
        </w:tc>
        <w:tc>
          <w:tcPr>
            <w:tcW w:w="56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90%</w:t>
            </w:r>
          </w:p>
        </w:tc>
        <w:tc>
          <w:tcPr>
            <w:tcW w:w="48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495" w:hRule="atLeast"/>
        </w:trPr>
        <w:tc>
          <w:tcPr>
            <w:tcW w:w="11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56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关键绩效指标二</w:t>
            </w:r>
          </w:p>
        </w:tc>
        <w:tc>
          <w:tcPr>
            <w:tcW w:w="56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90%</w:t>
            </w:r>
          </w:p>
        </w:tc>
        <w:tc>
          <w:tcPr>
            <w:tcW w:w="48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285" w:hRule="atLeast"/>
        </w:trPr>
        <w:tc>
          <w:tcPr>
            <w:tcW w:w="11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56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w:t>
            </w:r>
          </w:p>
        </w:tc>
        <w:tc>
          <w:tcPr>
            <w:tcW w:w="56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c>
          <w:tcPr>
            <w:tcW w:w="48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630" w:hRule="atLeast"/>
        </w:trPr>
        <w:tc>
          <w:tcPr>
            <w:tcW w:w="11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3119"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8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285" w:hRule="atLeast"/>
        </w:trPr>
        <w:tc>
          <w:tcPr>
            <w:tcW w:w="2246"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kern w:val="0"/>
                <w:sz w:val="16"/>
                <w:szCs w:val="16"/>
              </w:rPr>
            </w:pPr>
            <w:r>
              <w:rPr>
                <w:rFonts w:hint="eastAsia" w:ascii="宋体" w:hAnsi="宋体" w:cs="宋体"/>
                <w:kern w:val="0"/>
                <w:sz w:val="16"/>
                <w:szCs w:val="16"/>
              </w:rPr>
              <w:t>合计</w:t>
            </w:r>
          </w:p>
        </w:tc>
        <w:tc>
          <w:tcPr>
            <w:tcW w:w="42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kern w:val="0"/>
                <w:sz w:val="16"/>
                <w:szCs w:val="16"/>
              </w:rPr>
            </w:pPr>
            <w:r>
              <w:rPr>
                <w:rFonts w:hint="eastAsia" w:ascii="宋体" w:hAnsi="宋体" w:cs="宋体"/>
                <w:kern w:val="0"/>
                <w:sz w:val="16"/>
                <w:szCs w:val="16"/>
              </w:rPr>
              <w:t>97</w:t>
            </w:r>
          </w:p>
        </w:tc>
        <w:tc>
          <w:tcPr>
            <w:tcW w:w="6418"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bl>
    <w:p>
      <w:pPr>
        <w:widowControl/>
        <w:numPr>
          <w:ilvl w:val="0"/>
          <w:numId w:val="0"/>
        </w:numPr>
        <w:adjustRightInd w:val="0"/>
        <w:snapToGrid w:val="0"/>
        <w:spacing w:line="580" w:lineRule="exact"/>
        <w:jc w:val="left"/>
        <w:rPr>
          <w:rFonts w:hint="eastAsia" w:ascii="黑体" w:hAnsi="宋体" w:eastAsia="黑体" w:cs="黑体"/>
          <w:color w:val="000000"/>
          <w:kern w:val="0"/>
          <w:shd w:val="clear" w:color="auto" w:fill="FFFFFF"/>
          <w:lang w:val="zh-CN"/>
        </w:rPr>
      </w:pPr>
      <w:r>
        <w:rPr>
          <w:rFonts w:hint="eastAsia" w:ascii="黑体" w:hAnsi="宋体" w:eastAsia="黑体" w:cs="黑体"/>
          <w:color w:val="000000"/>
          <w:kern w:val="0"/>
          <w:shd w:val="clear" w:color="auto" w:fill="FFFFFF"/>
          <w:lang w:val="zh-CN"/>
        </w:rPr>
        <w:t>（二）存在问题</w:t>
      </w:r>
    </w:p>
    <w:p>
      <w:pPr>
        <w:widowControl/>
        <w:numPr>
          <w:ilvl w:val="0"/>
          <w:numId w:val="0"/>
        </w:numPr>
        <w:adjustRightInd w:val="0"/>
        <w:snapToGrid w:val="0"/>
        <w:spacing w:line="580" w:lineRule="exact"/>
        <w:ind w:firstLine="640" w:firstLineChars="200"/>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学校预算内安排收入中的非专审项目，在实际支出时与预算还有一定出入，预算不够精细。</w:t>
      </w:r>
    </w:p>
    <w:p>
      <w:pPr>
        <w:widowControl/>
        <w:numPr>
          <w:ilvl w:val="0"/>
          <w:numId w:val="0"/>
        </w:numPr>
        <w:adjustRightInd w:val="0"/>
        <w:snapToGrid w:val="0"/>
        <w:spacing w:line="580" w:lineRule="exact"/>
        <w:jc w:val="left"/>
        <w:rPr>
          <w:rFonts w:hint="eastAsia" w:ascii="黑体" w:hAnsi="宋体" w:eastAsia="黑体" w:cs="黑体"/>
          <w:color w:val="000000"/>
          <w:kern w:val="0"/>
          <w:shd w:val="clear" w:color="auto" w:fill="FFFFFF"/>
          <w:lang w:val="zh-CN"/>
        </w:rPr>
      </w:pPr>
      <w:r>
        <w:rPr>
          <w:rFonts w:hint="eastAsia" w:ascii="黑体" w:hAnsi="宋体" w:eastAsia="黑体" w:cs="黑体"/>
          <w:color w:val="000000"/>
          <w:kern w:val="0"/>
          <w:shd w:val="clear" w:color="auto" w:fill="FFFFFF"/>
          <w:lang w:val="zh-CN"/>
        </w:rPr>
        <w:t>（三）改进措施</w:t>
      </w:r>
    </w:p>
    <w:p>
      <w:pPr>
        <w:widowControl/>
        <w:numPr>
          <w:ilvl w:val="0"/>
          <w:numId w:val="0"/>
        </w:numPr>
        <w:adjustRightInd w:val="0"/>
        <w:snapToGrid w:val="0"/>
        <w:spacing w:line="580" w:lineRule="exact"/>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１、学校预算内安排收入，争取尽量准确一些，具体一些，提高资金使用效率。</w:t>
      </w:r>
    </w:p>
    <w:p>
      <w:pPr>
        <w:widowControl/>
        <w:numPr>
          <w:ilvl w:val="0"/>
          <w:numId w:val="0"/>
        </w:numPr>
        <w:adjustRightInd w:val="0"/>
        <w:snapToGrid w:val="0"/>
        <w:spacing w:line="580" w:lineRule="exact"/>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2、在本年度公用经费使用中，有些经费开支较高，在今后的公用经费使用要注意节约，把费用更合理的安排，力求每一分钱都用在刀刃上。</w:t>
      </w:r>
    </w:p>
    <w:p>
      <w:pPr>
        <w:widowControl/>
        <w:numPr>
          <w:ilvl w:val="0"/>
          <w:numId w:val="0"/>
        </w:numPr>
        <w:adjustRightInd w:val="0"/>
        <w:snapToGrid w:val="0"/>
        <w:spacing w:line="580" w:lineRule="exact"/>
        <w:jc w:val="left"/>
        <w:rPr>
          <w:rFonts w:hint="eastAsia" w:ascii="楷体_GB2312" w:hAnsi="宋体" w:eastAsia="楷体_GB2312" w:cs="仿宋_GB2312"/>
          <w:color w:val="000000"/>
          <w:kern w:val="0"/>
          <w:shd w:val="clear" w:color="auto" w:fill="FFFFFF"/>
          <w:lang w:val="zh-CN"/>
        </w:rPr>
      </w:pPr>
      <w:r>
        <w:rPr>
          <w:rFonts w:hint="eastAsia" w:ascii="楷体_GB2312" w:hAnsi="宋体" w:eastAsia="楷体_GB2312" w:cs="仿宋_GB2312"/>
          <w:color w:val="000000"/>
          <w:kern w:val="0"/>
          <w:shd w:val="clear" w:color="auto" w:fill="FFFFFF"/>
          <w:lang w:val="zh-CN"/>
        </w:rPr>
        <w:t>3、强化各办公室工作协调职能，团结协作，共同让学校工作再上一个新台阶。</w:t>
      </w:r>
    </w:p>
    <w:sectPr>
      <w:headerReference r:id="rId3" w:type="default"/>
      <w:pgSz w:w="11906" w:h="16838"/>
      <w:pgMar w:top="907" w:right="1361" w:bottom="851" w:left="1361" w:header="851" w:footer="992" w:gutter="0"/>
      <w:pgNumType w:fmt="numberInDash" w:start="12"/>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 w:name="方正小标宋简体">
    <w:altName w:val="Arial Unicode MS"/>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CB4AC7"/>
    <w:multiLevelType w:val="singleLevel"/>
    <w:tmpl w:val="B5CB4AC7"/>
    <w:lvl w:ilvl="0" w:tentative="0">
      <w:start w:val="2"/>
      <w:numFmt w:val="chineseCounting"/>
      <w:suff w:val="nothing"/>
      <w:lvlText w:val="（%1）"/>
      <w:lvlJc w:val="left"/>
      <w:rPr>
        <w:rFonts w:hint="eastAsia"/>
      </w:rPr>
    </w:lvl>
  </w:abstractNum>
  <w:abstractNum w:abstractNumId="1">
    <w:nsid w:val="CDA05778"/>
    <w:multiLevelType w:val="singleLevel"/>
    <w:tmpl w:val="CDA05778"/>
    <w:lvl w:ilvl="0" w:tentative="0">
      <w:start w:val="2"/>
      <w:numFmt w:val="chineseCounting"/>
      <w:suff w:val="nothing"/>
      <w:lvlText w:val="（%1）"/>
      <w:lvlJc w:val="left"/>
      <w:rPr>
        <w:rFonts w:hint="eastAsia"/>
      </w:rPr>
    </w:lvl>
  </w:abstractNum>
  <w:abstractNum w:abstractNumId="2">
    <w:nsid w:val="08766F56"/>
    <w:multiLevelType w:val="singleLevel"/>
    <w:tmpl w:val="08766F56"/>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NotTrackMoves/>
  <w:documentProtection w:enforcement="0"/>
  <w:defaultTabStop w:val="420"/>
  <w:doNotHyphenateCaps/>
  <w:drawingGridHorizontalSpacing w:val="160"/>
  <w:drawingGridVerticalSpacing w:val="435"/>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174"/>
    <w:rsid w:val="00006E4D"/>
    <w:rsid w:val="00021652"/>
    <w:rsid w:val="00030311"/>
    <w:rsid w:val="00030782"/>
    <w:rsid w:val="00030B66"/>
    <w:rsid w:val="0006102A"/>
    <w:rsid w:val="00065B0F"/>
    <w:rsid w:val="00065E7E"/>
    <w:rsid w:val="000820BB"/>
    <w:rsid w:val="0008241B"/>
    <w:rsid w:val="00092280"/>
    <w:rsid w:val="00097FAE"/>
    <w:rsid w:val="000A3233"/>
    <w:rsid w:val="000A7CE3"/>
    <w:rsid w:val="000B04D6"/>
    <w:rsid w:val="000B15CE"/>
    <w:rsid w:val="000C40C6"/>
    <w:rsid w:val="000C79C1"/>
    <w:rsid w:val="000D208A"/>
    <w:rsid w:val="000E037E"/>
    <w:rsid w:val="000F659A"/>
    <w:rsid w:val="000F77B0"/>
    <w:rsid w:val="0010235D"/>
    <w:rsid w:val="00103A47"/>
    <w:rsid w:val="00106D4D"/>
    <w:rsid w:val="001119A2"/>
    <w:rsid w:val="001221D6"/>
    <w:rsid w:val="0012510A"/>
    <w:rsid w:val="00125F67"/>
    <w:rsid w:val="001261AE"/>
    <w:rsid w:val="001348A4"/>
    <w:rsid w:val="0014117C"/>
    <w:rsid w:val="00146FE8"/>
    <w:rsid w:val="0014767B"/>
    <w:rsid w:val="00147AED"/>
    <w:rsid w:val="00177AAF"/>
    <w:rsid w:val="00183850"/>
    <w:rsid w:val="00184D9F"/>
    <w:rsid w:val="001A4749"/>
    <w:rsid w:val="001A4842"/>
    <w:rsid w:val="001A5833"/>
    <w:rsid w:val="001C2158"/>
    <w:rsid w:val="001C51F2"/>
    <w:rsid w:val="001C73AB"/>
    <w:rsid w:val="001D2EA4"/>
    <w:rsid w:val="001F47CE"/>
    <w:rsid w:val="001F5776"/>
    <w:rsid w:val="0020620D"/>
    <w:rsid w:val="002069BC"/>
    <w:rsid w:val="002069EB"/>
    <w:rsid w:val="002201B0"/>
    <w:rsid w:val="00220900"/>
    <w:rsid w:val="0022307E"/>
    <w:rsid w:val="00224D05"/>
    <w:rsid w:val="002323A3"/>
    <w:rsid w:val="00236EF7"/>
    <w:rsid w:val="0024058A"/>
    <w:rsid w:val="002410C0"/>
    <w:rsid w:val="00252894"/>
    <w:rsid w:val="00253FA6"/>
    <w:rsid w:val="00254728"/>
    <w:rsid w:val="002550E7"/>
    <w:rsid w:val="002558D4"/>
    <w:rsid w:val="002560E2"/>
    <w:rsid w:val="00264CFA"/>
    <w:rsid w:val="00270DD7"/>
    <w:rsid w:val="00276F4A"/>
    <w:rsid w:val="00280BFB"/>
    <w:rsid w:val="00280C88"/>
    <w:rsid w:val="00286C1D"/>
    <w:rsid w:val="002973A4"/>
    <w:rsid w:val="002A0195"/>
    <w:rsid w:val="002B5B34"/>
    <w:rsid w:val="002B6906"/>
    <w:rsid w:val="002B7215"/>
    <w:rsid w:val="002C0AFD"/>
    <w:rsid w:val="002C59D0"/>
    <w:rsid w:val="002D1A18"/>
    <w:rsid w:val="002D6C79"/>
    <w:rsid w:val="002E1104"/>
    <w:rsid w:val="002E3FDD"/>
    <w:rsid w:val="00300EF4"/>
    <w:rsid w:val="00301353"/>
    <w:rsid w:val="00305FF6"/>
    <w:rsid w:val="00307568"/>
    <w:rsid w:val="00311506"/>
    <w:rsid w:val="00316ADB"/>
    <w:rsid w:val="00317623"/>
    <w:rsid w:val="00335F67"/>
    <w:rsid w:val="003361E9"/>
    <w:rsid w:val="00350A65"/>
    <w:rsid w:val="00361C85"/>
    <w:rsid w:val="00371352"/>
    <w:rsid w:val="00376753"/>
    <w:rsid w:val="0038541D"/>
    <w:rsid w:val="00387818"/>
    <w:rsid w:val="00391A13"/>
    <w:rsid w:val="00391FD0"/>
    <w:rsid w:val="003A44FC"/>
    <w:rsid w:val="003B3299"/>
    <w:rsid w:val="003C1E75"/>
    <w:rsid w:val="003D10A2"/>
    <w:rsid w:val="003D33B8"/>
    <w:rsid w:val="003D624D"/>
    <w:rsid w:val="003D719A"/>
    <w:rsid w:val="003F5EB7"/>
    <w:rsid w:val="003F7FE2"/>
    <w:rsid w:val="004004E7"/>
    <w:rsid w:val="00416E1A"/>
    <w:rsid w:val="00426A3F"/>
    <w:rsid w:val="004277D4"/>
    <w:rsid w:val="00461638"/>
    <w:rsid w:val="004706FA"/>
    <w:rsid w:val="00474D8D"/>
    <w:rsid w:val="00475CCD"/>
    <w:rsid w:val="00477266"/>
    <w:rsid w:val="004811BC"/>
    <w:rsid w:val="004838F2"/>
    <w:rsid w:val="00486492"/>
    <w:rsid w:val="00492CF6"/>
    <w:rsid w:val="004A180A"/>
    <w:rsid w:val="004A4C9D"/>
    <w:rsid w:val="004C2078"/>
    <w:rsid w:val="004C228F"/>
    <w:rsid w:val="004E752F"/>
    <w:rsid w:val="004F1E37"/>
    <w:rsid w:val="00515198"/>
    <w:rsid w:val="00521C44"/>
    <w:rsid w:val="005274E1"/>
    <w:rsid w:val="00531DDF"/>
    <w:rsid w:val="00535FA6"/>
    <w:rsid w:val="00542AB7"/>
    <w:rsid w:val="0055358D"/>
    <w:rsid w:val="005540C8"/>
    <w:rsid w:val="00555809"/>
    <w:rsid w:val="00562165"/>
    <w:rsid w:val="005756AF"/>
    <w:rsid w:val="00575A4A"/>
    <w:rsid w:val="00591B6F"/>
    <w:rsid w:val="005A1DAF"/>
    <w:rsid w:val="005C17C8"/>
    <w:rsid w:val="005C2098"/>
    <w:rsid w:val="005C2E6C"/>
    <w:rsid w:val="005D0CCF"/>
    <w:rsid w:val="005D1C01"/>
    <w:rsid w:val="005E297D"/>
    <w:rsid w:val="005E3F12"/>
    <w:rsid w:val="005F627E"/>
    <w:rsid w:val="00614A60"/>
    <w:rsid w:val="0061652E"/>
    <w:rsid w:val="006205E9"/>
    <w:rsid w:val="00622D0B"/>
    <w:rsid w:val="006270DA"/>
    <w:rsid w:val="00630B75"/>
    <w:rsid w:val="00634DFF"/>
    <w:rsid w:val="00635337"/>
    <w:rsid w:val="0064265B"/>
    <w:rsid w:val="0064519C"/>
    <w:rsid w:val="0065082E"/>
    <w:rsid w:val="006512D0"/>
    <w:rsid w:val="006560A3"/>
    <w:rsid w:val="00656301"/>
    <w:rsid w:val="006600C9"/>
    <w:rsid w:val="006701CC"/>
    <w:rsid w:val="00671F58"/>
    <w:rsid w:val="006762A4"/>
    <w:rsid w:val="006900E7"/>
    <w:rsid w:val="006A00A8"/>
    <w:rsid w:val="006A482D"/>
    <w:rsid w:val="006B11E0"/>
    <w:rsid w:val="006B386A"/>
    <w:rsid w:val="006B7CB4"/>
    <w:rsid w:val="006C24D3"/>
    <w:rsid w:val="006C7917"/>
    <w:rsid w:val="006E51AE"/>
    <w:rsid w:val="0070081F"/>
    <w:rsid w:val="007018F5"/>
    <w:rsid w:val="00707B80"/>
    <w:rsid w:val="00710897"/>
    <w:rsid w:val="00712F45"/>
    <w:rsid w:val="00734305"/>
    <w:rsid w:val="007370E1"/>
    <w:rsid w:val="007732A1"/>
    <w:rsid w:val="00774C4A"/>
    <w:rsid w:val="007759DE"/>
    <w:rsid w:val="00782BBB"/>
    <w:rsid w:val="007A0690"/>
    <w:rsid w:val="007A078F"/>
    <w:rsid w:val="007B34D4"/>
    <w:rsid w:val="007C0633"/>
    <w:rsid w:val="007D086C"/>
    <w:rsid w:val="007F1BE1"/>
    <w:rsid w:val="007F707F"/>
    <w:rsid w:val="007F794C"/>
    <w:rsid w:val="007F7AC9"/>
    <w:rsid w:val="00803B42"/>
    <w:rsid w:val="008073EF"/>
    <w:rsid w:val="0081095C"/>
    <w:rsid w:val="00810C41"/>
    <w:rsid w:val="008212FF"/>
    <w:rsid w:val="00821CF7"/>
    <w:rsid w:val="0082593B"/>
    <w:rsid w:val="00827537"/>
    <w:rsid w:val="008468EA"/>
    <w:rsid w:val="00846FAB"/>
    <w:rsid w:val="00867140"/>
    <w:rsid w:val="00870E4C"/>
    <w:rsid w:val="00881134"/>
    <w:rsid w:val="008904F0"/>
    <w:rsid w:val="008B2F27"/>
    <w:rsid w:val="008B4A72"/>
    <w:rsid w:val="008B585E"/>
    <w:rsid w:val="008E6C0C"/>
    <w:rsid w:val="008F1E63"/>
    <w:rsid w:val="008F3052"/>
    <w:rsid w:val="00901E19"/>
    <w:rsid w:val="009214F7"/>
    <w:rsid w:val="00921CD7"/>
    <w:rsid w:val="00940EB6"/>
    <w:rsid w:val="0094184C"/>
    <w:rsid w:val="00944771"/>
    <w:rsid w:val="009601FC"/>
    <w:rsid w:val="00965426"/>
    <w:rsid w:val="0096654A"/>
    <w:rsid w:val="009711E4"/>
    <w:rsid w:val="00971572"/>
    <w:rsid w:val="00981E55"/>
    <w:rsid w:val="00986CEF"/>
    <w:rsid w:val="00987212"/>
    <w:rsid w:val="009A0E5F"/>
    <w:rsid w:val="009F1AF3"/>
    <w:rsid w:val="009F233E"/>
    <w:rsid w:val="00A024AB"/>
    <w:rsid w:val="00A044F0"/>
    <w:rsid w:val="00A050A5"/>
    <w:rsid w:val="00A05B8B"/>
    <w:rsid w:val="00A1372F"/>
    <w:rsid w:val="00A170EC"/>
    <w:rsid w:val="00A217B3"/>
    <w:rsid w:val="00A23D04"/>
    <w:rsid w:val="00A277D9"/>
    <w:rsid w:val="00A30CEB"/>
    <w:rsid w:val="00A31318"/>
    <w:rsid w:val="00A5432A"/>
    <w:rsid w:val="00A55F8A"/>
    <w:rsid w:val="00A9670E"/>
    <w:rsid w:val="00AA1423"/>
    <w:rsid w:val="00AB7996"/>
    <w:rsid w:val="00AC43C3"/>
    <w:rsid w:val="00AC79E5"/>
    <w:rsid w:val="00AE02F0"/>
    <w:rsid w:val="00AE2EAD"/>
    <w:rsid w:val="00AF77BE"/>
    <w:rsid w:val="00B10986"/>
    <w:rsid w:val="00B11CEE"/>
    <w:rsid w:val="00B23428"/>
    <w:rsid w:val="00B264BF"/>
    <w:rsid w:val="00B42E74"/>
    <w:rsid w:val="00B46874"/>
    <w:rsid w:val="00B50E8F"/>
    <w:rsid w:val="00B51151"/>
    <w:rsid w:val="00B523E4"/>
    <w:rsid w:val="00B52B4F"/>
    <w:rsid w:val="00B6108C"/>
    <w:rsid w:val="00B649AD"/>
    <w:rsid w:val="00B64B9C"/>
    <w:rsid w:val="00B67A3E"/>
    <w:rsid w:val="00B735CC"/>
    <w:rsid w:val="00B82C95"/>
    <w:rsid w:val="00B83F87"/>
    <w:rsid w:val="00B84DFD"/>
    <w:rsid w:val="00BB4E38"/>
    <w:rsid w:val="00BC3879"/>
    <w:rsid w:val="00BD0E0D"/>
    <w:rsid w:val="00BD41BC"/>
    <w:rsid w:val="00BD55AD"/>
    <w:rsid w:val="00BE0305"/>
    <w:rsid w:val="00BF15F0"/>
    <w:rsid w:val="00BF7DF9"/>
    <w:rsid w:val="00C03559"/>
    <w:rsid w:val="00C05395"/>
    <w:rsid w:val="00C22AD7"/>
    <w:rsid w:val="00C272C1"/>
    <w:rsid w:val="00C32A68"/>
    <w:rsid w:val="00C34282"/>
    <w:rsid w:val="00C35350"/>
    <w:rsid w:val="00C3564B"/>
    <w:rsid w:val="00C53721"/>
    <w:rsid w:val="00C64D2E"/>
    <w:rsid w:val="00C70F97"/>
    <w:rsid w:val="00C7497C"/>
    <w:rsid w:val="00C757A2"/>
    <w:rsid w:val="00C75966"/>
    <w:rsid w:val="00C76577"/>
    <w:rsid w:val="00C80225"/>
    <w:rsid w:val="00C81349"/>
    <w:rsid w:val="00C93139"/>
    <w:rsid w:val="00CA08A0"/>
    <w:rsid w:val="00CA2998"/>
    <w:rsid w:val="00CA32D2"/>
    <w:rsid w:val="00CA4E07"/>
    <w:rsid w:val="00CA737D"/>
    <w:rsid w:val="00CB1EF5"/>
    <w:rsid w:val="00CC05D4"/>
    <w:rsid w:val="00CC7166"/>
    <w:rsid w:val="00CF5275"/>
    <w:rsid w:val="00CF6136"/>
    <w:rsid w:val="00D0023D"/>
    <w:rsid w:val="00D006C6"/>
    <w:rsid w:val="00D136B4"/>
    <w:rsid w:val="00D14A65"/>
    <w:rsid w:val="00D162B9"/>
    <w:rsid w:val="00D251E2"/>
    <w:rsid w:val="00D254F4"/>
    <w:rsid w:val="00D263A7"/>
    <w:rsid w:val="00D26B5D"/>
    <w:rsid w:val="00D33159"/>
    <w:rsid w:val="00D33A19"/>
    <w:rsid w:val="00D355B5"/>
    <w:rsid w:val="00D43DC3"/>
    <w:rsid w:val="00D51791"/>
    <w:rsid w:val="00D5281E"/>
    <w:rsid w:val="00D6531B"/>
    <w:rsid w:val="00D6612D"/>
    <w:rsid w:val="00D71AD9"/>
    <w:rsid w:val="00D73C02"/>
    <w:rsid w:val="00D872ED"/>
    <w:rsid w:val="00D913C6"/>
    <w:rsid w:val="00DA0236"/>
    <w:rsid w:val="00DA5D51"/>
    <w:rsid w:val="00DA5E29"/>
    <w:rsid w:val="00DA61CA"/>
    <w:rsid w:val="00DB66BB"/>
    <w:rsid w:val="00DB73AF"/>
    <w:rsid w:val="00DC2865"/>
    <w:rsid w:val="00DD0894"/>
    <w:rsid w:val="00DE1888"/>
    <w:rsid w:val="00DF1250"/>
    <w:rsid w:val="00DF6EF7"/>
    <w:rsid w:val="00E05454"/>
    <w:rsid w:val="00E074C3"/>
    <w:rsid w:val="00E23329"/>
    <w:rsid w:val="00E24D6D"/>
    <w:rsid w:val="00E341B2"/>
    <w:rsid w:val="00E42633"/>
    <w:rsid w:val="00E5699E"/>
    <w:rsid w:val="00E570E1"/>
    <w:rsid w:val="00E72773"/>
    <w:rsid w:val="00E76739"/>
    <w:rsid w:val="00E81946"/>
    <w:rsid w:val="00E82BB7"/>
    <w:rsid w:val="00E86D13"/>
    <w:rsid w:val="00E936C2"/>
    <w:rsid w:val="00E95346"/>
    <w:rsid w:val="00EA0CEF"/>
    <w:rsid w:val="00EA2E2A"/>
    <w:rsid w:val="00EB79D2"/>
    <w:rsid w:val="00EC0174"/>
    <w:rsid w:val="00ED3EEB"/>
    <w:rsid w:val="00ED5749"/>
    <w:rsid w:val="00ED5FA3"/>
    <w:rsid w:val="00ED68C4"/>
    <w:rsid w:val="00ED6A4E"/>
    <w:rsid w:val="00ED72EA"/>
    <w:rsid w:val="00EE36BF"/>
    <w:rsid w:val="00EE3A4F"/>
    <w:rsid w:val="00EF10C3"/>
    <w:rsid w:val="00EF3BD2"/>
    <w:rsid w:val="00F16BCE"/>
    <w:rsid w:val="00F35433"/>
    <w:rsid w:val="00F35EAE"/>
    <w:rsid w:val="00F45DA1"/>
    <w:rsid w:val="00F5267B"/>
    <w:rsid w:val="00F53E8B"/>
    <w:rsid w:val="00F663FD"/>
    <w:rsid w:val="00F743B0"/>
    <w:rsid w:val="00F82409"/>
    <w:rsid w:val="00F8264F"/>
    <w:rsid w:val="00F833E9"/>
    <w:rsid w:val="00F84580"/>
    <w:rsid w:val="00F873DA"/>
    <w:rsid w:val="00F9167D"/>
    <w:rsid w:val="00F95982"/>
    <w:rsid w:val="00FA006C"/>
    <w:rsid w:val="00FA190E"/>
    <w:rsid w:val="00FA288B"/>
    <w:rsid w:val="00FA2997"/>
    <w:rsid w:val="00FA2C71"/>
    <w:rsid w:val="00FB3345"/>
    <w:rsid w:val="00FD0228"/>
    <w:rsid w:val="00FD3BB7"/>
    <w:rsid w:val="00FE0D93"/>
    <w:rsid w:val="00FF2572"/>
    <w:rsid w:val="00FF32AD"/>
    <w:rsid w:val="06887ECC"/>
    <w:rsid w:val="06CB70A0"/>
    <w:rsid w:val="07123720"/>
    <w:rsid w:val="0DC31556"/>
    <w:rsid w:val="1C013801"/>
    <w:rsid w:val="24C77F15"/>
    <w:rsid w:val="2D527252"/>
    <w:rsid w:val="2EDF4302"/>
    <w:rsid w:val="3EF82DB1"/>
    <w:rsid w:val="3FB82F15"/>
    <w:rsid w:val="47550EBA"/>
    <w:rsid w:val="6636451A"/>
    <w:rsid w:val="70540886"/>
    <w:rsid w:val="71397E03"/>
    <w:rsid w:val="7A9314AC"/>
    <w:rsid w:val="7C631402"/>
    <w:rsid w:val="7E14077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nhideWhenUsed="0" w:uiPriority="99"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ocument Map"/>
    <w:basedOn w:val="1"/>
    <w:link w:val="10"/>
    <w:semiHidden/>
    <w:uiPriority w:val="99"/>
    <w:rPr>
      <w:rFonts w:ascii="宋体" w:eastAsia="宋体" w:cs="宋体"/>
      <w:sz w:val="18"/>
      <w:szCs w:val="18"/>
    </w:rPr>
  </w:style>
  <w:style w:type="paragraph" w:styleId="3">
    <w:name w:val="Balloon Text"/>
    <w:basedOn w:val="1"/>
    <w:link w:val="11"/>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rFonts w:eastAsia="宋体"/>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rFonts w:eastAsia="宋体"/>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uiPriority w:val="99"/>
  </w:style>
  <w:style w:type="character" w:customStyle="1" w:styleId="10">
    <w:name w:val="文档结构图 Char"/>
    <w:link w:val="2"/>
    <w:qFormat/>
    <w:locked/>
    <w:uiPriority w:val="99"/>
    <w:rPr>
      <w:rFonts w:ascii="宋体" w:cs="宋体"/>
      <w:kern w:val="2"/>
      <w:sz w:val="18"/>
      <w:szCs w:val="18"/>
    </w:rPr>
  </w:style>
  <w:style w:type="character" w:customStyle="1" w:styleId="11">
    <w:name w:val="批注框文本 Char"/>
    <w:link w:val="3"/>
    <w:semiHidden/>
    <w:qFormat/>
    <w:locked/>
    <w:uiPriority w:val="99"/>
    <w:rPr>
      <w:rFonts w:eastAsia="仿宋_GB2312"/>
      <w:sz w:val="2"/>
      <w:szCs w:val="2"/>
    </w:rPr>
  </w:style>
  <w:style w:type="character" w:customStyle="1" w:styleId="12">
    <w:name w:val="页脚 Char"/>
    <w:link w:val="4"/>
    <w:qFormat/>
    <w:locked/>
    <w:uiPriority w:val="99"/>
    <w:rPr>
      <w:kern w:val="2"/>
      <w:sz w:val="18"/>
      <w:szCs w:val="18"/>
    </w:rPr>
  </w:style>
  <w:style w:type="character" w:customStyle="1" w:styleId="13">
    <w:name w:val="页眉 Char"/>
    <w:link w:val="5"/>
    <w:semiHidden/>
    <w:qFormat/>
    <w:locked/>
    <w:uiPriority w:val="99"/>
    <w:rPr>
      <w:rFonts w:eastAsia="仿宋_GB2312"/>
      <w:sz w:val="18"/>
      <w:szCs w:val="18"/>
    </w:rPr>
  </w:style>
  <w:style w:type="paragraph" w:customStyle="1" w:styleId="14">
    <w:name w:val="四号正文"/>
    <w:basedOn w:val="1"/>
    <w:link w:val="15"/>
    <w:qFormat/>
    <w:uiPriority w:val="99"/>
    <w:pPr>
      <w:spacing w:line="360" w:lineRule="auto"/>
    </w:pPr>
    <w:rPr>
      <w:rFonts w:ascii="??" w:hAnsi="??" w:eastAsia="宋体" w:cs="??"/>
      <w:color w:val="000000"/>
      <w:kern w:val="0"/>
      <w:sz w:val="28"/>
      <w:szCs w:val="28"/>
    </w:rPr>
  </w:style>
  <w:style w:type="character" w:customStyle="1" w:styleId="15">
    <w:name w:val="四号正文 Char"/>
    <w:link w:val="14"/>
    <w:qFormat/>
    <w:locked/>
    <w:uiPriority w:val="99"/>
    <w:rPr>
      <w:rFonts w:ascii="??" w:hAnsi="??" w:eastAsia="宋体" w:cs="??"/>
      <w:color w:val="000000"/>
      <w:sz w:val="21"/>
      <w:szCs w:val="21"/>
      <w:lang w:val="en-US" w:eastAsia="zh-CN"/>
    </w:rPr>
  </w:style>
  <w:style w:type="paragraph" w:customStyle="1" w:styleId="16">
    <w:name w:val="a"/>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7">
    <w:name w:val="font51"/>
    <w:basedOn w:val="8"/>
    <w:qFormat/>
    <w:uiPriority w:val="0"/>
    <w:rPr>
      <w:rFonts w:hint="eastAsia" w:ascii="宋体" w:hAnsi="宋体" w:eastAsia="宋体" w:cs="宋体"/>
      <w:b/>
      <w:color w:val="000000"/>
      <w:sz w:val="32"/>
      <w:szCs w:val="32"/>
      <w:u w:val="none"/>
    </w:rPr>
  </w:style>
  <w:style w:type="character" w:customStyle="1" w:styleId="18">
    <w:name w:val="font71"/>
    <w:basedOn w:val="8"/>
    <w:uiPriority w:val="0"/>
    <w:rPr>
      <w:rFonts w:hint="eastAsia" w:ascii="宋体" w:hAnsi="宋体" w:eastAsia="宋体" w:cs="宋体"/>
      <w:color w:val="000000"/>
      <w:sz w:val="18"/>
      <w:szCs w:val="18"/>
      <w:u w:val="none"/>
    </w:rPr>
  </w:style>
  <w:style w:type="character" w:customStyle="1" w:styleId="19">
    <w:name w:val="font61"/>
    <w:basedOn w:val="8"/>
    <w:uiPriority w:val="0"/>
    <w:rPr>
      <w:rFonts w:hint="default" w:ascii="Tahoma" w:hAnsi="Tahoma" w:eastAsia="Tahoma" w:cs="Tahoma"/>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PSZX</Company>
  <Pages>1</Pages>
  <Words>42</Words>
  <Characters>241</Characters>
  <Lines>2</Lines>
  <Paragraphs>1</Paragraphs>
  <TotalTime>7</TotalTime>
  <ScaleCrop>false</ScaleCrop>
  <LinksUpToDate>false</LinksUpToDate>
  <CharactersWithSpaces>282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2021-06-07T07:41:00Z</dcterms:created>
  <dc:creator>陈萍</dc:creator>
  <cp:lastModifiedBy>方竹</cp:lastModifiedBy>
  <cp:lastPrinted>2021-03-22T06:51:00Z</cp:lastPrinted>
  <dcterms:modified xsi:type="dcterms:W3CDTF">2021-07-13T04:00:24Z</dcterms:modified>
  <dc:title>区域性就业培训基地建设项目</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