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B41" w:rsidRDefault="00506C02">
      <w:pPr>
        <w:widowControl/>
        <w:spacing w:line="580" w:lineRule="exact"/>
        <w:jc w:val="center"/>
        <w:rPr>
          <w:rFonts w:ascii="宋体" w:eastAsia="宋体" w:hAnsi="宋体"/>
          <w:b/>
          <w:bCs/>
          <w:sz w:val="44"/>
          <w:szCs w:val="44"/>
          <w:shd w:val="clear" w:color="auto" w:fill="FFFFFF"/>
        </w:rPr>
      </w:pPr>
      <w:r>
        <w:rPr>
          <w:rFonts w:ascii="宋体" w:eastAsia="宋体" w:hAnsi="宋体" w:hint="eastAsia"/>
          <w:b/>
          <w:bCs/>
          <w:sz w:val="44"/>
          <w:szCs w:val="44"/>
          <w:shd w:val="clear" w:color="auto" w:fill="FFFFFF"/>
        </w:rPr>
        <w:t>广汉市第四幼儿园</w:t>
      </w:r>
    </w:p>
    <w:p w:rsidR="00DD3B41" w:rsidRDefault="002F1843">
      <w:pPr>
        <w:widowControl/>
        <w:spacing w:line="580" w:lineRule="exact"/>
        <w:jc w:val="center"/>
        <w:rPr>
          <w:rFonts w:ascii="方正小标宋简体" w:eastAsia="方正小标宋简体" w:hAnsi="宋体"/>
          <w:bCs/>
          <w:sz w:val="44"/>
          <w:szCs w:val="44"/>
          <w:shd w:val="clear" w:color="auto" w:fill="FFFFFF"/>
        </w:rPr>
      </w:pPr>
      <w:r>
        <w:rPr>
          <w:rFonts w:ascii="方正小标宋简体" w:eastAsia="方正小标宋简体" w:hAnsi="宋体" w:cs="宋体" w:hint="eastAsia"/>
          <w:bCs/>
          <w:sz w:val="44"/>
          <w:szCs w:val="44"/>
          <w:shd w:val="clear" w:color="auto" w:fill="FFFFFF"/>
        </w:rPr>
        <w:t>2020年</w:t>
      </w:r>
      <w:r w:rsidR="006A7F6C">
        <w:rPr>
          <w:rFonts w:ascii="方正小标宋简体" w:eastAsia="方正小标宋简体" w:hAnsi="宋体" w:cs="宋体" w:hint="eastAsia"/>
          <w:bCs/>
          <w:sz w:val="44"/>
          <w:szCs w:val="44"/>
          <w:shd w:val="clear" w:color="auto" w:fill="FFFFFF"/>
        </w:rPr>
        <w:t>市级部门整体支出绩效评价报告</w:t>
      </w:r>
    </w:p>
    <w:p w:rsidR="00DD3B41" w:rsidRDefault="006A7F6C">
      <w:pPr>
        <w:widowControl/>
        <w:shd w:val="clear" w:color="auto" w:fill="FFFFFF"/>
        <w:spacing w:line="360" w:lineRule="auto"/>
        <w:ind w:firstLineChars="200" w:firstLine="560"/>
        <w:jc w:val="left"/>
        <w:rPr>
          <w:rFonts w:ascii="仿宋_GB2312"/>
          <w:kern w:val="0"/>
          <w:sz w:val="28"/>
          <w:szCs w:val="28"/>
        </w:rPr>
      </w:pPr>
      <w:r>
        <w:rPr>
          <w:rFonts w:ascii="仿宋_GB2312" w:hint="eastAsia"/>
          <w:kern w:val="0"/>
          <w:sz w:val="28"/>
          <w:szCs w:val="28"/>
        </w:rPr>
        <w:t>为确实做好2020年度部门整体支出绩效自评工作，提高财政资金使用效益，根据《广汉市财政局关于开展</w:t>
      </w:r>
      <w:r w:rsidR="002F1843">
        <w:rPr>
          <w:rFonts w:ascii="仿宋_GB2312" w:hint="eastAsia"/>
          <w:kern w:val="0"/>
          <w:sz w:val="28"/>
          <w:szCs w:val="28"/>
        </w:rPr>
        <w:t>2020年</w:t>
      </w:r>
      <w:r>
        <w:rPr>
          <w:rFonts w:ascii="仿宋_GB2312" w:hint="eastAsia"/>
          <w:kern w:val="0"/>
          <w:sz w:val="28"/>
          <w:szCs w:val="28"/>
        </w:rPr>
        <w:t>财政支出绩效评价工作的通知》文件精神，结合实际，我单位组织成立了绩效评价工作小组，评价小组采取座谈等方式听取情况，检查基本支出、项目支出有关账目，收集整理支出相关资料，并根据各部门报送的绩效自评材料进行分析、总结，现将我单位整体支出绩效自评结果报告如下：</w:t>
      </w:r>
    </w:p>
    <w:p w:rsidR="00DD3B41" w:rsidRDefault="006A7F6C">
      <w:pPr>
        <w:widowControl/>
        <w:adjustRightInd w:val="0"/>
        <w:snapToGrid w:val="0"/>
        <w:spacing w:line="580" w:lineRule="exact"/>
        <w:ind w:firstLineChars="200" w:firstLine="640"/>
        <w:jc w:val="left"/>
        <w:rPr>
          <w:rFonts w:ascii="黑体" w:eastAsia="黑体" w:hAnsi="宋体"/>
          <w:color w:val="000000"/>
          <w:kern w:val="0"/>
          <w:shd w:val="clear" w:color="auto" w:fill="FFFFFF"/>
          <w:lang w:val="zh-CN"/>
        </w:rPr>
      </w:pPr>
      <w:r>
        <w:rPr>
          <w:rFonts w:ascii="黑体" w:eastAsia="黑体" w:hAnsi="宋体" w:cs="黑体" w:hint="eastAsia"/>
          <w:color w:val="000000"/>
          <w:kern w:val="0"/>
          <w:shd w:val="clear" w:color="auto" w:fill="FFFFFF"/>
        </w:rPr>
        <w:t>一、</w:t>
      </w:r>
      <w:r>
        <w:rPr>
          <w:rFonts w:ascii="黑体" w:eastAsia="黑体" w:hAnsi="宋体" w:cs="黑体" w:hint="eastAsia"/>
          <w:color w:val="000000"/>
          <w:kern w:val="0"/>
          <w:shd w:val="clear" w:color="auto" w:fill="FFFFFF"/>
          <w:lang w:val="zh-CN"/>
        </w:rPr>
        <w:t>部门（单位）概况</w:t>
      </w:r>
    </w:p>
    <w:p w:rsidR="00DD3B41" w:rsidRDefault="006A7F6C">
      <w:pPr>
        <w:widowControl/>
        <w:adjustRightInd w:val="0"/>
        <w:snapToGrid w:val="0"/>
        <w:spacing w:line="580" w:lineRule="exact"/>
        <w:ind w:firstLineChars="200" w:firstLine="640"/>
        <w:jc w:val="left"/>
        <w:rPr>
          <w:rFonts w:ascii="楷体_GB2312" w:eastAsia="楷体_GB2312" w:hAnsi="宋体"/>
          <w:color w:val="000000"/>
          <w:kern w:val="0"/>
          <w:shd w:val="clear" w:color="auto" w:fill="FFFFFF"/>
          <w:lang w:val="zh-CN"/>
        </w:rPr>
      </w:pPr>
      <w:r>
        <w:rPr>
          <w:rFonts w:ascii="楷体_GB2312" w:eastAsia="楷体_GB2312" w:hAnsi="宋体" w:cs="仿宋_GB2312" w:hint="eastAsia"/>
          <w:color w:val="000000"/>
          <w:kern w:val="0"/>
          <w:shd w:val="clear" w:color="auto" w:fill="FFFFFF"/>
          <w:lang w:val="zh-CN"/>
        </w:rPr>
        <w:t>（一）机构组成。</w:t>
      </w:r>
    </w:p>
    <w:p w:rsidR="00DD3B41" w:rsidRDefault="00506C02">
      <w:pPr>
        <w:widowControl/>
        <w:shd w:val="clear" w:color="auto" w:fill="FFFFFF"/>
        <w:spacing w:line="360" w:lineRule="auto"/>
        <w:ind w:firstLineChars="200" w:firstLine="560"/>
        <w:jc w:val="left"/>
        <w:rPr>
          <w:rFonts w:ascii="楷体_GB2312" w:eastAsia="楷体_GB2312"/>
          <w:kern w:val="0"/>
          <w:sz w:val="28"/>
          <w:szCs w:val="28"/>
        </w:rPr>
      </w:pPr>
      <w:r>
        <w:rPr>
          <w:rFonts w:ascii="仿宋_GB2312" w:hint="eastAsia"/>
          <w:kern w:val="0"/>
          <w:sz w:val="28"/>
          <w:szCs w:val="28"/>
        </w:rPr>
        <w:t>广汉市第四幼儿园</w:t>
      </w:r>
      <w:r w:rsidR="006A7F6C">
        <w:rPr>
          <w:rFonts w:ascii="仿宋_GB2312" w:hint="eastAsia"/>
          <w:kern w:val="0"/>
          <w:sz w:val="28"/>
          <w:szCs w:val="28"/>
        </w:rPr>
        <w:t>是独立法人资格的事业单位，人员编制3</w:t>
      </w:r>
      <w:r w:rsidR="003206B0">
        <w:rPr>
          <w:rFonts w:ascii="仿宋_GB2312" w:hint="eastAsia"/>
          <w:kern w:val="0"/>
          <w:sz w:val="28"/>
          <w:szCs w:val="28"/>
        </w:rPr>
        <w:t>6</w:t>
      </w:r>
      <w:r w:rsidR="006A7F6C">
        <w:rPr>
          <w:rFonts w:ascii="仿宋_GB2312" w:hint="eastAsia"/>
          <w:kern w:val="0"/>
          <w:sz w:val="28"/>
          <w:szCs w:val="28"/>
        </w:rPr>
        <w:t>人。工作上接受广汉市教育局直接领导</w:t>
      </w:r>
      <w:r w:rsidR="003206B0">
        <w:rPr>
          <w:rFonts w:ascii="仿宋_GB2312" w:hint="eastAsia"/>
          <w:kern w:val="0"/>
          <w:sz w:val="28"/>
          <w:szCs w:val="28"/>
        </w:rPr>
        <w:t>。</w:t>
      </w:r>
    </w:p>
    <w:p w:rsidR="00DD3B41" w:rsidRDefault="006A7F6C">
      <w:pPr>
        <w:widowControl/>
        <w:adjustRightInd w:val="0"/>
        <w:snapToGrid w:val="0"/>
        <w:spacing w:line="580" w:lineRule="exact"/>
        <w:ind w:firstLineChars="200" w:firstLine="640"/>
        <w:jc w:val="left"/>
        <w:rPr>
          <w:rFonts w:ascii="楷体_GB2312" w:eastAsia="楷体_GB2312" w:hAnsi="宋体"/>
          <w:color w:val="000000"/>
          <w:kern w:val="0"/>
          <w:shd w:val="clear" w:color="auto" w:fill="FFFFFF"/>
          <w:lang w:val="zh-CN"/>
        </w:rPr>
      </w:pPr>
      <w:r>
        <w:rPr>
          <w:rFonts w:ascii="楷体_GB2312" w:eastAsia="楷体_GB2312" w:hAnsi="宋体" w:cs="仿宋_GB2312" w:hint="eastAsia"/>
          <w:color w:val="000000"/>
          <w:kern w:val="0"/>
          <w:shd w:val="clear" w:color="auto" w:fill="FFFFFF"/>
          <w:lang w:val="zh-CN"/>
        </w:rPr>
        <w:t>（</w:t>
      </w:r>
      <w:r w:rsidR="003206B0">
        <w:rPr>
          <w:rFonts w:ascii="楷体_GB2312" w:eastAsia="楷体_GB2312" w:hAnsi="宋体" w:cs="仿宋_GB2312" w:hint="eastAsia"/>
          <w:color w:val="000000"/>
          <w:kern w:val="0"/>
          <w:shd w:val="clear" w:color="auto" w:fill="FFFFFF"/>
          <w:lang w:val="zh-CN"/>
        </w:rPr>
        <w:t>二</w:t>
      </w:r>
      <w:r>
        <w:rPr>
          <w:rFonts w:ascii="楷体_GB2312" w:eastAsia="楷体_GB2312" w:hAnsi="宋体" w:cs="仿宋_GB2312" w:hint="eastAsia"/>
          <w:color w:val="000000"/>
          <w:kern w:val="0"/>
          <w:shd w:val="clear" w:color="auto" w:fill="FFFFFF"/>
          <w:lang w:val="zh-CN"/>
        </w:rPr>
        <w:t>）人员概况。</w:t>
      </w:r>
    </w:p>
    <w:p w:rsidR="00DD3B41" w:rsidRDefault="006A7F6C">
      <w:pPr>
        <w:widowControl/>
        <w:adjustRightInd w:val="0"/>
        <w:snapToGrid w:val="0"/>
        <w:spacing w:line="580" w:lineRule="exact"/>
        <w:ind w:firstLineChars="200" w:firstLine="560"/>
        <w:jc w:val="left"/>
        <w:rPr>
          <w:rFonts w:ascii="仿宋_GB2312"/>
          <w:kern w:val="0"/>
          <w:sz w:val="28"/>
          <w:szCs w:val="28"/>
        </w:rPr>
      </w:pPr>
      <w:r>
        <w:rPr>
          <w:rFonts w:ascii="仿宋_GB2312" w:hint="eastAsia"/>
          <w:kern w:val="0"/>
          <w:sz w:val="28"/>
          <w:szCs w:val="28"/>
        </w:rPr>
        <w:t>截止2020年底，有</w:t>
      </w:r>
      <w:r w:rsidR="003206B0">
        <w:rPr>
          <w:rFonts w:ascii="仿宋_GB2312" w:hint="eastAsia"/>
          <w:kern w:val="0"/>
          <w:sz w:val="28"/>
          <w:szCs w:val="28"/>
        </w:rPr>
        <w:t>正式</w:t>
      </w:r>
      <w:r>
        <w:rPr>
          <w:rFonts w:ascii="仿宋_GB2312" w:hint="eastAsia"/>
          <w:kern w:val="0"/>
          <w:sz w:val="28"/>
          <w:szCs w:val="28"/>
        </w:rPr>
        <w:t>教职工3</w:t>
      </w:r>
      <w:r w:rsidR="00506C02">
        <w:rPr>
          <w:rFonts w:ascii="仿宋_GB2312" w:hint="eastAsia"/>
          <w:kern w:val="0"/>
          <w:sz w:val="28"/>
          <w:szCs w:val="28"/>
        </w:rPr>
        <w:t>9</w:t>
      </w:r>
      <w:r>
        <w:rPr>
          <w:rFonts w:ascii="仿宋_GB2312" w:hint="eastAsia"/>
          <w:kern w:val="0"/>
          <w:sz w:val="28"/>
          <w:szCs w:val="28"/>
        </w:rPr>
        <w:t>人，其中专业技术人员</w:t>
      </w:r>
      <w:r w:rsidR="00506C02">
        <w:rPr>
          <w:rFonts w:ascii="仿宋_GB2312" w:hint="eastAsia"/>
          <w:kern w:val="0"/>
          <w:sz w:val="28"/>
          <w:szCs w:val="28"/>
        </w:rPr>
        <w:t>37</w:t>
      </w:r>
      <w:r>
        <w:rPr>
          <w:rFonts w:ascii="仿宋_GB2312" w:hint="eastAsia"/>
          <w:kern w:val="0"/>
          <w:sz w:val="28"/>
          <w:szCs w:val="28"/>
        </w:rPr>
        <w:t>人，工勤人员</w:t>
      </w:r>
      <w:r w:rsidR="00506C02">
        <w:rPr>
          <w:rFonts w:ascii="仿宋_GB2312" w:hint="eastAsia"/>
          <w:kern w:val="0"/>
          <w:sz w:val="28"/>
          <w:szCs w:val="28"/>
        </w:rPr>
        <w:t>2</w:t>
      </w:r>
      <w:r>
        <w:rPr>
          <w:rFonts w:ascii="仿宋_GB2312" w:hint="eastAsia"/>
          <w:kern w:val="0"/>
          <w:sz w:val="28"/>
          <w:szCs w:val="28"/>
        </w:rPr>
        <w:t>人</w:t>
      </w:r>
      <w:r w:rsidR="003206B0">
        <w:rPr>
          <w:rFonts w:ascii="仿宋_GB2312" w:hint="eastAsia"/>
          <w:kern w:val="0"/>
          <w:sz w:val="28"/>
          <w:szCs w:val="28"/>
        </w:rPr>
        <w:t>；</w:t>
      </w:r>
      <w:r>
        <w:rPr>
          <w:rFonts w:ascii="仿宋_GB2312" w:hint="eastAsia"/>
          <w:kern w:val="0"/>
          <w:sz w:val="28"/>
          <w:szCs w:val="28"/>
        </w:rPr>
        <w:t>临聘人员</w:t>
      </w:r>
      <w:r w:rsidR="00506C02">
        <w:rPr>
          <w:rFonts w:ascii="仿宋_GB2312" w:hint="eastAsia"/>
          <w:kern w:val="0"/>
          <w:sz w:val="28"/>
          <w:szCs w:val="28"/>
        </w:rPr>
        <w:t>20</w:t>
      </w:r>
      <w:r>
        <w:rPr>
          <w:rFonts w:ascii="仿宋_GB2312" w:hint="eastAsia"/>
          <w:kern w:val="0"/>
          <w:sz w:val="28"/>
          <w:szCs w:val="28"/>
        </w:rPr>
        <w:t>人。</w:t>
      </w:r>
    </w:p>
    <w:p w:rsidR="00DD3B41" w:rsidRDefault="006A7F6C">
      <w:pPr>
        <w:widowControl/>
        <w:adjustRightInd w:val="0"/>
        <w:snapToGrid w:val="0"/>
        <w:spacing w:line="580" w:lineRule="exact"/>
        <w:ind w:firstLineChars="200" w:firstLine="640"/>
        <w:jc w:val="left"/>
        <w:rPr>
          <w:rFonts w:ascii="黑体" w:eastAsia="黑体" w:hAnsi="宋体"/>
          <w:color w:val="000000"/>
          <w:kern w:val="0"/>
          <w:shd w:val="clear" w:color="auto" w:fill="FFFFFF"/>
        </w:rPr>
      </w:pPr>
      <w:r>
        <w:rPr>
          <w:rFonts w:ascii="黑体" w:eastAsia="黑体" w:hAnsi="宋体" w:cs="黑体" w:hint="eastAsia"/>
          <w:color w:val="000000"/>
          <w:kern w:val="0"/>
          <w:shd w:val="clear" w:color="auto" w:fill="FFFFFF"/>
        </w:rPr>
        <w:t>二、部门财政资金收支情况</w:t>
      </w:r>
    </w:p>
    <w:p w:rsidR="00DD3B41" w:rsidRDefault="006A7F6C">
      <w:pPr>
        <w:widowControl/>
        <w:adjustRightInd w:val="0"/>
        <w:snapToGrid w:val="0"/>
        <w:spacing w:line="580" w:lineRule="exact"/>
        <w:ind w:firstLineChars="200" w:firstLine="640"/>
        <w:jc w:val="left"/>
        <w:rPr>
          <w:rFonts w:ascii="楷体_GB2312" w:eastAsia="楷体_GB2312" w:hAnsi="宋体" w:cs="仿宋_GB2312"/>
          <w:color w:val="000000"/>
          <w:kern w:val="0"/>
          <w:shd w:val="clear" w:color="auto" w:fill="FFFFFF"/>
          <w:lang w:val="zh-CN"/>
        </w:rPr>
      </w:pPr>
      <w:r>
        <w:rPr>
          <w:rFonts w:ascii="楷体_GB2312" w:eastAsia="楷体_GB2312" w:hAnsi="宋体" w:cs="仿宋_GB2312" w:hint="eastAsia"/>
          <w:color w:val="000000"/>
          <w:kern w:val="0"/>
          <w:shd w:val="clear" w:color="auto" w:fill="FFFFFF"/>
          <w:lang w:val="zh-CN"/>
        </w:rPr>
        <w:t>（一）部门财政资金收入情况。</w:t>
      </w:r>
    </w:p>
    <w:p w:rsidR="00DD3B41" w:rsidRPr="00C142BC" w:rsidRDefault="006A7F6C" w:rsidP="00C142BC">
      <w:pPr>
        <w:widowControl/>
        <w:adjustRightInd w:val="0"/>
        <w:snapToGrid w:val="0"/>
        <w:spacing w:line="580" w:lineRule="exact"/>
        <w:ind w:firstLineChars="200" w:firstLine="560"/>
        <w:jc w:val="left"/>
        <w:rPr>
          <w:rFonts w:ascii="仿宋_GB2312"/>
          <w:kern w:val="0"/>
          <w:sz w:val="28"/>
          <w:szCs w:val="28"/>
        </w:rPr>
      </w:pPr>
      <w:r w:rsidRPr="00C142BC">
        <w:rPr>
          <w:rFonts w:ascii="仿宋_GB2312" w:hint="eastAsia"/>
          <w:kern w:val="0"/>
          <w:sz w:val="28"/>
          <w:szCs w:val="28"/>
        </w:rPr>
        <w:t>2020年一般公共预算收入</w:t>
      </w:r>
      <w:r w:rsidR="000F0250" w:rsidRPr="00C142BC">
        <w:rPr>
          <w:rFonts w:ascii="仿宋_GB2312"/>
          <w:kern w:val="0"/>
          <w:sz w:val="28"/>
          <w:szCs w:val="28"/>
        </w:rPr>
        <w:t>5,573,814.69</w:t>
      </w:r>
      <w:r w:rsidRPr="00C142BC">
        <w:rPr>
          <w:rFonts w:ascii="仿宋_GB2312" w:hint="eastAsia"/>
          <w:kern w:val="0"/>
          <w:sz w:val="28"/>
          <w:szCs w:val="28"/>
        </w:rPr>
        <w:t>元，其中教育基本支出</w:t>
      </w:r>
      <w:r w:rsidR="000F0250" w:rsidRPr="00C142BC">
        <w:rPr>
          <w:rFonts w:ascii="仿宋_GB2312"/>
          <w:kern w:val="0"/>
          <w:sz w:val="28"/>
          <w:szCs w:val="28"/>
        </w:rPr>
        <w:t>4,409,153.45</w:t>
      </w:r>
      <w:r w:rsidRPr="00C142BC">
        <w:rPr>
          <w:rFonts w:ascii="仿宋_GB2312" w:hint="eastAsia"/>
          <w:kern w:val="0"/>
          <w:sz w:val="28"/>
          <w:szCs w:val="28"/>
        </w:rPr>
        <w:t>元，社会保障就业支出</w:t>
      </w:r>
      <w:r w:rsidR="000F0250" w:rsidRPr="00C142BC">
        <w:rPr>
          <w:rFonts w:ascii="仿宋_GB2312"/>
          <w:kern w:val="0"/>
          <w:sz w:val="28"/>
          <w:szCs w:val="28"/>
        </w:rPr>
        <w:t>588,479.60</w:t>
      </w:r>
      <w:r w:rsidRPr="00C142BC">
        <w:rPr>
          <w:rFonts w:ascii="仿宋_GB2312" w:hint="eastAsia"/>
          <w:kern w:val="0"/>
          <w:sz w:val="28"/>
          <w:szCs w:val="28"/>
        </w:rPr>
        <w:t>元，卫生健康支出</w:t>
      </w:r>
      <w:r w:rsidR="000F0250" w:rsidRPr="00C142BC">
        <w:rPr>
          <w:rFonts w:ascii="仿宋_GB2312"/>
          <w:kern w:val="0"/>
          <w:sz w:val="28"/>
          <w:szCs w:val="28"/>
        </w:rPr>
        <w:t>201,849.64</w:t>
      </w:r>
      <w:r w:rsidRPr="00C142BC">
        <w:rPr>
          <w:rFonts w:ascii="仿宋_GB2312" w:hint="eastAsia"/>
          <w:kern w:val="0"/>
          <w:sz w:val="28"/>
          <w:szCs w:val="28"/>
        </w:rPr>
        <w:t>元，住房保障支出</w:t>
      </w:r>
      <w:r w:rsidR="000F0250" w:rsidRPr="00C142BC">
        <w:rPr>
          <w:rFonts w:ascii="仿宋_GB2312"/>
          <w:kern w:val="0"/>
          <w:sz w:val="28"/>
          <w:szCs w:val="28"/>
        </w:rPr>
        <w:t>374,332.00</w:t>
      </w:r>
      <w:r w:rsidRPr="00C142BC">
        <w:rPr>
          <w:rFonts w:ascii="仿宋_GB2312" w:hint="eastAsia"/>
          <w:kern w:val="0"/>
          <w:sz w:val="28"/>
          <w:szCs w:val="28"/>
        </w:rPr>
        <w:t>元。</w:t>
      </w:r>
    </w:p>
    <w:p w:rsidR="00DD3B41" w:rsidRDefault="006A7F6C">
      <w:pPr>
        <w:widowControl/>
        <w:numPr>
          <w:ilvl w:val="0"/>
          <w:numId w:val="1"/>
        </w:numPr>
        <w:adjustRightInd w:val="0"/>
        <w:snapToGrid w:val="0"/>
        <w:spacing w:line="580" w:lineRule="exact"/>
        <w:ind w:firstLineChars="200" w:firstLine="640"/>
        <w:jc w:val="left"/>
        <w:rPr>
          <w:rFonts w:ascii="楷体_GB2312" w:eastAsia="楷体_GB2312" w:hAnsi="宋体" w:cs="仿宋_GB2312"/>
          <w:color w:val="000000"/>
          <w:kern w:val="0"/>
          <w:shd w:val="clear" w:color="auto" w:fill="FFFFFF"/>
          <w:lang w:val="zh-CN"/>
        </w:rPr>
      </w:pPr>
      <w:r>
        <w:rPr>
          <w:rFonts w:ascii="楷体_GB2312" w:eastAsia="楷体_GB2312" w:hAnsi="宋体" w:cs="仿宋_GB2312" w:hint="eastAsia"/>
          <w:color w:val="000000"/>
          <w:kern w:val="0"/>
          <w:shd w:val="clear" w:color="auto" w:fill="FFFFFF"/>
          <w:lang w:val="zh-CN"/>
        </w:rPr>
        <w:t>部门财政资金支出情况。</w:t>
      </w:r>
    </w:p>
    <w:p w:rsidR="00DD3B41" w:rsidRPr="00C142BC" w:rsidRDefault="006A7F6C" w:rsidP="00C142BC">
      <w:pPr>
        <w:widowControl/>
        <w:adjustRightInd w:val="0"/>
        <w:snapToGrid w:val="0"/>
        <w:spacing w:line="580" w:lineRule="exact"/>
        <w:ind w:firstLineChars="200" w:firstLine="560"/>
        <w:jc w:val="left"/>
        <w:rPr>
          <w:rFonts w:ascii="仿宋_GB2312"/>
          <w:kern w:val="0"/>
          <w:sz w:val="28"/>
          <w:szCs w:val="28"/>
        </w:rPr>
      </w:pPr>
      <w:r w:rsidRPr="00C142BC">
        <w:rPr>
          <w:rFonts w:ascii="仿宋_GB2312" w:hint="eastAsia"/>
          <w:kern w:val="0"/>
          <w:sz w:val="28"/>
          <w:szCs w:val="28"/>
        </w:rPr>
        <w:t>2020年教职员工的工资福利支出</w:t>
      </w:r>
      <w:r w:rsidR="00D606C7" w:rsidRPr="00C142BC">
        <w:rPr>
          <w:rFonts w:ascii="仿宋_GB2312"/>
          <w:kern w:val="0"/>
          <w:sz w:val="28"/>
          <w:szCs w:val="28"/>
        </w:rPr>
        <w:t>3,727,766.29</w:t>
      </w:r>
      <w:r w:rsidRPr="00C142BC">
        <w:rPr>
          <w:rFonts w:ascii="仿宋_GB2312" w:hint="eastAsia"/>
          <w:kern w:val="0"/>
          <w:sz w:val="28"/>
          <w:szCs w:val="28"/>
        </w:rPr>
        <w:t>元。商品和服务制造出</w:t>
      </w:r>
      <w:r w:rsidR="00D606C7" w:rsidRPr="00C142BC">
        <w:rPr>
          <w:rFonts w:ascii="仿宋_GB2312"/>
          <w:kern w:val="0"/>
          <w:sz w:val="28"/>
          <w:szCs w:val="28"/>
        </w:rPr>
        <w:t>1,827,180.00</w:t>
      </w:r>
      <w:r w:rsidRPr="00C142BC">
        <w:rPr>
          <w:rFonts w:ascii="仿宋_GB2312" w:hint="eastAsia"/>
          <w:kern w:val="0"/>
          <w:sz w:val="28"/>
          <w:szCs w:val="28"/>
        </w:rPr>
        <w:t>元</w:t>
      </w:r>
      <w:r w:rsidR="003206B0" w:rsidRPr="00C142BC">
        <w:rPr>
          <w:rFonts w:ascii="仿宋_GB2312" w:hint="eastAsia"/>
          <w:kern w:val="0"/>
          <w:sz w:val="28"/>
          <w:szCs w:val="28"/>
        </w:rPr>
        <w:t>，对个人和家庭的补助支出</w:t>
      </w:r>
      <w:r w:rsidR="00D606C7" w:rsidRPr="00C142BC">
        <w:rPr>
          <w:rFonts w:ascii="仿宋_GB2312"/>
          <w:kern w:val="0"/>
          <w:sz w:val="28"/>
          <w:szCs w:val="28"/>
        </w:rPr>
        <w:t>10,108.40</w:t>
      </w:r>
      <w:r w:rsidR="003206B0" w:rsidRPr="00C142BC">
        <w:rPr>
          <w:rFonts w:ascii="仿宋_GB2312"/>
          <w:kern w:val="0"/>
          <w:sz w:val="28"/>
          <w:szCs w:val="28"/>
        </w:rPr>
        <w:t>元</w:t>
      </w:r>
      <w:r w:rsidR="003206B0" w:rsidRPr="00C142BC">
        <w:rPr>
          <w:rFonts w:ascii="仿宋_GB2312" w:hint="eastAsia"/>
          <w:kern w:val="0"/>
          <w:sz w:val="28"/>
          <w:szCs w:val="28"/>
        </w:rPr>
        <w:t>，</w:t>
      </w:r>
      <w:r w:rsidR="003206B0" w:rsidRPr="00C142BC">
        <w:rPr>
          <w:rFonts w:ascii="仿宋_GB2312"/>
          <w:kern w:val="0"/>
          <w:sz w:val="28"/>
          <w:szCs w:val="28"/>
        </w:rPr>
        <w:t>资本性支出</w:t>
      </w:r>
      <w:r w:rsidR="00D606C7" w:rsidRPr="00C142BC">
        <w:rPr>
          <w:rFonts w:ascii="仿宋_GB2312"/>
          <w:kern w:val="0"/>
          <w:sz w:val="28"/>
          <w:szCs w:val="28"/>
        </w:rPr>
        <w:t>8,760.00</w:t>
      </w:r>
      <w:r w:rsidR="003206B0" w:rsidRPr="00C142BC">
        <w:rPr>
          <w:rFonts w:ascii="仿宋_GB2312"/>
          <w:kern w:val="0"/>
          <w:sz w:val="28"/>
          <w:szCs w:val="28"/>
        </w:rPr>
        <w:t>元</w:t>
      </w:r>
      <w:r w:rsidR="003206B0" w:rsidRPr="00C142BC">
        <w:rPr>
          <w:rFonts w:ascii="仿宋_GB2312" w:hint="eastAsia"/>
          <w:kern w:val="0"/>
          <w:sz w:val="28"/>
          <w:szCs w:val="28"/>
        </w:rPr>
        <w:t>。</w:t>
      </w:r>
      <w:r w:rsidRPr="00C142BC">
        <w:rPr>
          <w:rFonts w:ascii="仿宋_GB2312" w:hint="eastAsia"/>
          <w:kern w:val="0"/>
          <w:sz w:val="28"/>
          <w:szCs w:val="28"/>
        </w:rPr>
        <w:t>严格执行中央八项规定和省、市十项规定,厉行节约规范使用</w:t>
      </w:r>
      <w:r w:rsidRPr="00C142BC">
        <w:rPr>
          <w:rFonts w:ascii="仿宋_GB2312" w:hint="eastAsia"/>
          <w:kern w:val="0"/>
          <w:sz w:val="28"/>
          <w:szCs w:val="28"/>
        </w:rPr>
        <w:lastRenderedPageBreak/>
        <w:t>预算资金。在支出管理中, 认真执行国库集中支付、政府采购、公务卡报销、重点工作和大额支付上会集体决策等相关财务管理制度。认真做好每月与银行、财政国库科的对账工作，加强动态监控，保障学校各项工作顺利开展。</w:t>
      </w:r>
    </w:p>
    <w:p w:rsidR="00DD3B41" w:rsidRDefault="006A7F6C">
      <w:pPr>
        <w:widowControl/>
        <w:adjustRightInd w:val="0"/>
        <w:snapToGrid w:val="0"/>
        <w:spacing w:line="580" w:lineRule="exact"/>
        <w:ind w:firstLineChars="200" w:firstLine="640"/>
        <w:jc w:val="left"/>
        <w:rPr>
          <w:rFonts w:ascii="黑体" w:eastAsia="黑体" w:hAnsi="宋体"/>
          <w:color w:val="000000"/>
          <w:kern w:val="0"/>
          <w:shd w:val="clear" w:color="auto" w:fill="FFFFFF"/>
        </w:rPr>
      </w:pPr>
      <w:r>
        <w:rPr>
          <w:rFonts w:ascii="黑体" w:eastAsia="黑体" w:hAnsi="宋体" w:cs="黑体" w:hint="eastAsia"/>
          <w:color w:val="000000"/>
          <w:kern w:val="0"/>
          <w:shd w:val="clear" w:color="auto" w:fill="FFFFFF"/>
        </w:rPr>
        <w:t>三、部门整体预算绩效管理情况</w:t>
      </w:r>
    </w:p>
    <w:p w:rsidR="00DD3B41" w:rsidRDefault="006A7F6C">
      <w:pPr>
        <w:widowControl/>
        <w:adjustRightInd w:val="0"/>
        <w:snapToGrid w:val="0"/>
        <w:spacing w:line="580" w:lineRule="exact"/>
        <w:ind w:firstLineChars="200" w:firstLine="640"/>
        <w:jc w:val="left"/>
        <w:rPr>
          <w:rFonts w:ascii="楷体_GB2312" w:eastAsia="楷体_GB2312" w:hAnsi="宋体"/>
          <w:color w:val="000000"/>
          <w:kern w:val="0"/>
          <w:shd w:val="clear" w:color="auto" w:fill="FFFFFF"/>
          <w:lang w:val="zh-CN"/>
        </w:rPr>
      </w:pPr>
      <w:r>
        <w:rPr>
          <w:rFonts w:ascii="楷体_GB2312" w:eastAsia="楷体_GB2312" w:hAnsi="宋体" w:cs="仿宋_GB2312" w:hint="eastAsia"/>
          <w:color w:val="000000"/>
          <w:kern w:val="0"/>
          <w:shd w:val="clear" w:color="auto" w:fill="FFFFFF"/>
          <w:lang w:val="zh-CN"/>
        </w:rPr>
        <w:t>（一）部门预算管理。</w:t>
      </w:r>
    </w:p>
    <w:p w:rsidR="00DD3B41" w:rsidRDefault="006A7F6C">
      <w:pPr>
        <w:widowControl/>
        <w:adjustRightInd w:val="0"/>
        <w:snapToGrid w:val="0"/>
        <w:spacing w:line="580" w:lineRule="exact"/>
        <w:ind w:firstLineChars="200" w:firstLine="640"/>
        <w:jc w:val="left"/>
        <w:rPr>
          <w:rFonts w:ascii="仿宋_GB2312" w:hAnsi="宋体"/>
          <w:color w:val="000000"/>
          <w:kern w:val="0"/>
          <w:shd w:val="clear" w:color="auto" w:fill="FFFFFF"/>
          <w:lang w:val="zh-CN"/>
        </w:rPr>
      </w:pPr>
      <w:r>
        <w:rPr>
          <w:rFonts w:ascii="仿宋_GB2312" w:hAnsi="宋体" w:cs="仿宋_GB2312" w:hint="eastAsia"/>
          <w:color w:val="000000"/>
          <w:kern w:val="0"/>
          <w:shd w:val="clear" w:color="auto" w:fill="FFFFFF"/>
          <w:lang w:val="zh-CN"/>
        </w:rPr>
        <w:t>包括部门绩效目标制定、目标实现、预算编制准确、支出控制、预算动态调整、执行进度、预算完成情况和违规记录等情况。</w:t>
      </w:r>
    </w:p>
    <w:p w:rsidR="00DD3B41" w:rsidRDefault="006A7F6C">
      <w:pPr>
        <w:widowControl/>
        <w:adjustRightInd w:val="0"/>
        <w:snapToGrid w:val="0"/>
        <w:spacing w:line="580" w:lineRule="exact"/>
        <w:ind w:firstLineChars="200" w:firstLine="640"/>
        <w:jc w:val="left"/>
        <w:rPr>
          <w:rFonts w:ascii="楷体_GB2312" w:eastAsia="楷体_GB2312" w:hAnsi="宋体"/>
          <w:color w:val="000000"/>
          <w:kern w:val="0"/>
          <w:shd w:val="clear" w:color="auto" w:fill="FFFFFF"/>
          <w:lang w:val="zh-CN"/>
        </w:rPr>
      </w:pPr>
      <w:r>
        <w:rPr>
          <w:rFonts w:ascii="楷体_GB2312" w:eastAsia="楷体_GB2312" w:hAnsi="宋体" w:cs="仿宋_GB2312" w:hint="eastAsia"/>
          <w:color w:val="000000"/>
          <w:kern w:val="0"/>
          <w:shd w:val="clear" w:color="auto" w:fill="FFFFFF"/>
          <w:lang w:val="zh-CN"/>
        </w:rPr>
        <w:t>（二）结果应用情况。</w:t>
      </w:r>
    </w:p>
    <w:p w:rsidR="00DD3B41" w:rsidRDefault="006A7F6C">
      <w:pPr>
        <w:spacing w:line="580" w:lineRule="exact"/>
        <w:ind w:firstLineChars="200" w:firstLine="560"/>
        <w:rPr>
          <w:rFonts w:ascii="楷体_GB2312" w:eastAsia="楷体_GB2312"/>
          <w:kern w:val="0"/>
          <w:sz w:val="28"/>
          <w:szCs w:val="28"/>
        </w:rPr>
      </w:pPr>
      <w:r>
        <w:rPr>
          <w:rFonts w:ascii="楷体_GB2312" w:eastAsia="楷体_GB2312" w:hint="eastAsia"/>
          <w:kern w:val="0"/>
          <w:sz w:val="28"/>
          <w:szCs w:val="28"/>
        </w:rPr>
        <w:t>1.部门履职的年度总体目标。</w:t>
      </w:r>
    </w:p>
    <w:p w:rsidR="00DD3B41" w:rsidRDefault="006A7F6C">
      <w:pPr>
        <w:autoSpaceDE w:val="0"/>
        <w:autoSpaceDN w:val="0"/>
        <w:adjustRightInd w:val="0"/>
        <w:spacing w:line="580" w:lineRule="exact"/>
        <w:ind w:firstLineChars="200" w:firstLine="560"/>
        <w:jc w:val="left"/>
        <w:rPr>
          <w:rFonts w:ascii="仿宋_GB2312"/>
          <w:kern w:val="0"/>
          <w:sz w:val="28"/>
          <w:szCs w:val="28"/>
        </w:rPr>
      </w:pPr>
      <w:r>
        <w:rPr>
          <w:rFonts w:ascii="仿宋_GB2312" w:hint="eastAsia"/>
          <w:kern w:val="0"/>
          <w:sz w:val="28"/>
          <w:szCs w:val="28"/>
        </w:rPr>
        <w:t>（1）进一步推进了教学改革工作，提升了教研教学创新能力</w:t>
      </w:r>
    </w:p>
    <w:p w:rsidR="00DD3B41" w:rsidRDefault="006A7F6C">
      <w:pPr>
        <w:autoSpaceDE w:val="0"/>
        <w:autoSpaceDN w:val="0"/>
        <w:adjustRightInd w:val="0"/>
        <w:spacing w:line="580" w:lineRule="exact"/>
        <w:ind w:firstLineChars="200" w:firstLine="560"/>
        <w:jc w:val="left"/>
        <w:rPr>
          <w:rFonts w:ascii="仿宋_GB2312"/>
          <w:kern w:val="0"/>
          <w:sz w:val="28"/>
          <w:szCs w:val="28"/>
        </w:rPr>
      </w:pPr>
      <w:r>
        <w:rPr>
          <w:rFonts w:ascii="仿宋_GB2312" w:hint="eastAsia"/>
          <w:kern w:val="0"/>
          <w:sz w:val="28"/>
          <w:szCs w:val="28"/>
        </w:rPr>
        <w:t>（2）进一步抓实了学段、学科管理，促进了质量提升</w:t>
      </w:r>
    </w:p>
    <w:p w:rsidR="00DD3B41" w:rsidRDefault="006A7F6C">
      <w:pPr>
        <w:autoSpaceDE w:val="0"/>
        <w:autoSpaceDN w:val="0"/>
        <w:adjustRightInd w:val="0"/>
        <w:spacing w:line="580" w:lineRule="exact"/>
        <w:ind w:firstLineChars="200" w:firstLine="560"/>
        <w:jc w:val="left"/>
        <w:rPr>
          <w:rFonts w:ascii="仿宋_GB2312"/>
          <w:kern w:val="0"/>
          <w:sz w:val="28"/>
          <w:szCs w:val="28"/>
        </w:rPr>
      </w:pPr>
      <w:r>
        <w:rPr>
          <w:rFonts w:ascii="仿宋_GB2312" w:hint="eastAsia"/>
          <w:kern w:val="0"/>
          <w:sz w:val="28"/>
          <w:szCs w:val="28"/>
        </w:rPr>
        <w:t>（3）进一步细化了常规管理，扩大了办学效益</w:t>
      </w:r>
    </w:p>
    <w:p w:rsidR="00DD3B41" w:rsidRDefault="006A7F6C">
      <w:pPr>
        <w:autoSpaceDE w:val="0"/>
        <w:autoSpaceDN w:val="0"/>
        <w:adjustRightInd w:val="0"/>
        <w:spacing w:line="580" w:lineRule="exact"/>
        <w:ind w:firstLineChars="200" w:firstLine="560"/>
        <w:jc w:val="left"/>
        <w:rPr>
          <w:rFonts w:ascii="仿宋_GB2312"/>
          <w:kern w:val="0"/>
          <w:sz w:val="28"/>
          <w:szCs w:val="28"/>
        </w:rPr>
      </w:pPr>
      <w:r>
        <w:rPr>
          <w:rFonts w:ascii="仿宋_GB2312" w:hint="eastAsia"/>
          <w:kern w:val="0"/>
          <w:sz w:val="28"/>
          <w:szCs w:val="28"/>
        </w:rPr>
        <w:t>（4）进一步做好了交办任务，服务了教育发展</w:t>
      </w:r>
    </w:p>
    <w:p w:rsidR="00DD3B41" w:rsidRDefault="006A7F6C">
      <w:pPr>
        <w:autoSpaceDE w:val="0"/>
        <w:autoSpaceDN w:val="0"/>
        <w:adjustRightInd w:val="0"/>
        <w:spacing w:line="580" w:lineRule="exact"/>
        <w:ind w:firstLineChars="200" w:firstLine="560"/>
        <w:jc w:val="left"/>
        <w:rPr>
          <w:rFonts w:ascii="仿宋_GB2312"/>
          <w:kern w:val="0"/>
          <w:sz w:val="28"/>
          <w:szCs w:val="28"/>
        </w:rPr>
      </w:pPr>
      <w:r>
        <w:rPr>
          <w:rFonts w:ascii="仿宋_GB2312" w:hint="eastAsia"/>
          <w:kern w:val="0"/>
          <w:sz w:val="28"/>
          <w:szCs w:val="28"/>
        </w:rPr>
        <w:t>（5）进一步加强了制度建设，规范了内部管理</w:t>
      </w:r>
    </w:p>
    <w:p w:rsidR="00DD3B41" w:rsidRPr="008159E4" w:rsidRDefault="006A7F6C" w:rsidP="008159E4">
      <w:pPr>
        <w:spacing w:line="580" w:lineRule="exact"/>
        <w:ind w:firstLineChars="200" w:firstLine="560"/>
        <w:rPr>
          <w:rFonts w:ascii="楷体_GB2312" w:eastAsia="楷体_GB2312"/>
          <w:kern w:val="0"/>
          <w:sz w:val="28"/>
          <w:szCs w:val="28"/>
        </w:rPr>
      </w:pPr>
      <w:r>
        <w:rPr>
          <w:rFonts w:ascii="楷体_GB2312" w:eastAsia="楷体_GB2312" w:hint="eastAsia"/>
          <w:kern w:val="0"/>
          <w:sz w:val="28"/>
          <w:szCs w:val="28"/>
        </w:rPr>
        <w:t>2.重点工作任务绩效目标完成情况。</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 xml:space="preserve">本年，广汉四幼紧紧围绕上级要求，结合幼儿园实际，全面开展各项工作，讲究方式方法，幼儿园平安稳定，师生遵纪守法，幼儿园秩序正常，受到各级来访的好评和社会及家长的肯定，一句话，那就是和谐中发展，探索中前进。现将工作中的点滴感悟总结如下： </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 xml:space="preserve">一、发挥党支部的先锋示范作用，推动幼儿园各项工作全面和谐铺开。 </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 xml:space="preserve">1、抓住契机，扎实推进“两学一做”活动。 </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 xml:space="preserve">2、以科学发展观为指导，扎实推进创先争优活动。 </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3、以加强党风廉政建设为抓手，扎实推进党员队伍建设。</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 xml:space="preserve"> 4、以改革创新为动力，扎实推进幼儿园内涵发展。 </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二、抓细节常规，促活动开展，认真落实德育为首的幼儿园管理。</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 xml:space="preserve"> 1、充分调动德育干部队伍的工作积极性，注重常规管理。</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 xml:space="preserve"> 2、根据实际，积极开展有利于学生身心发展的德育活动。</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lastRenderedPageBreak/>
        <w:t xml:space="preserve">三、推进和谐教师队伍建设，内强素质有方法。 </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 xml:space="preserve">1、思想教育不拘形式。 </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 xml:space="preserve">2、严守纪律，幼儿园园长为首的行政率先垂范。 </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 xml:space="preserve">3、内强素质，探索教师培训方式，提高培训实效。 </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 xml:space="preserve">4、培养雷厉风行的工作风格。 </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四、教学管理重在落实，努力探索教师自觉工作的有效方式。</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 xml:space="preserve">1、落实教学督察到每月、每周、每日。 </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2、集体备课从初备、</w:t>
      </w:r>
      <w:proofErr w:type="gramStart"/>
      <w:r w:rsidRPr="00E00C23">
        <w:rPr>
          <w:rFonts w:ascii="仿宋_GB2312" w:eastAsia="仿宋_GB2312" w:hint="eastAsia"/>
          <w:sz w:val="28"/>
          <w:szCs w:val="28"/>
        </w:rPr>
        <w:t>复备到</w:t>
      </w:r>
      <w:proofErr w:type="gramEnd"/>
      <w:r w:rsidRPr="00E00C23">
        <w:rPr>
          <w:rFonts w:ascii="仿宋_GB2312" w:eastAsia="仿宋_GB2312" w:hint="eastAsia"/>
          <w:sz w:val="28"/>
          <w:szCs w:val="28"/>
        </w:rPr>
        <w:t>再备，层层深入。</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 xml:space="preserve">3、教研课采用“一课多上，同课异构”的方式，提升教师教学水平。 </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 xml:space="preserve">4、加强对学生学习常规的管理。 </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五、科研兴园，注重实效。</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六、重幼儿园安全，突出针对性和实效性</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 xml:space="preserve">1、落实安全工作管理制度。 </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 xml:space="preserve">2、与各部门、各班级层层签订安全目标责任书。 </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 xml:space="preserve">3、发放《广汉四幼告家长安全书》，开展安全知识教育。 </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 xml:space="preserve">4、开展了消防知识教育活动，进行了全园性的应急疏散操作演练活动。 </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 xml:space="preserve">5、进行了流行传染性疾病、防狂犬病等卫生知识的教育。 </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 xml:space="preserve">6、在园内开展平安创建活动，进行了学生上放学交通安全整治摸底排查工作。 </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 xml:space="preserve">七、后勤服务到位， 幼儿园理财有方。 </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1、搞好财务工作，认真执行财务开支计划，给领导当好保管。</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 xml:space="preserve">2、作好后勤保障工作。 </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 xml:space="preserve">八、工会坚持以教学为中心加强教师队伍建设，以维护职工合法权益为基本职责，以教代会为主要方式推进幼儿园的民主管理，以文体为载体推进幼儿园精神文明建设，以为教职工办实事为己任，努力为大家排忧解难。 </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九、外塑形象，和谐教育。</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1、积极培养有荣誉感的家长。</w:t>
      </w:r>
    </w:p>
    <w:p w:rsidR="008159E4" w:rsidRPr="00E00C23" w:rsidRDefault="008159E4" w:rsidP="00E00C23">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 xml:space="preserve">2、培养自信的教职工。 </w:t>
      </w:r>
    </w:p>
    <w:p w:rsidR="00EB5633" w:rsidRPr="00C142BC" w:rsidRDefault="008159E4" w:rsidP="00C142BC">
      <w:pPr>
        <w:pStyle w:val="p0"/>
        <w:autoSpaceDN w:val="0"/>
        <w:spacing w:line="480" w:lineRule="atLeast"/>
        <w:ind w:firstLineChars="250" w:firstLine="700"/>
        <w:jc w:val="both"/>
        <w:rPr>
          <w:rFonts w:ascii="仿宋_GB2312" w:eastAsia="仿宋_GB2312"/>
          <w:sz w:val="28"/>
          <w:szCs w:val="28"/>
        </w:rPr>
      </w:pPr>
      <w:r w:rsidRPr="00E00C23">
        <w:rPr>
          <w:rFonts w:ascii="仿宋_GB2312" w:eastAsia="仿宋_GB2312" w:hint="eastAsia"/>
          <w:sz w:val="28"/>
          <w:szCs w:val="28"/>
        </w:rPr>
        <w:t xml:space="preserve">3、培养安全文明、有集体荣誉感的幼儿。 </w:t>
      </w:r>
      <w:bookmarkStart w:id="0" w:name="_GoBack"/>
      <w:bookmarkEnd w:id="0"/>
    </w:p>
    <w:p w:rsidR="00DD3B41" w:rsidRDefault="006A7F6C">
      <w:pPr>
        <w:widowControl/>
        <w:adjustRightInd w:val="0"/>
        <w:snapToGrid w:val="0"/>
        <w:spacing w:line="580" w:lineRule="exact"/>
        <w:ind w:firstLineChars="200" w:firstLine="640"/>
        <w:jc w:val="left"/>
        <w:rPr>
          <w:rFonts w:ascii="黑体" w:eastAsia="黑体" w:hAnsi="宋体"/>
          <w:color w:val="000000"/>
          <w:kern w:val="0"/>
          <w:shd w:val="clear" w:color="auto" w:fill="FFFFFF"/>
        </w:rPr>
      </w:pPr>
      <w:r>
        <w:rPr>
          <w:rFonts w:ascii="黑体" w:eastAsia="黑体" w:hAnsi="宋体" w:cs="黑体" w:hint="eastAsia"/>
          <w:color w:val="000000"/>
          <w:kern w:val="0"/>
          <w:shd w:val="clear" w:color="auto" w:fill="FFFFFF"/>
        </w:rPr>
        <w:t>四、评价结论及建议</w:t>
      </w:r>
    </w:p>
    <w:p w:rsidR="00DD3B41" w:rsidRDefault="006A7F6C">
      <w:pPr>
        <w:widowControl/>
        <w:adjustRightInd w:val="0"/>
        <w:snapToGrid w:val="0"/>
        <w:spacing w:line="580" w:lineRule="exact"/>
        <w:ind w:firstLineChars="200" w:firstLine="640"/>
        <w:jc w:val="left"/>
        <w:rPr>
          <w:rFonts w:ascii="楷体_GB2312" w:eastAsia="楷体_GB2312" w:hAnsi="宋体"/>
          <w:color w:val="000000"/>
          <w:kern w:val="0"/>
          <w:shd w:val="clear" w:color="auto" w:fill="FFFFFF"/>
          <w:lang w:val="zh-CN"/>
        </w:rPr>
      </w:pPr>
      <w:r>
        <w:rPr>
          <w:rFonts w:ascii="楷体_GB2312" w:eastAsia="楷体_GB2312" w:hAnsi="宋体" w:cs="仿宋_GB2312" w:hint="eastAsia"/>
          <w:color w:val="000000"/>
          <w:kern w:val="0"/>
          <w:shd w:val="clear" w:color="auto" w:fill="FFFFFF"/>
          <w:lang w:val="zh-CN"/>
        </w:rPr>
        <w:lastRenderedPageBreak/>
        <w:t>（一）评价结论。</w:t>
      </w:r>
    </w:p>
    <w:tbl>
      <w:tblPr>
        <w:tblW w:w="8151" w:type="dxa"/>
        <w:tblLayout w:type="fixed"/>
        <w:tblCellMar>
          <w:left w:w="0" w:type="dxa"/>
          <w:right w:w="0" w:type="dxa"/>
        </w:tblCellMar>
        <w:tblLook w:val="04A0" w:firstRow="1" w:lastRow="0" w:firstColumn="1" w:lastColumn="0" w:noHBand="0" w:noVBand="1"/>
      </w:tblPr>
      <w:tblGrid>
        <w:gridCol w:w="645"/>
        <w:gridCol w:w="1221"/>
        <w:gridCol w:w="1290"/>
        <w:gridCol w:w="1080"/>
        <w:gridCol w:w="1470"/>
        <w:gridCol w:w="2445"/>
      </w:tblGrid>
      <w:tr w:rsidR="00DD3B41">
        <w:trPr>
          <w:trHeight w:val="405"/>
        </w:trPr>
        <w:tc>
          <w:tcPr>
            <w:tcW w:w="8151" w:type="dxa"/>
            <w:gridSpan w:val="6"/>
            <w:tcBorders>
              <w:top w:val="nil"/>
              <w:left w:val="nil"/>
              <w:bottom w:val="nil"/>
              <w:right w:val="nil"/>
            </w:tcBorders>
            <w:noWrap/>
            <w:tcMar>
              <w:top w:w="15" w:type="dxa"/>
              <w:left w:w="15" w:type="dxa"/>
              <w:right w:w="15" w:type="dxa"/>
            </w:tcMar>
            <w:vAlign w:val="center"/>
          </w:tcPr>
          <w:p w:rsidR="00DD3B41" w:rsidRDefault="006A7F6C">
            <w:pPr>
              <w:widowControl/>
              <w:jc w:val="center"/>
              <w:textAlignment w:val="center"/>
              <w:rPr>
                <w:rFonts w:ascii="方正小标宋_GBK" w:eastAsia="方正小标宋_GBK" w:hAnsi="方正小标宋_GBK" w:cs="方正小标宋_GBK"/>
                <w:color w:val="000000"/>
              </w:rPr>
            </w:pPr>
            <w:r>
              <w:rPr>
                <w:rFonts w:ascii="宋体" w:eastAsia="宋体" w:hAnsi="宋体" w:cs="宋体"/>
                <w:kern w:val="0"/>
                <w:sz w:val="24"/>
                <w:szCs w:val="24"/>
              </w:rPr>
              <w:t>20</w:t>
            </w:r>
            <w:r>
              <w:rPr>
                <w:rFonts w:ascii="宋体" w:eastAsia="宋体" w:hAnsi="宋体" w:cs="宋体" w:hint="eastAsia"/>
                <w:kern w:val="0"/>
                <w:sz w:val="24"/>
                <w:szCs w:val="24"/>
              </w:rPr>
              <w:t>20</w:t>
            </w:r>
            <w:r>
              <w:rPr>
                <w:rFonts w:ascii="宋体" w:eastAsia="宋体" w:hAnsi="宋体" w:cs="宋体"/>
                <w:kern w:val="0"/>
                <w:sz w:val="24"/>
                <w:szCs w:val="24"/>
              </w:rPr>
              <w:t>年部门整体支出绩效评价指标体系</w:t>
            </w:r>
          </w:p>
        </w:tc>
      </w:tr>
      <w:tr w:rsidR="00DD3B41">
        <w:trPr>
          <w:trHeight w:val="270"/>
        </w:trPr>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一级指标</w:t>
            </w:r>
          </w:p>
        </w:tc>
        <w:tc>
          <w:tcPr>
            <w:tcW w:w="12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二级指标</w:t>
            </w:r>
          </w:p>
        </w:tc>
        <w:tc>
          <w:tcPr>
            <w:tcW w:w="12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三级指标</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分值</w:t>
            </w:r>
          </w:p>
        </w:tc>
        <w:tc>
          <w:tcPr>
            <w:tcW w:w="14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指标解释</w:t>
            </w:r>
          </w:p>
        </w:tc>
        <w:tc>
          <w:tcPr>
            <w:tcW w:w="24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评分标准</w:t>
            </w:r>
          </w:p>
        </w:tc>
      </w:tr>
      <w:tr w:rsidR="00DD3B41">
        <w:trPr>
          <w:trHeight w:val="2360"/>
        </w:trPr>
        <w:tc>
          <w:tcPr>
            <w:tcW w:w="64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（10分）</w:t>
            </w:r>
            <w:r>
              <w:rPr>
                <w:rFonts w:ascii="宋体" w:eastAsia="宋体" w:hAnsi="宋体" w:cs="宋体" w:hint="eastAsia"/>
                <w:color w:val="000000"/>
                <w:kern w:val="0"/>
                <w:sz w:val="18"/>
                <w:szCs w:val="18"/>
              </w:rPr>
              <w:br/>
              <w:t>预算管理</w:t>
            </w:r>
          </w:p>
        </w:tc>
        <w:tc>
          <w:tcPr>
            <w:tcW w:w="12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预算编制（5分）</w:t>
            </w:r>
          </w:p>
        </w:tc>
        <w:tc>
          <w:tcPr>
            <w:tcW w:w="12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预算安排准确性</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14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反映部门（单位）年初预算安排的准确性</w:t>
            </w:r>
          </w:p>
        </w:tc>
        <w:tc>
          <w:tcPr>
            <w:tcW w:w="24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指标得分=（预算资金总来源-中期评估调整取消资金-预算结余注销资金）/预算资金总来源*指标分值，预算资金总来源是指年初预算与执行中追加预算（不含当年中央、省专款）总和</w:t>
            </w:r>
          </w:p>
        </w:tc>
      </w:tr>
      <w:tr w:rsidR="00DD3B41">
        <w:trPr>
          <w:trHeight w:val="4500"/>
        </w:trPr>
        <w:tc>
          <w:tcPr>
            <w:tcW w:w="64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DD3B41" w:rsidRDefault="00DD3B41">
            <w:pPr>
              <w:jc w:val="center"/>
              <w:rPr>
                <w:rFonts w:ascii="宋体" w:eastAsia="宋体" w:hAnsi="宋体" w:cs="宋体"/>
                <w:color w:val="000000"/>
                <w:sz w:val="18"/>
                <w:szCs w:val="18"/>
              </w:rPr>
            </w:pPr>
          </w:p>
        </w:tc>
        <w:tc>
          <w:tcPr>
            <w:tcW w:w="12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执行进度（5分）</w:t>
            </w:r>
          </w:p>
        </w:tc>
        <w:tc>
          <w:tcPr>
            <w:tcW w:w="12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部门总体执行进度</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14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部门（单位）按要求严格预算管理</w:t>
            </w:r>
          </w:p>
        </w:tc>
        <w:tc>
          <w:tcPr>
            <w:tcW w:w="24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部门总体执行进度达96%以上，不扣分；达92%以上，按80%打分；达88%以上，按60%打分；未达到88%，不得分。</w:t>
            </w:r>
            <w:r>
              <w:rPr>
                <w:rFonts w:ascii="宋体" w:eastAsia="宋体" w:hAnsi="宋体" w:cs="宋体" w:hint="eastAsia"/>
                <w:color w:val="000000"/>
                <w:kern w:val="0"/>
                <w:sz w:val="18"/>
                <w:szCs w:val="18"/>
              </w:rPr>
              <w:br/>
              <w:t>部门总体执行进度=财政拨款执行数÷财政拨款调整预算数，财政拨款包括当年一般公共预算财政拨款数和政府性基金预算财政拨款数、上年结转一般公共预算财政拨款数和政府性基金预算财政拨款数以及通过收回的存量资金再安排的预算数。调整预算数不包括年终时已进入政府采购程序的项目和跨年度执行的基建项目。</w:t>
            </w:r>
          </w:p>
        </w:tc>
      </w:tr>
      <w:tr w:rsidR="00DD3B41">
        <w:trPr>
          <w:trHeight w:val="1350"/>
        </w:trPr>
        <w:tc>
          <w:tcPr>
            <w:tcW w:w="64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（10分）</w:t>
            </w:r>
            <w:r>
              <w:rPr>
                <w:rFonts w:ascii="宋体" w:eastAsia="宋体" w:hAnsi="宋体" w:cs="宋体" w:hint="eastAsia"/>
                <w:color w:val="000000"/>
                <w:kern w:val="0"/>
                <w:sz w:val="18"/>
                <w:szCs w:val="18"/>
              </w:rPr>
              <w:br/>
              <w:t>目标管理</w:t>
            </w:r>
          </w:p>
        </w:tc>
        <w:tc>
          <w:tcPr>
            <w:tcW w:w="1221"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Style w:val="font01"/>
                <w:rFonts w:hint="default"/>
              </w:rPr>
              <w:t>绩效目标（10分）</w:t>
            </w:r>
          </w:p>
        </w:tc>
        <w:tc>
          <w:tcPr>
            <w:tcW w:w="12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目标填报</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14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考核部门是否按要求编制专项资金、部门专项类项目绩效目标</w:t>
            </w:r>
          </w:p>
        </w:tc>
        <w:tc>
          <w:tcPr>
            <w:tcW w:w="24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left"/>
              <w:textAlignment w:val="center"/>
              <w:rPr>
                <w:rFonts w:ascii="宋体" w:eastAsia="宋体" w:hAnsi="宋体" w:cs="宋体"/>
                <w:color w:val="000000"/>
                <w:sz w:val="18"/>
                <w:szCs w:val="18"/>
              </w:rPr>
            </w:pPr>
            <w:r>
              <w:rPr>
                <w:rStyle w:val="font01"/>
                <w:rFonts w:hint="default"/>
              </w:rPr>
              <w:t>应编制绩效目标的专项类项目、专项资金未按要求申报绩效目标，发现1个项目扣0.5分；填报内容不规范，发现1处扣0.5分。直至扣完</w:t>
            </w:r>
          </w:p>
        </w:tc>
      </w:tr>
      <w:tr w:rsidR="00DD3B41">
        <w:trPr>
          <w:trHeight w:val="1350"/>
        </w:trPr>
        <w:tc>
          <w:tcPr>
            <w:tcW w:w="64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DD3B41" w:rsidRDefault="00DD3B41">
            <w:pPr>
              <w:jc w:val="center"/>
              <w:rPr>
                <w:rFonts w:ascii="宋体" w:eastAsia="宋体" w:hAnsi="宋体" w:cs="宋体"/>
                <w:color w:val="000000"/>
                <w:sz w:val="18"/>
                <w:szCs w:val="18"/>
              </w:rPr>
            </w:pPr>
          </w:p>
        </w:tc>
        <w:tc>
          <w:tcPr>
            <w:tcW w:w="1221"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c>
          <w:tcPr>
            <w:tcW w:w="12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目标量化</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14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考核部门申报绩效目标的量化程度</w:t>
            </w:r>
          </w:p>
        </w:tc>
        <w:tc>
          <w:tcPr>
            <w:tcW w:w="24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专项类项目、专项资金设定的产出指标均应量化，效果指标中应至少50%以上量化指标。发现1个项目未达到要求扣0.5分，直至扣完。</w:t>
            </w:r>
          </w:p>
        </w:tc>
      </w:tr>
      <w:tr w:rsidR="00DD3B41">
        <w:trPr>
          <w:trHeight w:val="1125"/>
        </w:trPr>
        <w:tc>
          <w:tcPr>
            <w:tcW w:w="64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DD3B41" w:rsidRDefault="00DD3B41">
            <w:pPr>
              <w:jc w:val="center"/>
              <w:rPr>
                <w:rFonts w:ascii="宋体" w:eastAsia="宋体" w:hAnsi="宋体" w:cs="宋体"/>
                <w:color w:val="000000"/>
                <w:sz w:val="18"/>
                <w:szCs w:val="18"/>
              </w:rPr>
            </w:pPr>
          </w:p>
        </w:tc>
        <w:tc>
          <w:tcPr>
            <w:tcW w:w="1221"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c>
          <w:tcPr>
            <w:tcW w:w="12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目标匹配</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14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考核部门申报的绩效目标是否与部门职能职责相关</w:t>
            </w:r>
          </w:p>
        </w:tc>
        <w:tc>
          <w:tcPr>
            <w:tcW w:w="24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专项类项目、专项资金设定的绩效目标与部门职能职责不一致的，发现一个项目扣1分，直至扣完。</w:t>
            </w:r>
          </w:p>
        </w:tc>
      </w:tr>
      <w:tr w:rsidR="00DD3B41">
        <w:trPr>
          <w:trHeight w:val="2025"/>
        </w:trPr>
        <w:tc>
          <w:tcPr>
            <w:tcW w:w="64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DD3B41" w:rsidRDefault="006A7F6C">
            <w:pPr>
              <w:widowControl/>
              <w:jc w:val="center"/>
              <w:textAlignment w:val="center"/>
              <w:rPr>
                <w:rFonts w:ascii="宋体" w:eastAsia="宋体" w:hAnsi="宋体" w:cs="宋体"/>
                <w:color w:val="000000"/>
                <w:sz w:val="18"/>
                <w:szCs w:val="18"/>
              </w:rPr>
            </w:pPr>
            <w:r>
              <w:rPr>
                <w:rStyle w:val="font01"/>
                <w:rFonts w:hint="default"/>
              </w:rPr>
              <w:t>（10分）</w:t>
            </w:r>
            <w:r>
              <w:rPr>
                <w:rStyle w:val="font01"/>
                <w:rFonts w:hint="default"/>
              </w:rPr>
              <w:br/>
              <w:t>部门管理</w:t>
            </w:r>
          </w:p>
        </w:tc>
        <w:tc>
          <w:tcPr>
            <w:tcW w:w="1221"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基础管理（4分）</w:t>
            </w:r>
          </w:p>
        </w:tc>
        <w:tc>
          <w:tcPr>
            <w:tcW w:w="12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管理制度健全性</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14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部门（单位）为加强预算管理、推进厉行节约、规范财务行为而制定的管理制度是否健全完整</w:t>
            </w:r>
          </w:p>
        </w:tc>
        <w:tc>
          <w:tcPr>
            <w:tcW w:w="24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是否已制定或具有预算资金管理办法、厉行节约管理措施、内部财务管理制度、会计核算制度等管理制度；相关管理制度是否合法、合</w:t>
            </w:r>
            <w:proofErr w:type="gramStart"/>
            <w:r>
              <w:rPr>
                <w:rFonts w:ascii="宋体" w:eastAsia="宋体" w:hAnsi="宋体" w:cs="宋体" w:hint="eastAsia"/>
                <w:color w:val="000000"/>
                <w:kern w:val="0"/>
                <w:sz w:val="18"/>
                <w:szCs w:val="18"/>
              </w:rPr>
              <w:t>规</w:t>
            </w:r>
            <w:proofErr w:type="gramEnd"/>
            <w:r>
              <w:rPr>
                <w:rFonts w:ascii="宋体" w:eastAsia="宋体" w:hAnsi="宋体" w:cs="宋体" w:hint="eastAsia"/>
                <w:color w:val="000000"/>
                <w:kern w:val="0"/>
                <w:sz w:val="18"/>
                <w:szCs w:val="18"/>
              </w:rPr>
              <w:t>、完整；相关管理制度是否得到有效执行。定性评价。</w:t>
            </w:r>
          </w:p>
        </w:tc>
      </w:tr>
      <w:tr w:rsidR="00DD3B41">
        <w:trPr>
          <w:trHeight w:val="2700"/>
        </w:trPr>
        <w:tc>
          <w:tcPr>
            <w:tcW w:w="64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DD3B41" w:rsidRDefault="00DD3B41">
            <w:pPr>
              <w:jc w:val="center"/>
              <w:rPr>
                <w:rFonts w:ascii="宋体" w:eastAsia="宋体" w:hAnsi="宋体" w:cs="宋体"/>
                <w:color w:val="000000"/>
                <w:sz w:val="18"/>
                <w:szCs w:val="18"/>
              </w:rPr>
            </w:pPr>
          </w:p>
        </w:tc>
        <w:tc>
          <w:tcPr>
            <w:tcW w:w="1221"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c>
          <w:tcPr>
            <w:tcW w:w="12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资金使用合</w:t>
            </w:r>
            <w:proofErr w:type="gramStart"/>
            <w:r>
              <w:rPr>
                <w:rFonts w:ascii="宋体" w:eastAsia="宋体" w:hAnsi="宋体" w:cs="宋体" w:hint="eastAsia"/>
                <w:color w:val="000000"/>
                <w:kern w:val="0"/>
                <w:sz w:val="18"/>
                <w:szCs w:val="18"/>
              </w:rPr>
              <w:t>规</w:t>
            </w:r>
            <w:proofErr w:type="gramEnd"/>
            <w:r>
              <w:rPr>
                <w:rFonts w:ascii="宋体" w:eastAsia="宋体" w:hAnsi="宋体" w:cs="宋体" w:hint="eastAsia"/>
                <w:color w:val="000000"/>
                <w:kern w:val="0"/>
                <w:sz w:val="18"/>
                <w:szCs w:val="18"/>
              </w:rPr>
              <w:t>性</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14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部门（单位）使用预算资金是否符合相关的预算财务管理制度的规定</w:t>
            </w:r>
          </w:p>
        </w:tc>
        <w:tc>
          <w:tcPr>
            <w:tcW w:w="24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Style w:val="font01"/>
                <w:rFonts w:hint="default"/>
              </w:rPr>
              <w:t>是否符合国家财经法规和财务管理制度规定以及有关专项资金管理办法的规定；资金的拨付是否有完整的审批程序和手续；项目的重大开支是否经过评估论证；是否符合部门预算批复的用途；是否存在截留、挤占、挪用、虚列支出等情况。发现一个</w:t>
            </w:r>
            <w:proofErr w:type="gramStart"/>
            <w:r>
              <w:rPr>
                <w:rStyle w:val="font01"/>
                <w:rFonts w:hint="default"/>
              </w:rPr>
              <w:t>问题点扣</w:t>
            </w:r>
            <w:proofErr w:type="gramEnd"/>
            <w:r>
              <w:rPr>
                <w:rStyle w:val="font01"/>
                <w:rFonts w:hint="default"/>
              </w:rPr>
              <w:t>0.25分。</w:t>
            </w:r>
          </w:p>
        </w:tc>
      </w:tr>
      <w:tr w:rsidR="00DD3B41">
        <w:trPr>
          <w:trHeight w:val="2250"/>
        </w:trPr>
        <w:tc>
          <w:tcPr>
            <w:tcW w:w="64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DD3B41" w:rsidRDefault="00DD3B41">
            <w:pPr>
              <w:jc w:val="center"/>
              <w:rPr>
                <w:rFonts w:ascii="宋体" w:eastAsia="宋体" w:hAnsi="宋体" w:cs="宋体"/>
                <w:color w:val="000000"/>
                <w:sz w:val="18"/>
                <w:szCs w:val="18"/>
              </w:rPr>
            </w:pPr>
          </w:p>
        </w:tc>
        <w:tc>
          <w:tcPr>
            <w:tcW w:w="1221"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c>
          <w:tcPr>
            <w:tcW w:w="12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财务监控有效性</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14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考察部门是否对部门内部、各所属单位，专项资金分配的区（市）县或项目实施主体进行工作监督和定期考核。</w:t>
            </w:r>
          </w:p>
        </w:tc>
        <w:tc>
          <w:tcPr>
            <w:tcW w:w="24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left"/>
              <w:textAlignment w:val="center"/>
              <w:rPr>
                <w:rFonts w:ascii="宋体" w:eastAsia="宋体" w:hAnsi="宋体" w:cs="宋体"/>
                <w:color w:val="000000"/>
                <w:sz w:val="18"/>
                <w:szCs w:val="18"/>
              </w:rPr>
            </w:pPr>
            <w:r>
              <w:rPr>
                <w:rStyle w:val="font01"/>
                <w:rFonts w:hint="default"/>
              </w:rPr>
              <w:t>对部门内部、下属单位、分配的专项资金①制定明确的财务监控监督措施，得1分；②监控、监督措施执行有效，得1分。</w:t>
            </w:r>
          </w:p>
        </w:tc>
      </w:tr>
      <w:tr w:rsidR="00DD3B41">
        <w:trPr>
          <w:trHeight w:val="1350"/>
        </w:trPr>
        <w:tc>
          <w:tcPr>
            <w:tcW w:w="64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DD3B41" w:rsidRDefault="00DD3B41">
            <w:pPr>
              <w:jc w:val="center"/>
              <w:rPr>
                <w:rFonts w:ascii="宋体" w:eastAsia="宋体" w:hAnsi="宋体" w:cs="宋体"/>
                <w:color w:val="000000"/>
                <w:sz w:val="18"/>
                <w:szCs w:val="18"/>
              </w:rPr>
            </w:pPr>
          </w:p>
        </w:tc>
        <w:tc>
          <w:tcPr>
            <w:tcW w:w="12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行政成本（1分）</w:t>
            </w:r>
          </w:p>
        </w:tc>
        <w:tc>
          <w:tcPr>
            <w:tcW w:w="12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“三公”经费控制</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14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当年“三公”经费预算与当年决算比，反映“三公”经费控制情况</w:t>
            </w:r>
          </w:p>
        </w:tc>
        <w:tc>
          <w:tcPr>
            <w:tcW w:w="24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Style w:val="font01"/>
                <w:rFonts w:hint="default"/>
              </w:rPr>
              <w:t>部门“三公”经费决算数一项超预算扣0.5分，两项扣1分。</w:t>
            </w:r>
          </w:p>
        </w:tc>
      </w:tr>
      <w:tr w:rsidR="00DD3B41">
        <w:trPr>
          <w:trHeight w:val="1125"/>
        </w:trPr>
        <w:tc>
          <w:tcPr>
            <w:tcW w:w="64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DD3B41" w:rsidRDefault="00DD3B41">
            <w:pPr>
              <w:jc w:val="center"/>
              <w:rPr>
                <w:rFonts w:ascii="宋体" w:eastAsia="宋体" w:hAnsi="宋体" w:cs="宋体"/>
                <w:color w:val="000000"/>
                <w:sz w:val="18"/>
                <w:szCs w:val="18"/>
              </w:rPr>
            </w:pPr>
          </w:p>
        </w:tc>
        <w:tc>
          <w:tcPr>
            <w:tcW w:w="12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政府采购（1分）</w:t>
            </w:r>
          </w:p>
        </w:tc>
        <w:tc>
          <w:tcPr>
            <w:tcW w:w="12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采购规范性</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14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考察政府采购项目的采购程序、 采购方式的规范性</w:t>
            </w:r>
          </w:p>
        </w:tc>
        <w:tc>
          <w:tcPr>
            <w:tcW w:w="24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采购方式、程序中每一点不规范，扣 0.5 分，直至扣完。</w:t>
            </w:r>
          </w:p>
        </w:tc>
      </w:tr>
      <w:tr w:rsidR="00DD3B41">
        <w:trPr>
          <w:trHeight w:val="2250"/>
        </w:trPr>
        <w:tc>
          <w:tcPr>
            <w:tcW w:w="64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DD3B41" w:rsidRDefault="00DD3B41">
            <w:pPr>
              <w:jc w:val="center"/>
              <w:rPr>
                <w:rFonts w:ascii="宋体" w:eastAsia="宋体" w:hAnsi="宋体" w:cs="宋体"/>
                <w:color w:val="000000"/>
                <w:sz w:val="18"/>
                <w:szCs w:val="18"/>
              </w:rPr>
            </w:pPr>
          </w:p>
        </w:tc>
        <w:tc>
          <w:tcPr>
            <w:tcW w:w="12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资产管理（2分）</w:t>
            </w:r>
          </w:p>
        </w:tc>
        <w:tc>
          <w:tcPr>
            <w:tcW w:w="12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固定资产在用率</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14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部门实际在用固定资产总额与所有固定资产总额的比率， 用以反映和考核部门固定资产使用效率及程度。</w:t>
            </w:r>
          </w:p>
        </w:tc>
        <w:tc>
          <w:tcPr>
            <w:tcW w:w="24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left"/>
              <w:textAlignment w:val="center"/>
              <w:rPr>
                <w:rFonts w:ascii="宋体" w:eastAsia="宋体" w:hAnsi="宋体" w:cs="宋体"/>
                <w:color w:val="000000"/>
                <w:sz w:val="18"/>
                <w:szCs w:val="18"/>
              </w:rPr>
            </w:pPr>
            <w:r>
              <w:rPr>
                <w:rStyle w:val="font01"/>
                <w:rFonts w:hint="default"/>
              </w:rPr>
              <w:t>固定资产在用率=（实际在用固定资产总额/所有固定资产总额）×100%。 固定资产在用率达到 95%以上得满分。 相较95%，每降低 5个百分点扣1分，直至扣完。</w:t>
            </w:r>
          </w:p>
        </w:tc>
      </w:tr>
      <w:tr w:rsidR="00DD3B41">
        <w:trPr>
          <w:trHeight w:val="2025"/>
        </w:trPr>
        <w:tc>
          <w:tcPr>
            <w:tcW w:w="64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DD3B41" w:rsidRDefault="00DD3B41">
            <w:pPr>
              <w:jc w:val="center"/>
              <w:rPr>
                <w:rFonts w:ascii="宋体" w:eastAsia="宋体" w:hAnsi="宋体" w:cs="宋体"/>
                <w:color w:val="000000"/>
                <w:sz w:val="18"/>
                <w:szCs w:val="18"/>
              </w:rPr>
            </w:pPr>
          </w:p>
        </w:tc>
        <w:tc>
          <w:tcPr>
            <w:tcW w:w="12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信息公开（2分）</w:t>
            </w:r>
          </w:p>
        </w:tc>
        <w:tc>
          <w:tcPr>
            <w:tcW w:w="12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信息公开</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2</w:t>
            </w:r>
          </w:p>
        </w:tc>
        <w:tc>
          <w:tcPr>
            <w:tcW w:w="14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除涉密单位和信息外，考核部门（单位）是否按财政要求及时完成预算、决算、绩效等信息公开工作</w:t>
            </w:r>
          </w:p>
        </w:tc>
        <w:tc>
          <w:tcPr>
            <w:tcW w:w="24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left"/>
              <w:textAlignment w:val="center"/>
              <w:rPr>
                <w:rFonts w:ascii="宋体" w:eastAsia="宋体" w:hAnsi="宋体" w:cs="宋体"/>
                <w:color w:val="000000"/>
                <w:sz w:val="18"/>
                <w:szCs w:val="18"/>
              </w:rPr>
            </w:pPr>
            <w:r>
              <w:rPr>
                <w:rStyle w:val="font01"/>
                <w:rFonts w:hint="default"/>
              </w:rPr>
              <w:t>一项公开工作未完成的扣1分，直至扣完。</w:t>
            </w:r>
          </w:p>
        </w:tc>
      </w:tr>
      <w:tr w:rsidR="00DD3B41">
        <w:trPr>
          <w:trHeight w:val="2250"/>
        </w:trPr>
        <w:tc>
          <w:tcPr>
            <w:tcW w:w="64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（70分）</w:t>
            </w:r>
            <w:r>
              <w:rPr>
                <w:rFonts w:ascii="宋体" w:eastAsia="宋体" w:hAnsi="宋体" w:cs="宋体" w:hint="eastAsia"/>
                <w:color w:val="000000"/>
                <w:kern w:val="0"/>
                <w:sz w:val="18"/>
                <w:szCs w:val="18"/>
              </w:rPr>
              <w:br/>
              <w:t>履职效能</w:t>
            </w:r>
          </w:p>
        </w:tc>
        <w:tc>
          <w:tcPr>
            <w:tcW w:w="1221"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重点任务</w:t>
            </w:r>
            <w:proofErr w:type="gramStart"/>
            <w:r>
              <w:rPr>
                <w:rFonts w:ascii="宋体" w:eastAsia="宋体" w:hAnsi="宋体" w:cs="宋体" w:hint="eastAsia"/>
                <w:color w:val="000000"/>
                <w:kern w:val="0"/>
                <w:sz w:val="18"/>
                <w:szCs w:val="18"/>
              </w:rPr>
              <w:t>一</w:t>
            </w:r>
            <w:proofErr w:type="gramEnd"/>
          </w:p>
        </w:tc>
        <w:tc>
          <w:tcPr>
            <w:tcW w:w="12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任务完成率</w:t>
            </w:r>
          </w:p>
        </w:tc>
        <w:tc>
          <w:tcPr>
            <w:tcW w:w="1080"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jc w:val="center"/>
              <w:rPr>
                <w:rFonts w:ascii="宋体" w:eastAsia="宋体" w:hAnsi="宋体" w:cs="宋体"/>
                <w:color w:val="000000"/>
                <w:sz w:val="18"/>
                <w:szCs w:val="18"/>
              </w:rPr>
            </w:pPr>
            <w:r>
              <w:rPr>
                <w:rFonts w:ascii="宋体" w:eastAsia="宋体" w:hAnsi="宋体" w:cs="宋体" w:hint="eastAsia"/>
                <w:color w:val="000000"/>
                <w:sz w:val="18"/>
                <w:szCs w:val="18"/>
              </w:rPr>
              <w:t>28</w:t>
            </w:r>
          </w:p>
        </w:tc>
        <w:tc>
          <w:tcPr>
            <w:tcW w:w="14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得分=分值×实际完成任务量/绩效目标设定任务量×100%。实际完成任务量大于绩效目标设定任务量得满分。</w:t>
            </w:r>
          </w:p>
        </w:tc>
        <w:tc>
          <w:tcPr>
            <w:tcW w:w="2445"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1.履职效能指标设定，</w:t>
            </w:r>
            <w:proofErr w:type="gramStart"/>
            <w:r>
              <w:rPr>
                <w:rFonts w:ascii="宋体" w:eastAsia="宋体" w:hAnsi="宋体" w:cs="宋体" w:hint="eastAsia"/>
                <w:color w:val="000000"/>
                <w:kern w:val="0"/>
                <w:sz w:val="18"/>
                <w:szCs w:val="18"/>
              </w:rPr>
              <w:t>由评价</w:t>
            </w:r>
            <w:proofErr w:type="gramEnd"/>
            <w:r>
              <w:rPr>
                <w:rFonts w:ascii="宋体" w:eastAsia="宋体" w:hAnsi="宋体" w:cs="宋体" w:hint="eastAsia"/>
                <w:color w:val="000000"/>
                <w:kern w:val="0"/>
                <w:sz w:val="18"/>
                <w:szCs w:val="18"/>
              </w:rPr>
              <w:t>工作组根据部门职能职责、年度工作计划等梳理年度重点工作任务。各项重点任务分值，</w:t>
            </w:r>
            <w:proofErr w:type="gramStart"/>
            <w:r>
              <w:rPr>
                <w:rFonts w:ascii="宋体" w:eastAsia="宋体" w:hAnsi="宋体" w:cs="宋体" w:hint="eastAsia"/>
                <w:color w:val="000000"/>
                <w:kern w:val="0"/>
                <w:sz w:val="18"/>
                <w:szCs w:val="18"/>
              </w:rPr>
              <w:t>由评价</w:t>
            </w:r>
            <w:proofErr w:type="gramEnd"/>
            <w:r>
              <w:rPr>
                <w:rFonts w:ascii="宋体" w:eastAsia="宋体" w:hAnsi="宋体" w:cs="宋体" w:hint="eastAsia"/>
                <w:color w:val="000000"/>
                <w:kern w:val="0"/>
                <w:sz w:val="18"/>
                <w:szCs w:val="18"/>
              </w:rPr>
              <w:t>工作组根据任务重要性在总权重分值（70分）中分配。</w:t>
            </w:r>
            <w:r>
              <w:rPr>
                <w:rFonts w:ascii="宋体" w:eastAsia="宋体" w:hAnsi="宋体" w:cs="宋体" w:hint="eastAsia"/>
                <w:color w:val="000000"/>
                <w:kern w:val="0"/>
                <w:sz w:val="18"/>
                <w:szCs w:val="18"/>
              </w:rPr>
              <w:br/>
              <w:t>2.重点任务指标设定，应根据相关重点任务实际情况，设置具体三级指标。其中，任务完成率和满意度指标是共性指标，每一项重点任务均应设定，共性指标分值应占该重点任务</w:t>
            </w:r>
            <w:r>
              <w:rPr>
                <w:rFonts w:ascii="宋体" w:eastAsia="宋体" w:hAnsi="宋体" w:cs="宋体" w:hint="eastAsia"/>
                <w:color w:val="000000"/>
                <w:kern w:val="0"/>
                <w:sz w:val="18"/>
                <w:szCs w:val="18"/>
              </w:rPr>
              <w:lastRenderedPageBreak/>
              <w:t>重分值的40%（任务完成率和满意度指标各占20%，如该重点任务不适合</w:t>
            </w:r>
            <w:proofErr w:type="gramStart"/>
            <w:r>
              <w:rPr>
                <w:rFonts w:ascii="宋体" w:eastAsia="宋体" w:hAnsi="宋体" w:cs="宋体" w:hint="eastAsia"/>
                <w:color w:val="000000"/>
                <w:kern w:val="0"/>
                <w:sz w:val="18"/>
                <w:szCs w:val="18"/>
              </w:rPr>
              <w:t>做满意</w:t>
            </w:r>
            <w:proofErr w:type="gramEnd"/>
            <w:r>
              <w:rPr>
                <w:rFonts w:ascii="宋体" w:eastAsia="宋体" w:hAnsi="宋体" w:cs="宋体" w:hint="eastAsia"/>
                <w:color w:val="000000"/>
                <w:kern w:val="0"/>
                <w:sz w:val="18"/>
                <w:szCs w:val="18"/>
              </w:rPr>
              <w:t>度调查，可不</w:t>
            </w:r>
            <w:proofErr w:type="gramStart"/>
            <w:r>
              <w:rPr>
                <w:rFonts w:ascii="宋体" w:eastAsia="宋体" w:hAnsi="宋体" w:cs="宋体" w:hint="eastAsia"/>
                <w:color w:val="000000"/>
                <w:kern w:val="0"/>
                <w:sz w:val="18"/>
                <w:szCs w:val="18"/>
              </w:rPr>
              <w:t>设满意</w:t>
            </w:r>
            <w:proofErr w:type="gramEnd"/>
            <w:r>
              <w:rPr>
                <w:rFonts w:ascii="宋体" w:eastAsia="宋体" w:hAnsi="宋体" w:cs="宋体" w:hint="eastAsia"/>
                <w:color w:val="000000"/>
                <w:kern w:val="0"/>
                <w:sz w:val="18"/>
                <w:szCs w:val="18"/>
              </w:rPr>
              <w:t>度指标，满意度分值合并到任务完成率指标）。关键绩效指标为个性指标，根据具体任务实际确定，每项重点任务至少设定2个关键业绩指标，量化指标不少于1个，个性指标分值应占该重点任务重分值的60%，</w:t>
            </w:r>
            <w:proofErr w:type="gramStart"/>
            <w:r>
              <w:rPr>
                <w:rFonts w:ascii="宋体" w:eastAsia="宋体" w:hAnsi="宋体" w:cs="宋体" w:hint="eastAsia"/>
                <w:color w:val="000000"/>
                <w:kern w:val="0"/>
                <w:sz w:val="18"/>
                <w:szCs w:val="18"/>
              </w:rPr>
              <w:t>由评价</w:t>
            </w:r>
            <w:proofErr w:type="gramEnd"/>
            <w:r>
              <w:rPr>
                <w:rFonts w:ascii="宋体" w:eastAsia="宋体" w:hAnsi="宋体" w:cs="宋体" w:hint="eastAsia"/>
                <w:color w:val="000000"/>
                <w:kern w:val="0"/>
                <w:sz w:val="18"/>
                <w:szCs w:val="18"/>
              </w:rPr>
              <w:t>工作组按指标重要性进行分配。</w:t>
            </w:r>
          </w:p>
        </w:tc>
      </w:tr>
      <w:tr w:rsidR="00DD3B41">
        <w:trPr>
          <w:trHeight w:val="675"/>
        </w:trPr>
        <w:tc>
          <w:tcPr>
            <w:tcW w:w="64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DD3B41" w:rsidRDefault="00DD3B41">
            <w:pPr>
              <w:jc w:val="center"/>
              <w:rPr>
                <w:rFonts w:ascii="宋体" w:eastAsia="宋体" w:hAnsi="宋体" w:cs="宋体"/>
                <w:color w:val="000000"/>
                <w:sz w:val="18"/>
                <w:szCs w:val="18"/>
              </w:rPr>
            </w:pPr>
          </w:p>
        </w:tc>
        <w:tc>
          <w:tcPr>
            <w:tcW w:w="1221"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c>
          <w:tcPr>
            <w:tcW w:w="12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服务对象(受益)对象满意度</w:t>
            </w:r>
          </w:p>
        </w:tc>
        <w:tc>
          <w:tcPr>
            <w:tcW w:w="108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根据满意度调查评分</w:t>
            </w:r>
          </w:p>
        </w:tc>
        <w:tc>
          <w:tcPr>
            <w:tcW w:w="244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r>
      <w:tr w:rsidR="00DD3B41">
        <w:trPr>
          <w:trHeight w:val="270"/>
        </w:trPr>
        <w:tc>
          <w:tcPr>
            <w:tcW w:w="64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DD3B41" w:rsidRDefault="00DD3B41">
            <w:pPr>
              <w:jc w:val="center"/>
              <w:rPr>
                <w:rFonts w:ascii="宋体" w:eastAsia="宋体" w:hAnsi="宋体" w:cs="宋体"/>
                <w:color w:val="000000"/>
                <w:sz w:val="18"/>
                <w:szCs w:val="18"/>
              </w:rPr>
            </w:pPr>
          </w:p>
        </w:tc>
        <w:tc>
          <w:tcPr>
            <w:tcW w:w="1221"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c>
          <w:tcPr>
            <w:tcW w:w="12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关键绩效指标</w:t>
            </w:r>
            <w:proofErr w:type="gramStart"/>
            <w:r>
              <w:rPr>
                <w:rFonts w:ascii="宋体" w:eastAsia="宋体" w:hAnsi="宋体" w:cs="宋体" w:hint="eastAsia"/>
                <w:color w:val="000000"/>
                <w:kern w:val="0"/>
                <w:sz w:val="18"/>
                <w:szCs w:val="18"/>
              </w:rPr>
              <w:t>一</w:t>
            </w:r>
            <w:proofErr w:type="gramEnd"/>
          </w:p>
        </w:tc>
        <w:tc>
          <w:tcPr>
            <w:tcW w:w="108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c>
          <w:tcPr>
            <w:tcW w:w="244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r>
      <w:tr w:rsidR="00DD3B41">
        <w:trPr>
          <w:trHeight w:val="270"/>
        </w:trPr>
        <w:tc>
          <w:tcPr>
            <w:tcW w:w="64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DD3B41" w:rsidRDefault="00DD3B41">
            <w:pPr>
              <w:jc w:val="center"/>
              <w:rPr>
                <w:rFonts w:ascii="宋体" w:eastAsia="宋体" w:hAnsi="宋体" w:cs="宋体"/>
                <w:color w:val="000000"/>
                <w:sz w:val="18"/>
                <w:szCs w:val="18"/>
              </w:rPr>
            </w:pPr>
          </w:p>
        </w:tc>
        <w:tc>
          <w:tcPr>
            <w:tcW w:w="1221"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c>
          <w:tcPr>
            <w:tcW w:w="12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关键绩效指标二</w:t>
            </w:r>
          </w:p>
        </w:tc>
        <w:tc>
          <w:tcPr>
            <w:tcW w:w="108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c>
          <w:tcPr>
            <w:tcW w:w="244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r>
      <w:tr w:rsidR="00DD3B41">
        <w:trPr>
          <w:trHeight w:val="270"/>
        </w:trPr>
        <w:tc>
          <w:tcPr>
            <w:tcW w:w="64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DD3B41" w:rsidRDefault="00DD3B41">
            <w:pPr>
              <w:jc w:val="center"/>
              <w:rPr>
                <w:rFonts w:ascii="宋体" w:eastAsia="宋体" w:hAnsi="宋体" w:cs="宋体"/>
                <w:color w:val="000000"/>
                <w:sz w:val="18"/>
                <w:szCs w:val="18"/>
              </w:rPr>
            </w:pPr>
          </w:p>
        </w:tc>
        <w:tc>
          <w:tcPr>
            <w:tcW w:w="1221"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c>
          <w:tcPr>
            <w:tcW w:w="12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w:t>
            </w:r>
          </w:p>
        </w:tc>
        <w:tc>
          <w:tcPr>
            <w:tcW w:w="108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c>
          <w:tcPr>
            <w:tcW w:w="244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r>
      <w:tr w:rsidR="00DD3B41">
        <w:trPr>
          <w:trHeight w:val="2250"/>
        </w:trPr>
        <w:tc>
          <w:tcPr>
            <w:tcW w:w="64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DD3B41" w:rsidRDefault="00DD3B41">
            <w:pPr>
              <w:jc w:val="center"/>
              <w:rPr>
                <w:rFonts w:ascii="宋体" w:eastAsia="宋体" w:hAnsi="宋体" w:cs="宋体"/>
                <w:color w:val="000000"/>
                <w:sz w:val="18"/>
                <w:szCs w:val="18"/>
              </w:rPr>
            </w:pPr>
          </w:p>
        </w:tc>
        <w:tc>
          <w:tcPr>
            <w:tcW w:w="1221"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重点任务二</w:t>
            </w:r>
          </w:p>
        </w:tc>
        <w:tc>
          <w:tcPr>
            <w:tcW w:w="12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任务完成率</w:t>
            </w:r>
          </w:p>
        </w:tc>
        <w:tc>
          <w:tcPr>
            <w:tcW w:w="1080"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jc w:val="center"/>
              <w:rPr>
                <w:rFonts w:ascii="宋体" w:eastAsia="宋体" w:hAnsi="宋体" w:cs="宋体"/>
                <w:color w:val="000000"/>
                <w:sz w:val="18"/>
                <w:szCs w:val="18"/>
              </w:rPr>
            </w:pPr>
            <w:r>
              <w:rPr>
                <w:rFonts w:ascii="宋体" w:eastAsia="宋体" w:hAnsi="宋体" w:cs="宋体" w:hint="eastAsia"/>
                <w:color w:val="000000"/>
                <w:sz w:val="18"/>
                <w:szCs w:val="18"/>
              </w:rPr>
              <w:t>35</w:t>
            </w:r>
          </w:p>
        </w:tc>
        <w:tc>
          <w:tcPr>
            <w:tcW w:w="14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得分=分值×实际完成任务量/绩效目标设定任务量×100%。实际完成任务量大于绩效目标设定任务量得满分。</w:t>
            </w:r>
          </w:p>
        </w:tc>
        <w:tc>
          <w:tcPr>
            <w:tcW w:w="244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r>
      <w:tr w:rsidR="00DD3B41">
        <w:trPr>
          <w:trHeight w:val="675"/>
        </w:trPr>
        <w:tc>
          <w:tcPr>
            <w:tcW w:w="64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DD3B41" w:rsidRDefault="00DD3B41">
            <w:pPr>
              <w:jc w:val="center"/>
              <w:rPr>
                <w:rFonts w:ascii="宋体" w:eastAsia="宋体" w:hAnsi="宋体" w:cs="宋体"/>
                <w:color w:val="000000"/>
                <w:sz w:val="18"/>
                <w:szCs w:val="18"/>
              </w:rPr>
            </w:pPr>
          </w:p>
        </w:tc>
        <w:tc>
          <w:tcPr>
            <w:tcW w:w="1221"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c>
          <w:tcPr>
            <w:tcW w:w="12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服务对象或受益对象满意度</w:t>
            </w:r>
          </w:p>
        </w:tc>
        <w:tc>
          <w:tcPr>
            <w:tcW w:w="108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c>
          <w:tcPr>
            <w:tcW w:w="244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r>
      <w:tr w:rsidR="00DD3B41">
        <w:trPr>
          <w:trHeight w:val="270"/>
        </w:trPr>
        <w:tc>
          <w:tcPr>
            <w:tcW w:w="64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DD3B41" w:rsidRDefault="00DD3B41">
            <w:pPr>
              <w:jc w:val="center"/>
              <w:rPr>
                <w:rFonts w:ascii="宋体" w:eastAsia="宋体" w:hAnsi="宋体" w:cs="宋体"/>
                <w:color w:val="000000"/>
                <w:sz w:val="18"/>
                <w:szCs w:val="18"/>
              </w:rPr>
            </w:pPr>
          </w:p>
        </w:tc>
        <w:tc>
          <w:tcPr>
            <w:tcW w:w="1221"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c>
          <w:tcPr>
            <w:tcW w:w="12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关键绩效指标</w:t>
            </w:r>
            <w:proofErr w:type="gramStart"/>
            <w:r>
              <w:rPr>
                <w:rFonts w:ascii="宋体" w:eastAsia="宋体" w:hAnsi="宋体" w:cs="宋体" w:hint="eastAsia"/>
                <w:color w:val="000000"/>
                <w:kern w:val="0"/>
                <w:sz w:val="18"/>
                <w:szCs w:val="18"/>
              </w:rPr>
              <w:t>一</w:t>
            </w:r>
            <w:proofErr w:type="gramEnd"/>
          </w:p>
        </w:tc>
        <w:tc>
          <w:tcPr>
            <w:tcW w:w="108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c>
          <w:tcPr>
            <w:tcW w:w="244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r>
      <w:tr w:rsidR="00DD3B41">
        <w:trPr>
          <w:trHeight w:val="270"/>
        </w:trPr>
        <w:tc>
          <w:tcPr>
            <w:tcW w:w="64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DD3B41" w:rsidRDefault="00DD3B41">
            <w:pPr>
              <w:jc w:val="center"/>
              <w:rPr>
                <w:rFonts w:ascii="宋体" w:eastAsia="宋体" w:hAnsi="宋体" w:cs="宋体"/>
                <w:color w:val="000000"/>
                <w:sz w:val="18"/>
                <w:szCs w:val="18"/>
              </w:rPr>
            </w:pPr>
          </w:p>
        </w:tc>
        <w:tc>
          <w:tcPr>
            <w:tcW w:w="1221"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c>
          <w:tcPr>
            <w:tcW w:w="12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关键绩效指标二</w:t>
            </w:r>
          </w:p>
        </w:tc>
        <w:tc>
          <w:tcPr>
            <w:tcW w:w="108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c>
          <w:tcPr>
            <w:tcW w:w="244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r>
      <w:tr w:rsidR="00DD3B41">
        <w:trPr>
          <w:trHeight w:val="270"/>
        </w:trPr>
        <w:tc>
          <w:tcPr>
            <w:tcW w:w="64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DD3B41" w:rsidRDefault="00DD3B41">
            <w:pPr>
              <w:jc w:val="center"/>
              <w:rPr>
                <w:rFonts w:ascii="宋体" w:eastAsia="宋体" w:hAnsi="宋体" w:cs="宋体"/>
                <w:color w:val="000000"/>
                <w:sz w:val="18"/>
                <w:szCs w:val="18"/>
              </w:rPr>
            </w:pPr>
          </w:p>
        </w:tc>
        <w:tc>
          <w:tcPr>
            <w:tcW w:w="1221"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c>
          <w:tcPr>
            <w:tcW w:w="12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w:t>
            </w:r>
          </w:p>
        </w:tc>
        <w:tc>
          <w:tcPr>
            <w:tcW w:w="108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c>
          <w:tcPr>
            <w:tcW w:w="244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r>
      <w:tr w:rsidR="00DD3B41">
        <w:trPr>
          <w:trHeight w:val="270"/>
        </w:trPr>
        <w:tc>
          <w:tcPr>
            <w:tcW w:w="64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DD3B41" w:rsidRDefault="00DD3B41">
            <w:pPr>
              <w:jc w:val="center"/>
              <w:rPr>
                <w:rFonts w:ascii="宋体" w:eastAsia="宋体" w:hAnsi="宋体" w:cs="宋体"/>
                <w:color w:val="000000"/>
                <w:sz w:val="18"/>
                <w:szCs w:val="18"/>
              </w:rPr>
            </w:pPr>
          </w:p>
        </w:tc>
        <w:tc>
          <w:tcPr>
            <w:tcW w:w="5061" w:type="dxa"/>
            <w:gridSpan w:val="4"/>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w:t>
            </w:r>
            <w:proofErr w:type="gramStart"/>
            <w:r>
              <w:rPr>
                <w:rFonts w:ascii="宋体" w:eastAsia="宋体" w:hAnsi="宋体" w:cs="宋体" w:hint="eastAsia"/>
                <w:color w:val="000000"/>
                <w:kern w:val="0"/>
                <w:sz w:val="18"/>
                <w:szCs w:val="18"/>
              </w:rPr>
              <w:t>…………</w:t>
            </w:r>
            <w:proofErr w:type="gramEnd"/>
          </w:p>
        </w:tc>
        <w:tc>
          <w:tcPr>
            <w:tcW w:w="2445"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jc w:val="center"/>
              <w:rPr>
                <w:rFonts w:ascii="宋体" w:eastAsia="宋体" w:hAnsi="宋体" w:cs="宋体"/>
                <w:color w:val="000000"/>
                <w:sz w:val="18"/>
                <w:szCs w:val="18"/>
              </w:rPr>
            </w:pPr>
          </w:p>
        </w:tc>
      </w:tr>
      <w:tr w:rsidR="00DD3B41">
        <w:trPr>
          <w:trHeight w:val="270"/>
        </w:trPr>
        <w:tc>
          <w:tcPr>
            <w:tcW w:w="3156"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合计</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6A7F6C">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93</w:t>
            </w:r>
          </w:p>
        </w:tc>
        <w:tc>
          <w:tcPr>
            <w:tcW w:w="3915"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D3B41" w:rsidRDefault="00DD3B41">
            <w:pPr>
              <w:widowControl/>
              <w:jc w:val="center"/>
              <w:textAlignment w:val="center"/>
              <w:rPr>
                <w:rFonts w:ascii="宋体" w:eastAsia="宋体" w:hAnsi="宋体" w:cs="宋体"/>
                <w:color w:val="000000"/>
                <w:sz w:val="18"/>
                <w:szCs w:val="18"/>
              </w:rPr>
            </w:pPr>
          </w:p>
        </w:tc>
      </w:tr>
      <w:tr w:rsidR="00DD3B41">
        <w:trPr>
          <w:trHeight w:val="270"/>
        </w:trPr>
        <w:tc>
          <w:tcPr>
            <w:tcW w:w="645" w:type="dxa"/>
            <w:tcBorders>
              <w:top w:val="nil"/>
              <w:left w:val="nil"/>
              <w:bottom w:val="nil"/>
              <w:right w:val="nil"/>
            </w:tcBorders>
            <w:noWrap/>
            <w:tcMar>
              <w:top w:w="15" w:type="dxa"/>
              <w:left w:w="15" w:type="dxa"/>
              <w:right w:w="15" w:type="dxa"/>
            </w:tcMar>
            <w:vAlign w:val="center"/>
          </w:tcPr>
          <w:p w:rsidR="00DD3B41" w:rsidRDefault="00DD3B41">
            <w:pPr>
              <w:jc w:val="center"/>
              <w:rPr>
                <w:rFonts w:ascii="宋体" w:eastAsia="宋体" w:hAnsi="宋体" w:cs="宋体"/>
                <w:color w:val="000000"/>
                <w:sz w:val="22"/>
                <w:szCs w:val="22"/>
              </w:rPr>
            </w:pPr>
          </w:p>
        </w:tc>
        <w:tc>
          <w:tcPr>
            <w:tcW w:w="1221" w:type="dxa"/>
            <w:tcBorders>
              <w:top w:val="nil"/>
              <w:left w:val="nil"/>
              <w:bottom w:val="nil"/>
              <w:right w:val="nil"/>
            </w:tcBorders>
            <w:noWrap/>
            <w:tcMar>
              <w:top w:w="15" w:type="dxa"/>
              <w:left w:w="15" w:type="dxa"/>
              <w:right w:w="15" w:type="dxa"/>
            </w:tcMar>
            <w:vAlign w:val="center"/>
          </w:tcPr>
          <w:p w:rsidR="00DD3B41" w:rsidRDefault="00DD3B41">
            <w:pPr>
              <w:jc w:val="center"/>
              <w:rPr>
                <w:rFonts w:ascii="宋体" w:eastAsia="宋体" w:hAnsi="宋体" w:cs="宋体"/>
                <w:color w:val="000000"/>
                <w:sz w:val="22"/>
                <w:szCs w:val="22"/>
              </w:rPr>
            </w:pPr>
          </w:p>
        </w:tc>
        <w:tc>
          <w:tcPr>
            <w:tcW w:w="1290" w:type="dxa"/>
            <w:tcBorders>
              <w:top w:val="nil"/>
              <w:left w:val="nil"/>
              <w:bottom w:val="nil"/>
              <w:right w:val="nil"/>
            </w:tcBorders>
            <w:noWrap/>
            <w:tcMar>
              <w:top w:w="15" w:type="dxa"/>
              <w:left w:w="15" w:type="dxa"/>
              <w:right w:w="15" w:type="dxa"/>
            </w:tcMar>
            <w:vAlign w:val="center"/>
          </w:tcPr>
          <w:p w:rsidR="00DD3B41" w:rsidRDefault="00DD3B41">
            <w:pPr>
              <w:jc w:val="center"/>
              <w:rPr>
                <w:rFonts w:ascii="宋体" w:eastAsia="宋体" w:hAnsi="宋体" w:cs="宋体"/>
                <w:color w:val="000000"/>
                <w:sz w:val="22"/>
                <w:szCs w:val="22"/>
              </w:rPr>
            </w:pPr>
          </w:p>
        </w:tc>
        <w:tc>
          <w:tcPr>
            <w:tcW w:w="1080" w:type="dxa"/>
            <w:tcBorders>
              <w:top w:val="nil"/>
              <w:left w:val="nil"/>
              <w:bottom w:val="nil"/>
              <w:right w:val="nil"/>
            </w:tcBorders>
            <w:noWrap/>
            <w:tcMar>
              <w:top w:w="15" w:type="dxa"/>
              <w:left w:w="15" w:type="dxa"/>
              <w:right w:w="15" w:type="dxa"/>
            </w:tcMar>
            <w:vAlign w:val="center"/>
          </w:tcPr>
          <w:p w:rsidR="00DD3B41" w:rsidRDefault="00DD3B41">
            <w:pPr>
              <w:jc w:val="center"/>
              <w:rPr>
                <w:rFonts w:ascii="宋体" w:eastAsia="宋体" w:hAnsi="宋体" w:cs="宋体"/>
                <w:color w:val="000000"/>
                <w:sz w:val="22"/>
                <w:szCs w:val="22"/>
              </w:rPr>
            </w:pPr>
          </w:p>
        </w:tc>
        <w:tc>
          <w:tcPr>
            <w:tcW w:w="1470" w:type="dxa"/>
            <w:tcBorders>
              <w:top w:val="nil"/>
              <w:left w:val="nil"/>
              <w:bottom w:val="nil"/>
              <w:right w:val="nil"/>
            </w:tcBorders>
            <w:noWrap/>
            <w:tcMar>
              <w:top w:w="15" w:type="dxa"/>
              <w:left w:w="15" w:type="dxa"/>
              <w:right w:w="15" w:type="dxa"/>
            </w:tcMar>
            <w:vAlign w:val="center"/>
          </w:tcPr>
          <w:p w:rsidR="00DD3B41" w:rsidRDefault="00DD3B41">
            <w:pPr>
              <w:jc w:val="center"/>
              <w:rPr>
                <w:rFonts w:ascii="宋体" w:eastAsia="宋体" w:hAnsi="宋体" w:cs="宋体"/>
                <w:color w:val="000000"/>
                <w:sz w:val="22"/>
                <w:szCs w:val="22"/>
              </w:rPr>
            </w:pPr>
          </w:p>
        </w:tc>
        <w:tc>
          <w:tcPr>
            <w:tcW w:w="2445" w:type="dxa"/>
            <w:tcBorders>
              <w:top w:val="nil"/>
              <w:left w:val="nil"/>
              <w:bottom w:val="nil"/>
              <w:right w:val="nil"/>
            </w:tcBorders>
            <w:noWrap/>
            <w:tcMar>
              <w:top w:w="15" w:type="dxa"/>
              <w:left w:w="15" w:type="dxa"/>
              <w:right w:w="15" w:type="dxa"/>
            </w:tcMar>
            <w:vAlign w:val="center"/>
          </w:tcPr>
          <w:p w:rsidR="00DD3B41" w:rsidRDefault="00DD3B41">
            <w:pPr>
              <w:jc w:val="center"/>
              <w:rPr>
                <w:rFonts w:ascii="宋体" w:eastAsia="宋体" w:hAnsi="宋体" w:cs="宋体"/>
                <w:color w:val="000000"/>
                <w:sz w:val="22"/>
                <w:szCs w:val="22"/>
              </w:rPr>
            </w:pPr>
          </w:p>
        </w:tc>
      </w:tr>
      <w:tr w:rsidR="00DD3B41">
        <w:trPr>
          <w:trHeight w:val="270"/>
        </w:trPr>
        <w:tc>
          <w:tcPr>
            <w:tcW w:w="8151" w:type="dxa"/>
            <w:gridSpan w:val="6"/>
            <w:tcBorders>
              <w:top w:val="nil"/>
              <w:left w:val="nil"/>
              <w:bottom w:val="nil"/>
              <w:right w:val="nil"/>
            </w:tcBorders>
            <w:noWrap/>
            <w:tcMar>
              <w:top w:w="15" w:type="dxa"/>
              <w:left w:w="15" w:type="dxa"/>
              <w:right w:w="15" w:type="dxa"/>
            </w:tcMar>
            <w:vAlign w:val="center"/>
          </w:tcPr>
          <w:p w:rsidR="00DD3B41" w:rsidRDefault="006A7F6C">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注：若某部门不存在某项评价内容或评价指标，则该评价内容或评价指标不计入该部门考核评价范围，即该部门评价总分=不含该评价内容或指标的实际评价总分/（100-该评价内容或指标所占分值）*100</w:t>
            </w:r>
          </w:p>
        </w:tc>
      </w:tr>
    </w:tbl>
    <w:p w:rsidR="00DD3B41" w:rsidRDefault="006A7F6C">
      <w:pPr>
        <w:spacing w:line="440" w:lineRule="exact"/>
        <w:ind w:firstLineChars="300" w:firstLine="720"/>
        <w:rPr>
          <w:rFonts w:ascii="宋体" w:eastAsia="宋体" w:hAnsi="宋体" w:cs="宋体"/>
          <w:kern w:val="0"/>
          <w:sz w:val="24"/>
          <w:szCs w:val="24"/>
        </w:rPr>
      </w:pPr>
      <w:r>
        <w:rPr>
          <w:rFonts w:ascii="宋体" w:eastAsia="宋体" w:hAnsi="宋体" w:cs="宋体" w:hint="eastAsia"/>
          <w:kern w:val="0"/>
          <w:sz w:val="24"/>
          <w:szCs w:val="24"/>
        </w:rPr>
        <w:t>单位自评95分。</w:t>
      </w:r>
    </w:p>
    <w:p w:rsidR="00DD3B41" w:rsidRDefault="006A7F6C">
      <w:pPr>
        <w:widowControl/>
        <w:adjustRightInd w:val="0"/>
        <w:snapToGrid w:val="0"/>
        <w:spacing w:line="580" w:lineRule="exact"/>
        <w:ind w:firstLineChars="200" w:firstLine="640"/>
        <w:jc w:val="left"/>
        <w:rPr>
          <w:rFonts w:ascii="楷体_GB2312" w:eastAsia="楷体_GB2312" w:hAnsi="宋体"/>
          <w:color w:val="000000"/>
          <w:kern w:val="0"/>
          <w:shd w:val="clear" w:color="auto" w:fill="FFFFFF"/>
          <w:lang w:val="zh-CN"/>
        </w:rPr>
      </w:pPr>
      <w:r>
        <w:rPr>
          <w:rFonts w:ascii="楷体_GB2312" w:eastAsia="楷体_GB2312" w:hAnsi="宋体" w:cs="仿宋_GB2312" w:hint="eastAsia"/>
          <w:color w:val="000000"/>
          <w:kern w:val="0"/>
          <w:shd w:val="clear" w:color="auto" w:fill="FFFFFF"/>
          <w:lang w:val="zh-CN"/>
        </w:rPr>
        <w:t>（二）存在问题。</w:t>
      </w:r>
    </w:p>
    <w:p w:rsidR="00DD3B41" w:rsidRDefault="006A7F6C">
      <w:pPr>
        <w:widowControl/>
        <w:shd w:val="clear" w:color="auto" w:fill="FFFFFF"/>
        <w:spacing w:line="408" w:lineRule="auto"/>
        <w:ind w:firstLineChars="200" w:firstLine="560"/>
        <w:jc w:val="left"/>
        <w:rPr>
          <w:rFonts w:ascii="宋体" w:hAnsi="宋体" w:cs="宋体"/>
          <w:kern w:val="0"/>
          <w:sz w:val="28"/>
          <w:szCs w:val="28"/>
        </w:rPr>
      </w:pPr>
      <w:r>
        <w:rPr>
          <w:rFonts w:ascii="宋体" w:hAnsi="宋体" w:cs="宋体" w:hint="eastAsia"/>
          <w:color w:val="000000"/>
          <w:sz w:val="28"/>
          <w:szCs w:val="28"/>
        </w:rPr>
        <w:t>1</w:t>
      </w:r>
      <w:r>
        <w:rPr>
          <w:rFonts w:ascii="宋体" w:hAnsi="宋体" w:cs="宋体" w:hint="eastAsia"/>
          <w:color w:val="000000"/>
          <w:sz w:val="28"/>
          <w:szCs w:val="28"/>
        </w:rPr>
        <w:t>、</w:t>
      </w:r>
      <w:r>
        <w:rPr>
          <w:rFonts w:ascii="宋体" w:hAnsi="宋体" w:cs="宋体" w:hint="eastAsia"/>
          <w:kern w:val="0"/>
          <w:sz w:val="28"/>
          <w:szCs w:val="28"/>
        </w:rPr>
        <w:t>预算编制工作有待细化。预算编制不够明确和细化，预算编制的合理性需要提高，预算执行力度还要进一步加强。</w:t>
      </w:r>
    </w:p>
    <w:p w:rsidR="00DD3B41" w:rsidRDefault="006A7F6C">
      <w:pPr>
        <w:widowControl/>
        <w:shd w:val="clear" w:color="auto" w:fill="FFFFFF"/>
        <w:spacing w:line="408" w:lineRule="auto"/>
        <w:ind w:firstLineChars="200" w:firstLine="560"/>
        <w:jc w:val="left"/>
        <w:rPr>
          <w:rFonts w:ascii="宋体" w:hAnsi="宋体" w:cs="宋体"/>
          <w:kern w:val="0"/>
          <w:sz w:val="28"/>
          <w:szCs w:val="28"/>
        </w:rPr>
      </w:pPr>
      <w:r>
        <w:rPr>
          <w:rFonts w:ascii="宋体" w:hAnsi="宋体" w:cs="宋体" w:hint="eastAsia"/>
          <w:kern w:val="0"/>
          <w:sz w:val="28"/>
          <w:szCs w:val="28"/>
        </w:rPr>
        <w:t>2</w:t>
      </w:r>
      <w:r>
        <w:rPr>
          <w:rFonts w:ascii="宋体" w:hAnsi="宋体" w:cs="宋体" w:hint="eastAsia"/>
          <w:kern w:val="0"/>
          <w:sz w:val="28"/>
          <w:szCs w:val="28"/>
        </w:rPr>
        <w:t>、</w:t>
      </w:r>
      <w:r>
        <w:rPr>
          <w:rFonts w:ascii="宋体" w:hAnsi="宋体" w:cs="宋体" w:hint="eastAsia"/>
          <w:color w:val="000000"/>
          <w:sz w:val="28"/>
          <w:szCs w:val="28"/>
        </w:rPr>
        <w:t>因单位全额编制少导致经费不足：日常公用经费不足。</w:t>
      </w:r>
    </w:p>
    <w:p w:rsidR="00DD3B41" w:rsidRDefault="006A7F6C">
      <w:pPr>
        <w:widowControl/>
        <w:adjustRightInd w:val="0"/>
        <w:snapToGrid w:val="0"/>
        <w:spacing w:line="580" w:lineRule="exact"/>
        <w:ind w:firstLineChars="200" w:firstLine="640"/>
        <w:jc w:val="left"/>
        <w:rPr>
          <w:rFonts w:ascii="楷体_GB2312" w:eastAsia="楷体_GB2312" w:hAnsi="宋体" w:cs="仿宋_GB2312"/>
          <w:color w:val="000000"/>
          <w:kern w:val="0"/>
          <w:shd w:val="clear" w:color="auto" w:fill="FFFFFF"/>
          <w:lang w:val="zh-CN"/>
        </w:rPr>
      </w:pPr>
      <w:r>
        <w:rPr>
          <w:rFonts w:ascii="楷体_GB2312" w:eastAsia="楷体_GB2312" w:hAnsi="宋体" w:cs="仿宋_GB2312" w:hint="eastAsia"/>
          <w:color w:val="000000"/>
          <w:kern w:val="0"/>
          <w:shd w:val="clear" w:color="auto" w:fill="FFFFFF"/>
          <w:lang w:val="zh-CN"/>
        </w:rPr>
        <w:t>（三）改进建议。</w:t>
      </w:r>
    </w:p>
    <w:p w:rsidR="00DD3B41" w:rsidRDefault="006A7F6C">
      <w:pPr>
        <w:widowControl/>
        <w:shd w:val="clear" w:color="auto" w:fill="FFFFFF"/>
        <w:spacing w:line="600" w:lineRule="atLeast"/>
        <w:ind w:firstLine="640"/>
        <w:jc w:val="left"/>
        <w:rPr>
          <w:rFonts w:ascii="宋体" w:hAnsi="宋体" w:cs="宋体"/>
          <w:kern w:val="0"/>
          <w:sz w:val="28"/>
          <w:szCs w:val="28"/>
        </w:rPr>
      </w:pPr>
      <w:r>
        <w:rPr>
          <w:rFonts w:ascii="宋体" w:hAnsi="宋体" w:cs="宋体" w:hint="eastAsia"/>
          <w:kern w:val="0"/>
          <w:sz w:val="28"/>
          <w:szCs w:val="28"/>
        </w:rPr>
        <w:t>针对上述存在的问题及对外整体支出管理工作的需要，拟实施的改进措施如下：</w:t>
      </w:r>
    </w:p>
    <w:p w:rsidR="00DD3B41" w:rsidRDefault="006A7F6C">
      <w:pPr>
        <w:widowControl/>
        <w:shd w:val="clear" w:color="auto" w:fill="FFFFFF"/>
        <w:spacing w:line="600" w:lineRule="atLeast"/>
        <w:ind w:firstLine="640"/>
        <w:jc w:val="left"/>
        <w:rPr>
          <w:rFonts w:ascii="宋体" w:hAnsi="宋体" w:cs="宋体"/>
          <w:kern w:val="0"/>
          <w:sz w:val="28"/>
          <w:szCs w:val="28"/>
        </w:rPr>
      </w:pPr>
      <w:r>
        <w:rPr>
          <w:rFonts w:ascii="宋体" w:hAnsi="宋体" w:cs="宋体" w:hint="eastAsia"/>
          <w:kern w:val="0"/>
          <w:sz w:val="28"/>
          <w:szCs w:val="28"/>
        </w:rPr>
        <w:t>1</w:t>
      </w:r>
      <w:r>
        <w:rPr>
          <w:rFonts w:ascii="宋体" w:hAnsi="宋体" w:cs="宋体" w:hint="eastAsia"/>
          <w:kern w:val="0"/>
          <w:sz w:val="28"/>
          <w:szCs w:val="28"/>
        </w:rPr>
        <w:t>、细化预算编制工作，认真做好预算的编制。进一步加强单位内部机构各股室的预算管理意识，严格按照预算编制的相关制度和要求进行预算编制；全面编制预算项目，优先保障固定性的、相对刚性的费用支出项目，尽</w:t>
      </w:r>
      <w:r>
        <w:rPr>
          <w:rFonts w:ascii="宋体" w:hAnsi="宋体" w:cs="宋体" w:hint="eastAsia"/>
          <w:kern w:val="0"/>
          <w:sz w:val="28"/>
          <w:szCs w:val="28"/>
        </w:rPr>
        <w:lastRenderedPageBreak/>
        <w:t>量压缩变动性的、有控制空间的费用项目，进一步提高预算编制的科学性、严谨性和可控性。加强内部预算编制的审核和预算控制指标的下达。</w:t>
      </w:r>
    </w:p>
    <w:p w:rsidR="00DD3B41" w:rsidRDefault="006A7F6C">
      <w:pPr>
        <w:widowControl/>
        <w:shd w:val="clear" w:color="auto" w:fill="FFFFFF"/>
        <w:spacing w:line="600" w:lineRule="atLeast"/>
        <w:ind w:firstLine="640"/>
        <w:jc w:val="left"/>
        <w:rPr>
          <w:rFonts w:ascii="宋体" w:hAnsi="宋体" w:cs="宋体"/>
          <w:kern w:val="0"/>
          <w:sz w:val="28"/>
          <w:szCs w:val="28"/>
        </w:rPr>
      </w:pPr>
      <w:r>
        <w:rPr>
          <w:rFonts w:ascii="宋体" w:hAnsi="宋体" w:cs="宋体" w:hint="eastAsia"/>
          <w:kern w:val="0"/>
          <w:sz w:val="28"/>
          <w:szCs w:val="28"/>
        </w:rPr>
        <w:t>2</w:t>
      </w:r>
      <w:r>
        <w:rPr>
          <w:rFonts w:ascii="宋体" w:hAnsi="宋体" w:cs="宋体" w:hint="eastAsia"/>
          <w:kern w:val="0"/>
          <w:sz w:val="28"/>
          <w:szCs w:val="28"/>
        </w:rPr>
        <w:t>、加强财务管理，严格财务审核。加强单位财务管理，健全单位财务管理制度体系，规范单位财务行为。在费用报账支付时，按照预算规定的费用项目和用途进行资金使用审核、列报支付、财务核算，杜绝超支现象的发生。</w:t>
      </w:r>
    </w:p>
    <w:p w:rsidR="00DD3B41" w:rsidRDefault="006A7F6C">
      <w:pPr>
        <w:widowControl/>
        <w:shd w:val="clear" w:color="auto" w:fill="FFFFFF"/>
        <w:spacing w:line="600" w:lineRule="atLeast"/>
        <w:ind w:firstLine="640"/>
        <w:jc w:val="left"/>
        <w:rPr>
          <w:rFonts w:ascii="宋体" w:hAnsi="宋体" w:cs="宋体"/>
          <w:kern w:val="0"/>
          <w:sz w:val="28"/>
          <w:szCs w:val="28"/>
        </w:rPr>
      </w:pPr>
      <w:r>
        <w:rPr>
          <w:rFonts w:ascii="宋体" w:hAnsi="宋体" w:cs="宋体" w:hint="eastAsia"/>
          <w:kern w:val="0"/>
          <w:sz w:val="28"/>
          <w:szCs w:val="28"/>
        </w:rPr>
        <w:t>3</w:t>
      </w:r>
      <w:r>
        <w:rPr>
          <w:rFonts w:ascii="宋体" w:hAnsi="宋体" w:cs="宋体" w:hint="eastAsia"/>
          <w:kern w:val="0"/>
          <w:sz w:val="28"/>
          <w:szCs w:val="28"/>
        </w:rPr>
        <w:t>、完善资产管理，抓好“三公”经费控制。严格编制政府采购年初预算和计划，规范各类资产的购置审批制度、资产出租出借和收入管理制度、资产采购制度、使用管理制度、资产处置和报废审批制度、资产管理岗位职责制度等，加强单位内部的资产管理工作。严格控制“三公”经费的规模和比例，把关“三公”经费支出的审核、审批，杜绝挪用和挤占其他预算资金行为；进一步细化“三公”经费的管理，合理压缩“三公”经费支出。</w:t>
      </w:r>
    </w:p>
    <w:p w:rsidR="00DD3B41" w:rsidRDefault="006A7F6C">
      <w:pPr>
        <w:widowControl/>
        <w:shd w:val="clear" w:color="auto" w:fill="FFFFFF"/>
        <w:spacing w:line="570" w:lineRule="atLeast"/>
        <w:ind w:firstLine="480"/>
        <w:jc w:val="left"/>
        <w:rPr>
          <w:rFonts w:ascii="宋体" w:hAnsi="宋体" w:cs="宋体"/>
          <w:kern w:val="0"/>
          <w:sz w:val="28"/>
          <w:szCs w:val="28"/>
        </w:rPr>
      </w:pPr>
      <w:r>
        <w:rPr>
          <w:rFonts w:ascii="宋体" w:hAnsi="宋体" w:cs="宋体" w:hint="eastAsia"/>
          <w:kern w:val="0"/>
          <w:sz w:val="28"/>
          <w:szCs w:val="28"/>
        </w:rPr>
        <w:t>4</w:t>
      </w:r>
      <w:r>
        <w:rPr>
          <w:rFonts w:ascii="宋体" w:hAnsi="宋体" w:cs="宋体" w:hint="eastAsia"/>
          <w:kern w:val="0"/>
          <w:sz w:val="28"/>
          <w:szCs w:val="28"/>
        </w:rPr>
        <w:t>、对相关人员加强培训，特别是针对《预算法》、《行政事业单位会计制度》等学习培训，规范部门预算收支核算，切实提高部门预算收支管理水平。</w:t>
      </w:r>
    </w:p>
    <w:p w:rsidR="00DD3B41" w:rsidRDefault="00DD3B41">
      <w:pPr>
        <w:widowControl/>
        <w:adjustRightInd w:val="0"/>
        <w:snapToGrid w:val="0"/>
        <w:spacing w:line="580" w:lineRule="exact"/>
        <w:ind w:firstLineChars="200" w:firstLine="640"/>
        <w:jc w:val="left"/>
        <w:rPr>
          <w:rFonts w:ascii="楷体_GB2312" w:eastAsia="楷体_GB2312" w:hAnsi="宋体" w:cs="仿宋_GB2312"/>
          <w:color w:val="000000"/>
          <w:kern w:val="0"/>
          <w:shd w:val="clear" w:color="auto" w:fill="FFFFFF"/>
          <w:lang w:val="zh-CN"/>
        </w:rPr>
      </w:pPr>
    </w:p>
    <w:sectPr w:rsidR="00DD3B41" w:rsidSect="00DD3B41">
      <w:headerReference w:type="even" r:id="rId9"/>
      <w:headerReference w:type="default" r:id="rId10"/>
      <w:footerReference w:type="even" r:id="rId11"/>
      <w:footerReference w:type="default" r:id="rId12"/>
      <w:headerReference w:type="first" r:id="rId13"/>
      <w:footerReference w:type="first" r:id="rId14"/>
      <w:pgSz w:w="11906" w:h="16838"/>
      <w:pgMar w:top="907" w:right="1361" w:bottom="851" w:left="1361" w:header="851" w:footer="992" w:gutter="0"/>
      <w:pgNumType w:fmt="numberInDash" w:start="12"/>
      <w:cols w:space="425"/>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3AD" w:rsidRDefault="003303AD" w:rsidP="00DD3B41">
      <w:r>
        <w:separator/>
      </w:r>
    </w:p>
  </w:endnote>
  <w:endnote w:type="continuationSeparator" w:id="0">
    <w:p w:rsidR="003303AD" w:rsidRDefault="003303AD" w:rsidP="00DD3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
    <w:altName w:val="Times New Roman"/>
    <w:charset w:val="00"/>
    <w:family w:val="roman"/>
    <w:pitch w:val="default"/>
    <w:sig w:usb0="00000000"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方正小标宋_GBK">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C23" w:rsidRDefault="00E00C2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C23" w:rsidRDefault="00E00C23">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C23" w:rsidRDefault="00E00C2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3AD" w:rsidRDefault="003303AD" w:rsidP="00DD3B41">
      <w:r>
        <w:separator/>
      </w:r>
    </w:p>
  </w:footnote>
  <w:footnote w:type="continuationSeparator" w:id="0">
    <w:p w:rsidR="003303AD" w:rsidRDefault="003303AD" w:rsidP="00DD3B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C23" w:rsidRDefault="00E00C2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B41" w:rsidRDefault="00DD3B41" w:rsidP="00E00C23">
    <w:pPr>
      <w:pStyle w:val="a6"/>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C23" w:rsidRDefault="00E00C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B001C0"/>
    <w:multiLevelType w:val="singleLevel"/>
    <w:tmpl w:val="84B001C0"/>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1"/>
  <w:embedSystemFonts/>
  <w:bordersDoNotSurroundHeader/>
  <w:bordersDoNotSurroundFooter/>
  <w:proofState w:spelling="clean" w:grammar="clean"/>
  <w:doNotTrackMoves/>
  <w:defaultTabStop w:val="420"/>
  <w:doNotHyphenateCaps/>
  <w:drawingGridHorizontalSpacing w:val="160"/>
  <w:drawingGridVerticalSpacing w:val="435"/>
  <w:displayHorizontalDrawingGridEvery w:val="0"/>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C0174"/>
    <w:rsid w:val="00006E4D"/>
    <w:rsid w:val="00021652"/>
    <w:rsid w:val="00030311"/>
    <w:rsid w:val="00030782"/>
    <w:rsid w:val="00030B66"/>
    <w:rsid w:val="0006102A"/>
    <w:rsid w:val="00065B0F"/>
    <w:rsid w:val="00065E7E"/>
    <w:rsid w:val="000820BB"/>
    <w:rsid w:val="0008241B"/>
    <w:rsid w:val="00092280"/>
    <w:rsid w:val="00097FAE"/>
    <w:rsid w:val="000A3233"/>
    <w:rsid w:val="000A7CE3"/>
    <w:rsid w:val="000B04D6"/>
    <w:rsid w:val="000B15CE"/>
    <w:rsid w:val="000C40C6"/>
    <w:rsid w:val="000C79C1"/>
    <w:rsid w:val="000D208A"/>
    <w:rsid w:val="000E037E"/>
    <w:rsid w:val="000F0250"/>
    <w:rsid w:val="000F659A"/>
    <w:rsid w:val="000F77B0"/>
    <w:rsid w:val="0010235D"/>
    <w:rsid w:val="00103A47"/>
    <w:rsid w:val="00106D4D"/>
    <w:rsid w:val="001119A2"/>
    <w:rsid w:val="001221D6"/>
    <w:rsid w:val="0012510A"/>
    <w:rsid w:val="00125F67"/>
    <w:rsid w:val="001261AE"/>
    <w:rsid w:val="001348A4"/>
    <w:rsid w:val="0014117C"/>
    <w:rsid w:val="00146FE8"/>
    <w:rsid w:val="0014767B"/>
    <w:rsid w:val="00147AED"/>
    <w:rsid w:val="00177AAF"/>
    <w:rsid w:val="00183850"/>
    <w:rsid w:val="00184D9F"/>
    <w:rsid w:val="001A4749"/>
    <w:rsid w:val="001A4842"/>
    <w:rsid w:val="001A5833"/>
    <w:rsid w:val="001C2158"/>
    <w:rsid w:val="001C51F2"/>
    <w:rsid w:val="001C73AB"/>
    <w:rsid w:val="001D2EA4"/>
    <w:rsid w:val="001F47CE"/>
    <w:rsid w:val="001F5776"/>
    <w:rsid w:val="0020620D"/>
    <w:rsid w:val="002069BC"/>
    <w:rsid w:val="002069EB"/>
    <w:rsid w:val="002201B0"/>
    <w:rsid w:val="00220900"/>
    <w:rsid w:val="0022307E"/>
    <w:rsid w:val="00224D05"/>
    <w:rsid w:val="002323A3"/>
    <w:rsid w:val="00236EF7"/>
    <w:rsid w:val="0024058A"/>
    <w:rsid w:val="002410C0"/>
    <w:rsid w:val="00252894"/>
    <w:rsid w:val="00253FA6"/>
    <w:rsid w:val="00254728"/>
    <w:rsid w:val="002550E7"/>
    <w:rsid w:val="002558D4"/>
    <w:rsid w:val="002560E2"/>
    <w:rsid w:val="00264CFA"/>
    <w:rsid w:val="00270DD7"/>
    <w:rsid w:val="00276F4A"/>
    <w:rsid w:val="00280BFB"/>
    <w:rsid w:val="00280C88"/>
    <w:rsid w:val="00286C1D"/>
    <w:rsid w:val="002973A4"/>
    <w:rsid w:val="002A0195"/>
    <w:rsid w:val="002B5B34"/>
    <w:rsid w:val="002B6906"/>
    <w:rsid w:val="002B7215"/>
    <w:rsid w:val="002C0AFD"/>
    <w:rsid w:val="002C59D0"/>
    <w:rsid w:val="002D1A18"/>
    <w:rsid w:val="002D6C79"/>
    <w:rsid w:val="002E1104"/>
    <w:rsid w:val="002E3FDD"/>
    <w:rsid w:val="002F1843"/>
    <w:rsid w:val="00300EF4"/>
    <w:rsid w:val="00301353"/>
    <w:rsid w:val="00305FF6"/>
    <w:rsid w:val="00307568"/>
    <w:rsid w:val="00311506"/>
    <w:rsid w:val="00313C47"/>
    <w:rsid w:val="00316ADB"/>
    <w:rsid w:val="00317623"/>
    <w:rsid w:val="003206B0"/>
    <w:rsid w:val="003303AD"/>
    <w:rsid w:val="00335F67"/>
    <w:rsid w:val="003361E9"/>
    <w:rsid w:val="00350A65"/>
    <w:rsid w:val="00361C85"/>
    <w:rsid w:val="00371352"/>
    <w:rsid w:val="00376753"/>
    <w:rsid w:val="0038541D"/>
    <w:rsid w:val="00387818"/>
    <w:rsid w:val="00391A13"/>
    <w:rsid w:val="00391FD0"/>
    <w:rsid w:val="003A44FC"/>
    <w:rsid w:val="003B3299"/>
    <w:rsid w:val="003C1E75"/>
    <w:rsid w:val="003D10A2"/>
    <w:rsid w:val="003D33B8"/>
    <w:rsid w:val="003D624D"/>
    <w:rsid w:val="003D719A"/>
    <w:rsid w:val="003F5EB7"/>
    <w:rsid w:val="003F7FE2"/>
    <w:rsid w:val="004004E7"/>
    <w:rsid w:val="00416E1A"/>
    <w:rsid w:val="00426A3F"/>
    <w:rsid w:val="004277D4"/>
    <w:rsid w:val="00461638"/>
    <w:rsid w:val="004706FA"/>
    <w:rsid w:val="00474D8D"/>
    <w:rsid w:val="00475CCD"/>
    <w:rsid w:val="00477266"/>
    <w:rsid w:val="004811BC"/>
    <w:rsid w:val="004838F2"/>
    <w:rsid w:val="00486492"/>
    <w:rsid w:val="00492CF6"/>
    <w:rsid w:val="004A180A"/>
    <w:rsid w:val="004A4C9D"/>
    <w:rsid w:val="004C2078"/>
    <w:rsid w:val="004C228F"/>
    <w:rsid w:val="004E752F"/>
    <w:rsid w:val="004F1E37"/>
    <w:rsid w:val="00506C02"/>
    <w:rsid w:val="00515198"/>
    <w:rsid w:val="00521C44"/>
    <w:rsid w:val="005274E1"/>
    <w:rsid w:val="00531DDF"/>
    <w:rsid w:val="00535FA6"/>
    <w:rsid w:val="00542AB7"/>
    <w:rsid w:val="0055358D"/>
    <w:rsid w:val="005540C8"/>
    <w:rsid w:val="00555809"/>
    <w:rsid w:val="00562165"/>
    <w:rsid w:val="005756AF"/>
    <w:rsid w:val="00575A4A"/>
    <w:rsid w:val="00591B6F"/>
    <w:rsid w:val="005A1DAF"/>
    <w:rsid w:val="005C17C8"/>
    <w:rsid w:val="005C2098"/>
    <w:rsid w:val="005C2E6C"/>
    <w:rsid w:val="005D0CCF"/>
    <w:rsid w:val="005D1C01"/>
    <w:rsid w:val="005E297D"/>
    <w:rsid w:val="005E3F12"/>
    <w:rsid w:val="005F627E"/>
    <w:rsid w:val="00614A60"/>
    <w:rsid w:val="0061652E"/>
    <w:rsid w:val="006205E9"/>
    <w:rsid w:val="00622D0B"/>
    <w:rsid w:val="006270DA"/>
    <w:rsid w:val="00630B75"/>
    <w:rsid w:val="00634DFF"/>
    <w:rsid w:val="00635337"/>
    <w:rsid w:val="0064265B"/>
    <w:rsid w:val="0064519C"/>
    <w:rsid w:val="0065082E"/>
    <w:rsid w:val="006512D0"/>
    <w:rsid w:val="006560A3"/>
    <w:rsid w:val="00656301"/>
    <w:rsid w:val="006600C9"/>
    <w:rsid w:val="006701CC"/>
    <w:rsid w:val="00671F58"/>
    <w:rsid w:val="006762A4"/>
    <w:rsid w:val="006900E7"/>
    <w:rsid w:val="006A00A8"/>
    <w:rsid w:val="006A482D"/>
    <w:rsid w:val="006A7F6C"/>
    <w:rsid w:val="006B11E0"/>
    <w:rsid w:val="006B386A"/>
    <w:rsid w:val="006B7CB4"/>
    <w:rsid w:val="006C24D3"/>
    <w:rsid w:val="006C7917"/>
    <w:rsid w:val="006E51AE"/>
    <w:rsid w:val="0070081F"/>
    <w:rsid w:val="007018F5"/>
    <w:rsid w:val="00707B80"/>
    <w:rsid w:val="00710897"/>
    <w:rsid w:val="00712F45"/>
    <w:rsid w:val="00734305"/>
    <w:rsid w:val="007370E1"/>
    <w:rsid w:val="007732A1"/>
    <w:rsid w:val="00774C4A"/>
    <w:rsid w:val="007759DE"/>
    <w:rsid w:val="00782BBB"/>
    <w:rsid w:val="007A0690"/>
    <w:rsid w:val="007A078F"/>
    <w:rsid w:val="007B34D4"/>
    <w:rsid w:val="007C0633"/>
    <w:rsid w:val="007D086C"/>
    <w:rsid w:val="007F1BE1"/>
    <w:rsid w:val="007F707F"/>
    <w:rsid w:val="007F794C"/>
    <w:rsid w:val="007F7AC9"/>
    <w:rsid w:val="00803B42"/>
    <w:rsid w:val="008073EF"/>
    <w:rsid w:val="0081095C"/>
    <w:rsid w:val="00810C41"/>
    <w:rsid w:val="008159E4"/>
    <w:rsid w:val="008212FF"/>
    <w:rsid w:val="00821CF7"/>
    <w:rsid w:val="0082593B"/>
    <w:rsid w:val="00827537"/>
    <w:rsid w:val="008468EA"/>
    <w:rsid w:val="00846FAB"/>
    <w:rsid w:val="00867140"/>
    <w:rsid w:val="00870E4C"/>
    <w:rsid w:val="00881134"/>
    <w:rsid w:val="008904F0"/>
    <w:rsid w:val="008B2F27"/>
    <w:rsid w:val="008B4A72"/>
    <w:rsid w:val="008B585E"/>
    <w:rsid w:val="008E6C0C"/>
    <w:rsid w:val="008F1E63"/>
    <w:rsid w:val="008F3052"/>
    <w:rsid w:val="00901E19"/>
    <w:rsid w:val="009214F7"/>
    <w:rsid w:val="00921CD7"/>
    <w:rsid w:val="00940EB6"/>
    <w:rsid w:val="0094184C"/>
    <w:rsid w:val="00944771"/>
    <w:rsid w:val="009601FC"/>
    <w:rsid w:val="00965426"/>
    <w:rsid w:val="0096654A"/>
    <w:rsid w:val="009711E4"/>
    <w:rsid w:val="00971572"/>
    <w:rsid w:val="00981E55"/>
    <w:rsid w:val="00986CEF"/>
    <w:rsid w:val="00987212"/>
    <w:rsid w:val="009A0E5F"/>
    <w:rsid w:val="009F1AF3"/>
    <w:rsid w:val="009F233E"/>
    <w:rsid w:val="00A024AB"/>
    <w:rsid w:val="00A044F0"/>
    <w:rsid w:val="00A050A5"/>
    <w:rsid w:val="00A05B8B"/>
    <w:rsid w:val="00A1372F"/>
    <w:rsid w:val="00A170EC"/>
    <w:rsid w:val="00A217B3"/>
    <w:rsid w:val="00A23D04"/>
    <w:rsid w:val="00A277D9"/>
    <w:rsid w:val="00A30CEB"/>
    <w:rsid w:val="00A31318"/>
    <w:rsid w:val="00A5432A"/>
    <w:rsid w:val="00A55F8A"/>
    <w:rsid w:val="00A9670E"/>
    <w:rsid w:val="00AA1423"/>
    <w:rsid w:val="00AB7996"/>
    <w:rsid w:val="00AC43C3"/>
    <w:rsid w:val="00AC79E5"/>
    <w:rsid w:val="00AE02F0"/>
    <w:rsid w:val="00AE2EAD"/>
    <w:rsid w:val="00AF77BE"/>
    <w:rsid w:val="00B10986"/>
    <w:rsid w:val="00B11CEE"/>
    <w:rsid w:val="00B23428"/>
    <w:rsid w:val="00B264BF"/>
    <w:rsid w:val="00B42E74"/>
    <w:rsid w:val="00B46874"/>
    <w:rsid w:val="00B50E8F"/>
    <w:rsid w:val="00B51151"/>
    <w:rsid w:val="00B523E4"/>
    <w:rsid w:val="00B52B4F"/>
    <w:rsid w:val="00B6108C"/>
    <w:rsid w:val="00B649AD"/>
    <w:rsid w:val="00B64B9C"/>
    <w:rsid w:val="00B67A3E"/>
    <w:rsid w:val="00B735CC"/>
    <w:rsid w:val="00B82C95"/>
    <w:rsid w:val="00B83F87"/>
    <w:rsid w:val="00B84DFD"/>
    <w:rsid w:val="00BB4E38"/>
    <w:rsid w:val="00BC3879"/>
    <w:rsid w:val="00BD0E0D"/>
    <w:rsid w:val="00BD41BC"/>
    <w:rsid w:val="00BD55AD"/>
    <w:rsid w:val="00BE0305"/>
    <w:rsid w:val="00BF15F0"/>
    <w:rsid w:val="00BF7DF9"/>
    <w:rsid w:val="00C03559"/>
    <w:rsid w:val="00C05395"/>
    <w:rsid w:val="00C142BC"/>
    <w:rsid w:val="00C17783"/>
    <w:rsid w:val="00C22AD7"/>
    <w:rsid w:val="00C272C1"/>
    <w:rsid w:val="00C32A68"/>
    <w:rsid w:val="00C34282"/>
    <w:rsid w:val="00C35350"/>
    <w:rsid w:val="00C3564B"/>
    <w:rsid w:val="00C53721"/>
    <w:rsid w:val="00C64D2E"/>
    <w:rsid w:val="00C70F97"/>
    <w:rsid w:val="00C7497C"/>
    <w:rsid w:val="00C757A2"/>
    <w:rsid w:val="00C75966"/>
    <w:rsid w:val="00C76577"/>
    <w:rsid w:val="00C80225"/>
    <w:rsid w:val="00C81349"/>
    <w:rsid w:val="00C93139"/>
    <w:rsid w:val="00CA08A0"/>
    <w:rsid w:val="00CA2998"/>
    <w:rsid w:val="00CA32D2"/>
    <w:rsid w:val="00CA4E07"/>
    <w:rsid w:val="00CA737D"/>
    <w:rsid w:val="00CB1EF5"/>
    <w:rsid w:val="00CC05D4"/>
    <w:rsid w:val="00CC7166"/>
    <w:rsid w:val="00CF5275"/>
    <w:rsid w:val="00CF6136"/>
    <w:rsid w:val="00D0023D"/>
    <w:rsid w:val="00D006C6"/>
    <w:rsid w:val="00D136B4"/>
    <w:rsid w:val="00D14A65"/>
    <w:rsid w:val="00D162B9"/>
    <w:rsid w:val="00D251E2"/>
    <w:rsid w:val="00D254F4"/>
    <w:rsid w:val="00D263A7"/>
    <w:rsid w:val="00D26B5D"/>
    <w:rsid w:val="00D33159"/>
    <w:rsid w:val="00D33A19"/>
    <w:rsid w:val="00D355B5"/>
    <w:rsid w:val="00D35D8E"/>
    <w:rsid w:val="00D43DC3"/>
    <w:rsid w:val="00D51791"/>
    <w:rsid w:val="00D5281E"/>
    <w:rsid w:val="00D606C7"/>
    <w:rsid w:val="00D6531B"/>
    <w:rsid w:val="00D6612D"/>
    <w:rsid w:val="00D71AD9"/>
    <w:rsid w:val="00D73C02"/>
    <w:rsid w:val="00D872ED"/>
    <w:rsid w:val="00D913C6"/>
    <w:rsid w:val="00DA0236"/>
    <w:rsid w:val="00DA5D51"/>
    <w:rsid w:val="00DA5E29"/>
    <w:rsid w:val="00DA61CA"/>
    <w:rsid w:val="00DB66BB"/>
    <w:rsid w:val="00DB73AF"/>
    <w:rsid w:val="00DC2865"/>
    <w:rsid w:val="00DD0894"/>
    <w:rsid w:val="00DD3B41"/>
    <w:rsid w:val="00DE1888"/>
    <w:rsid w:val="00DF1250"/>
    <w:rsid w:val="00DF6EF7"/>
    <w:rsid w:val="00E00C23"/>
    <w:rsid w:val="00E05454"/>
    <w:rsid w:val="00E074C3"/>
    <w:rsid w:val="00E23329"/>
    <w:rsid w:val="00E24D6D"/>
    <w:rsid w:val="00E341B2"/>
    <w:rsid w:val="00E42633"/>
    <w:rsid w:val="00E5699E"/>
    <w:rsid w:val="00E570E1"/>
    <w:rsid w:val="00E72773"/>
    <w:rsid w:val="00E76739"/>
    <w:rsid w:val="00E81946"/>
    <w:rsid w:val="00E82BB7"/>
    <w:rsid w:val="00E86D13"/>
    <w:rsid w:val="00E936C2"/>
    <w:rsid w:val="00E95346"/>
    <w:rsid w:val="00EA0CEF"/>
    <w:rsid w:val="00EA2E2A"/>
    <w:rsid w:val="00EB5633"/>
    <w:rsid w:val="00EB79D2"/>
    <w:rsid w:val="00EC0174"/>
    <w:rsid w:val="00ED3EEB"/>
    <w:rsid w:val="00ED5749"/>
    <w:rsid w:val="00ED5FA3"/>
    <w:rsid w:val="00ED68C4"/>
    <w:rsid w:val="00ED6A4E"/>
    <w:rsid w:val="00ED72EA"/>
    <w:rsid w:val="00EE36BF"/>
    <w:rsid w:val="00EE3A4F"/>
    <w:rsid w:val="00EF10C3"/>
    <w:rsid w:val="00EF3BD2"/>
    <w:rsid w:val="00F16BCE"/>
    <w:rsid w:val="00F35433"/>
    <w:rsid w:val="00F35EAE"/>
    <w:rsid w:val="00F45DA1"/>
    <w:rsid w:val="00F5267B"/>
    <w:rsid w:val="00F53E8B"/>
    <w:rsid w:val="00F663FD"/>
    <w:rsid w:val="00F743B0"/>
    <w:rsid w:val="00F82409"/>
    <w:rsid w:val="00F8264F"/>
    <w:rsid w:val="00F833E9"/>
    <w:rsid w:val="00F84580"/>
    <w:rsid w:val="00F873DA"/>
    <w:rsid w:val="00F9167D"/>
    <w:rsid w:val="00F95982"/>
    <w:rsid w:val="00FA006C"/>
    <w:rsid w:val="00FA190E"/>
    <w:rsid w:val="00FA288B"/>
    <w:rsid w:val="00FA2997"/>
    <w:rsid w:val="00FA2C71"/>
    <w:rsid w:val="00FB3345"/>
    <w:rsid w:val="00FD0228"/>
    <w:rsid w:val="00FD3BB7"/>
    <w:rsid w:val="00FE0D93"/>
    <w:rsid w:val="00FF2572"/>
    <w:rsid w:val="00FF32AD"/>
    <w:rsid w:val="0AE70BFC"/>
    <w:rsid w:val="0DC31556"/>
    <w:rsid w:val="1C013801"/>
    <w:rsid w:val="23D47FCF"/>
    <w:rsid w:val="2D527252"/>
    <w:rsid w:val="2EDF4302"/>
    <w:rsid w:val="32907286"/>
    <w:rsid w:val="35EB797A"/>
    <w:rsid w:val="38246CCA"/>
    <w:rsid w:val="47550EBA"/>
    <w:rsid w:val="48EE15EB"/>
    <w:rsid w:val="6636451A"/>
    <w:rsid w:val="66AB1831"/>
    <w:rsid w:val="71397E03"/>
    <w:rsid w:val="79D833C0"/>
    <w:rsid w:val="7A9314AC"/>
    <w:rsid w:val="7C631402"/>
    <w:rsid w:val="7E14077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semiHidden="0" w:unhideWhenUsed="0" w:qFormat="1"/>
    <w:lsdException w:name="footer" w:locked="0" w:semiHidden="0" w:unhideWhenUsed="0" w:qFormat="1"/>
    <w:lsdException w:name="caption" w:uiPriority="35" w:qFormat="1"/>
    <w:lsdException w:name="page number" w:locked="0" w:semiHidden="0" w:unhideWhenUsed="0" w:qFormat="1"/>
    <w:lsdException w:name="Title"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locked="0" w:unhideWhenUsed="0" w:qFormat="1"/>
    <w:lsdException w:name="HTML Top of Form" w:locked="0"/>
    <w:lsdException w:name="HTML Bottom of Form" w:locked="0"/>
    <w:lsdException w:name="Normal Table" w:locked="0" w:qFormat="1"/>
    <w:lsdException w:name="No List" w:locked="0"/>
    <w:lsdException w:name="Outline List 1" w:locked="0"/>
    <w:lsdException w:name="Outline List 2" w:locked="0"/>
    <w:lsdException w:name="Outline List 3" w:locked="0"/>
    <w:lsdException w:name="Balloon Text" w:locked="0" w:unhideWhenUsed="0" w:qFormat="1"/>
    <w:lsdException w:name="Table Grid" w:locked="0" w:semiHidden="0" w:unhideWhenUsed="0" w:qFormat="1"/>
    <w:lsdException w:name="Placeholder Text" w:locked="0"/>
    <w:lsdException w:name="No Spacing" w:lock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lsdException w:name="List Paragraph" w:locked="0"/>
    <w:lsdException w:name="Quote" w:locked="0"/>
    <w:lsdException w:name="Intense Quote" w:lock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DD3B41"/>
    <w:pPr>
      <w:widowControl w:val="0"/>
      <w:jc w:val="both"/>
    </w:pPr>
    <w:rPr>
      <w:rFonts w:eastAsia="仿宋_GB2312"/>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qFormat/>
    <w:rsid w:val="00DD3B41"/>
    <w:rPr>
      <w:rFonts w:ascii="宋体" w:eastAsia="宋体" w:cs="宋体"/>
      <w:sz w:val="18"/>
      <w:szCs w:val="18"/>
    </w:rPr>
  </w:style>
  <w:style w:type="paragraph" w:styleId="a4">
    <w:name w:val="Balloon Text"/>
    <w:basedOn w:val="a"/>
    <w:link w:val="Char0"/>
    <w:uiPriority w:val="99"/>
    <w:semiHidden/>
    <w:qFormat/>
    <w:rsid w:val="00DD3B41"/>
    <w:rPr>
      <w:sz w:val="18"/>
      <w:szCs w:val="18"/>
    </w:rPr>
  </w:style>
  <w:style w:type="paragraph" w:styleId="a5">
    <w:name w:val="footer"/>
    <w:basedOn w:val="a"/>
    <w:link w:val="Char1"/>
    <w:uiPriority w:val="99"/>
    <w:qFormat/>
    <w:rsid w:val="00DD3B41"/>
    <w:pPr>
      <w:tabs>
        <w:tab w:val="center" w:pos="4153"/>
        <w:tab w:val="right" w:pos="8306"/>
      </w:tabs>
      <w:snapToGrid w:val="0"/>
      <w:jc w:val="left"/>
    </w:pPr>
    <w:rPr>
      <w:rFonts w:eastAsia="宋体"/>
      <w:sz w:val="18"/>
      <w:szCs w:val="18"/>
    </w:rPr>
  </w:style>
  <w:style w:type="paragraph" w:styleId="a6">
    <w:name w:val="header"/>
    <w:basedOn w:val="a"/>
    <w:link w:val="Char2"/>
    <w:uiPriority w:val="99"/>
    <w:qFormat/>
    <w:rsid w:val="00DD3B41"/>
    <w:pPr>
      <w:pBdr>
        <w:bottom w:val="single" w:sz="6" w:space="1" w:color="auto"/>
      </w:pBdr>
      <w:tabs>
        <w:tab w:val="center" w:pos="4153"/>
        <w:tab w:val="right" w:pos="8306"/>
      </w:tabs>
      <w:snapToGrid w:val="0"/>
      <w:jc w:val="center"/>
    </w:pPr>
    <w:rPr>
      <w:rFonts w:eastAsia="宋体"/>
      <w:sz w:val="18"/>
      <w:szCs w:val="18"/>
    </w:rPr>
  </w:style>
  <w:style w:type="table" w:styleId="a7">
    <w:name w:val="Table Grid"/>
    <w:basedOn w:val="a1"/>
    <w:uiPriority w:val="99"/>
    <w:qFormat/>
    <w:rsid w:val="00DD3B4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uiPriority w:val="99"/>
    <w:qFormat/>
    <w:rsid w:val="00DD3B41"/>
  </w:style>
  <w:style w:type="character" w:customStyle="1" w:styleId="Char">
    <w:name w:val="文档结构图 Char"/>
    <w:link w:val="a3"/>
    <w:uiPriority w:val="99"/>
    <w:qFormat/>
    <w:locked/>
    <w:rsid w:val="00DD3B41"/>
    <w:rPr>
      <w:rFonts w:ascii="宋体" w:cs="宋体"/>
      <w:kern w:val="2"/>
      <w:sz w:val="18"/>
      <w:szCs w:val="18"/>
    </w:rPr>
  </w:style>
  <w:style w:type="character" w:customStyle="1" w:styleId="Char0">
    <w:name w:val="批注框文本 Char"/>
    <w:link w:val="a4"/>
    <w:uiPriority w:val="99"/>
    <w:semiHidden/>
    <w:qFormat/>
    <w:locked/>
    <w:rsid w:val="00DD3B41"/>
    <w:rPr>
      <w:rFonts w:eastAsia="仿宋_GB2312"/>
      <w:sz w:val="2"/>
      <w:szCs w:val="2"/>
    </w:rPr>
  </w:style>
  <w:style w:type="character" w:customStyle="1" w:styleId="Char1">
    <w:name w:val="页脚 Char"/>
    <w:link w:val="a5"/>
    <w:uiPriority w:val="99"/>
    <w:qFormat/>
    <w:locked/>
    <w:rsid w:val="00DD3B41"/>
    <w:rPr>
      <w:kern w:val="2"/>
      <w:sz w:val="18"/>
      <w:szCs w:val="18"/>
    </w:rPr>
  </w:style>
  <w:style w:type="character" w:customStyle="1" w:styleId="Char2">
    <w:name w:val="页眉 Char"/>
    <w:link w:val="a6"/>
    <w:uiPriority w:val="99"/>
    <w:semiHidden/>
    <w:qFormat/>
    <w:locked/>
    <w:rsid w:val="00DD3B41"/>
    <w:rPr>
      <w:rFonts w:eastAsia="仿宋_GB2312"/>
      <w:sz w:val="18"/>
      <w:szCs w:val="18"/>
    </w:rPr>
  </w:style>
  <w:style w:type="paragraph" w:customStyle="1" w:styleId="a9">
    <w:name w:val="四号正文"/>
    <w:basedOn w:val="a"/>
    <w:link w:val="Char3"/>
    <w:uiPriority w:val="99"/>
    <w:qFormat/>
    <w:rsid w:val="00DD3B41"/>
    <w:pPr>
      <w:spacing w:line="360" w:lineRule="auto"/>
    </w:pPr>
    <w:rPr>
      <w:rFonts w:ascii="??" w:eastAsia="宋体" w:hAnsi="??" w:cs="??"/>
      <w:color w:val="000000"/>
      <w:kern w:val="0"/>
      <w:sz w:val="28"/>
      <w:szCs w:val="28"/>
    </w:rPr>
  </w:style>
  <w:style w:type="character" w:customStyle="1" w:styleId="Char3">
    <w:name w:val="四号正文 Char"/>
    <w:link w:val="a9"/>
    <w:uiPriority w:val="99"/>
    <w:qFormat/>
    <w:locked/>
    <w:rsid w:val="00DD3B41"/>
    <w:rPr>
      <w:rFonts w:ascii="??" w:eastAsia="宋体" w:hAnsi="??" w:cs="??"/>
      <w:color w:val="000000"/>
      <w:sz w:val="21"/>
      <w:szCs w:val="21"/>
      <w:lang w:val="en-US" w:eastAsia="zh-CN"/>
    </w:rPr>
  </w:style>
  <w:style w:type="paragraph" w:customStyle="1" w:styleId="aa">
    <w:name w:val="a"/>
    <w:basedOn w:val="a"/>
    <w:uiPriority w:val="99"/>
    <w:qFormat/>
    <w:rsid w:val="00DD3B41"/>
    <w:pPr>
      <w:widowControl/>
      <w:spacing w:before="100" w:beforeAutospacing="1" w:after="100" w:afterAutospacing="1"/>
      <w:jc w:val="left"/>
    </w:pPr>
    <w:rPr>
      <w:rFonts w:ascii="宋体" w:eastAsia="宋体" w:hAnsi="宋体" w:cs="宋体"/>
      <w:kern w:val="0"/>
      <w:sz w:val="24"/>
      <w:szCs w:val="24"/>
    </w:rPr>
  </w:style>
  <w:style w:type="paragraph" w:customStyle="1" w:styleId="p15">
    <w:name w:val="p15"/>
    <w:basedOn w:val="a"/>
    <w:qFormat/>
    <w:rsid w:val="00DD3B41"/>
    <w:pPr>
      <w:widowControl/>
    </w:pPr>
    <w:rPr>
      <w:kern w:val="0"/>
      <w:szCs w:val="21"/>
    </w:rPr>
  </w:style>
  <w:style w:type="character" w:customStyle="1" w:styleId="font01">
    <w:name w:val="font01"/>
    <w:basedOn w:val="a0"/>
    <w:qFormat/>
    <w:rsid w:val="00DD3B41"/>
    <w:rPr>
      <w:rFonts w:ascii="宋体" w:eastAsia="宋体" w:hAnsi="宋体" w:cs="宋体" w:hint="eastAsia"/>
      <w:color w:val="000000"/>
      <w:sz w:val="18"/>
      <w:szCs w:val="18"/>
      <w:u w:val="none"/>
    </w:rPr>
  </w:style>
  <w:style w:type="paragraph" w:customStyle="1" w:styleId="p0">
    <w:name w:val="p0"/>
    <w:basedOn w:val="a"/>
    <w:rsid w:val="008159E4"/>
    <w:pPr>
      <w:widowControl/>
      <w:jc w:val="left"/>
    </w:pPr>
    <w:rPr>
      <w:rFonts w:eastAsia="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8</Pages>
  <Words>724</Words>
  <Characters>4131</Characters>
  <Application>Microsoft Office Word</Application>
  <DocSecurity>0</DocSecurity>
  <Lines>34</Lines>
  <Paragraphs>9</Paragraphs>
  <ScaleCrop>false</ScaleCrop>
  <Company>PSZX</Company>
  <LinksUpToDate>false</LinksUpToDate>
  <CharactersWithSpaces>4846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区域性就业培训基地建设项目</dc:title>
  <dc:creator>陈萍</dc:creator>
  <cp:lastModifiedBy>USER-</cp:lastModifiedBy>
  <cp:revision>18</cp:revision>
  <cp:lastPrinted>2021-03-22T06:51:00Z</cp:lastPrinted>
  <dcterms:created xsi:type="dcterms:W3CDTF">2021-06-07T07:41:00Z</dcterms:created>
  <dcterms:modified xsi:type="dcterms:W3CDTF">2021-07-13T03:07:00Z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ICV">
    <vt:lpwstr>D1ED3DDB98FA4D5581F64E0E2B83EBE5</vt:lpwstr>
  </property>
</Properties>
</file>