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jc w:val="right"/>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130</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四川圆豆豆食品有限公司圆豆豆食品豆制品加工项目</w:t>
      </w: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四川圆豆豆食品有限公司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lang w:val="en-US" w:eastAsia="zh-CN"/>
        </w:rPr>
        <w:t>圆豆豆食品豆制品加工项目</w:t>
      </w:r>
      <w:r>
        <w:rPr>
          <w:rFonts w:hint="eastAsia"/>
          <w:lang w:eastAsia="zh-CN"/>
        </w:rPr>
        <w:t>《环境影响报告表》（以下简称“报告表”）收悉。经研究，批复如下：</w:t>
      </w:r>
    </w:p>
    <w:p w14:paraId="479CC82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val="en-US" w:eastAsia="zh-CN"/>
        </w:rPr>
        <w:t>一、该项目为扩建项目,拟在广汉市三水镇中心村8组购买广汉新鑫和投资有限公司15-1-4标准厂房并租赁15-2-3、15-2-4标准厂房进行建设，用地面积3450平方米。项目内容及规模为：依托生产车间及相关公辅设施，购置磨浆机、过滤机、商用热气发生器、成型机、卤锅、烘干机、真空包装机等生产设备，布设豆制品生产线，新增年产豆制品500吨的生产能力，原项目产能和生产设备不发生改变。项目总投资200万元，其中环保投资24万元。</w:t>
      </w:r>
    </w:p>
    <w:p w14:paraId="5200CD3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项目在四川省投资项目在线审批监管平台进行了备案（备案号：川投资备[</w:t>
      </w:r>
      <w:r>
        <w:rPr>
          <w:rFonts w:hint="eastAsia"/>
          <w:lang w:val="en-US" w:eastAsia="zh-CN"/>
        </w:rPr>
        <w:t>2411-510681-04-01-372983</w:t>
      </w:r>
      <w:r>
        <w:rPr>
          <w:rFonts w:hint="eastAsia"/>
          <w:lang w:eastAsia="zh-CN"/>
        </w:rPr>
        <w:t>]</w:t>
      </w:r>
      <w:r>
        <w:rPr>
          <w:rFonts w:hint="eastAsia"/>
          <w:lang w:val="en-US" w:eastAsia="zh-CN"/>
        </w:rPr>
        <w:t>FGQB-0804</w:t>
      </w:r>
      <w:r>
        <w:rPr>
          <w:rFonts w:hint="eastAsia"/>
          <w:lang w:eastAsia="zh-CN"/>
        </w:rPr>
        <w:t>号），符合国家现行产业政策</w:t>
      </w:r>
      <w:r>
        <w:rPr>
          <w:rFonts w:hint="eastAsia"/>
          <w:lang w:val="zh-CN" w:eastAsia="zh-CN"/>
        </w:rPr>
        <w:t>；该项目符合德阳市生态环境分区管控相关要求，根据广汉市三水镇总体规划（2018-2035年）和广汉新鑫和投资有限公司取得的《不动产权证》，项目用地性质为工业用地，选址符合规划。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 xml:space="preserve">二、项目建设及运行中应重点做好以下工作：  </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lang w:eastAsia="zh-CN"/>
        </w:rPr>
        <w:t>（三）严格落实并优化报告表提出的各项废气处理措施。落实</w:t>
      </w:r>
      <w:r>
        <w:rPr>
          <w:rFonts w:hint="eastAsia"/>
          <w:lang w:val="en-US" w:eastAsia="zh-CN"/>
        </w:rPr>
        <w:t>热气发生器的专用管道收集+低氮燃烧装置，确保天然气燃烧废气</w:t>
      </w:r>
      <w:r>
        <w:rPr>
          <w:rFonts w:hint="eastAsia"/>
          <w:lang w:eastAsia="zh-CN"/>
        </w:rPr>
        <w:t>经收集</w:t>
      </w:r>
      <w:r>
        <w:rPr>
          <w:rFonts w:hint="eastAsia"/>
          <w:lang w:val="en-US" w:eastAsia="zh-CN"/>
        </w:rPr>
        <w:t>处理</w:t>
      </w:r>
      <w:r>
        <w:rPr>
          <w:rFonts w:hint="eastAsia"/>
          <w:lang w:eastAsia="zh-CN"/>
        </w:rPr>
        <w:t>后</w:t>
      </w:r>
      <w:r>
        <w:rPr>
          <w:rFonts w:hint="eastAsia"/>
          <w:lang w:val="en-US" w:eastAsia="zh-CN"/>
        </w:rPr>
        <w:t>由1</w:t>
      </w:r>
      <w:r>
        <w:rPr>
          <w:rFonts w:hint="eastAsia"/>
          <w:lang w:eastAsia="zh-CN"/>
        </w:rPr>
        <w:t>根</w:t>
      </w:r>
      <w:r>
        <w:rPr>
          <w:rFonts w:hint="eastAsia"/>
          <w:lang w:val="en-US" w:eastAsia="zh-CN"/>
        </w:rPr>
        <w:t>20米高</w:t>
      </w:r>
      <w:r>
        <w:rPr>
          <w:rFonts w:hint="eastAsia"/>
          <w:lang w:eastAsia="zh-CN"/>
        </w:rPr>
        <w:t>排气筒达标排放；</w:t>
      </w:r>
      <w:r>
        <w:rPr>
          <w:rFonts w:hint="eastAsia"/>
          <w:lang w:val="en-US" w:eastAsia="zh-CN"/>
        </w:rPr>
        <w:t>落实卤制工序的集气罩及烘干机的抽风管道收集措施+复合静电式油烟净化器装置，确保卤制、烘干异味</w:t>
      </w:r>
      <w:r>
        <w:rPr>
          <w:rFonts w:hint="eastAsia"/>
          <w:lang w:eastAsia="zh-CN"/>
        </w:rPr>
        <w:t>经收集</w:t>
      </w:r>
      <w:r>
        <w:rPr>
          <w:rFonts w:hint="eastAsia"/>
          <w:lang w:val="en-US" w:eastAsia="zh-CN"/>
        </w:rPr>
        <w:t>处理后由1</w:t>
      </w:r>
      <w:r>
        <w:rPr>
          <w:rFonts w:hint="eastAsia"/>
          <w:lang w:eastAsia="zh-CN"/>
        </w:rPr>
        <w:t>根</w:t>
      </w:r>
      <w:r>
        <w:rPr>
          <w:rFonts w:hint="eastAsia"/>
          <w:lang w:val="en-US" w:eastAsia="zh-CN"/>
        </w:rPr>
        <w:t>20米高</w:t>
      </w:r>
      <w:r>
        <w:rPr>
          <w:rFonts w:hint="eastAsia"/>
          <w:lang w:eastAsia="zh-CN"/>
        </w:rPr>
        <w:t>排气筒达标排放；</w:t>
      </w:r>
      <w:r>
        <w:rPr>
          <w:rFonts w:hint="eastAsia"/>
          <w:lang w:val="en-US" w:eastAsia="zh-CN"/>
        </w:rPr>
        <w:t>确保少量质检废气经操作台通风橱收集后无组织达标排放，对周边环境不产生影响。</w:t>
      </w:r>
    </w:p>
    <w:p w14:paraId="12F09AF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（四）严格落实并优化报告表提出的各项废水处理措施。本项目</w:t>
      </w:r>
      <w:r>
        <w:rPr>
          <w:rFonts w:hint="eastAsia"/>
          <w:lang w:val="en-US" w:eastAsia="zh-CN"/>
        </w:rPr>
        <w:t>实验室器皿三次清洗后废水依托现有项目已建1座一体化污水处理设施处理后与大豆清洗浸泡废水、压榨废水、设备清洗废水、车间清洁废水、热气发生器废水等生产废水及生活废水一同经广汉新鑫和投资有限公司已建污水处理站（二期）处理，主要指标处理达《地表水环境质量标准》（GB3838-2002）中Ⅲ类标准后排入青白江。</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lang w:val="en-US" w:eastAsia="zh-CN"/>
        </w:rPr>
        <w:t>杂质、豆渣交由周边农户回收用作饲料；废包装袋、废食用油桶外售废品回收站；废抹布收集后交由有处理能力的单位处置；实验废物、废机油、废机油桶、废沾油手套</w:t>
      </w:r>
      <w:r>
        <w:rPr>
          <w:rFonts w:hint="eastAsia"/>
          <w:lang w:eastAsia="zh-CN"/>
        </w:rPr>
        <w:t>属于危险废物，须妥善安全收储，落实专人管理，并严格执行转移联单制度，定期交有危废处理资质的单位处置，其暂存区须采取必要的防风、防晒、防雨、防漏、防渗、防腐以及其他环境污染防治措施；</w:t>
      </w:r>
      <w:r>
        <w:rPr>
          <w:rFonts w:hint="eastAsia"/>
          <w:lang w:val="en-US" w:eastAsia="zh-CN"/>
        </w:rPr>
        <w:t>生活垃圾交环卫部门清运</w:t>
      </w:r>
      <w:r>
        <w:rPr>
          <w:rFonts w:hint="eastAsia"/>
          <w:lang w:eastAsia="zh-CN"/>
        </w:rPr>
        <w:t>。</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（七）严格落实并优化报告表提出的地下水和土壤污染防治措施。项目将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危废暂存间、油盐暂存间</w:t>
      </w:r>
      <w:r>
        <w:rPr>
          <w:rFonts w:hint="eastAsia"/>
          <w:lang w:eastAsia="zh-CN"/>
        </w:rPr>
        <w:t>设置为重点防渗区，将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质检室、豆渣暂存间、一般固废暂存间、生产车间</w:t>
      </w:r>
      <w:r>
        <w:rPr>
          <w:rFonts w:hint="eastAsia"/>
          <w:lang w:val="en-US" w:eastAsia="zh-CN"/>
        </w:rPr>
        <w:t>设置为一般防渗区，</w:t>
      </w:r>
      <w:r>
        <w:rPr>
          <w:rFonts w:hint="eastAsia"/>
          <w:lang w:eastAsia="zh-CN"/>
        </w:rPr>
        <w:t>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除重点防渗区和一般防渗区以外的其他区域</w:t>
      </w:r>
      <w:r>
        <w:rPr>
          <w:rFonts w:hint="eastAsia"/>
          <w:lang w:eastAsia="zh-CN"/>
        </w:rPr>
        <w:t>设置为简单防渗区，分别采取防渗措施。建立和完善地下水、土壤污染监控制度和环境管理体系，发现问题及时采取措施，避免污染周边地下水和土壤环境。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668082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三、该项目运营后，</w:t>
      </w:r>
      <w:r>
        <w:rPr>
          <w:rFonts w:hint="eastAsia"/>
          <w:lang w:val="en-US" w:eastAsia="zh-CN"/>
        </w:rPr>
        <w:t>氮氧化物排放量为0.2036</w:t>
      </w:r>
      <w:r>
        <w:rPr>
          <w:rFonts w:hint="eastAsia"/>
          <w:lang w:eastAsia="zh-CN"/>
        </w:rPr>
        <w:t>吨/年，化学需氧量排放量为</w:t>
      </w:r>
      <w:r>
        <w:rPr>
          <w:rFonts w:hint="eastAsia"/>
          <w:lang w:val="en-US" w:eastAsia="zh-CN"/>
        </w:rPr>
        <w:t>0.0858</w:t>
      </w:r>
      <w:r>
        <w:rPr>
          <w:rFonts w:hint="eastAsia"/>
          <w:lang w:eastAsia="zh-CN"/>
        </w:rPr>
        <w:t>吨/年，氨氮排放量为</w:t>
      </w:r>
      <w:r>
        <w:rPr>
          <w:rFonts w:hint="eastAsia"/>
          <w:lang w:val="en-US" w:eastAsia="zh-CN"/>
        </w:rPr>
        <w:t>0.0043</w:t>
      </w:r>
      <w:r>
        <w:rPr>
          <w:rFonts w:hint="eastAsia"/>
          <w:lang w:eastAsia="zh-CN"/>
        </w:rPr>
        <w:t>吨/年，其总量控制指标</w:t>
      </w:r>
      <w:r>
        <w:rPr>
          <w:rFonts w:hint="eastAsia"/>
          <w:lang w:val="en-US" w:eastAsia="zh-CN"/>
        </w:rPr>
        <w:t>按</w:t>
      </w:r>
      <w:r>
        <w:rPr>
          <w:rFonts w:hint="eastAsia"/>
          <w:lang w:eastAsia="zh-CN"/>
        </w:rPr>
        <w:t>德阳市广汉生态环境局</w:t>
      </w:r>
      <w:r>
        <w:rPr>
          <w:rFonts w:hint="eastAsia"/>
          <w:lang w:val="en-US" w:eastAsia="zh-CN"/>
        </w:rPr>
        <w:t>总量文件执行</w:t>
      </w:r>
      <w:r>
        <w:rPr>
          <w:rFonts w:hint="eastAsia"/>
          <w:lang w:eastAsia="zh-CN"/>
        </w:rPr>
        <w:t>。</w:t>
      </w:r>
    </w:p>
    <w:p w14:paraId="4537D1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71C332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402E0F8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23F326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63125A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5</w:t>
      </w:r>
      <w:r>
        <w:rPr>
          <w:rFonts w:hint="eastAsia"/>
          <w:lang w:eastAsia="zh-CN"/>
        </w:rPr>
        <w:t>月</w:t>
      </w:r>
      <w:r>
        <w:rPr>
          <w:rFonts w:hint="eastAsia"/>
          <w:lang w:val="en-US" w:eastAsia="zh-CN"/>
        </w:rPr>
        <w:t>28</w:t>
      </w:r>
      <w:bookmarkStart w:id="0" w:name="_GoBack"/>
      <w:bookmarkEnd w:id="0"/>
      <w:r>
        <w:rPr>
          <w:rFonts w:hint="eastAsia"/>
          <w:lang w:eastAsia="zh-CN"/>
        </w:rPr>
        <w:t>日</w:t>
      </w:r>
    </w:p>
    <w:sectPr>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E534C"/>
    <w:rsid w:val="06C07F19"/>
    <w:rsid w:val="07EE52C1"/>
    <w:rsid w:val="0BD91586"/>
    <w:rsid w:val="10013A51"/>
    <w:rsid w:val="11A36E95"/>
    <w:rsid w:val="121F6F46"/>
    <w:rsid w:val="12AF0645"/>
    <w:rsid w:val="17722C48"/>
    <w:rsid w:val="17FF1243"/>
    <w:rsid w:val="182A3593"/>
    <w:rsid w:val="1A5823C6"/>
    <w:rsid w:val="1DA61023"/>
    <w:rsid w:val="23A4088A"/>
    <w:rsid w:val="240472A7"/>
    <w:rsid w:val="24602490"/>
    <w:rsid w:val="2A3732D1"/>
    <w:rsid w:val="2B1D6405"/>
    <w:rsid w:val="2E1D349F"/>
    <w:rsid w:val="2E624E98"/>
    <w:rsid w:val="3A6E4FAF"/>
    <w:rsid w:val="3B8A62BD"/>
    <w:rsid w:val="432F1B9E"/>
    <w:rsid w:val="444E28EE"/>
    <w:rsid w:val="449D70C1"/>
    <w:rsid w:val="493B5434"/>
    <w:rsid w:val="4E20458D"/>
    <w:rsid w:val="52EB1116"/>
    <w:rsid w:val="56EF32D7"/>
    <w:rsid w:val="583609E1"/>
    <w:rsid w:val="598E3781"/>
    <w:rsid w:val="5A282A37"/>
    <w:rsid w:val="60CB2656"/>
    <w:rsid w:val="62544876"/>
    <w:rsid w:val="65AB4EFC"/>
    <w:rsid w:val="662B4514"/>
    <w:rsid w:val="6CC97B23"/>
    <w:rsid w:val="6F4577DC"/>
    <w:rsid w:val="77712936"/>
    <w:rsid w:val="78A0421B"/>
    <w:rsid w:val="7BD55DBA"/>
    <w:rsid w:val="7C326B40"/>
    <w:rsid w:val="7E86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7"/>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6">
    <w:name w:val="Default Paragraph Font"/>
    <w:semiHidden/>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标题 1 字符"/>
    <w:basedOn w:val="6"/>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2458</Words>
  <Characters>2557</Characters>
  <Lines>0</Lines>
  <Paragraphs>0</Paragraphs>
  <TotalTime>4</TotalTime>
  <ScaleCrop>false</ScaleCrop>
  <LinksUpToDate>false</LinksUpToDate>
  <CharactersWithSpaces>2645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cp:lastPrinted>2025-03-06T01:11:00Z</cp:lastPrinted>
  <dcterms:modified xsi:type="dcterms:W3CDTF">2025-05-28T06:28:54Z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CCFD7D8609CB4AFE902908AB0CFD79CB_13</vt:lpwstr>
  </property>
</Properties>
</file>