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71DA1">
      <w:pPr>
        <w:spacing w:line="60" w:lineRule="atLeast"/>
        <w:jc w:val="center"/>
        <w:rPr>
          <w:rFonts w:eastAsia="方正小标宋简体"/>
          <w:bCs/>
          <w:color w:val="FF0000"/>
          <w:spacing w:val="-57"/>
          <w:sz w:val="116"/>
          <w:szCs w:val="116"/>
        </w:rPr>
      </w:pPr>
    </w:p>
    <w:p w14:paraId="3788F440">
      <w:pPr>
        <w:jc w:val="right"/>
        <w:rPr>
          <w:rFonts w:eastAsia="仿宋_GB2312"/>
          <w:sz w:val="32"/>
          <w:szCs w:val="32"/>
        </w:rPr>
      </w:pPr>
    </w:p>
    <w:p w14:paraId="2026744F">
      <w:pPr>
        <w:wordWrap w:val="0"/>
        <w:jc w:val="right"/>
        <w:rPr>
          <w:bCs/>
          <w:sz w:val="44"/>
          <w:szCs w:val="44"/>
        </w:rPr>
      </w:pPr>
      <w:r>
        <w:rPr>
          <w:rFonts w:eastAsia="仿宋_GB2312"/>
          <w:sz w:val="32"/>
          <w:szCs w:val="32"/>
        </w:rPr>
        <w:t>德环审批</w:t>
      </w:r>
      <w:r>
        <w:rPr>
          <w:rFonts w:eastAsia="仿宋_GB2312"/>
          <w:color w:val="000000"/>
          <w:sz w:val="32"/>
          <w:szCs w:val="32"/>
        </w:rPr>
        <w:t>〔</w:t>
      </w:r>
      <w:r>
        <w:rPr>
          <w:rFonts w:hint="eastAsia" w:eastAsia="仿宋_GB2312"/>
          <w:color w:val="000000"/>
          <w:sz w:val="32"/>
          <w:szCs w:val="32"/>
          <w:lang w:val="en-US" w:eastAsia="zh-CN"/>
        </w:rPr>
        <w:t>2025</w:t>
      </w:r>
      <w:r>
        <w:rPr>
          <w:rFonts w:eastAsia="仿宋_GB2312"/>
          <w:color w:val="000000"/>
          <w:sz w:val="32"/>
          <w:szCs w:val="32"/>
        </w:rPr>
        <w:t>〕</w:t>
      </w:r>
      <w:r>
        <w:rPr>
          <w:rFonts w:hint="eastAsia"/>
          <w:color w:val="000000"/>
          <w:sz w:val="32"/>
          <w:szCs w:val="32"/>
          <w:lang w:val="en-US" w:eastAsia="zh-CN"/>
        </w:rPr>
        <w:t>134</w:t>
      </w:r>
      <w:bookmarkStart w:id="0" w:name="_GoBack"/>
      <w:bookmarkEnd w:id="0"/>
      <w:r>
        <w:rPr>
          <w:rFonts w:eastAsia="仿宋_GB2312"/>
          <w:sz w:val="32"/>
          <w:szCs w:val="32"/>
        </w:rPr>
        <w:t>号</w:t>
      </w:r>
    </w:p>
    <w:p w14:paraId="721E273E">
      <w:pPr>
        <w:spacing w:line="0" w:lineRule="atLeast"/>
        <w:jc w:val="center"/>
        <w:rPr>
          <w:rFonts w:eastAsia="方正小标宋简体"/>
          <w:sz w:val="44"/>
          <w:szCs w:val="44"/>
        </w:rPr>
      </w:pPr>
    </w:p>
    <w:p w14:paraId="739349AC">
      <w:pPr>
        <w:spacing w:line="600" w:lineRule="exact"/>
        <w:ind w:left="0" w:leftChars="0" w:firstLine="0" w:firstLineChars="0"/>
        <w:jc w:val="center"/>
        <w:rPr>
          <w:rFonts w:eastAsia="方正小标宋简体"/>
          <w:sz w:val="44"/>
          <w:szCs w:val="44"/>
        </w:rPr>
      </w:pPr>
      <w:r>
        <w:rPr>
          <w:rFonts w:eastAsia="方正小标宋简体"/>
          <w:sz w:val="44"/>
          <w:szCs w:val="44"/>
        </w:rPr>
        <w:t>德阳市生态环境局</w:t>
      </w:r>
    </w:p>
    <w:p w14:paraId="7C643C69">
      <w:pPr>
        <w:spacing w:line="600" w:lineRule="exact"/>
        <w:ind w:left="0" w:leftChars="0" w:firstLine="0" w:firstLineChars="0"/>
        <w:jc w:val="center"/>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lang w:val="en-US" w:eastAsia="zh-CN"/>
        </w:rPr>
        <w:t>四川精控阀门制造有限公司阀门智能</w:t>
      </w:r>
    </w:p>
    <w:p w14:paraId="39073D95">
      <w:pPr>
        <w:spacing w:line="600" w:lineRule="exact"/>
        <w:ind w:left="0" w:leftChars="0" w:firstLine="0" w:firstLineChars="0"/>
        <w:jc w:val="center"/>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柔性生产线及配套设施技术改造项目</w:t>
      </w:r>
    </w:p>
    <w:p w14:paraId="73E77FF1">
      <w:pPr>
        <w:spacing w:line="600" w:lineRule="exact"/>
        <w:ind w:left="0" w:leftChars="0" w:firstLine="0" w:firstLineChars="0"/>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《环境影响报告表》的批复</w:t>
      </w:r>
    </w:p>
    <w:p w14:paraId="15EC028B">
      <w:pPr>
        <w:pStyle w:val="10"/>
        <w:rPr>
          <w:rFonts w:ascii="Times New Roman" w:hAnsi="Times New Roman" w:eastAsia="方正小标宋简体" w:cs="Times New Roman"/>
          <w:sz w:val="44"/>
          <w:szCs w:val="44"/>
        </w:rPr>
      </w:pPr>
    </w:p>
    <w:p w14:paraId="2C5025CA">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ascii="仿宋_GB2312" w:hAnsi="仿宋_GB2312" w:cs="仿宋_GB2312"/>
          <w:sz w:val="32"/>
          <w:szCs w:val="32"/>
          <w:lang w:eastAsia="zh-CN"/>
        </w:rPr>
      </w:pPr>
      <w:r>
        <w:rPr>
          <w:rFonts w:hint="eastAsia" w:ascii="仿宋_GB2312" w:hAnsi="仿宋_GB2312" w:eastAsia="仿宋_GB2312" w:cs="仿宋_GB2312"/>
          <w:sz w:val="32"/>
          <w:szCs w:val="32"/>
          <w:lang w:val="en-US" w:eastAsia="zh-CN"/>
        </w:rPr>
        <w:t>四川精控阀门制造有限公司</w:t>
      </w:r>
      <w:r>
        <w:rPr>
          <w:rFonts w:hint="eastAsia" w:ascii="仿宋_GB2312" w:hAnsi="仿宋_GB2312" w:cs="仿宋_GB2312"/>
          <w:sz w:val="32"/>
          <w:szCs w:val="32"/>
          <w:lang w:eastAsia="zh-CN"/>
        </w:rPr>
        <w:t>：</w:t>
      </w:r>
    </w:p>
    <w:p w14:paraId="76AA114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你公司报送的</w:t>
      </w:r>
      <w:r>
        <w:rPr>
          <w:rFonts w:hint="eastAsia" w:ascii="仿宋_GB2312" w:hAnsi="仿宋_GB2312" w:eastAsia="仿宋_GB2312" w:cs="仿宋_GB2312"/>
          <w:sz w:val="32"/>
          <w:szCs w:val="32"/>
          <w:lang w:val="en-US" w:eastAsia="zh-CN"/>
        </w:rPr>
        <w:t>阀门智能柔性生产线及配套设施技术改造项目</w:t>
      </w:r>
      <w:r>
        <w:rPr>
          <w:rFonts w:hint="eastAsia"/>
          <w:lang w:eastAsia="zh-CN"/>
        </w:rPr>
        <w:t>《环境影响报告表》（以下简称“报告表”）收悉。经研究，批复如下：</w:t>
      </w:r>
    </w:p>
    <w:p w14:paraId="78601086">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rPr>
          <w:rFonts w:hint="eastAsia"/>
          <w:lang w:eastAsia="zh-CN"/>
        </w:rPr>
      </w:pPr>
      <w:r>
        <w:rPr>
          <w:rFonts w:hint="eastAsia" w:ascii="仿宋_GB2312" w:hAnsi="仿宋_GB2312" w:eastAsia="仿宋_GB2312" w:cs="仿宋_GB2312"/>
          <w:kern w:val="2"/>
          <w:sz w:val="32"/>
          <w:szCs w:val="32"/>
          <w:lang w:val="en-US" w:eastAsia="zh-CN" w:bidi="ar-SA"/>
        </w:rPr>
        <w:t>该项目为扩建项目,拟在广汉市深圳路西三段3号现厂区红线范围内建设，不新增用地。项目内容及规模为：依托相关公辅设施，新建3#生产车间</w:t>
      </w:r>
      <w:r>
        <w:rPr>
          <w:rFonts w:hint="eastAsia" w:ascii="仿宋_GB2312" w:hAnsi="仿宋_GB2312" w:cs="仿宋_GB2312"/>
          <w:kern w:val="2"/>
          <w:sz w:val="32"/>
          <w:szCs w:val="32"/>
          <w:lang w:val="en-US" w:eastAsia="zh-CN" w:bidi="ar-SA"/>
        </w:rPr>
        <w:t>,购置</w:t>
      </w:r>
      <w:r>
        <w:rPr>
          <w:rFonts w:hint="default" w:ascii="仿宋_GB2312" w:hAnsi="仿宋_GB2312" w:eastAsia="仿宋_GB2312" w:cs="仿宋_GB2312"/>
          <w:kern w:val="2"/>
          <w:sz w:val="32"/>
          <w:szCs w:val="32"/>
          <w:lang w:val="en-US" w:eastAsia="zh-CN" w:bidi="ar-SA"/>
        </w:rPr>
        <w:t>万能试验机</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常规试压机</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吸入式喷砂机</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喷漆流水线</w:t>
      </w:r>
      <w:r>
        <w:rPr>
          <w:rFonts w:hint="eastAsia" w:ascii="仿宋_GB2312" w:hAnsi="仿宋_GB2312" w:eastAsia="仿宋_GB2312" w:cs="仿宋_GB2312"/>
          <w:kern w:val="2"/>
          <w:sz w:val="32"/>
          <w:szCs w:val="32"/>
          <w:lang w:val="en-US" w:eastAsia="zh-CN" w:bidi="ar-SA"/>
        </w:rPr>
        <w:t>等生产设备，</w:t>
      </w:r>
      <w:r>
        <w:rPr>
          <w:rFonts w:hint="eastAsia" w:ascii="仿宋_GB2312" w:hAnsi="仿宋_GB2312" w:cs="仿宋_GB2312"/>
          <w:kern w:val="2"/>
          <w:sz w:val="32"/>
          <w:szCs w:val="32"/>
          <w:lang w:val="en-US" w:eastAsia="zh-CN" w:bidi="ar-SA"/>
        </w:rPr>
        <w:t>布设喷漆、喷砂、试压、装配生产线，</w:t>
      </w:r>
      <w:r>
        <w:rPr>
          <w:rFonts w:hint="eastAsia" w:ascii="仿宋_GB2312" w:hAnsi="仿宋_GB2312" w:eastAsia="仿宋_GB2312" w:cs="仿宋_GB2312"/>
          <w:kern w:val="2"/>
          <w:sz w:val="32"/>
          <w:szCs w:val="32"/>
          <w:lang w:val="en-US" w:eastAsia="zh-CN" w:bidi="ar-SA"/>
        </w:rPr>
        <w:t>依托已建1#生产车间的下料区和焊接区设备进行下料和焊接工序，在已建2#生产车间闲置区域新增机械加工设备，项目建成后新增年产阀门6000吨的生产能力，原项目产品产能保持不变。项目总投资7060.15万元，其中环保投资164万元。</w:t>
      </w:r>
    </w:p>
    <w:p w14:paraId="5200CD3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项目在四川省投资项目在线审批监管平台进行了备案（备案号：川投资备[</w:t>
      </w:r>
      <w:r>
        <w:rPr>
          <w:rFonts w:hint="eastAsia"/>
          <w:lang w:val="en-US" w:eastAsia="zh-CN"/>
        </w:rPr>
        <w:t>2411-510681-07-02-682513</w:t>
      </w:r>
      <w:r>
        <w:rPr>
          <w:rFonts w:hint="eastAsia"/>
          <w:lang w:eastAsia="zh-CN"/>
        </w:rPr>
        <w:t>]</w:t>
      </w:r>
      <w:r>
        <w:rPr>
          <w:rFonts w:hint="eastAsia"/>
          <w:lang w:val="en-US" w:eastAsia="zh-CN"/>
        </w:rPr>
        <w:t>JXQB-0721</w:t>
      </w:r>
      <w:r>
        <w:rPr>
          <w:rFonts w:hint="eastAsia"/>
          <w:lang w:eastAsia="zh-CN"/>
        </w:rPr>
        <w:t>号），符合国家现行产业政策</w:t>
      </w:r>
      <w:r>
        <w:rPr>
          <w:rFonts w:hint="eastAsia"/>
          <w:lang w:val="zh-CN" w:eastAsia="zh-CN"/>
        </w:rPr>
        <w:t>；该项目符合德阳市生态环境分区管控相关要求，</w:t>
      </w:r>
      <w:r>
        <w:rPr>
          <w:rFonts w:hint="eastAsia"/>
          <w:lang w:eastAsia="zh-CN"/>
        </w:rPr>
        <w:t>根据</w:t>
      </w:r>
      <w:r>
        <w:rPr>
          <w:rFonts w:hint="eastAsia"/>
          <w:lang w:val="en-US" w:eastAsia="zh-CN"/>
        </w:rPr>
        <w:t>《广汉市国土空间总体规划（2021-2035年）》及</w:t>
      </w:r>
      <w:r>
        <w:rPr>
          <w:rFonts w:hint="eastAsia" w:ascii="仿宋_GB2312" w:hAnsi="仿宋_GB2312" w:eastAsia="仿宋_GB2312" w:cs="仿宋_GB2312"/>
          <w:sz w:val="32"/>
          <w:szCs w:val="32"/>
          <w:lang w:val="en-US" w:eastAsia="zh-CN"/>
        </w:rPr>
        <w:t>四川精控阀门制造有限公司</w:t>
      </w:r>
      <w:r>
        <w:rPr>
          <w:rFonts w:hint="eastAsia"/>
          <w:lang w:val="en-US" w:eastAsia="zh-CN"/>
        </w:rPr>
        <w:t>取得的《不动产权证》，项目</w:t>
      </w:r>
      <w:r>
        <w:rPr>
          <w:rFonts w:hint="eastAsia"/>
          <w:lang w:eastAsia="zh-CN"/>
        </w:rPr>
        <w:t>用地性质为工业用地，选址</w:t>
      </w:r>
      <w:r>
        <w:rPr>
          <w:rFonts w:hint="eastAsia"/>
          <w:lang w:val="en-US" w:eastAsia="zh-CN"/>
        </w:rPr>
        <w:t>符合规划</w:t>
      </w:r>
      <w:r>
        <w:rPr>
          <w:rFonts w:hint="eastAsia"/>
          <w:lang w:eastAsia="zh-CN"/>
        </w:rPr>
        <w:t>。</w:t>
      </w:r>
    </w:p>
    <w:p w14:paraId="682DCC1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项目在受理和拟批公示期间未收到任何意见反馈，根据专家对《报告表》的审查意见、《报告表》的评价结论，在落实报告表中提出的各项环保对策措施和环境风险防范措施后，项目对环境的不利影响能够得到缓解和控制，项目实施不存在明显的环境制约因素，污染物可以达标排放并符合总量控制要求，原则同意该项目按报告表中所列建设性质、地点、内容、规模、工艺及环保对策措施和风险防范措施进行建设。</w:t>
      </w:r>
    </w:p>
    <w:p w14:paraId="48AFCA7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 xml:space="preserve">二、项目建设及运行中应重点做好以下工作：  </w:t>
      </w:r>
    </w:p>
    <w:p w14:paraId="42F37DF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一）必须严格贯彻执行“预防为主、保护优先”的原则，落实项目环保资金，建立健全企业内部环境管理机构和各项环保管理规章制度，落实人员责任，加强环保培训和警示教育，规范环保日常管理。确保主体工程与环保设施同步设计、同步施工、同步投入运行，确保污染治理设施正常运行，污染物稳定达标排放。</w:t>
      </w:r>
    </w:p>
    <w:p w14:paraId="1D1FB80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（二）加强施工期管理，合理安排施工时段和施工场地布设，落实施工期各项环境保护措施，有效控制、减轻或消除施工期废水、废渣、噪声、扬尘等对周围环境的影响。</w:t>
      </w:r>
    </w:p>
    <w:p w14:paraId="6323F051">
      <w:pPr>
        <w:keepNext w:val="0"/>
        <w:keepLines w:val="0"/>
        <w:widowControl/>
        <w:suppressLineNumbers w:val="0"/>
        <w:jc w:val="left"/>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lang w:eastAsia="zh-CN"/>
        </w:rPr>
        <w:t>（三）严格落实并优化报告表提出的各项废气处理措施。</w:t>
      </w:r>
      <w:r>
        <w:rPr>
          <w:rFonts w:hint="eastAsia" w:ascii="仿宋_GB2312" w:hAnsi="仿宋_GB2312" w:eastAsia="仿宋_GB2312" w:cs="仿宋_GB2312"/>
          <w:color w:val="000000" w:themeColor="text1"/>
          <w:sz w:val="32"/>
          <w:szCs w:val="32"/>
          <w:lang w:eastAsia="zh-CN"/>
          <w14:textFill>
            <w14:solidFill>
              <w14:schemeClr w14:val="tx1"/>
            </w14:solidFill>
          </w14:textFill>
        </w:rPr>
        <w:t>落实切割工序的集气罩</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+烟尘净化器，确保切割颗粒物经收集处理后由一根15m高排气筒达标排放；分别落实1#焊接区、</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焊接区的集气罩+焊烟净化器，确保1#、</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焊接区烟尘经收集处理后分别由一根15m高排气筒达标排放；</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设置密闭喷砂房，</w:t>
      </w:r>
      <w:r>
        <w:rPr>
          <w:rFonts w:hint="eastAsia" w:ascii="仿宋_GB2312" w:hAnsi="仿宋_GB2312" w:eastAsia="仿宋_GB2312" w:cs="仿宋_GB2312"/>
          <w:color w:val="000000" w:themeColor="text1"/>
          <w:sz w:val="32"/>
          <w:szCs w:val="32"/>
          <w:lang w:eastAsia="zh-CN"/>
          <w14:textFill>
            <w14:solidFill>
              <w14:schemeClr w14:val="tx1"/>
            </w14:solidFill>
          </w14:textFill>
        </w:rPr>
        <w:t>落实喷砂工序的密闭负压收集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+布袋除尘器，确保喷砂粉尘经收集处理后由一根15m高排气筒达标排放；设置密闭喷漆（调漆）房、烘干房，落实喷漆（调漆）房、烘干房的密闭负压收集+</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干式过滤+活性炭吸附浓缩+RCO</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，确保</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调漆、喷漆、烘干颗粒物</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、挥发性有机物、</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二甲苯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乙酸乙酯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乙酸丁酯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以及烘干天然气燃烧废气经收集处理后由一根15m高排气筒达标排放；确保食堂油烟经油烟净化器处理后引至楼顶达标排放；确保落实报告表提出的各项“以新代老”措施。</w:t>
      </w:r>
    </w:p>
    <w:p w14:paraId="12F09AF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（四）严格落实并优化报告表提出的各项废水处理措施。</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项目试压用水循环使用不外排；</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生活污水、隔油后的食堂废水</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经已建预处理池处理</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达</w:t>
      </w:r>
      <w:r>
        <w:rPr>
          <w:rFonts w:hint="eastAsia"/>
          <w:lang w:eastAsia="zh-CN"/>
        </w:rPr>
        <w:t>《污水综合排放标准》（GB8978-1996）三级标准后排入市政污水管网，由广汉市第二污水处理厂处理达《四川省岷江、沱江流域水污染物排放标准》（DB51/2311-2016）中工业园区集中式污水处理厂标准后外排。</w:t>
      </w:r>
    </w:p>
    <w:p w14:paraId="22F0817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（五）严格落实并优化报告表提出的噪声污染防治措施。合理布局生产车间产噪设施，对高噪作业点和高噪设备配套有效的隔音、降噪及减振设施，确保厂界噪声达标排放不扰民。</w:t>
      </w:r>
    </w:p>
    <w:p w14:paraId="67E758FB">
      <w:pPr>
        <w:keepNext w:val="0"/>
        <w:keepLines w:val="0"/>
        <w:widowControl/>
        <w:suppressLineNumbers w:val="0"/>
        <w:jc w:val="left"/>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lang w:eastAsia="zh-CN"/>
        </w:rPr>
        <w:t>（六）严格落实并优化报告表提出的各项固体废弃物处置措施。固体废物应按照“减量化、资源化、无害化”的原则进行分类收集和处置，提高回收利用率。加强固体废物产生、收集、贮存、运输、利用、处置全过程环境管理，</w:t>
      </w:r>
      <w:r>
        <w:rPr>
          <w:rFonts w:hint="eastAsia" w:ascii="Times New Roman" w:hAnsi="Times New Roman" w:cs="Times New Roman"/>
          <w:lang w:eastAsia="zh-CN"/>
        </w:rPr>
        <w:t>避免二次污染。项目</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焊渣、废布袋、废砂、不合格产品</w:t>
      </w:r>
      <w:r>
        <w:rPr>
          <w:rFonts w:hint="eastAsia" w:ascii="仿宋_GB2312" w:hAnsi="仿宋_GB2312" w:cs="仿宋_GB2312"/>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RCO废催化剂（铂、钯等）交供货公司处理；除尘灰交由建筑材料公司综合利用；废油脂（餐厨废油、隔油池废油、油烟净化器废油）由有处理能力的单位处理；含油金属屑、</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废乳化液</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废乳化液桶</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废漆料桶</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漆渣</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废过滤棉</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废活性炭</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废机油</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废机油桶</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含油抹布及手套</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属于危险废物，须妥善安全收储，落实专人管理，并严格执行转移联单制度，定期交有危废处理资质的单位处置，其暂存区须采取必要的防风、防晒、防雨、防漏、防渗、防腐以及其他环境污染防治措施；生活垃圾、生活</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污水</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预处理池</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底泥</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交环卫部门清运。</w:t>
      </w:r>
    </w:p>
    <w:p w14:paraId="38747D68">
      <w:pPr>
        <w:keepNext w:val="0"/>
        <w:keepLines w:val="0"/>
        <w:widowControl/>
        <w:suppressLineNumbers w:val="0"/>
        <w:jc w:val="left"/>
        <w:rPr>
          <w:rFonts w:hint="eastAsia"/>
          <w:lang w:eastAsia="zh-CN"/>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（七）严格落实并优化报告表提出的地下水</w:t>
      </w:r>
      <w:r>
        <w:rPr>
          <w:rFonts w:hint="eastAsia"/>
          <w:lang w:eastAsia="zh-CN"/>
        </w:rPr>
        <w:t>和土壤污染防治措施。项目将</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化学品库、大件喷漆房和烘房、小件喷漆线（已建）、喷漆区（新增）、</w:t>
      </w:r>
      <w:r>
        <w:rPr>
          <w:rFonts w:hint="eastAsia" w:ascii="仿宋_GB2312" w:hAnsi="仿宋_GB2312" w:cs="仿宋_GB2312"/>
          <w:color w:val="000000" w:themeColor="text1"/>
          <w:kern w:val="2"/>
          <w:sz w:val="32"/>
          <w:szCs w:val="32"/>
          <w:lang w:val="en-US" w:eastAsia="zh-CN" w:bidi="ar-SA"/>
          <w14:textFill>
            <w14:solidFill>
              <w14:schemeClr w14:val="tx1"/>
            </w14:solidFill>
          </w14:textFill>
        </w:rPr>
        <w:t>机加工区、</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危废间（已建）设置为重点防渗区，将</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生产车间、</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2#</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生产车间、</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3#</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生产车间（新增）</w:t>
      </w:r>
      <w:r>
        <w:rPr>
          <w:rFonts w:hint="eastAsia" w:ascii="仿宋_GB2312" w:hAnsi="仿宋_GB2312" w:cs="仿宋_GB2312"/>
          <w:color w:val="000000" w:themeColor="text1"/>
          <w:kern w:val="2"/>
          <w:sz w:val="32"/>
          <w:szCs w:val="32"/>
          <w:lang w:val="en-US" w:eastAsia="zh-CN" w:bidi="ar-SA"/>
          <w14:textFill>
            <w14:solidFill>
              <w14:schemeClr w14:val="tx1"/>
            </w14:solidFill>
          </w14:textFill>
        </w:rPr>
        <w:t>除重点防渗区外的区域、</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隔油池、生活污水预处理池（已建）设置为一般防渗区，将厂区其他区域（除绿化部分）设置为简单防渗区，分别采取防渗措</w:t>
      </w:r>
      <w:r>
        <w:rPr>
          <w:rFonts w:hint="eastAsia"/>
          <w:lang w:eastAsia="zh-CN"/>
        </w:rPr>
        <w:t>施。建立和完善地下水、土壤污染监控制度和环境管理体系，发现问题及时采取措施，避免污染周边地下水和土壤环境。</w:t>
      </w:r>
    </w:p>
    <w:p w14:paraId="1BE5248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八</w:t>
      </w:r>
      <w:r>
        <w:rPr>
          <w:rFonts w:hint="eastAsia"/>
          <w:lang w:eastAsia="zh-CN"/>
        </w:rPr>
        <w:t>）高度重视并全面加强环境风险管理工作。建立健全环境风险防控和环境应急保障体系，严格按照报告表要求，落实并不断优化各项环境风险防范措施，确保环境安全。</w:t>
      </w:r>
    </w:p>
    <w:p w14:paraId="418CA67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cs="Times New Roman"/>
          <w:lang w:eastAsia="zh-CN"/>
        </w:rPr>
      </w:pPr>
      <w:r>
        <w:rPr>
          <w:rFonts w:hint="eastAsia" w:ascii="Times New Roman" w:hAnsi="Times New Roman" w:cs="Times New Roman"/>
          <w:lang w:eastAsia="zh-CN"/>
        </w:rPr>
        <w:t>（</w:t>
      </w:r>
      <w:r>
        <w:rPr>
          <w:rFonts w:hint="eastAsia" w:ascii="Times New Roman" w:hAnsi="Times New Roman" w:cs="Times New Roman"/>
          <w:lang w:val="en-US" w:eastAsia="zh-CN"/>
        </w:rPr>
        <w:t>九</w:t>
      </w:r>
      <w:r>
        <w:rPr>
          <w:rFonts w:hint="eastAsia" w:ascii="Times New Roman" w:hAnsi="Times New Roman" w:cs="Times New Roman"/>
          <w:lang w:eastAsia="zh-CN"/>
        </w:rPr>
        <w:t>）按照相关要求规范设置各类排污口和标志标牌，落实报告表提出的环境管理要求和监测计划。</w:t>
      </w:r>
    </w:p>
    <w:p w14:paraId="44F0CFC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三、该项目运营后，全厂氮氧化物排放量为</w:t>
      </w:r>
      <w:r>
        <w:rPr>
          <w:rFonts w:hint="default" w:ascii="Times New Roman" w:hAnsi="Times New Roman" w:cs="Times New Roman"/>
          <w:lang w:val="en-US" w:eastAsia="zh-CN"/>
        </w:rPr>
        <w:t>0.04003</w:t>
      </w:r>
      <w:r>
        <w:rPr>
          <w:rFonts w:hint="eastAsia" w:ascii="Times New Roman" w:hAnsi="Times New Roman" w:cs="Times New Roman"/>
          <w:lang w:val="en-US" w:eastAsia="zh-CN"/>
        </w:rPr>
        <w:t>吨/年，挥发性有机物排放量为</w:t>
      </w:r>
      <w:r>
        <w:rPr>
          <w:rFonts w:hint="default" w:ascii="Times New Roman" w:hAnsi="Times New Roman" w:cs="Times New Roman"/>
          <w:lang w:val="en-US" w:eastAsia="zh-CN"/>
        </w:rPr>
        <w:t>0.355</w:t>
      </w:r>
      <w:r>
        <w:rPr>
          <w:rFonts w:hint="eastAsia" w:ascii="Times New Roman" w:hAnsi="Times New Roman" w:cs="Times New Roman"/>
          <w:lang w:val="en-US" w:eastAsia="zh-CN"/>
        </w:rPr>
        <w:t>吨/年，其总量控制指标按德阳市广汉生态环境局总量文件执行。</w:t>
      </w:r>
    </w:p>
    <w:p w14:paraId="4537D13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cs="Times New Roman"/>
          <w:lang w:eastAsia="zh-CN"/>
        </w:rPr>
      </w:pPr>
      <w:r>
        <w:rPr>
          <w:rFonts w:hint="eastAsia" w:ascii="Times New Roman" w:hAnsi="Times New Roman" w:cs="Times New Roman"/>
          <w:lang w:eastAsia="zh-CN"/>
        </w:rPr>
        <w:t>四、项目开工建设及投入运营前，应依法完备其他行政许可手续。</w:t>
      </w:r>
    </w:p>
    <w:p w14:paraId="71C3322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cs="Times New Roman"/>
          <w:lang w:eastAsia="zh-CN"/>
        </w:rPr>
      </w:pPr>
      <w:r>
        <w:rPr>
          <w:rFonts w:hint="eastAsia" w:ascii="Times New Roman" w:hAnsi="Times New Roman" w:cs="Times New Roman"/>
          <w:lang w:eastAsia="zh-CN"/>
        </w:rPr>
        <w:t>五、该报告表批准后，项目的性质、规模、地点、采用的生产工艺或者防治污染、防治生态破坏的措施发生重大变动的，应当重新报批项目的环境影响评价文件，否则不得实施建设。建设项目的环境影响评价文件自批准之日起超过五年，方决定该项目开工建设的，其环境影响评价文件应当报原审批部门重新审核。</w:t>
      </w:r>
    </w:p>
    <w:p w14:paraId="402E0F8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ascii="Times New Roman" w:hAnsi="Times New Roman" w:cs="Times New Roman"/>
          <w:lang w:eastAsia="zh-CN"/>
        </w:rPr>
        <w:t>六、纳入排污许可管理的行业，必须按照国家排污许可管理有关规定，申领、变更、延续排污许可证或填报排污登记，并按要求提交执行报告，不得无证排污或不按证排污。项目应按规定标准和程序，对配套建设的环境保护设施进行“三同时”自主验收。建设项目防治污染的设施应当符</w:t>
      </w:r>
      <w:r>
        <w:rPr>
          <w:rFonts w:hint="eastAsia"/>
          <w:lang w:eastAsia="zh-CN"/>
        </w:rPr>
        <w:t>合经批准的环境影响评价文件的要求，不得擅自拆除或者闲置。</w:t>
      </w:r>
    </w:p>
    <w:p w14:paraId="23F3261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七、高度重视安全生产工作，并切实履行安全环保主体责任，将环保设备设施安全作为本单位安全工作的重要内容，委托具有相应资质、能力的设计单位对建设项目重点环保设施进行设计，在环保设施设计、建设、验收、运行、检修过程中，严格落实安全生产法律法规标准规范相关要求。</w:t>
      </w:r>
    </w:p>
    <w:p w14:paraId="63125A20">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八、该项目的“三同时”监督检查、排污许可监管、日常环境保护监管工作由德阳市广汉生态环境保护综合行政执法大队负责，并接受各级生态环境部门的监督管理。</w:t>
      </w:r>
    </w:p>
    <w:p w14:paraId="1CDF7A1C">
      <w:pPr>
        <w:bidi w:val="0"/>
        <w:rPr>
          <w:rFonts w:hint="eastAsia"/>
          <w:lang w:eastAsia="zh-CN"/>
        </w:rPr>
      </w:pPr>
      <w:r>
        <w:rPr>
          <w:rFonts w:hint="eastAsia"/>
          <w:lang w:eastAsia="zh-CN"/>
        </w:rPr>
        <w:t xml:space="preserve">                                  </w:t>
      </w:r>
    </w:p>
    <w:p w14:paraId="07FFB9EB">
      <w:pPr>
        <w:bidi w:val="0"/>
        <w:jc w:val="center"/>
        <w:rPr>
          <w:rFonts w:hint="eastAsia"/>
          <w:lang w:eastAsia="zh-CN"/>
        </w:rPr>
      </w:pPr>
      <w:r>
        <w:rPr>
          <w:rFonts w:hint="eastAsia"/>
          <w:lang w:val="en-US" w:eastAsia="zh-CN"/>
        </w:rPr>
        <w:t xml:space="preserve">                          </w:t>
      </w:r>
      <w:r>
        <w:rPr>
          <w:rFonts w:hint="eastAsia"/>
          <w:lang w:eastAsia="zh-CN"/>
        </w:rPr>
        <w:t>德阳市生态环境局</w:t>
      </w:r>
    </w:p>
    <w:p w14:paraId="5B7DA9F3">
      <w:pPr>
        <w:bidi w:val="0"/>
        <w:jc w:val="center"/>
        <w:rPr>
          <w:rFonts w:hint="eastAsia"/>
          <w:lang w:eastAsia="zh-CN"/>
        </w:rPr>
      </w:pPr>
      <w:r>
        <w:rPr>
          <w:rFonts w:hint="eastAsia"/>
          <w:lang w:val="en-US" w:eastAsia="zh-CN"/>
        </w:rPr>
        <w:t xml:space="preserve">                          </w:t>
      </w:r>
      <w:r>
        <w:rPr>
          <w:rFonts w:hint="eastAsia"/>
          <w:lang w:eastAsia="zh-CN"/>
        </w:rPr>
        <w:t>202</w:t>
      </w:r>
      <w:r>
        <w:rPr>
          <w:rFonts w:hint="eastAsia"/>
          <w:lang w:val="en-US" w:eastAsia="zh-CN"/>
        </w:rPr>
        <w:t>5</w:t>
      </w:r>
      <w:r>
        <w:rPr>
          <w:rFonts w:hint="eastAsia"/>
          <w:lang w:eastAsia="zh-CN"/>
        </w:rPr>
        <w:t>年</w:t>
      </w:r>
      <w:r>
        <w:rPr>
          <w:rFonts w:hint="eastAsia"/>
          <w:lang w:val="en-US" w:eastAsia="zh-CN"/>
        </w:rPr>
        <w:t>5</w:t>
      </w:r>
      <w:r>
        <w:rPr>
          <w:rFonts w:hint="eastAsia"/>
          <w:lang w:eastAsia="zh-CN"/>
        </w:rPr>
        <w:t>月</w:t>
      </w:r>
      <w:r>
        <w:rPr>
          <w:rFonts w:hint="eastAsia"/>
          <w:lang w:val="en-US" w:eastAsia="zh-CN"/>
        </w:rPr>
        <w:t>29</w:t>
      </w:r>
      <w:r>
        <w:rPr>
          <w:rFonts w:hint="eastAsia"/>
          <w:lang w:eastAsia="zh-CN"/>
        </w:rPr>
        <w:t>日</w:t>
      </w:r>
    </w:p>
    <w:sectPr>
      <w:pgSz w:w="11906" w:h="16838"/>
      <w:pgMar w:top="1440" w:right="1587" w:bottom="1440"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540630"/>
    <w:multiLevelType w:val="singleLevel"/>
    <w:tmpl w:val="6054063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11F90"/>
    <w:rsid w:val="027D0F8C"/>
    <w:rsid w:val="02AE534C"/>
    <w:rsid w:val="06C07F19"/>
    <w:rsid w:val="07EE52C1"/>
    <w:rsid w:val="09523CDF"/>
    <w:rsid w:val="0B712CEA"/>
    <w:rsid w:val="0BD91586"/>
    <w:rsid w:val="0F310FDC"/>
    <w:rsid w:val="11A36E95"/>
    <w:rsid w:val="121F6F46"/>
    <w:rsid w:val="17722C48"/>
    <w:rsid w:val="17FF1243"/>
    <w:rsid w:val="182A3593"/>
    <w:rsid w:val="185D1ACF"/>
    <w:rsid w:val="194B73AC"/>
    <w:rsid w:val="1A5823C6"/>
    <w:rsid w:val="1BA51514"/>
    <w:rsid w:val="1CF74DC1"/>
    <w:rsid w:val="1CFB52A5"/>
    <w:rsid w:val="1D5A7C3F"/>
    <w:rsid w:val="1DA61023"/>
    <w:rsid w:val="20BC398C"/>
    <w:rsid w:val="212A40A7"/>
    <w:rsid w:val="22EF2CE9"/>
    <w:rsid w:val="23A4088A"/>
    <w:rsid w:val="240472A7"/>
    <w:rsid w:val="24602490"/>
    <w:rsid w:val="250D7AF6"/>
    <w:rsid w:val="27CC5F75"/>
    <w:rsid w:val="2A3732D1"/>
    <w:rsid w:val="2A6653A5"/>
    <w:rsid w:val="2B1D6405"/>
    <w:rsid w:val="2E624E98"/>
    <w:rsid w:val="39913616"/>
    <w:rsid w:val="3A6E4FAF"/>
    <w:rsid w:val="3B8A62BD"/>
    <w:rsid w:val="41540B2E"/>
    <w:rsid w:val="432F1B9E"/>
    <w:rsid w:val="449D70C1"/>
    <w:rsid w:val="44A0633E"/>
    <w:rsid w:val="4929464F"/>
    <w:rsid w:val="493B5434"/>
    <w:rsid w:val="4CB6767F"/>
    <w:rsid w:val="4E20458D"/>
    <w:rsid w:val="50722108"/>
    <w:rsid w:val="52EB1116"/>
    <w:rsid w:val="548968E9"/>
    <w:rsid w:val="54C67EA4"/>
    <w:rsid w:val="56EF32D7"/>
    <w:rsid w:val="583609E1"/>
    <w:rsid w:val="598E3781"/>
    <w:rsid w:val="5A282A37"/>
    <w:rsid w:val="62544876"/>
    <w:rsid w:val="65AB4EFC"/>
    <w:rsid w:val="65F97157"/>
    <w:rsid w:val="662B4514"/>
    <w:rsid w:val="67F02AB0"/>
    <w:rsid w:val="696A6E0F"/>
    <w:rsid w:val="6AC14661"/>
    <w:rsid w:val="6BE44BDF"/>
    <w:rsid w:val="6CC97B23"/>
    <w:rsid w:val="6F4577DC"/>
    <w:rsid w:val="72E039BF"/>
    <w:rsid w:val="73DB1237"/>
    <w:rsid w:val="74626B26"/>
    <w:rsid w:val="75287D2D"/>
    <w:rsid w:val="77712936"/>
    <w:rsid w:val="78247EBF"/>
    <w:rsid w:val="78A0421B"/>
    <w:rsid w:val="7B4E0BB2"/>
    <w:rsid w:val="7BD55DBA"/>
    <w:rsid w:val="7C326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560" w:lineRule="exact"/>
      <w:ind w:firstLine="2092" w:firstLineChars="200"/>
      <w:jc w:val="both"/>
    </w:pPr>
    <w:rPr>
      <w:rFonts w:ascii="Times New Roman" w:hAnsi="Times New Roman" w:eastAsia="仿宋_GB2312" w:cs="Times New Roman"/>
      <w:kern w:val="2"/>
      <w:sz w:val="32"/>
      <w:szCs w:val="24"/>
      <w:lang w:val="en-US" w:eastAsia="zh-CN" w:bidi="ar-SA"/>
    </w:rPr>
  </w:style>
  <w:style w:type="paragraph" w:styleId="5">
    <w:name w:val="heading 1"/>
    <w:basedOn w:val="1"/>
    <w:next w:val="1"/>
    <w:link w:val="9"/>
    <w:autoRedefine/>
    <w:qFormat/>
    <w:uiPriority w:val="0"/>
    <w:pPr>
      <w:keepNext/>
      <w:keepLines/>
      <w:spacing w:line="720" w:lineRule="exact"/>
      <w:ind w:firstLine="0" w:firstLineChars="0"/>
      <w:jc w:val="center"/>
      <w:outlineLvl w:val="0"/>
    </w:pPr>
    <w:rPr>
      <w:rFonts w:ascii="Times New Roman" w:hAnsi="Times New Roman" w:eastAsia="方正小标宋简体"/>
      <w:bCs/>
      <w:kern w:val="44"/>
      <w:sz w:val="44"/>
      <w:szCs w:val="44"/>
    </w:rPr>
  </w:style>
  <w:style w:type="character" w:default="1" w:styleId="8">
    <w:name w:val="Default Paragraph Font"/>
    <w:semiHidden/>
    <w:unhideWhenUsed/>
    <w:qFormat/>
    <w:uiPriority w:val="1"/>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autoSpaceDE/>
      <w:autoSpaceDN/>
      <w:adjustRightInd/>
      <w:spacing w:after="120" w:line="240" w:lineRule="auto"/>
      <w:ind w:left="420" w:leftChars="200" w:firstLine="420"/>
    </w:pPr>
    <w:rPr>
      <w:rFonts w:ascii="Times New Roman" w:hAnsi="Times New Roman"/>
      <w:kern w:val="2"/>
      <w:sz w:val="21"/>
      <w:szCs w:val="24"/>
    </w:rPr>
  </w:style>
  <w:style w:type="paragraph" w:styleId="3">
    <w:name w:val="Body Text Indent"/>
    <w:basedOn w:val="1"/>
    <w:next w:val="4"/>
    <w:qFormat/>
    <w:uiPriority w:val="0"/>
    <w:pPr>
      <w:spacing w:after="120"/>
      <w:ind w:left="420" w:leftChars="200"/>
    </w:pPr>
    <w:rPr>
      <w:kern w:val="0"/>
      <w:sz w:val="24"/>
      <w:szCs w:val="20"/>
    </w:rPr>
  </w:style>
  <w:style w:type="paragraph" w:styleId="4">
    <w:name w:val="Balloon Text"/>
    <w:basedOn w:val="1"/>
    <w:semiHidden/>
    <w:qFormat/>
    <w:uiPriority w:val="0"/>
    <w:rPr>
      <w:kern w:val="0"/>
      <w:sz w:val="18"/>
      <w:szCs w:val="20"/>
    </w:rPr>
  </w:style>
  <w:style w:type="paragraph" w:styleId="6">
    <w:name w:val="Normal (Web)"/>
    <w:basedOn w:val="1"/>
    <w:qFormat/>
    <w:uiPriority w:val="0"/>
    <w:pPr>
      <w:spacing w:before="100" w:beforeAutospacing="1" w:after="100" w:afterAutospacing="1"/>
      <w:jc w:val="left"/>
    </w:pPr>
    <w:rPr>
      <w:kern w:val="0"/>
      <w:sz w:val="24"/>
    </w:rPr>
  </w:style>
  <w:style w:type="character" w:customStyle="1" w:styleId="9">
    <w:name w:val="标题 1 字符"/>
    <w:basedOn w:val="8"/>
    <w:link w:val="5"/>
    <w:autoRedefine/>
    <w:qFormat/>
    <w:uiPriority w:val="9"/>
    <w:rPr>
      <w:rFonts w:ascii="Times New Roman" w:hAnsi="Times New Roman" w:eastAsia="方正小标宋简体"/>
      <w:bCs/>
      <w:kern w:val="44"/>
      <w:sz w:val="44"/>
      <w:szCs w:val="44"/>
    </w:rPr>
  </w:style>
  <w:style w:type="paragraph" w:customStyle="1" w:styleId="10">
    <w:name w:val="+正文"/>
    <w:basedOn w:val="1"/>
    <w:qFormat/>
    <w:uiPriority w:val="0"/>
    <w:pPr>
      <w:spacing w:line="360" w:lineRule="auto"/>
      <w:ind w:firstLine="200" w:firstLineChars="200"/>
    </w:pPr>
    <w:rPr>
      <w:sz w:val="24"/>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2759</Words>
  <Characters>2875</Characters>
  <Lines>0</Lines>
  <Paragraphs>0</Paragraphs>
  <TotalTime>0</TotalTime>
  <ScaleCrop>false</ScaleCrop>
  <LinksUpToDate>false</LinksUpToDate>
  <CharactersWithSpaces>2963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2023-12-08T06:40:00Z</dcterms:created>
  <dc:creator>HY</dc:creator>
  <cp:lastModifiedBy>熊莉</cp:lastModifiedBy>
  <cp:lastPrinted>2025-03-06T01:11:00Z</cp:lastPrinted>
  <dcterms:modified xsi:type="dcterms:W3CDTF">2025-05-29T08:02:33Z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2018184A9B04423180CC3ED4837FD977_13</vt:lpwstr>
  </property>
</Properties>
</file>