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145</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6A42ACED">
      <w:pPr>
        <w:spacing w:line="600" w:lineRule="exact"/>
        <w:ind w:left="0" w:leftChars="0"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四川省万泓金属制品有限公司</w:t>
      </w:r>
    </w:p>
    <w:p w14:paraId="39073D95">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万泓金属制品喷塑流水线项目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10"/>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四川省万泓金属制品有限公司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eastAsia="zh-CN"/>
        </w:rPr>
        <w:t>万泓金属制品喷塑流水线项目</w:t>
      </w:r>
      <w:r>
        <w:rPr>
          <w:rFonts w:hint="eastAsia"/>
          <w:lang w:eastAsia="zh-CN"/>
        </w:rPr>
        <w:t>《环境影响报告表》（以下简称“报告表”）收悉。经研究，批复如下：</w:t>
      </w:r>
    </w:p>
    <w:p w14:paraId="7860108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lang w:eastAsia="zh-CN"/>
        </w:rPr>
      </w:pPr>
      <w:r>
        <w:rPr>
          <w:rFonts w:hint="eastAsia" w:ascii="仿宋_GB2312" w:hAnsi="仿宋_GB2312" w:eastAsia="仿宋_GB2312" w:cs="仿宋_GB2312"/>
          <w:kern w:val="2"/>
          <w:sz w:val="32"/>
          <w:szCs w:val="32"/>
          <w:lang w:val="en-US" w:eastAsia="zh-CN" w:bidi="ar-SA"/>
        </w:rPr>
        <w:t>该项目为新建项目,拟在广汉市汉州街道玉溪路四段六号租赁广汉市升通机械有限公司已建标准化厂房建设</w:t>
      </w:r>
      <w:r>
        <w:rPr>
          <w:rFonts w:hint="eastAsia"/>
          <w:lang w:eastAsia="zh-CN"/>
        </w:rPr>
        <w:t>，用地面积</w:t>
      </w:r>
      <w:r>
        <w:rPr>
          <w:rFonts w:hint="eastAsia"/>
          <w:lang w:val="en-US" w:eastAsia="zh-CN"/>
        </w:rPr>
        <w:t>2509.2</w:t>
      </w:r>
      <w:r>
        <w:rPr>
          <w:rFonts w:hint="eastAsia"/>
          <w:lang w:eastAsia="zh-CN"/>
        </w:rPr>
        <w:t>平方米</w:t>
      </w:r>
      <w:r>
        <w:rPr>
          <w:rFonts w:hint="eastAsia" w:ascii="仿宋_GB2312" w:hAnsi="仿宋_GB2312" w:eastAsia="仿宋_GB2312" w:cs="仿宋_GB2312"/>
          <w:kern w:val="2"/>
          <w:sz w:val="32"/>
          <w:szCs w:val="32"/>
          <w:lang w:val="en-US" w:eastAsia="zh-CN" w:bidi="ar-SA"/>
        </w:rPr>
        <w:t>。项目内容及规模为：依托厂房及相关公辅设施，购置激光切割机、激光焊接机、</w:t>
      </w:r>
      <w:r>
        <w:rPr>
          <w:rFonts w:hint="eastAsia" w:ascii="仿宋_GB2312" w:hAnsi="仿宋_GB2312" w:cs="仿宋_GB2312"/>
          <w:kern w:val="2"/>
          <w:sz w:val="32"/>
          <w:szCs w:val="32"/>
          <w:lang w:val="en-US" w:eastAsia="zh-CN" w:bidi="ar-SA"/>
        </w:rPr>
        <w:t>自动喷粉室</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天然气加热炉</w:t>
      </w:r>
      <w:r>
        <w:rPr>
          <w:rFonts w:hint="eastAsia" w:ascii="仿宋_GB2312" w:hAnsi="仿宋_GB2312" w:eastAsia="仿宋_GB2312" w:cs="仿宋_GB2312"/>
          <w:kern w:val="2"/>
          <w:sz w:val="32"/>
          <w:szCs w:val="32"/>
          <w:lang w:val="en-US" w:eastAsia="zh-CN" w:bidi="ar-SA"/>
        </w:rPr>
        <w:t>等生产设备，布设卫生间金属隔断、金属挂墙、不锈钢隔断生产线，项目建成后形成年产卫生间金属隔断5万平方米、金属挂墙3万平方米、不锈钢隔断5000平方米的生产能力。项目总投资2000万元，其中环保投资85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2504-510681-04-01-409645</w:t>
      </w:r>
      <w:r>
        <w:rPr>
          <w:rFonts w:hint="eastAsia"/>
          <w:lang w:eastAsia="zh-CN"/>
        </w:rPr>
        <w:t>]</w:t>
      </w:r>
      <w:r>
        <w:rPr>
          <w:rFonts w:hint="eastAsia"/>
          <w:lang w:val="en-US" w:eastAsia="zh-CN"/>
        </w:rPr>
        <w:t>FGQB-0322</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rFonts w:hint="eastAsia" w:ascii="仿宋_GB2312" w:hAnsi="仿宋_GB2312" w:cs="仿宋_GB2312"/>
          <w:sz w:val="32"/>
          <w:szCs w:val="32"/>
          <w:lang w:val="en-US" w:eastAsia="zh-CN"/>
        </w:rPr>
        <w:t>广汉市升通机械</w:t>
      </w:r>
      <w:r>
        <w:rPr>
          <w:rFonts w:hint="eastAsia" w:ascii="仿宋_GB2312" w:hAnsi="仿宋_GB2312" w:eastAsia="仿宋_GB2312" w:cs="仿宋_GB2312"/>
          <w:sz w:val="32"/>
          <w:szCs w:val="32"/>
          <w:lang w:val="en-US" w:eastAsia="zh-CN"/>
        </w:rPr>
        <w:t>有限公司</w:t>
      </w:r>
      <w:r>
        <w:rPr>
          <w:rFonts w:hint="eastAsia"/>
          <w:lang w:val="en-US" w:eastAsia="zh-CN"/>
        </w:rPr>
        <w:t>取得的《土地使用证》，项目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落实切割、焊接</w:t>
      </w:r>
      <w:r>
        <w:rPr>
          <w:rFonts w:hint="eastAsia" w:ascii="仿宋_GB2312" w:hAnsi="仿宋_GB2312" w:cs="仿宋_GB2312"/>
          <w:color w:val="000000" w:themeColor="text1"/>
          <w:sz w:val="32"/>
          <w:szCs w:val="32"/>
          <w:lang w:eastAsia="zh-CN"/>
          <w14:textFill>
            <w14:solidFill>
              <w14:schemeClr w14:val="tx1"/>
            </w14:solidFill>
          </w14:textFill>
        </w:rPr>
        <w:t>、打磨</w:t>
      </w:r>
      <w:r>
        <w:rPr>
          <w:rFonts w:hint="eastAsia" w:ascii="仿宋_GB2312" w:hAnsi="仿宋_GB2312" w:eastAsia="仿宋_GB2312" w:cs="仿宋_GB2312"/>
          <w:color w:val="000000" w:themeColor="text1"/>
          <w:sz w:val="32"/>
          <w:szCs w:val="32"/>
          <w:lang w:eastAsia="zh-CN"/>
          <w14:textFill>
            <w14:solidFill>
              <w14:schemeClr w14:val="tx1"/>
            </w14:solidFill>
          </w14:textFill>
        </w:rPr>
        <w:t>工序的集气罩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+烟尘除尘器，确保切割、焊接</w:t>
      </w:r>
      <w:r>
        <w:rPr>
          <w:rFonts w:hint="eastAsia" w:ascii="仿宋_GB2312" w:hAnsi="仿宋_GB2312" w:cs="仿宋_GB2312"/>
          <w:color w:val="000000" w:themeColor="text1"/>
          <w:sz w:val="32"/>
          <w:szCs w:val="32"/>
          <w:lang w:val="en-US" w:eastAsia="zh-CN"/>
          <w14:textFill>
            <w14:solidFill>
              <w14:schemeClr w14:val="tx1"/>
            </w14:solidFill>
          </w14:textFill>
        </w:rPr>
        <w:t>、打磨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颗粒物经收集处理后由一根15m高排气筒达标排放；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设置密闭喷塑房，落实喷塑工序的密闭负压收集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旋风+脉冲</w:t>
      </w:r>
      <w:r>
        <w:rPr>
          <w:rFonts w:hint="eastAsia" w:ascii="仿宋_GB2312" w:hAnsi="仿宋_GB2312" w:eastAsia="仿宋_GB2312" w:cs="仿宋_GB2312"/>
          <w:color w:val="000000" w:themeColor="text1"/>
          <w:sz w:val="32"/>
          <w:szCs w:val="32"/>
          <w:lang w:eastAsia="zh-CN"/>
          <w14:textFill>
            <w14:solidFill>
              <w14:schemeClr w14:val="tx1"/>
            </w14:solidFill>
          </w14:textFill>
        </w:rPr>
        <w:t>滤芯</w:t>
      </w:r>
      <w:r>
        <w:rPr>
          <w:rFonts w:hint="eastAsia" w:ascii="仿宋_GB2312" w:hAnsi="仿宋_GB2312" w:eastAsia="仿宋_GB2312" w:cs="仿宋_GB2312"/>
          <w:color w:val="000000" w:themeColor="text1"/>
          <w:sz w:val="32"/>
          <w:szCs w:val="32"/>
          <w14:textFill>
            <w14:solidFill>
              <w14:schemeClr w14:val="tx1"/>
            </w14:solidFill>
          </w14:textFill>
        </w:rPr>
        <w:t>除尘器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，确保喷塑粉尘经收集处理后由一根15m高排气筒达标排放；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固化、刷胶工序的集气罩+过滤棉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+二级活性炭吸附装置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w:t>
      </w:r>
      <w:r>
        <w:rPr>
          <w:rFonts w:hint="eastAsia" w:ascii="仿宋_GB2312" w:hAnsi="仿宋_GB2312" w:cs="仿宋_GB2312"/>
          <w:color w:val="000000" w:themeColor="text1"/>
          <w:sz w:val="32"/>
          <w:szCs w:val="32"/>
          <w:lang w:val="en-US" w:eastAsia="zh-CN"/>
          <w14:textFill>
            <w14:solidFill>
              <w14:schemeClr w14:val="tx1"/>
            </w14:solidFill>
          </w14:textFill>
        </w:rPr>
        <w:t>塑粉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固化、</w:t>
      </w:r>
      <w:r>
        <w:rPr>
          <w:rFonts w:hint="eastAsia" w:ascii="仿宋_GB2312" w:hAnsi="仿宋_GB2312" w:cs="仿宋_GB2312"/>
          <w:color w:val="000000" w:themeColor="text1"/>
          <w:sz w:val="32"/>
          <w:szCs w:val="32"/>
          <w:lang w:val="en-US" w:eastAsia="zh-CN"/>
          <w14:textFill>
            <w14:solidFill>
              <w14:schemeClr w14:val="tx1"/>
            </w14:solidFill>
          </w14:textFill>
        </w:rPr>
        <w:t>胶水固化、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刷胶有机废气、固化天然气燃烧废气经收集处理后由一根15m高排气筒达标排放</w:t>
      </w:r>
      <w:r>
        <w:rPr>
          <w:rFonts w:hint="eastAsia" w:ascii="仿宋_GB2312" w:hAnsi="仿宋_GB2312" w:cs="仿宋_GB2312"/>
          <w:color w:val="000000" w:themeColor="text1"/>
          <w:sz w:val="32"/>
          <w:szCs w:val="32"/>
          <w:lang w:val="en-US" w:eastAsia="zh-CN"/>
          <w14:textFill>
            <w14:solidFill>
              <w14:schemeClr w14:val="tx1"/>
            </w14:solidFill>
          </w14:textFill>
        </w:rPr>
        <w:t>；确保电热鼓风干燥箱和危废暂存间少量有机废气达标排放，对周围环境不产生影响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项目不产生生产废水；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生活污水依托</w:t>
      </w:r>
      <w:r>
        <w:rPr>
          <w:rFonts w:hint="eastAsia" w:ascii="仿宋_GB2312" w:hAnsi="仿宋_GB2312" w:eastAsia="仿宋_GB2312" w:cs="仿宋_GB2312"/>
          <w:kern w:val="2"/>
          <w:sz w:val="32"/>
          <w:szCs w:val="32"/>
          <w:lang w:val="en-US" w:eastAsia="zh-CN" w:bidi="ar-SA"/>
        </w:rPr>
        <w:t>广汉市升通机械有限公司</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已建预处理池处理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达到</w:t>
      </w:r>
      <w:r>
        <w:rPr>
          <w:rFonts w:hint="eastAsia"/>
          <w:lang w:eastAsia="zh-CN"/>
        </w:rPr>
        <w:t>《污水综合排放标准》（GB8978-1996）三级标准后排入市政污水管网，由广汉市第二污水处理厂处理达《四川省岷江、沱江流域水污染物排放标准》（DB51/2311-2016）中工业园区集中式污水处理厂标准后外排。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w:t>
      </w:r>
      <w:r>
        <w:rPr>
          <w:rFonts w:hint="eastAsia" w:ascii="Times New Roman" w:hAnsi="Times New Roman" w:cs="Times New Roman"/>
          <w:lang w:eastAsia="zh-CN"/>
        </w:rPr>
        <w:t>避免二次污染。项目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废金属及金属碎屑（不含油）、废芯材边角料、废包装材料、废焊条、焊丝、焊渣外售至废品回收站；除尘器收尘</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、废滤芯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经收集后</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由厂家回收处理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；不合格品收集后作为原材料</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用；</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废活性炭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、废胶水和废胶水桶、废润滑油和废润滑油桶、废含油废手套及抹布、</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废过滤棉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widowControl/>
        <w:suppressLineNumbers w:val="0"/>
        <w:jc w:val="left"/>
        <w:rPr>
          <w:rFonts w:hint="eastAsia"/>
          <w:lang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（七）严格落实并优化报告表提出的地下水</w:t>
      </w:r>
      <w:r>
        <w:rPr>
          <w:rFonts w:hint="eastAsia"/>
          <w:lang w:eastAsia="zh-CN"/>
        </w:rPr>
        <w:t>和土壤污染防治措施。项目将</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危废暂存间</w:t>
      </w:r>
      <w:bookmarkStart w:id="0" w:name="OLE_LINK54"/>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胶水储存区、刷胶区</w:t>
      </w:r>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设置为重点防渗区，将</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除重点防渗区外的区域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设置为一般防渗区，分别采取防渗措</w:t>
      </w:r>
      <w:r>
        <w:rPr>
          <w:rFonts w:hint="eastAsia"/>
          <w:lang w:eastAsia="zh-CN"/>
        </w:rPr>
        <w:t>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九</w:t>
      </w:r>
      <w:r>
        <w:rPr>
          <w:rFonts w:hint="eastAsia" w:ascii="Times New Roman" w:hAnsi="Times New Roman" w:cs="Times New Roman"/>
          <w:lang w:eastAsia="zh-CN"/>
        </w:rPr>
        <w:t>）按照相关要求规范设置各类排污口和标志标牌，落实报告表提出的环境管理要求和监测计划。</w:t>
      </w:r>
    </w:p>
    <w:p w14:paraId="44F0CF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三、该项目运营后，全厂氮氧化物排放量为</w:t>
      </w:r>
      <w:r>
        <w:rPr>
          <w:rFonts w:hint="eastAsia" w:cs="Times New Roman"/>
          <w:lang w:val="en-US" w:eastAsia="zh-CN"/>
        </w:rPr>
        <w:t>0.238</w:t>
      </w:r>
      <w:r>
        <w:rPr>
          <w:rFonts w:hint="eastAsia" w:ascii="Times New Roman" w:hAnsi="Times New Roman" w:cs="Times New Roman"/>
          <w:lang w:val="en-US" w:eastAsia="zh-CN"/>
        </w:rPr>
        <w:t>吨/年，挥发性有机物排放量为</w:t>
      </w:r>
      <w:r>
        <w:rPr>
          <w:rFonts w:hint="eastAsia" w:cs="Times New Roman"/>
          <w:lang w:val="en-US" w:eastAsia="zh-CN"/>
        </w:rPr>
        <w:t>0.132</w:t>
      </w:r>
      <w:r>
        <w:rPr>
          <w:rFonts w:hint="eastAsia" w:ascii="Times New Roman" w:hAnsi="Times New Roman" w:cs="Times New Roman"/>
          <w:lang w:val="en-US" w:eastAsia="zh-CN"/>
        </w:rPr>
        <w:t>吨/年，其总量控制指标按德阳市广汉生态环境局总量文件执行。</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ascii="Times New Roman" w:hAnsi="Times New Roman" w:cs="Times New Roman"/>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w:t>
      </w:r>
      <w:r>
        <w:rPr>
          <w:rFonts w:hint="eastAsia"/>
          <w:lang w:eastAsia="zh-CN"/>
        </w:rPr>
        <w:t>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r>
        <w:rPr>
          <w:rFonts w:hint="eastAsia"/>
          <w:lang w:eastAsia="zh-CN"/>
        </w:rPr>
        <w:t>月</w:t>
      </w:r>
      <w:r>
        <w:rPr>
          <w:rFonts w:hint="eastAsia"/>
          <w:lang w:val="en-US" w:eastAsia="zh-CN"/>
        </w:rPr>
        <w:t>5</w:t>
      </w:r>
      <w:bookmarkStart w:id="1" w:name="_GoBack"/>
      <w:bookmarkEnd w:id="1"/>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40630"/>
    <w:multiLevelType w:val="singleLevel"/>
    <w:tmpl w:val="605406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1F90"/>
    <w:rsid w:val="027D0F8C"/>
    <w:rsid w:val="02AE534C"/>
    <w:rsid w:val="06C07F19"/>
    <w:rsid w:val="07EE52C1"/>
    <w:rsid w:val="09523CDF"/>
    <w:rsid w:val="0B712CEA"/>
    <w:rsid w:val="0BD91586"/>
    <w:rsid w:val="0F310FDC"/>
    <w:rsid w:val="10053102"/>
    <w:rsid w:val="11A36E95"/>
    <w:rsid w:val="121F6F46"/>
    <w:rsid w:val="17722C48"/>
    <w:rsid w:val="17FF1243"/>
    <w:rsid w:val="181B5077"/>
    <w:rsid w:val="182A3593"/>
    <w:rsid w:val="185D1ACF"/>
    <w:rsid w:val="194B73AC"/>
    <w:rsid w:val="1A5823C6"/>
    <w:rsid w:val="1BA51514"/>
    <w:rsid w:val="1CF74DC1"/>
    <w:rsid w:val="1CFB52A5"/>
    <w:rsid w:val="1D5A7C3F"/>
    <w:rsid w:val="1DA61023"/>
    <w:rsid w:val="20BC398C"/>
    <w:rsid w:val="212A40A7"/>
    <w:rsid w:val="22EF2CE9"/>
    <w:rsid w:val="23A4088A"/>
    <w:rsid w:val="240472A7"/>
    <w:rsid w:val="24602490"/>
    <w:rsid w:val="250D7AF6"/>
    <w:rsid w:val="27CC5F75"/>
    <w:rsid w:val="2A3732D1"/>
    <w:rsid w:val="2A6653A5"/>
    <w:rsid w:val="2B1D6405"/>
    <w:rsid w:val="2E624E98"/>
    <w:rsid w:val="39913616"/>
    <w:rsid w:val="3A6E4FAF"/>
    <w:rsid w:val="3B8A62BD"/>
    <w:rsid w:val="41540B2E"/>
    <w:rsid w:val="432F1B9E"/>
    <w:rsid w:val="449D70C1"/>
    <w:rsid w:val="44A0633E"/>
    <w:rsid w:val="466B6861"/>
    <w:rsid w:val="4929464F"/>
    <w:rsid w:val="493B5434"/>
    <w:rsid w:val="4CB6767F"/>
    <w:rsid w:val="4E20458D"/>
    <w:rsid w:val="50722108"/>
    <w:rsid w:val="52EB1116"/>
    <w:rsid w:val="548968E9"/>
    <w:rsid w:val="54C67EA4"/>
    <w:rsid w:val="56EF32D7"/>
    <w:rsid w:val="583609E1"/>
    <w:rsid w:val="598E3781"/>
    <w:rsid w:val="5A282A37"/>
    <w:rsid w:val="611502C9"/>
    <w:rsid w:val="62544876"/>
    <w:rsid w:val="6418058F"/>
    <w:rsid w:val="65AB4EFC"/>
    <w:rsid w:val="65F97157"/>
    <w:rsid w:val="662B4514"/>
    <w:rsid w:val="67745493"/>
    <w:rsid w:val="67F02AB0"/>
    <w:rsid w:val="696A6E0F"/>
    <w:rsid w:val="6AC14661"/>
    <w:rsid w:val="6BE44BDF"/>
    <w:rsid w:val="6CC97B23"/>
    <w:rsid w:val="6F4577DC"/>
    <w:rsid w:val="72084305"/>
    <w:rsid w:val="72E039BF"/>
    <w:rsid w:val="73DB1237"/>
    <w:rsid w:val="74626B26"/>
    <w:rsid w:val="747B7E9F"/>
    <w:rsid w:val="75287D2D"/>
    <w:rsid w:val="77712936"/>
    <w:rsid w:val="78247EBF"/>
    <w:rsid w:val="78A0421B"/>
    <w:rsid w:val="7B4E0BB2"/>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9"/>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line="240" w:lineRule="auto"/>
      <w:ind w:left="420" w:leftChars="200" w:firstLine="420"/>
    </w:pPr>
    <w:rPr>
      <w:rFonts w:ascii="Times New Roman" w:hAnsi="Times New Roman"/>
      <w:kern w:val="2"/>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Balloon Text"/>
    <w:basedOn w:val="1"/>
    <w:semiHidden/>
    <w:qFormat/>
    <w:uiPriority w:val="0"/>
    <w:rPr>
      <w:kern w:val="0"/>
      <w:sz w:val="18"/>
      <w:szCs w:val="20"/>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1 字符"/>
    <w:basedOn w:val="8"/>
    <w:link w:val="5"/>
    <w:autoRedefine/>
    <w:qFormat/>
    <w:uiPriority w:val="9"/>
    <w:rPr>
      <w:rFonts w:ascii="Times New Roman" w:hAnsi="Times New Roman" w:eastAsia="方正小标宋简体"/>
      <w:bCs/>
      <w:kern w:val="44"/>
      <w:sz w:val="44"/>
      <w:szCs w:val="44"/>
    </w:rPr>
  </w:style>
  <w:style w:type="paragraph" w:customStyle="1" w:styleId="10">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2529</Words>
  <Characters>2628</Characters>
  <Lines>0</Lines>
  <Paragraphs>0</Paragraphs>
  <TotalTime>0</TotalTime>
  <ScaleCrop>false</ScaleCrop>
  <LinksUpToDate>false</LinksUpToDate>
  <CharactersWithSpaces>2716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2025-06-05T07:42:53Z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2018184A9B04423180CC3ED4837FD977_13</vt:lpwstr>
  </property>
</Properties>
</file>