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150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四川继成链条有限责任公司继成链条生产线改造项目</w:t>
      </w:r>
      <w:r>
        <w:rPr>
          <w:rFonts w:ascii="Times New Roman" w:hAnsi="Times New Roman" w:eastAsia="方正小标宋简体" w:cs="Times New Roman"/>
          <w:sz w:val="44"/>
          <w:szCs w:val="44"/>
        </w:rPr>
        <w:t>《环境影响报告表》的批复</w:t>
      </w:r>
    </w:p>
    <w:p w14:paraId="15EC028B">
      <w:pPr>
        <w:pStyle w:val="10"/>
        <w:rPr>
          <w:rFonts w:ascii="Times New Roman" w:hAnsi="Times New Roman" w:eastAsia="方正小标宋简体" w:cs="Times New Roman"/>
          <w:sz w:val="44"/>
          <w:szCs w:val="44"/>
        </w:rPr>
      </w:pPr>
      <w:bookmarkStart w:id="0" w:name="_GoBack"/>
      <w:bookmarkEnd w:id="0"/>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四川继成链条有限责任公司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继成链条生产线改造项目</w:t>
      </w:r>
      <w:r>
        <w:rPr>
          <w:rFonts w:hint="eastAsia"/>
          <w:lang w:eastAsia="zh-CN"/>
        </w:rPr>
        <w:t>《环境影响报告表》（以下简称“报告表”）收悉。经研究，批复如下：</w:t>
      </w:r>
    </w:p>
    <w:p w14:paraId="7860108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lang w:eastAsia="zh-CN"/>
        </w:rPr>
      </w:pPr>
      <w:r>
        <w:rPr>
          <w:rFonts w:hint="eastAsia"/>
        </w:rPr>
        <w:t>该项目为</w:t>
      </w:r>
      <w:r>
        <w:rPr>
          <w:rFonts w:hint="eastAsia"/>
          <w:lang w:val="en-US" w:eastAsia="zh-CN"/>
        </w:rPr>
        <w:t>技术改造</w:t>
      </w:r>
      <w:r>
        <w:rPr>
          <w:rFonts w:hint="eastAsia"/>
        </w:rPr>
        <w:t>项目</w:t>
      </w:r>
      <w:r>
        <w:rPr>
          <w:rFonts w:hint="eastAsia"/>
          <w:lang w:eastAsia="zh-CN"/>
        </w:rPr>
        <w:t>，</w:t>
      </w:r>
      <w:r>
        <w:rPr>
          <w:rFonts w:hint="eastAsia"/>
        </w:rPr>
        <w:t>拟在广汉市汉州街道高雄路三段22号1#车间</w:t>
      </w:r>
      <w:r>
        <w:rPr>
          <w:rFonts w:hint="default"/>
          <w:lang w:eastAsia="zh-CN"/>
        </w:rPr>
        <w:t>租赁四川中智石油机械有限公司</w:t>
      </w:r>
      <w:r>
        <w:rPr>
          <w:rFonts w:hint="eastAsia"/>
          <w:lang w:val="en-US" w:eastAsia="zh-CN"/>
        </w:rPr>
        <w:t>现有厂房进行建设</w:t>
      </w:r>
      <w:r>
        <w:rPr>
          <w:rFonts w:hint="eastAsia"/>
        </w:rPr>
        <w:t>，</w:t>
      </w:r>
      <w:r>
        <w:rPr>
          <w:rFonts w:hint="eastAsia"/>
          <w:lang w:val="en-US" w:eastAsia="zh-CN"/>
        </w:rPr>
        <w:t>不新增</w:t>
      </w:r>
      <w:r>
        <w:rPr>
          <w:rFonts w:hint="eastAsia"/>
        </w:rPr>
        <w:t>用地面积。项目内容及规模为：依托生产车间及相关公辅设施，淘汰现有故障频发设备</w:t>
      </w:r>
      <w:r>
        <w:rPr>
          <w:rFonts w:hint="eastAsia"/>
          <w:lang w:eastAsia="zh-CN"/>
        </w:rPr>
        <w:t>，</w:t>
      </w:r>
      <w:r>
        <w:rPr>
          <w:rFonts w:hint="eastAsia"/>
        </w:rPr>
        <w:t>购置</w:t>
      </w:r>
      <w:r>
        <w:rPr>
          <w:rFonts w:hint="eastAsia" w:ascii="Times New Roman" w:hAnsi="Times New Roman" w:cs="Times New Roman"/>
        </w:rPr>
        <w:t>高频加热机</w:t>
      </w:r>
      <w:r>
        <w:rPr>
          <w:rFonts w:hint="eastAsia" w:ascii="Times New Roman" w:hAnsi="Times New Roman" w:cs="Times New Roman"/>
          <w:lang w:eastAsia="zh-CN"/>
        </w:rPr>
        <w:t>、</w:t>
      </w:r>
      <w:r>
        <w:rPr>
          <w:rFonts w:hint="eastAsia" w:ascii="Times New Roman" w:hAnsi="Times New Roman" w:cs="Times New Roman"/>
        </w:rPr>
        <w:t>数控铣床</w:t>
      </w:r>
      <w:r>
        <w:rPr>
          <w:rFonts w:hint="eastAsia" w:ascii="Times New Roman" w:hAnsi="Times New Roman" w:cs="Times New Roman"/>
          <w:lang w:eastAsia="zh-CN"/>
        </w:rPr>
        <w:t>、</w:t>
      </w:r>
      <w:r>
        <w:rPr>
          <w:rFonts w:hint="eastAsia" w:ascii="Times New Roman" w:hAnsi="Times New Roman" w:cs="Times New Roman"/>
        </w:rPr>
        <w:t>砂轮机</w:t>
      </w:r>
      <w:r>
        <w:rPr>
          <w:rFonts w:hint="eastAsia" w:ascii="Times New Roman" w:hAnsi="Times New Roman" w:cs="Times New Roman"/>
          <w:lang w:eastAsia="zh-CN"/>
        </w:rPr>
        <w:t>、</w:t>
      </w:r>
      <w:r>
        <w:rPr>
          <w:rFonts w:hint="eastAsia" w:ascii="Times New Roman" w:hAnsi="Times New Roman" w:cs="Times New Roman"/>
        </w:rPr>
        <w:t>抛丸机</w:t>
      </w:r>
      <w:r>
        <w:rPr>
          <w:rFonts w:hint="eastAsia" w:ascii="Times New Roman" w:hAnsi="Times New Roman" w:cs="Times New Roman"/>
          <w:lang w:eastAsia="zh-CN"/>
        </w:rPr>
        <w:t>、</w:t>
      </w:r>
      <w:r>
        <w:rPr>
          <w:rFonts w:hint="eastAsia" w:ascii="Times New Roman" w:hAnsi="Times New Roman" w:cs="Times New Roman"/>
        </w:rPr>
        <w:t>毛刺清理机</w:t>
      </w:r>
      <w:r>
        <w:rPr>
          <w:rFonts w:hint="eastAsia" w:ascii="Times New Roman" w:hAnsi="Times New Roman" w:cs="Times New Roman"/>
          <w:lang w:eastAsia="zh-CN"/>
        </w:rPr>
        <w:t>、</w:t>
      </w:r>
      <w:r>
        <w:rPr>
          <w:rFonts w:hint="eastAsia" w:ascii="Times New Roman" w:hAnsi="Times New Roman" w:cs="Times New Roman"/>
        </w:rPr>
        <w:t>井式退火炉</w:t>
      </w:r>
      <w:r>
        <w:rPr>
          <w:rFonts w:hint="eastAsia" w:ascii="Times New Roman" w:hAnsi="Times New Roman" w:cs="Times New Roman"/>
          <w:lang w:eastAsia="zh-CN"/>
        </w:rPr>
        <w:t>、</w:t>
      </w:r>
      <w:r>
        <w:rPr>
          <w:rFonts w:hint="eastAsia" w:ascii="Times New Roman" w:hAnsi="Times New Roman" w:cs="Times New Roman"/>
        </w:rPr>
        <w:t>地上钢质防锈油池</w:t>
      </w:r>
      <w:r>
        <w:rPr>
          <w:rFonts w:hint="eastAsia" w:ascii="Times New Roman" w:hAnsi="Times New Roman" w:cs="Times New Roman"/>
          <w:lang w:eastAsia="zh-CN"/>
        </w:rPr>
        <w:t>、</w:t>
      </w:r>
      <w:r>
        <w:rPr>
          <w:rFonts w:hint="eastAsia" w:ascii="Times New Roman" w:hAnsi="Times New Roman" w:cs="Times New Roman"/>
        </w:rPr>
        <w:t>地上钢质防锈液池</w:t>
      </w:r>
      <w:r>
        <w:rPr>
          <w:rFonts w:hint="eastAsia" w:ascii="Times New Roman" w:hAnsi="Times New Roman" w:cs="Times New Roman"/>
          <w:lang w:val="en-US" w:eastAsia="zh-CN"/>
        </w:rPr>
        <w:t>等</w:t>
      </w:r>
      <w:r>
        <w:rPr>
          <w:rFonts w:hint="eastAsia" w:ascii="Times New Roman" w:hAnsi="Times New Roman" w:cs="Times New Roman"/>
        </w:rPr>
        <w:t>生</w:t>
      </w:r>
      <w:r>
        <w:rPr>
          <w:rFonts w:hint="eastAsia"/>
        </w:rPr>
        <w:t>产设备，</w:t>
      </w:r>
      <w:r>
        <w:rPr>
          <w:rFonts w:hint="eastAsia"/>
          <w:lang w:val="en-US" w:eastAsia="zh-CN"/>
        </w:rPr>
        <w:t>对现有生产线进行改造，</w:t>
      </w:r>
      <w:r>
        <w:rPr>
          <w:rFonts w:hint="eastAsia" w:ascii="Times New Roman" w:hAnsi="Times New Roman" w:cs="Times New Roman"/>
          <w:lang w:val="en-US" w:eastAsia="zh-CN"/>
        </w:rPr>
        <w:t>原项目年产链条</w:t>
      </w:r>
      <w:r>
        <w:rPr>
          <w:rFonts w:hint="eastAsia" w:ascii="Times New Roman" w:hAnsi="Times New Roman" w:cs="Times New Roman"/>
          <w:lang w:val="zh-CN" w:eastAsia="zh-CN"/>
        </w:rPr>
        <w:t>22000</w:t>
      </w:r>
      <w:r>
        <w:rPr>
          <w:rFonts w:hint="eastAsia" w:ascii="Times New Roman" w:hAnsi="Times New Roman" w:cs="Times New Roman"/>
          <w:lang w:val="en-US" w:eastAsia="zh-CN"/>
        </w:rPr>
        <w:t>米</w:t>
      </w:r>
      <w:r>
        <w:rPr>
          <w:rFonts w:hint="eastAsia" w:ascii="Times New Roman" w:hAnsi="Times New Roman" w:cs="Times New Roman"/>
          <w:lang w:val="zh-CN" w:eastAsia="zh-CN"/>
        </w:rPr>
        <w:t>、链轮6000套的</w:t>
      </w:r>
      <w:r>
        <w:rPr>
          <w:rFonts w:hint="eastAsia" w:ascii="Times New Roman" w:hAnsi="Times New Roman" w:cs="Times New Roman"/>
          <w:lang w:val="en-US" w:eastAsia="zh-CN"/>
        </w:rPr>
        <w:t>产能不改变</w:t>
      </w:r>
      <w:r>
        <w:rPr>
          <w:rFonts w:hint="eastAsia"/>
        </w:rPr>
        <w:t>。项目总投资</w:t>
      </w:r>
      <w:r>
        <w:rPr>
          <w:rFonts w:hint="eastAsia"/>
          <w:lang w:val="en-US" w:eastAsia="zh-CN"/>
        </w:rPr>
        <w:t>100</w:t>
      </w:r>
      <w:r>
        <w:rPr>
          <w:rFonts w:hint="eastAsia"/>
        </w:rPr>
        <w:t>万元，其中环保投资</w:t>
      </w:r>
      <w:r>
        <w:rPr>
          <w:rFonts w:hint="eastAsia"/>
          <w:lang w:val="en-US" w:eastAsia="zh-CN"/>
        </w:rPr>
        <w:t>11</w:t>
      </w:r>
      <w:r>
        <w:rPr>
          <w:rFonts w:hint="eastAsia"/>
        </w:rPr>
        <w:t>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2503-510681-07-02-391141</w:t>
      </w:r>
      <w:r>
        <w:rPr>
          <w:rFonts w:hint="eastAsia"/>
          <w:lang w:eastAsia="zh-CN"/>
        </w:rPr>
        <w:t>]</w:t>
      </w:r>
      <w:r>
        <w:rPr>
          <w:rFonts w:hint="eastAsia"/>
          <w:lang w:val="en-US" w:eastAsia="zh-CN"/>
        </w:rPr>
        <w:t>JXQB-0230</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color w:val="000000" w:themeColor="text1"/>
          <w:szCs w:val="24"/>
          <w14:textFill>
            <w14:solidFill>
              <w14:schemeClr w14:val="tx1"/>
            </w14:solidFill>
          </w14:textFill>
        </w:rPr>
        <w:t>四川中智石油机械有限公司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lang w:eastAsia="zh-CN"/>
        </w:rPr>
        <w:t>（三）严格落实并优化报告表提出的各项废气处理措施。</w:t>
      </w:r>
      <w:r>
        <w:rPr>
          <w:rFonts w:hint="eastAsia"/>
          <w:lang w:val="en-US" w:eastAsia="zh-CN"/>
        </w:rPr>
        <w:t>落</w:t>
      </w:r>
      <w:r>
        <w:rPr>
          <w:rFonts w:hint="eastAsia"/>
          <w:lang w:eastAsia="zh-CN"/>
        </w:rPr>
        <w:t>实</w:t>
      </w:r>
      <w:r>
        <w:rPr>
          <w:rFonts w:hint="eastAsia"/>
          <w:lang w:val="en-US" w:eastAsia="zh-CN"/>
        </w:rPr>
        <w:t>密闭去毛刺机的管道收集+滤筒过滤器及密闭抛丸机自带的布袋除尘器装置，确保去毛刺粉尘及抛丸机除锈废气经</w:t>
      </w:r>
      <w:r>
        <w:rPr>
          <w:rFonts w:hint="eastAsia"/>
          <w:lang w:eastAsia="zh-CN"/>
        </w:rPr>
        <w:t>收集</w:t>
      </w:r>
      <w:r>
        <w:rPr>
          <w:rFonts w:hint="eastAsia"/>
          <w:lang w:val="en-US" w:eastAsia="zh-CN"/>
        </w:rPr>
        <w:t>处理后由1</w:t>
      </w:r>
      <w:r>
        <w:rPr>
          <w:rFonts w:hint="eastAsia"/>
          <w:lang w:eastAsia="zh-CN"/>
        </w:rPr>
        <w:t>根</w:t>
      </w:r>
      <w:r>
        <w:rPr>
          <w:rFonts w:hint="eastAsia"/>
          <w:lang w:val="en-US" w:eastAsia="zh-CN"/>
        </w:rPr>
        <w:t>15米高</w:t>
      </w:r>
      <w:r>
        <w:rPr>
          <w:rFonts w:hint="eastAsia"/>
          <w:lang w:eastAsia="zh-CN"/>
        </w:rPr>
        <w:t>排气筒达标排放；</w:t>
      </w:r>
      <w:r>
        <w:rPr>
          <w:rFonts w:hint="eastAsia"/>
          <w:lang w:val="en-US" w:eastAsia="zh-CN"/>
        </w:rPr>
        <w:t>确保少量</w:t>
      </w:r>
      <w:r>
        <w:rPr>
          <w:rFonts w:hint="eastAsia"/>
          <w:lang w:eastAsia="zh-CN"/>
        </w:rPr>
        <w:t>砂轮机除锈废气</w:t>
      </w:r>
      <w:r>
        <w:rPr>
          <w:rFonts w:hint="eastAsia"/>
          <w:lang w:val="en-US" w:eastAsia="zh-CN"/>
        </w:rPr>
        <w:t>经</w:t>
      </w:r>
      <w:r>
        <w:rPr>
          <w:rFonts w:hint="eastAsia"/>
          <w:lang w:eastAsia="zh-CN"/>
        </w:rPr>
        <w:t>厂房阻拦、</w:t>
      </w:r>
      <w:r>
        <w:rPr>
          <w:rFonts w:hint="eastAsia"/>
          <w:lang w:val="en-US" w:eastAsia="zh-CN"/>
        </w:rPr>
        <w:t>自然沉降后无组织达标排放，对周边环境不产生影响。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本项目不新增生产废水和生活污水，应切实加强日常废水管理，确保</w:t>
      </w:r>
      <w:r>
        <w:rPr>
          <w:rFonts w:hint="eastAsia" w:ascii="仿宋_GB2312" w:hAnsi="仿宋_GB2312" w:cs="仿宋_GB2312"/>
          <w:bCs/>
          <w:color w:val="000000" w:themeColor="text1"/>
          <w:sz w:val="32"/>
          <w:szCs w:val="32"/>
          <w:lang w:val="en-US" w:eastAsia="zh-CN"/>
          <w14:textFill>
            <w14:solidFill>
              <w14:schemeClr w14:val="tx1"/>
            </w14:solidFill>
          </w14:textFill>
        </w:rPr>
        <w:t>原项目工人洗手废水经隔油池处理与生活污水、地面清洁废水一同排入厂区预处理池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达</w:t>
      </w:r>
      <w:r>
        <w:rPr>
          <w:rFonts w:hint="eastAsia"/>
          <w:lang w:eastAsia="zh-CN"/>
        </w:rPr>
        <w:t>《污水综合排放标准》（GB8978-1996）三级标准后排入市政污水管网，由广汉市第二污水处理厂处理达《四川省岷江、沱江流域水污染物排放标准》（DB51/2311-2016）中工业园区集中式污水处理厂标准后外排。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w:t>
      </w:r>
      <w:r>
        <w:rPr>
          <w:rFonts w:hint="eastAsia" w:ascii="Times New Roman" w:hAnsi="Times New Roman" w:cs="Times New Roman"/>
          <w:lang w:eastAsia="zh-CN"/>
        </w:rPr>
        <w:t>避免二次污染。项目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废钢砂、废砂带、废布袋收集后交厂家回收；除尘灰收集后交资源回收单位回收；废润滑油作为防锈油</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用，暂存期间仍按危险废物管理；废油桶、废包装物（包含切削液、亚硝酸钠的包装物）、含油废物（包含含油手套、棉纱，防锈液池底泥、防锈油池底泥、洗手池油泥等）属于危险废物，须妥善安全收储，落实专人管理，并严格执行转移联单制度，定期交有危废处理资质的单位处置，其暂存区须采取必要的防风、防晒、防雨、防漏、防渗、防腐以及其他环境污染防治措施。</w:t>
      </w:r>
    </w:p>
    <w:p w14:paraId="38747D68">
      <w:pPr>
        <w:keepNext w:val="0"/>
        <w:keepLines w:val="0"/>
        <w:widowControl/>
        <w:suppressLineNumbers w:val="0"/>
        <w:jc w:val="left"/>
        <w:rPr>
          <w:rFonts w:hint="eastAsia"/>
          <w:lang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（七）严格落实并优化报告表提出的地下水</w:t>
      </w:r>
      <w:r>
        <w:rPr>
          <w:rFonts w:hint="eastAsia"/>
          <w:lang w:eastAsia="zh-CN"/>
        </w:rPr>
        <w:t>和土壤污染防治措施。项目将危废暂存间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、化学品库、防锈油池、防锈液池设置为重点防渗区，将</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生产车间内除重点防渗区外的其他区域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设置为一般防渗区，分别采取防渗措</w:t>
      </w:r>
      <w:r>
        <w:rPr>
          <w:rFonts w:hint="eastAsia"/>
          <w:lang w:eastAsia="zh-CN"/>
        </w:rPr>
        <w:t>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九</w:t>
      </w:r>
      <w:r>
        <w:rPr>
          <w:rFonts w:hint="eastAsia" w:ascii="Times New Roman" w:hAnsi="Times New Roman" w:cs="Times New Roman"/>
          <w:lang w:eastAsia="zh-CN"/>
        </w:rPr>
        <w:t>）按照相关要求规范设置各类排污口和标志标牌，落实报告表提出的环境管理要求和监测计划。</w:t>
      </w:r>
    </w:p>
    <w:p w14:paraId="44F0CF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三、该项目运营后，全厂挥发性有机物排放量为</w:t>
      </w:r>
      <w:r>
        <w:rPr>
          <w:rFonts w:hint="default" w:ascii="Times New Roman" w:hAnsi="Times New Roman" w:cs="Times New Roman"/>
          <w:lang w:val="en-US" w:eastAsia="zh-CN"/>
        </w:rPr>
        <w:t>0.0141</w:t>
      </w:r>
      <w:r>
        <w:rPr>
          <w:rFonts w:hint="eastAsia" w:ascii="Times New Roman" w:hAnsi="Times New Roman" w:cs="Times New Roman"/>
          <w:lang w:val="en-US" w:eastAsia="zh-CN"/>
        </w:rPr>
        <w:t>吨/年，</w:t>
      </w:r>
      <w:r>
        <w:rPr>
          <w:rFonts w:hint="eastAsia" w:cs="Times New Roman"/>
          <w:lang w:val="en-US" w:eastAsia="zh-CN"/>
        </w:rPr>
        <w:t>化学需氧量排放量为</w:t>
      </w:r>
      <w:r>
        <w:rPr>
          <w:rFonts w:hint="eastAsia"/>
          <w:bCs/>
          <w:color w:val="000000" w:themeColor="text1"/>
          <w:szCs w:val="24"/>
          <w14:textFill>
            <w14:solidFill>
              <w14:schemeClr w14:val="tx1"/>
            </w14:solidFill>
          </w14:textFill>
        </w:rPr>
        <w:t>0.0931</w:t>
      </w:r>
      <w:r>
        <w:rPr>
          <w:rFonts w:hint="eastAsia" w:ascii="Times New Roman" w:hAnsi="Times New Roman" w:cs="Times New Roman"/>
          <w:lang w:val="en-US" w:eastAsia="zh-CN"/>
        </w:rPr>
        <w:t>吨/年</w:t>
      </w:r>
      <w:r>
        <w:rPr>
          <w:rFonts w:hint="eastAsia" w:cs="Times New Roman"/>
          <w:lang w:val="en-US" w:eastAsia="zh-CN"/>
        </w:rPr>
        <w:t>，氨氮排放量为0.0123</w:t>
      </w:r>
      <w:r>
        <w:rPr>
          <w:rFonts w:hint="eastAsia" w:ascii="Times New Roman" w:hAnsi="Times New Roman" w:cs="Times New Roman"/>
          <w:lang w:val="en-US" w:eastAsia="zh-CN"/>
        </w:rPr>
        <w:t>吨/年</w:t>
      </w:r>
      <w:r>
        <w:rPr>
          <w:rFonts w:hint="eastAsia" w:cs="Times New Roman"/>
          <w:lang w:val="en-US" w:eastAsia="zh-CN"/>
        </w:rPr>
        <w:t>，</w:t>
      </w:r>
      <w:r>
        <w:rPr>
          <w:rFonts w:hint="eastAsia" w:ascii="Times New Roman" w:hAnsi="Times New Roman" w:cs="Times New Roman"/>
          <w:lang w:val="en-US" w:eastAsia="zh-CN"/>
        </w:rPr>
        <w:t>其总量控制指标</w:t>
      </w:r>
      <w:r>
        <w:rPr>
          <w:rFonts w:hint="eastAsia" w:cs="Times New Roman"/>
          <w:lang w:val="en-US" w:eastAsia="zh-CN"/>
        </w:rPr>
        <w:t>由</w:t>
      </w:r>
      <w:r>
        <w:rPr>
          <w:rFonts w:hint="eastAsia" w:ascii="Times New Roman" w:hAnsi="Times New Roman" w:cs="Times New Roman"/>
          <w:lang w:val="en-US" w:eastAsia="zh-CN"/>
        </w:rPr>
        <w:t>德阳市广汉生态环境局</w:t>
      </w:r>
      <w:r>
        <w:rPr>
          <w:rFonts w:hint="eastAsia" w:cs="Times New Roman"/>
          <w:lang w:val="en-US" w:eastAsia="zh-CN"/>
        </w:rPr>
        <w:t>调剂</w:t>
      </w:r>
      <w:r>
        <w:rPr>
          <w:rFonts w:hint="eastAsia" w:ascii="Times New Roman" w:hAnsi="Times New Roman" w:cs="Times New Roman"/>
          <w:lang w:val="en-US"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ascii="Times New Roman" w:hAnsi="Times New Roman" w:cs="Times New Roman"/>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w:t>
      </w:r>
      <w:r>
        <w:rPr>
          <w:rFonts w:hint="eastAsia"/>
          <w:lang w:eastAsia="zh-CN"/>
        </w:rPr>
        <w:t>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r>
        <w:rPr>
          <w:rFonts w:hint="eastAsia"/>
          <w:lang w:eastAsia="zh-CN"/>
        </w:rPr>
        <w:t>月</w:t>
      </w:r>
      <w:r>
        <w:rPr>
          <w:rFonts w:hint="eastAsia"/>
          <w:lang w:val="en-US" w:eastAsia="zh-CN"/>
        </w:rPr>
        <w:t>12</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40630"/>
    <w:multiLevelType w:val="singleLevel"/>
    <w:tmpl w:val="605406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1F90"/>
    <w:rsid w:val="027D0F8C"/>
    <w:rsid w:val="02AE534C"/>
    <w:rsid w:val="06C07F19"/>
    <w:rsid w:val="07EE52C1"/>
    <w:rsid w:val="09523CDF"/>
    <w:rsid w:val="0B712CEA"/>
    <w:rsid w:val="0BD91586"/>
    <w:rsid w:val="0F310FDC"/>
    <w:rsid w:val="11A36E95"/>
    <w:rsid w:val="121F6F46"/>
    <w:rsid w:val="17722C48"/>
    <w:rsid w:val="17FF1243"/>
    <w:rsid w:val="182A3593"/>
    <w:rsid w:val="185D1ACF"/>
    <w:rsid w:val="194B73AC"/>
    <w:rsid w:val="1A5823C6"/>
    <w:rsid w:val="1BA51514"/>
    <w:rsid w:val="1CF74DC1"/>
    <w:rsid w:val="1CFB52A5"/>
    <w:rsid w:val="1D5A7C3F"/>
    <w:rsid w:val="1DA61023"/>
    <w:rsid w:val="20BC398C"/>
    <w:rsid w:val="212A40A7"/>
    <w:rsid w:val="22EF2CE9"/>
    <w:rsid w:val="23A4088A"/>
    <w:rsid w:val="240472A7"/>
    <w:rsid w:val="24602490"/>
    <w:rsid w:val="250D7AF6"/>
    <w:rsid w:val="27CC5F75"/>
    <w:rsid w:val="2A3732D1"/>
    <w:rsid w:val="2A6653A5"/>
    <w:rsid w:val="2B1D6405"/>
    <w:rsid w:val="2B481A83"/>
    <w:rsid w:val="2E624E98"/>
    <w:rsid w:val="2E7E5397"/>
    <w:rsid w:val="39913616"/>
    <w:rsid w:val="3A6E4FAF"/>
    <w:rsid w:val="3B8A62BD"/>
    <w:rsid w:val="3CE4130C"/>
    <w:rsid w:val="3F5E7474"/>
    <w:rsid w:val="41540B2E"/>
    <w:rsid w:val="432F1B9E"/>
    <w:rsid w:val="449D70C1"/>
    <w:rsid w:val="44A0633E"/>
    <w:rsid w:val="4929464F"/>
    <w:rsid w:val="493B5434"/>
    <w:rsid w:val="4B1C6208"/>
    <w:rsid w:val="4CB6767F"/>
    <w:rsid w:val="4E20458D"/>
    <w:rsid w:val="50722108"/>
    <w:rsid w:val="52EB1116"/>
    <w:rsid w:val="548968E9"/>
    <w:rsid w:val="54C67EA4"/>
    <w:rsid w:val="56EF32D7"/>
    <w:rsid w:val="583609E1"/>
    <w:rsid w:val="598E3781"/>
    <w:rsid w:val="5A282A37"/>
    <w:rsid w:val="62544876"/>
    <w:rsid w:val="630C0C8E"/>
    <w:rsid w:val="65AB4EFC"/>
    <w:rsid w:val="65F97157"/>
    <w:rsid w:val="662B4514"/>
    <w:rsid w:val="66CE5F51"/>
    <w:rsid w:val="67F02AB0"/>
    <w:rsid w:val="696A6E0F"/>
    <w:rsid w:val="6AC14661"/>
    <w:rsid w:val="6BE44BDF"/>
    <w:rsid w:val="6CC97B23"/>
    <w:rsid w:val="6F4577DC"/>
    <w:rsid w:val="72E039BF"/>
    <w:rsid w:val="73DB1237"/>
    <w:rsid w:val="74626B26"/>
    <w:rsid w:val="75287D2D"/>
    <w:rsid w:val="77712936"/>
    <w:rsid w:val="78247EBF"/>
    <w:rsid w:val="78A0421B"/>
    <w:rsid w:val="7B4E0BB2"/>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9"/>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line="240" w:lineRule="auto"/>
      <w:ind w:left="420" w:leftChars="200" w:firstLine="420"/>
    </w:pPr>
    <w:rPr>
      <w:rFonts w:ascii="Times New Roman" w:hAnsi="Times New Roman"/>
      <w:kern w:val="2"/>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Balloon Text"/>
    <w:basedOn w:val="1"/>
    <w:semiHidden/>
    <w:qFormat/>
    <w:uiPriority w:val="0"/>
    <w:rPr>
      <w:kern w:val="0"/>
      <w:sz w:val="18"/>
      <w:szCs w:val="20"/>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1 字符"/>
    <w:basedOn w:val="8"/>
    <w:link w:val="5"/>
    <w:autoRedefine/>
    <w:qFormat/>
    <w:uiPriority w:val="9"/>
    <w:rPr>
      <w:rFonts w:ascii="Times New Roman" w:hAnsi="Times New Roman" w:eastAsia="方正小标宋简体"/>
      <w:bCs/>
      <w:kern w:val="44"/>
      <w:sz w:val="44"/>
      <w:szCs w:val="44"/>
    </w:rPr>
  </w:style>
  <w:style w:type="paragraph" w:customStyle="1" w:styleId="10">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2455</Words>
  <Characters>2555</Characters>
  <Lines>0</Lines>
  <Paragraphs>0</Paragraphs>
  <TotalTime>14</TotalTime>
  <ScaleCrop>false</ScaleCrop>
  <LinksUpToDate>false</LinksUpToDate>
  <CharactersWithSpaces>2643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2025-06-12T06:37:46Z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189BB6F73905442394AF5863ACC8AA41_13</vt:lpwstr>
  </property>
</Properties>
</file>