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7B6C7">
      <w:pPr>
        <w:spacing w:line="600" w:lineRule="exact"/>
        <w:jc w:val="center"/>
        <w:outlineLvl w:val="0"/>
        <w:rPr>
          <w:rFonts w:ascii="方正小标宋简体" w:hAnsi="宋体" w:eastAsia="方正小标宋简体"/>
          <w:color w:val="000000"/>
          <w:sz w:val="72"/>
          <w:szCs w:val="72"/>
        </w:rPr>
      </w:pPr>
      <w:bookmarkStart w:id="0" w:name="_Toc15306267"/>
    </w:p>
    <w:p w14:paraId="2CAE28AC">
      <w:pPr>
        <w:spacing w:line="600" w:lineRule="exact"/>
        <w:jc w:val="center"/>
        <w:outlineLvl w:val="0"/>
        <w:rPr>
          <w:rFonts w:ascii="方正小标宋简体" w:hAnsi="宋体" w:eastAsia="方正小标宋简体"/>
          <w:color w:val="000000"/>
          <w:sz w:val="72"/>
          <w:szCs w:val="72"/>
        </w:rPr>
      </w:pPr>
    </w:p>
    <w:p w14:paraId="65538E7D">
      <w:pPr>
        <w:spacing w:line="600" w:lineRule="exact"/>
        <w:jc w:val="center"/>
        <w:outlineLvl w:val="0"/>
        <w:rPr>
          <w:rFonts w:ascii="方正小标宋简体" w:hAnsi="宋体" w:eastAsia="方正小标宋简体"/>
          <w:color w:val="000000"/>
          <w:sz w:val="72"/>
          <w:szCs w:val="72"/>
        </w:rPr>
      </w:pPr>
    </w:p>
    <w:p w14:paraId="7EA496AE">
      <w:pPr>
        <w:spacing w:line="600" w:lineRule="exact"/>
        <w:jc w:val="center"/>
        <w:outlineLvl w:val="0"/>
        <w:rPr>
          <w:rFonts w:ascii="方正小标宋简体" w:hAnsi="宋体" w:eastAsia="方正小标宋简体"/>
          <w:color w:val="000000"/>
          <w:sz w:val="72"/>
          <w:szCs w:val="72"/>
        </w:rPr>
      </w:pPr>
    </w:p>
    <w:p w14:paraId="433834DF">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77193"/>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14:paraId="2474F4EF">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7426"/>
      <w:bookmarkStart w:id="9" w:name="_Toc1539647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广汉市食品药品监督管理局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5485397B">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0213248D">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1E7C4B3C">
      <w:pPr>
        <w:pStyle w:val="10"/>
      </w:pPr>
      <w:r>
        <w:rPr>
          <w:rFonts w:hint="eastAsia"/>
        </w:rPr>
        <w:t>公开时间：2019年8月29日</w:t>
      </w:r>
    </w:p>
    <w:p w14:paraId="05C63FD2"/>
    <w:p w14:paraId="648E745B">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14:paraId="395EB770">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0A5087C6">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56C9C7DE">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14:paraId="4DCEE8F8">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5F72AFDB">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306EAB09">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6B3736C8">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0283D974">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7BBA203A">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6D29A799">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4BAC40F1">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6A11CCCF">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67C0A839">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445C86ED">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13827B80">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14:paraId="01DFBA3A">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598232C3">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2174A2A1">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14:paraId="2B8A4922">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F792EC3">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0030C85">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02B0AAD">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96588A4">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756948E">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D4A1B54">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FA85132">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7D1801A">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CDD9F05">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5B6A717">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EE17031">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CE2D486">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7A008BA">
      <w:pPr>
        <w:widowControl/>
        <w:jc w:val="left"/>
        <w:rPr>
          <w:rFonts w:ascii="仿宋" w:hAnsi="仿宋" w:eastAsia="仿宋"/>
          <w:color w:val="000000"/>
          <w:sz w:val="24"/>
        </w:rPr>
      </w:pPr>
      <w:r>
        <w:rPr>
          <w:rFonts w:ascii="仿宋" w:hAnsi="仿宋" w:eastAsia="仿宋"/>
          <w:color w:val="000000"/>
          <w:sz w:val="24"/>
        </w:rPr>
        <w:fldChar w:fldCharType="end"/>
      </w:r>
    </w:p>
    <w:p w14:paraId="2FBF4A5C">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14:paraId="78A7AF64">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226A5061">
      <w:pPr>
        <w:widowControl/>
        <w:jc w:val="left"/>
        <w:rPr>
          <w:rFonts w:ascii="黑体" w:eastAsia="黑体"/>
          <w:color w:val="000000"/>
          <w:sz w:val="32"/>
          <w:szCs w:val="32"/>
        </w:rPr>
      </w:pPr>
    </w:p>
    <w:p w14:paraId="7F9F0B22">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14:paraId="215B58F6">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14:paraId="071DBBEE">
      <w:pPr>
        <w:pStyle w:val="5"/>
        <w:adjustRightInd w:val="0"/>
        <w:snapToGrid w:val="0"/>
        <w:spacing w:before="0" w:beforeLines="0" w:line="620" w:lineRule="exact"/>
        <w:ind w:firstLine="480" w:firstLineChars="150"/>
        <w:jc w:val="left"/>
        <w:rPr>
          <w:rFonts w:hint="eastAsia" w:eastAsia="仿宋_GB2312"/>
          <w:bCs/>
          <w:sz w:val="32"/>
          <w:szCs w:val="32"/>
          <w:lang w:eastAsia="zh-CN"/>
        </w:rPr>
      </w:pPr>
      <w:r>
        <w:rPr>
          <w:rFonts w:hint="eastAsia"/>
          <w:bCs/>
          <w:sz w:val="32"/>
          <w:szCs w:val="32"/>
        </w:rPr>
        <w:t>贯彻执行国家有关食品（含食品添加剂、保健食品）安全、药品（含中药、民族药）、医疗器械、化妆品监督管理的方针政策和法律法规；负责本部门依法行政工作，落实行政执法责任制；负责全市食品行政许可的监督实施。监督实施全市药品和医疗器械的标准、分类管理制度，监督实施药品和医疗器械的研制、生产、经营、使用质量等管理规范。建立药品不良反应、医疗器械不良事件监测体系，并开展监测和处置工作。监督实施化妆品监督管理办法。配合实施国家基本药物制度；组织实施食品、药品、医疗器械、化妆品监督管理的稽查制度，组织查处重大违法行为。建立问题食品药品召回和处置制度并监督实施。依法审查食品、药品、医疗器械、化妆品广告内容。负责食品药品安全事故应急体系建设，组织和指导食品药品安全事故应急处置和调查处理工作，监督事故查处落实情况。负责开展食品药品安全宣传、教育培训、推进诚信体系建设。承担市食品安全委员会日常工作,食品安全监督管理综合协调，推动健全协调联动机制。负责对食品药品安全协管员和信息员的培训，组织和指导对药品、医疗器械、保健食品、化妆品和食品安全的从业人员培训工作。配合省、市食品药品监督管理局做好执业药师注册、资格培训和继续教育等职能</w:t>
      </w:r>
      <w:bookmarkStart w:id="18" w:name="_Toc15378446"/>
      <w:bookmarkStart w:id="19" w:name="_Toc15377199"/>
      <w:r>
        <w:rPr>
          <w:rFonts w:hint="eastAsia"/>
          <w:bCs/>
          <w:sz w:val="32"/>
          <w:szCs w:val="32"/>
          <w:lang w:eastAsia="zh-CN"/>
        </w:rPr>
        <w:t>。</w:t>
      </w:r>
    </w:p>
    <w:p w14:paraId="7FD54276">
      <w:pPr>
        <w:pStyle w:val="5"/>
        <w:adjustRightInd w:val="0"/>
        <w:snapToGrid w:val="0"/>
        <w:spacing w:before="0" w:beforeLines="0" w:line="620" w:lineRule="exact"/>
        <w:ind w:firstLine="480" w:firstLineChars="150"/>
        <w:jc w:val="left"/>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14:paraId="62FEC007">
      <w:pPr>
        <w:spacing w:line="620" w:lineRule="exact"/>
        <w:ind w:firstLine="640" w:firstLineChars="200"/>
        <w:rPr>
          <w:rFonts w:hint="eastAsia" w:ascii="方正仿宋简体" w:eastAsia="方正仿宋简体"/>
          <w:color w:val="FF0000"/>
          <w:sz w:val="32"/>
          <w:szCs w:val="32"/>
        </w:rPr>
      </w:pPr>
      <w:r>
        <w:rPr>
          <w:rFonts w:hint="eastAsia" w:ascii="方正仿宋简体" w:eastAsia="方正仿宋简体"/>
          <w:sz w:val="32"/>
          <w:szCs w:val="32"/>
          <w:lang w:val="en-US" w:eastAsia="zh-CN"/>
        </w:rPr>
        <w:t>1.</w:t>
      </w:r>
      <w:r>
        <w:rPr>
          <w:rFonts w:hint="eastAsia" w:ascii="楷体_GB2312" w:eastAsia="楷体_GB2312"/>
          <w:sz w:val="32"/>
          <w:szCs w:val="32"/>
        </w:rPr>
        <w:t>推进监管措施落地，关注民生需求扎实有效。</w:t>
      </w:r>
    </w:p>
    <w:p w14:paraId="451641FF">
      <w:pPr>
        <w:spacing w:line="620" w:lineRule="exact"/>
        <w:ind w:firstLine="640" w:firstLineChars="200"/>
        <w:rPr>
          <w:rFonts w:hint="eastAsia" w:ascii="方正仿宋简体" w:eastAsia="方正仿宋简体"/>
          <w:sz w:val="32"/>
          <w:szCs w:val="32"/>
          <w:shd w:val="clear" w:color="auto" w:fill="FFFFFF"/>
        </w:rPr>
      </w:pPr>
      <w:r>
        <w:rPr>
          <w:rFonts w:hint="eastAsia" w:ascii="方正仿宋简体" w:eastAsia="方正仿宋简体"/>
          <w:b/>
          <w:sz w:val="32"/>
          <w:szCs w:val="32"/>
        </w:rPr>
        <w:t>深入开展食品药品隐患排查。</w:t>
      </w:r>
      <w:r>
        <w:rPr>
          <w:rFonts w:hint="eastAsia" w:ascii="方正仿宋简体" w:eastAsia="方正仿宋简体"/>
          <w:sz w:val="32"/>
          <w:szCs w:val="32"/>
          <w:shd w:val="clear" w:color="auto" w:fill="FFFFFF"/>
        </w:rPr>
        <w:t>针对“地沟油”、“五毛食品”、保健食品非法会销、网络订餐、婴幼儿配方奶粉等重点行业开展专项整治，</w:t>
      </w:r>
      <w:r>
        <w:rPr>
          <w:rFonts w:hint="eastAsia" w:ascii="方正仿宋简体" w:eastAsia="方正仿宋简体"/>
          <w:sz w:val="32"/>
          <w:szCs w:val="32"/>
        </w:rPr>
        <w:t>检查生产经营单位1412家次，发现风险隐患163个，督促整改到位157个，约谈了38家企业负责人。</w:t>
      </w:r>
    </w:p>
    <w:p w14:paraId="7773BC5F">
      <w:pPr>
        <w:spacing w:line="620" w:lineRule="exact"/>
        <w:ind w:firstLine="640" w:firstLineChars="200"/>
        <w:rPr>
          <w:rFonts w:hint="eastAsia" w:ascii="方正仿宋简体" w:eastAsia="方正仿宋简体"/>
          <w:color w:val="000000"/>
          <w:sz w:val="32"/>
          <w:szCs w:val="32"/>
          <w:shd w:val="clear" w:color="auto" w:fill="FFFFFF"/>
        </w:rPr>
      </w:pPr>
      <w:r>
        <w:rPr>
          <w:rFonts w:hint="eastAsia" w:ascii="方正仿宋简体" w:eastAsia="方正仿宋简体"/>
          <w:b/>
          <w:sz w:val="32"/>
          <w:szCs w:val="32"/>
        </w:rPr>
        <w:t>全面推进食品药品监督抽检。</w:t>
      </w:r>
      <w:r>
        <w:rPr>
          <w:rFonts w:hint="eastAsia" w:ascii="方正仿宋简体" w:eastAsia="方正仿宋简体"/>
          <w:sz w:val="32"/>
          <w:szCs w:val="32"/>
        </w:rPr>
        <w:t>对生产企业实施</w:t>
      </w:r>
      <w:r>
        <w:rPr>
          <w:rFonts w:hint="eastAsia" w:ascii="方正仿宋简体" w:eastAsia="方正仿宋简体"/>
          <w:sz w:val="32"/>
          <w:szCs w:val="32"/>
          <w:shd w:val="clear" w:color="auto" w:fill="FFFFFF"/>
        </w:rPr>
        <w:t>抽检全覆盖，完成民生工程食品抽</w:t>
      </w:r>
      <w:r>
        <w:rPr>
          <w:rFonts w:hint="eastAsia" w:ascii="方正仿宋简体" w:hAnsi="仿宋" w:eastAsia="方正仿宋简体" w:cs="Tahoma"/>
          <w:color w:val="000000"/>
          <w:sz w:val="32"/>
          <w:szCs w:val="32"/>
        </w:rPr>
        <w:t>检</w:t>
      </w:r>
      <w:r>
        <w:rPr>
          <w:rFonts w:hint="eastAsia" w:ascii="方正仿宋简体" w:eastAsia="方正仿宋简体"/>
          <w:sz w:val="32"/>
          <w:szCs w:val="32"/>
          <w:shd w:val="clear" w:color="auto" w:fill="FFFFFF"/>
        </w:rPr>
        <w:t>270</w:t>
      </w:r>
      <w:r>
        <w:rPr>
          <w:rFonts w:hint="eastAsia" w:ascii="方正仿宋简体" w:hAnsi="仿宋" w:eastAsia="方正仿宋简体" w:cs="Tahoma"/>
          <w:color w:val="000000"/>
          <w:sz w:val="32"/>
          <w:szCs w:val="32"/>
        </w:rPr>
        <w:t>批次、合格率90.3%，药品抽检</w:t>
      </w:r>
      <w:r>
        <w:rPr>
          <w:rFonts w:hint="eastAsia" w:ascii="方正仿宋简体" w:eastAsia="方正仿宋简体"/>
          <w:sz w:val="32"/>
          <w:szCs w:val="32"/>
          <w:shd w:val="clear" w:color="auto" w:fill="FFFFFF"/>
        </w:rPr>
        <w:t>168</w:t>
      </w:r>
      <w:r>
        <w:rPr>
          <w:rFonts w:hint="eastAsia" w:ascii="方正仿宋简体" w:hAnsi="仿宋" w:eastAsia="方正仿宋简体" w:cs="Tahoma"/>
          <w:color w:val="000000"/>
          <w:sz w:val="32"/>
          <w:szCs w:val="32"/>
        </w:rPr>
        <w:t>批次、合格率88.1%，医疗器械抽检42批次、合格率100%，保健食品抽检25批次、合格率100%，</w:t>
      </w:r>
      <w:r>
        <w:rPr>
          <w:rFonts w:hint="eastAsia" w:ascii="方正仿宋简体" w:eastAsia="方正仿宋简体"/>
          <w:sz w:val="32"/>
          <w:szCs w:val="32"/>
        </w:rPr>
        <w:t>督促指导城乡31个农贸市场开展农残快速检测</w:t>
      </w:r>
      <w:r>
        <w:rPr>
          <w:rFonts w:hint="eastAsia" w:ascii="方正仿宋简体" w:eastAsia="方正仿宋简体"/>
          <w:sz w:val="32"/>
          <w:szCs w:val="32"/>
          <w:shd w:val="clear" w:color="auto" w:fill="FFFFFF"/>
        </w:rPr>
        <w:t>10560</w:t>
      </w:r>
      <w:r>
        <w:rPr>
          <w:rFonts w:hint="eastAsia" w:ascii="方正仿宋简体" w:eastAsia="方正仿宋简体"/>
          <w:color w:val="000000"/>
          <w:sz w:val="32"/>
          <w:szCs w:val="32"/>
          <w:shd w:val="clear" w:color="auto" w:fill="FFFFFF"/>
        </w:rPr>
        <w:t>批次，合格率92.7%。</w:t>
      </w:r>
    </w:p>
    <w:p w14:paraId="5AB23C7D">
      <w:pPr>
        <w:adjustRightInd w:val="0"/>
        <w:snapToGrid w:val="0"/>
        <w:spacing w:line="620" w:lineRule="exact"/>
        <w:ind w:firstLine="640" w:firstLineChars="200"/>
        <w:rPr>
          <w:rFonts w:hint="eastAsia" w:ascii="方正仿宋简体" w:eastAsia="方正仿宋简体"/>
          <w:sz w:val="32"/>
          <w:szCs w:val="32"/>
        </w:rPr>
      </w:pPr>
      <w:r>
        <w:rPr>
          <w:rFonts w:hint="eastAsia" w:ascii="方正仿宋简体" w:eastAsia="方正仿宋简体"/>
          <w:b/>
          <w:sz w:val="32"/>
          <w:szCs w:val="32"/>
        </w:rPr>
        <w:t>规范高效处理食药投诉举报。</w:t>
      </w:r>
      <w:r>
        <w:rPr>
          <w:rFonts w:hint="eastAsia" w:ascii="方正仿宋简体" w:eastAsia="方正仿宋简体"/>
          <w:sz w:val="32"/>
          <w:szCs w:val="32"/>
        </w:rPr>
        <w:t>全年共</w:t>
      </w:r>
      <w:r>
        <w:rPr>
          <w:rFonts w:hint="eastAsia" w:ascii="方正仿宋简体" w:eastAsia="方正仿宋简体"/>
          <w:color w:val="000000"/>
          <w:sz w:val="32"/>
          <w:szCs w:val="32"/>
          <w:shd w:val="clear" w:color="auto" w:fill="FFFFFF"/>
        </w:rPr>
        <w:t>受理食品药品投诉举报</w:t>
      </w:r>
      <w:r>
        <w:rPr>
          <w:rFonts w:hint="eastAsia" w:ascii="方正仿宋简体" w:eastAsia="方正仿宋简体"/>
          <w:sz w:val="32"/>
          <w:szCs w:val="32"/>
          <w:shd w:val="clear" w:color="auto" w:fill="FFFFFF"/>
        </w:rPr>
        <w:t>497</w:t>
      </w:r>
      <w:r>
        <w:rPr>
          <w:rFonts w:hint="eastAsia" w:ascii="方正仿宋简体" w:eastAsia="方正仿宋简体"/>
          <w:color w:val="000000"/>
          <w:sz w:val="32"/>
          <w:szCs w:val="32"/>
          <w:shd w:val="clear" w:color="auto" w:fill="FFFFFF"/>
        </w:rPr>
        <w:t>件，同比增长</w:t>
      </w:r>
      <w:r>
        <w:rPr>
          <w:rFonts w:hint="eastAsia" w:ascii="方正仿宋简体" w:eastAsia="方正仿宋简体"/>
          <w:sz w:val="32"/>
          <w:szCs w:val="32"/>
          <w:shd w:val="clear" w:color="auto" w:fill="FFFFFF"/>
        </w:rPr>
        <w:t>23.6%</w:t>
      </w:r>
      <w:r>
        <w:rPr>
          <w:rFonts w:hint="eastAsia" w:ascii="方正仿宋简体" w:eastAsia="方正仿宋简体"/>
          <w:color w:val="000000"/>
          <w:sz w:val="32"/>
          <w:szCs w:val="32"/>
          <w:shd w:val="clear" w:color="auto" w:fill="FFFFFF"/>
        </w:rPr>
        <w:t>，立案调查193件，同比增长</w:t>
      </w:r>
      <w:r>
        <w:rPr>
          <w:rFonts w:hint="eastAsia" w:ascii="方正仿宋简体" w:eastAsia="方正仿宋简体"/>
          <w:sz w:val="32"/>
          <w:szCs w:val="32"/>
          <w:shd w:val="clear" w:color="auto" w:fill="FFFFFF"/>
        </w:rPr>
        <w:t>46.2%</w:t>
      </w:r>
      <w:r>
        <w:rPr>
          <w:rFonts w:hint="eastAsia" w:ascii="方正仿宋简体" w:eastAsia="方正仿宋简体"/>
          <w:color w:val="000000"/>
          <w:sz w:val="32"/>
          <w:szCs w:val="32"/>
          <w:shd w:val="clear" w:color="auto" w:fill="FFFFFF"/>
        </w:rPr>
        <w:t>，</w:t>
      </w:r>
      <w:r>
        <w:rPr>
          <w:rFonts w:hint="eastAsia" w:ascii="方正仿宋简体" w:eastAsia="方正仿宋简体"/>
          <w:sz w:val="32"/>
          <w:szCs w:val="32"/>
          <w:shd w:val="clear" w:color="auto" w:fill="FFFFFF"/>
        </w:rPr>
        <w:t>处</w:t>
      </w:r>
      <w:r>
        <w:rPr>
          <w:rFonts w:hint="eastAsia" w:ascii="方正仿宋简体" w:eastAsia="方正仿宋简体"/>
          <w:color w:val="000000"/>
          <w:sz w:val="32"/>
          <w:szCs w:val="32"/>
          <w:shd w:val="clear" w:color="auto" w:fill="FFFFFF"/>
        </w:rPr>
        <w:t>罚金额263.4万元，同比增长</w:t>
      </w:r>
      <w:r>
        <w:rPr>
          <w:rFonts w:hint="eastAsia" w:ascii="方正仿宋简体" w:eastAsia="方正仿宋简体"/>
          <w:sz w:val="32"/>
          <w:szCs w:val="32"/>
          <w:shd w:val="clear" w:color="auto" w:fill="FFFFFF"/>
        </w:rPr>
        <w:t>35.6</w:t>
      </w:r>
      <w:r>
        <w:rPr>
          <w:rFonts w:hint="eastAsia" w:ascii="方正仿宋简体" w:eastAsia="方正仿宋简体"/>
          <w:color w:val="000000"/>
          <w:sz w:val="32"/>
          <w:szCs w:val="32"/>
          <w:shd w:val="clear" w:color="auto" w:fill="FFFFFF"/>
        </w:rPr>
        <w:t>%。</w:t>
      </w:r>
    </w:p>
    <w:p w14:paraId="180135BF">
      <w:pPr>
        <w:adjustRightInd w:val="0"/>
        <w:snapToGrid w:val="0"/>
        <w:spacing w:line="620" w:lineRule="exact"/>
        <w:ind w:firstLine="640" w:firstLineChars="200"/>
        <w:rPr>
          <w:rFonts w:hint="eastAsia" w:ascii="楷体_GB2312" w:eastAsia="楷体_GB2312"/>
          <w:sz w:val="32"/>
          <w:szCs w:val="32"/>
        </w:rPr>
      </w:pPr>
      <w:r>
        <w:rPr>
          <w:rFonts w:hint="eastAsia" w:ascii="楷体_GB2312" w:eastAsia="楷体_GB2312"/>
          <w:sz w:val="32"/>
          <w:szCs w:val="32"/>
          <w:lang w:val="en-US" w:eastAsia="zh-CN"/>
        </w:rPr>
        <w:t>2.</w:t>
      </w:r>
      <w:r>
        <w:rPr>
          <w:rFonts w:hint="eastAsia" w:ascii="楷体_GB2312" w:eastAsia="楷体_GB2312"/>
          <w:sz w:val="32"/>
          <w:szCs w:val="32"/>
        </w:rPr>
        <w:t>推进管理方式创新，监管转型探索逐步深入。</w:t>
      </w:r>
    </w:p>
    <w:p w14:paraId="7F23BCCD">
      <w:pPr>
        <w:spacing w:line="620" w:lineRule="exact"/>
        <w:ind w:firstLine="640" w:firstLineChars="200"/>
        <w:rPr>
          <w:rFonts w:hint="eastAsia" w:ascii="方正仿宋简体" w:eastAsia="方正仿宋简体"/>
          <w:sz w:val="32"/>
          <w:szCs w:val="32"/>
          <w:shd w:val="clear" w:color="auto" w:fill="FFFFFF"/>
        </w:rPr>
      </w:pPr>
      <w:r>
        <w:rPr>
          <w:rFonts w:hint="eastAsia" w:ascii="方正仿宋简体" w:eastAsia="方正仿宋简体"/>
          <w:b/>
          <w:sz w:val="32"/>
          <w:szCs w:val="32"/>
        </w:rPr>
        <w:t>全面推行“双随机”，增强执法威慑力。</w:t>
      </w:r>
      <w:r>
        <w:rPr>
          <w:rFonts w:hint="eastAsia" w:ascii="方正仿宋简体" w:eastAsia="方正仿宋简体"/>
          <w:color w:val="000000"/>
          <w:sz w:val="32"/>
          <w:szCs w:val="32"/>
          <w:shd w:val="clear" w:color="auto" w:fill="FFFFFF"/>
        </w:rPr>
        <w:t>开展食品药品双随机执法检查58次，检查企业156户，责令整改68户，立案查处13户，公开处罚信息144条。</w:t>
      </w:r>
    </w:p>
    <w:p w14:paraId="7F1BD261">
      <w:pPr>
        <w:spacing w:line="620" w:lineRule="exact"/>
        <w:ind w:firstLine="640" w:firstLineChars="200"/>
        <w:rPr>
          <w:rFonts w:hint="eastAsia" w:ascii="方正仿宋简体" w:eastAsia="方正仿宋简体"/>
          <w:sz w:val="32"/>
          <w:szCs w:val="32"/>
        </w:rPr>
      </w:pPr>
      <w:r>
        <w:rPr>
          <w:rFonts w:hint="eastAsia" w:ascii="方正仿宋简体" w:eastAsia="方正仿宋简体"/>
          <w:b/>
          <w:sz w:val="32"/>
          <w:szCs w:val="32"/>
        </w:rPr>
        <w:t>深化示范创建成果，营造共享共治氛围。</w:t>
      </w:r>
      <w:r>
        <w:rPr>
          <w:rFonts w:hint="eastAsia" w:ascii="方正仿宋简体" w:eastAsia="方正仿宋简体"/>
          <w:sz w:val="32"/>
          <w:szCs w:val="32"/>
        </w:rPr>
        <w:t>在去年6个乡镇首批成功创建广汉市级示范乡镇的基础上，今年又指导7个乡镇争创第二批示范乡镇。推荐高坪等5个乡镇争创德阳市级首批食品安全示范乡镇，以创建活动调动行业、社会参与的积极性，让群众共享创建成果，不断提升幸福指数。</w:t>
      </w:r>
    </w:p>
    <w:p w14:paraId="57487C5D">
      <w:pPr>
        <w:adjustRightInd w:val="0"/>
        <w:snapToGrid w:val="0"/>
        <w:spacing w:line="620" w:lineRule="exact"/>
        <w:ind w:firstLine="640" w:firstLineChars="200"/>
        <w:rPr>
          <w:rFonts w:hint="eastAsia" w:ascii="方正仿宋简体" w:hAnsi="黑体" w:eastAsia="方正仿宋简体" w:cs="黑体"/>
          <w:bCs/>
          <w:sz w:val="32"/>
          <w:szCs w:val="32"/>
        </w:rPr>
      </w:pPr>
      <w:r>
        <w:rPr>
          <w:rFonts w:hint="eastAsia" w:ascii="方正仿宋简体" w:eastAsia="方正仿宋简体"/>
          <w:b/>
          <w:sz w:val="32"/>
          <w:szCs w:val="32"/>
        </w:rPr>
        <w:t>高质量承办应急演练，不断提升处突能力。</w:t>
      </w:r>
      <w:r>
        <w:rPr>
          <w:rFonts w:hint="eastAsia" w:ascii="方正仿宋简体" w:eastAsia="方正仿宋简体"/>
          <w:sz w:val="32"/>
          <w:szCs w:val="32"/>
        </w:rPr>
        <w:t>成功举办德阳市食品突发事件Ⅲ级应急处置演练，演练规模大、标准高、效果好，进一步提升了食安委成员单位应急处突能力。</w:t>
      </w:r>
    </w:p>
    <w:p w14:paraId="0EE0C25F">
      <w:pPr>
        <w:spacing w:line="620" w:lineRule="exact"/>
        <w:ind w:firstLine="640" w:firstLineChars="200"/>
        <w:rPr>
          <w:rFonts w:hint="eastAsia" w:ascii="楷体_GB2312" w:eastAsia="楷体_GB2312"/>
          <w:sz w:val="32"/>
          <w:szCs w:val="32"/>
        </w:rPr>
      </w:pPr>
      <w:r>
        <w:rPr>
          <w:rFonts w:hint="eastAsia" w:ascii="楷体_GB2312" w:eastAsia="楷体_GB2312"/>
          <w:sz w:val="32"/>
          <w:szCs w:val="32"/>
          <w:lang w:val="en-US" w:eastAsia="zh-CN"/>
        </w:rPr>
        <w:t>3.</w:t>
      </w:r>
      <w:r>
        <w:rPr>
          <w:rFonts w:hint="eastAsia" w:ascii="楷体_GB2312" w:eastAsia="楷体_GB2312"/>
          <w:sz w:val="32"/>
          <w:szCs w:val="32"/>
        </w:rPr>
        <w:t>推进工作作风转变，服务产业发展成效明显。</w:t>
      </w:r>
    </w:p>
    <w:p w14:paraId="427C675E">
      <w:pPr>
        <w:spacing w:line="620" w:lineRule="exact"/>
        <w:ind w:firstLine="640" w:firstLineChars="200"/>
        <w:rPr>
          <w:rFonts w:hint="eastAsia" w:ascii="方正仿宋简体" w:eastAsia="方正仿宋简体"/>
          <w:sz w:val="32"/>
          <w:szCs w:val="32"/>
        </w:rPr>
      </w:pPr>
      <w:r>
        <w:rPr>
          <w:rFonts w:hint="eastAsia" w:ascii="方正仿宋简体" w:eastAsia="方正仿宋简体"/>
          <w:b/>
          <w:sz w:val="32"/>
          <w:szCs w:val="32"/>
        </w:rPr>
        <w:t>强化队伍作风建设。</w:t>
      </w:r>
      <w:r>
        <w:rPr>
          <w:rFonts w:hint="eastAsia" w:ascii="方正仿宋简体" w:eastAsia="方正仿宋简体"/>
          <w:sz w:val="32"/>
          <w:szCs w:val="32"/>
        </w:rPr>
        <w:t>组织干部职工认真学习习近平总书记系列重要讲话精神，深刻领会“实施食品安全战略，让人民吃得放心”的实质内涵；通过理论学习、案例剖析、警示教育等形式，加强党风廉政建设；鼓励干部职工崇尚实干，敢于担当，努力营造风清气正、干事创业的良好氛围。</w:t>
      </w:r>
    </w:p>
    <w:p w14:paraId="66645458">
      <w:pPr>
        <w:spacing w:line="620" w:lineRule="exact"/>
        <w:ind w:firstLine="640" w:firstLineChars="200"/>
        <w:rPr>
          <w:rFonts w:hint="eastAsia" w:ascii="方正仿宋简体" w:hAnsi="仿宋" w:eastAsia="方正仿宋简体" w:cs="Tahoma"/>
          <w:color w:val="000000"/>
          <w:sz w:val="32"/>
          <w:szCs w:val="32"/>
        </w:rPr>
      </w:pPr>
      <w:r>
        <w:rPr>
          <w:rFonts w:hint="eastAsia" w:ascii="方正仿宋简体" w:eastAsia="方正仿宋简体"/>
          <w:b/>
          <w:sz w:val="32"/>
          <w:szCs w:val="32"/>
        </w:rPr>
        <w:t>加强企业跟踪服务。</w:t>
      </w:r>
      <w:r>
        <w:rPr>
          <w:rFonts w:hint="eastAsia" w:ascii="方正仿宋简体" w:hAnsi="仿宋" w:eastAsia="方正仿宋简体" w:cs="Tahoma"/>
          <w:color w:val="000000"/>
          <w:sz w:val="32"/>
          <w:szCs w:val="32"/>
        </w:rPr>
        <w:t>指导仟源、通园、源基等6家企业进行新版GMP再认证；协助阿尔泰取得</w:t>
      </w:r>
      <w:r>
        <w:rPr>
          <w:rFonts w:hint="eastAsia" w:ascii="方正仿宋简体" w:eastAsia="方正仿宋简体"/>
          <w:sz w:val="32"/>
          <w:szCs w:val="32"/>
          <w:shd w:val="clear" w:color="auto" w:fill="FFFFFF"/>
        </w:rPr>
        <w:t>4</w:t>
      </w:r>
      <w:r>
        <w:rPr>
          <w:rFonts w:hint="eastAsia" w:ascii="方正仿宋简体" w:hAnsi="仿宋" w:eastAsia="方正仿宋简体" w:cs="Tahoma"/>
          <w:color w:val="000000"/>
          <w:sz w:val="32"/>
          <w:szCs w:val="32"/>
        </w:rPr>
        <w:t>个医疗器械注册批件，</w:t>
      </w:r>
      <w:r>
        <w:rPr>
          <w:rFonts w:hint="eastAsia" w:ascii="方正仿宋简体" w:eastAsia="方正仿宋简体"/>
          <w:sz w:val="32"/>
          <w:szCs w:val="32"/>
          <w:shd w:val="clear" w:color="auto" w:fill="FFFFFF"/>
        </w:rPr>
        <w:t>6</w:t>
      </w:r>
      <w:r>
        <w:rPr>
          <w:rFonts w:hint="eastAsia" w:ascii="方正仿宋简体" w:hAnsi="仿宋" w:eastAsia="方正仿宋简体" w:cs="Tahoma"/>
          <w:color w:val="000000"/>
          <w:sz w:val="32"/>
          <w:szCs w:val="32"/>
        </w:rPr>
        <w:t>个品种通过注册现场核查；</w:t>
      </w:r>
      <w:r>
        <w:rPr>
          <w:rFonts w:hint="eastAsia" w:ascii="方正仿宋简体" w:eastAsia="方正仿宋简体"/>
          <w:sz w:val="32"/>
          <w:szCs w:val="32"/>
          <w:shd w:val="clear" w:color="auto" w:fill="FFFFFF"/>
        </w:rPr>
        <w:t>帮助三星堆制药完成11个</w:t>
      </w:r>
      <w:r>
        <w:rPr>
          <w:rFonts w:hint="eastAsia" w:ascii="方正仿宋简体" w:hAnsi="仿宋" w:eastAsia="方正仿宋简体" w:cs="Tahoma"/>
          <w:color w:val="000000"/>
          <w:sz w:val="32"/>
          <w:szCs w:val="32"/>
        </w:rPr>
        <w:t>品种注册转移；协调省局批准</w:t>
      </w:r>
      <w:r>
        <w:rPr>
          <w:rFonts w:hint="eastAsia" w:ascii="方正仿宋简体" w:eastAsia="方正仿宋简体"/>
          <w:sz w:val="32"/>
          <w:szCs w:val="32"/>
          <w:shd w:val="clear" w:color="auto" w:fill="FFFFFF"/>
        </w:rPr>
        <w:t>3</w:t>
      </w:r>
      <w:r>
        <w:rPr>
          <w:rFonts w:hint="eastAsia" w:ascii="方正仿宋简体" w:hAnsi="仿宋" w:eastAsia="方正仿宋简体" w:cs="Tahoma"/>
          <w:color w:val="000000"/>
          <w:sz w:val="32"/>
          <w:szCs w:val="32"/>
        </w:rPr>
        <w:t>家特药批发企业在广汉建立仓库，新增正和祥为特殊药品经营企业。</w:t>
      </w:r>
    </w:p>
    <w:p w14:paraId="0F3BF9F9">
      <w:pPr>
        <w:spacing w:line="620" w:lineRule="exact"/>
        <w:ind w:firstLine="640" w:firstLineChars="200"/>
        <w:rPr>
          <w:rFonts w:hint="eastAsia" w:ascii="方正仿宋简体" w:hAnsi="仿宋" w:eastAsia="方正仿宋简体" w:cs="Tahoma"/>
          <w:color w:val="000000"/>
          <w:sz w:val="32"/>
          <w:szCs w:val="32"/>
        </w:rPr>
      </w:pPr>
      <w:r>
        <w:rPr>
          <w:rFonts w:hint="eastAsia" w:ascii="方正仿宋简体" w:eastAsia="方正仿宋简体"/>
          <w:b/>
          <w:sz w:val="32"/>
          <w:szCs w:val="32"/>
        </w:rPr>
        <w:t>完善火锅产业链条。</w:t>
      </w:r>
      <w:r>
        <w:rPr>
          <w:rFonts w:hint="eastAsia" w:ascii="方正仿宋简体" w:hAnsi="仿宋" w:eastAsia="方正仿宋简体" w:cs="Tahoma"/>
          <w:color w:val="000000"/>
          <w:sz w:val="32"/>
          <w:szCs w:val="32"/>
        </w:rPr>
        <w:t>在摸底调查的基础上，邀请省市</w:t>
      </w:r>
      <w:r>
        <w:rPr>
          <w:rFonts w:hint="eastAsia" w:ascii="方正仿宋简体" w:hAnsi="仿宋" w:eastAsia="方正仿宋简体" w:cs="Tahoma"/>
          <w:color w:val="000000"/>
          <w:spacing w:val="-4"/>
          <w:sz w:val="32"/>
          <w:szCs w:val="32"/>
        </w:rPr>
        <w:t>领导现场指导，帮助企业厘清发展思路，调整经营模式，形成了以“金龙鱼”“张兵兵”“海晨”“森态”等优质品牌的原辅料、火锅底料、方便火锅、成品一条龙的火锅产业链条。</w:t>
      </w:r>
    </w:p>
    <w:p w14:paraId="19161AE9">
      <w:pPr>
        <w:spacing w:line="620" w:lineRule="exact"/>
        <w:ind w:firstLine="640" w:firstLineChars="200"/>
        <w:rPr>
          <w:rFonts w:hint="eastAsia" w:ascii="方正仿宋简体" w:hAnsi="仿宋" w:eastAsia="方正仿宋简体" w:cs="Tahoma"/>
          <w:color w:val="000000"/>
          <w:sz w:val="32"/>
          <w:szCs w:val="32"/>
        </w:rPr>
      </w:pPr>
      <w:r>
        <w:rPr>
          <w:rFonts w:hint="eastAsia" w:ascii="方正仿宋简体" w:eastAsia="方正仿宋简体"/>
          <w:b/>
          <w:sz w:val="32"/>
          <w:szCs w:val="32"/>
        </w:rPr>
        <w:t>主动参与招商引资。</w:t>
      </w:r>
      <w:r>
        <w:rPr>
          <w:rFonts w:hint="eastAsia" w:ascii="方正仿宋简体" w:hAnsi="仿宋" w:eastAsia="方正仿宋简体" w:cs="Tahoma"/>
          <w:color w:val="000000"/>
          <w:sz w:val="32"/>
          <w:szCs w:val="32"/>
        </w:rPr>
        <w:t>以医药为重点，充分利用现有资源，积极配合相关部门，先后参与了同仁堂、九州通、普利、九洲生物等招商活动，促成医药项目落户广汉 。</w:t>
      </w:r>
    </w:p>
    <w:p w14:paraId="69B06499">
      <w:pPr>
        <w:spacing w:line="620" w:lineRule="exact"/>
        <w:ind w:firstLine="640" w:firstLineChars="200"/>
        <w:rPr>
          <w:rFonts w:hint="eastAsia" w:ascii="楷体_GB2312" w:eastAsia="楷体_GB2312"/>
          <w:sz w:val="32"/>
          <w:szCs w:val="32"/>
        </w:rPr>
      </w:pPr>
      <w:r>
        <w:rPr>
          <w:rFonts w:hint="eastAsia" w:ascii="楷体_GB2312" w:eastAsia="楷体_GB2312"/>
          <w:sz w:val="32"/>
          <w:szCs w:val="32"/>
          <w:lang w:val="en-US" w:eastAsia="zh-CN"/>
        </w:rPr>
        <w:t>4.</w:t>
      </w:r>
      <w:r>
        <w:rPr>
          <w:rFonts w:hint="eastAsia" w:ascii="楷体_GB2312" w:eastAsia="楷体_GB2312"/>
          <w:sz w:val="32"/>
          <w:szCs w:val="32"/>
        </w:rPr>
        <w:t xml:space="preserve">推进交办工作落实，保障重点任务圆满完成。 </w:t>
      </w:r>
    </w:p>
    <w:p w14:paraId="3C3904A5">
      <w:pPr>
        <w:spacing w:line="620" w:lineRule="exact"/>
        <w:ind w:firstLine="640" w:firstLineChars="200"/>
        <w:rPr>
          <w:rFonts w:hint="eastAsia" w:ascii="方正仿宋简体" w:eastAsia="方正仿宋简体"/>
          <w:spacing w:val="-4"/>
          <w:sz w:val="32"/>
          <w:szCs w:val="32"/>
        </w:rPr>
      </w:pPr>
      <w:r>
        <w:rPr>
          <w:rFonts w:hint="eastAsia" w:ascii="方正仿宋简体" w:eastAsia="方正仿宋简体"/>
          <w:b/>
          <w:sz w:val="32"/>
          <w:szCs w:val="32"/>
        </w:rPr>
        <w:t>全力抓好重大活动餐饮保障。</w:t>
      </w:r>
      <w:r>
        <w:rPr>
          <w:rFonts w:hint="eastAsia" w:ascii="方正仿宋简体" w:eastAsia="方正仿宋简体"/>
          <w:spacing w:val="-4"/>
          <w:sz w:val="32"/>
          <w:szCs w:val="32"/>
        </w:rPr>
        <w:t>对保保节、桃花节、中高考、两会</w:t>
      </w:r>
      <w:bookmarkStart w:id="72" w:name="_GoBack"/>
      <w:bookmarkEnd w:id="72"/>
      <w:r>
        <w:rPr>
          <w:rFonts w:hint="eastAsia" w:ascii="方正仿宋简体" w:eastAsia="方正仿宋简体"/>
          <w:spacing w:val="-4"/>
          <w:sz w:val="32"/>
          <w:szCs w:val="32"/>
        </w:rPr>
        <w:t>等重大活动的食品安全进行保障，派出工作人员398人次驻点监督，确保了全年无重大食品安全事故发生。</w:t>
      </w:r>
    </w:p>
    <w:p w14:paraId="76A1764C">
      <w:pPr>
        <w:spacing w:line="620" w:lineRule="exact"/>
        <w:ind w:firstLine="640" w:firstLineChars="200"/>
        <w:rPr>
          <w:rFonts w:hint="eastAsia" w:ascii="方正仿宋简体" w:eastAsia="方正仿宋简体"/>
          <w:color w:val="000000"/>
          <w:sz w:val="32"/>
          <w:szCs w:val="32"/>
        </w:rPr>
      </w:pPr>
      <w:r>
        <w:rPr>
          <w:rFonts w:hint="eastAsia" w:ascii="方正仿宋简体" w:eastAsia="方正仿宋简体"/>
          <w:b/>
          <w:sz w:val="32"/>
          <w:szCs w:val="32"/>
        </w:rPr>
        <w:t>全力抓好脱贫攻坚。</w:t>
      </w:r>
      <w:r>
        <w:rPr>
          <w:rFonts w:hint="eastAsia" w:ascii="方正仿宋简体" w:eastAsia="方正仿宋简体"/>
          <w:sz w:val="32"/>
          <w:szCs w:val="32"/>
        </w:rPr>
        <w:t>制定帮扶年度工作计划，落实专人联系对接帮扶村工作，</w:t>
      </w:r>
      <w:r>
        <w:rPr>
          <w:rFonts w:hint="eastAsia" w:ascii="方正仿宋简体" w:eastAsia="方正仿宋简体"/>
          <w:color w:val="000000"/>
          <w:sz w:val="32"/>
          <w:szCs w:val="32"/>
        </w:rPr>
        <w:t>开展党组织整顿、帮扶困难群众、促进就业创业等活动，压缩办公经费6.7万元用于脱贫攻坚，协调企业捐资110万元，帮助改善村委会办公环境和社区门诊、卫生院就医条件。</w:t>
      </w:r>
    </w:p>
    <w:p w14:paraId="557A679D">
      <w:pPr>
        <w:adjustRightInd w:val="0"/>
        <w:snapToGrid w:val="0"/>
        <w:spacing w:line="620" w:lineRule="exact"/>
        <w:ind w:firstLine="640" w:firstLineChars="200"/>
        <w:rPr>
          <w:rFonts w:hint="eastAsia" w:ascii="方正仿宋简体" w:eastAsia="方正仿宋简体"/>
          <w:sz w:val="32"/>
          <w:szCs w:val="32"/>
        </w:rPr>
      </w:pPr>
      <w:r>
        <w:rPr>
          <w:rFonts w:hint="eastAsia" w:ascii="方正仿宋简体" w:eastAsia="方正仿宋简体"/>
          <w:b/>
          <w:sz w:val="32"/>
          <w:szCs w:val="32"/>
        </w:rPr>
        <w:t>全力抓好环保“回头看”。</w:t>
      </w:r>
      <w:r>
        <w:rPr>
          <w:rFonts w:hint="eastAsia" w:ascii="方正仿宋简体" w:eastAsia="方正仿宋简体"/>
          <w:sz w:val="32"/>
          <w:szCs w:val="32"/>
        </w:rPr>
        <w:t xml:space="preserve">将环保与业务工作同安排、同布置、同检查，压实企业环保主体责任。牵头办结环保交办件12件，督促整改措施落实到位。 </w:t>
      </w:r>
    </w:p>
    <w:p w14:paraId="30778533">
      <w:pPr>
        <w:adjustRightInd w:val="0"/>
        <w:snapToGrid w:val="0"/>
        <w:spacing w:line="620" w:lineRule="exact"/>
        <w:ind w:firstLine="640" w:firstLineChars="200"/>
        <w:rPr>
          <w:rFonts w:hint="eastAsia" w:ascii="方正仿宋简体" w:eastAsia="方正仿宋简体"/>
          <w:sz w:val="32"/>
          <w:szCs w:val="32"/>
        </w:rPr>
      </w:pPr>
      <w:r>
        <w:rPr>
          <w:rFonts w:hint="eastAsia" w:ascii="方正仿宋简体" w:eastAsia="方正仿宋简体"/>
          <w:b/>
          <w:sz w:val="32"/>
          <w:szCs w:val="32"/>
        </w:rPr>
        <w:t>全力抓好“非洲猪瘟”防控。</w:t>
      </w:r>
      <w:r>
        <w:rPr>
          <w:rFonts w:hint="eastAsia" w:ascii="方正仿宋简体" w:eastAsia="方正仿宋简体"/>
          <w:spacing w:val="-2"/>
          <w:sz w:val="32"/>
          <w:szCs w:val="32"/>
        </w:rPr>
        <w:t>以45家肉制品加工企业、31个集贸市场、210家大中型餐饮单位、2个原料药提取企业128个冻库为重点，定期和不定期的开展索票索证排查，严把猪肉及相关产品的准入关，杜绝问题产品进入广汉市</w:t>
      </w:r>
      <w:r>
        <w:rPr>
          <w:rFonts w:hint="eastAsia" w:ascii="方正仿宋简体" w:eastAsia="方正仿宋简体"/>
          <w:sz w:val="32"/>
          <w:szCs w:val="32"/>
        </w:rPr>
        <w:t>场。</w:t>
      </w:r>
    </w:p>
    <w:p w14:paraId="21C87A74">
      <w:pPr>
        <w:pStyle w:val="5"/>
        <w:adjustRightInd w:val="0"/>
        <w:snapToGrid w:val="0"/>
        <w:spacing w:before="0" w:beforeLines="0" w:line="620" w:lineRule="exact"/>
        <w:ind w:firstLine="480" w:firstLineChars="150"/>
        <w:jc w:val="left"/>
        <w:rPr>
          <w:rFonts w:hint="eastAsia" w:ascii="仿宋" w:hAnsi="仿宋" w:eastAsia="仿宋"/>
          <w:bCs/>
          <w:color w:val="000000"/>
          <w:sz w:val="32"/>
          <w:szCs w:val="32"/>
        </w:rPr>
      </w:pPr>
    </w:p>
    <w:p w14:paraId="42419355">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32524DEC">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 w:hAnsi="仿宋" w:eastAsia="仿宋"/>
          <w:color w:val="000000"/>
          <w:kern w:val="0"/>
          <w:sz w:val="32"/>
          <w:szCs w:val="32"/>
        </w:rPr>
      </w:pPr>
      <w:r>
        <w:rPr>
          <w:rFonts w:hint="eastAsia" w:ascii="仿宋_GB2312" w:hAnsi="Times New Roman" w:eastAsia="仿宋_GB2312"/>
          <w:bCs/>
          <w:sz w:val="32"/>
          <w:szCs w:val="32"/>
        </w:rPr>
        <w:t>广汉市食品药品监督管理局属于一级决算单位，有两个下属单位，其中参照公务员法管理的事业单位1个，其他事业单位1个，两个下属单位财务未独立核算。</w:t>
      </w:r>
      <w:r>
        <w:rPr>
          <w:rFonts w:ascii="仿宋" w:hAnsi="仿宋" w:eastAsia="仿宋"/>
          <w:color w:val="000000"/>
          <w:sz w:val="32"/>
          <w:szCs w:val="32"/>
        </w:rPr>
        <w:br w:type="page"/>
      </w:r>
    </w:p>
    <w:p w14:paraId="33FF3776">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14:paraId="6244D45E"/>
    <w:p w14:paraId="6758FBE2">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0A348FDC">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59264" behindDoc="0" locked="0" layoutInCell="1" allowOverlap="1">
            <wp:simplePos x="0" y="0"/>
            <wp:positionH relativeFrom="column">
              <wp:posOffset>414020</wp:posOffset>
            </wp:positionH>
            <wp:positionV relativeFrom="paragraph">
              <wp:posOffset>1671320</wp:posOffset>
            </wp:positionV>
            <wp:extent cx="4572000" cy="2743200"/>
            <wp:effectExtent l="4445" t="4445" r="14605" b="1460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2018年度收、支总计2045.13万元。与2017年相比，收、支总计各增加</w:t>
      </w:r>
      <w:r>
        <w:rPr>
          <w:rFonts w:hint="eastAsia" w:ascii="仿宋" w:hAnsi="仿宋" w:eastAsia="仿宋"/>
          <w:color w:val="000000"/>
          <w:sz w:val="32"/>
          <w:szCs w:val="32"/>
          <w:lang w:val="en-US" w:eastAsia="zh-CN"/>
        </w:rPr>
        <w:t>147.52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7.78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新购食品安全快速检验车</w:t>
      </w:r>
      <w:r>
        <w:rPr>
          <w:rFonts w:hint="eastAsia" w:ascii="仿宋" w:hAnsi="仿宋" w:eastAsia="仿宋"/>
          <w:color w:val="000000"/>
          <w:sz w:val="32"/>
          <w:szCs w:val="32"/>
          <w:lang w:val="en-US" w:eastAsia="zh-CN"/>
        </w:rPr>
        <w:t>1辆合计支出131.36万元，支付基层所维修尾款7.61万元。</w:t>
      </w:r>
    </w:p>
    <w:p w14:paraId="4A5E2575">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14:paraId="59405ABA">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1692DA3E">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1796.58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1778.73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99.01</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17.85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0.99</w:t>
      </w:r>
      <w:r>
        <w:rPr>
          <w:rFonts w:ascii="仿宋" w:hAnsi="仿宋" w:eastAsia="仿宋"/>
          <w:color w:val="000000"/>
          <w:sz w:val="32"/>
          <w:szCs w:val="32"/>
        </w:rPr>
        <w:t>%</w:t>
      </w:r>
      <w:r>
        <w:rPr>
          <w:rFonts w:hint="eastAsia" w:ascii="仿宋" w:hAnsi="仿宋" w:eastAsia="仿宋"/>
          <w:color w:val="000000"/>
          <w:sz w:val="32"/>
          <w:szCs w:val="32"/>
        </w:rPr>
        <w:t>。</w:t>
      </w:r>
    </w:p>
    <w:p w14:paraId="2E20D03B">
      <w:pPr>
        <w:spacing w:line="600" w:lineRule="exact"/>
        <w:ind w:firstLine="640" w:firstLineChars="200"/>
        <w:outlineLvl w:val="1"/>
        <w:rPr>
          <w:rFonts w:hint="eastAsia" w:ascii="仿宋" w:hAnsi="仿宋" w:eastAsia="仿宋"/>
          <w:color w:val="000000"/>
          <w:sz w:val="32"/>
          <w:szCs w:val="32"/>
        </w:rPr>
      </w:pPr>
    </w:p>
    <w:p w14:paraId="5A8950B8">
      <w:pPr>
        <w:spacing w:line="600" w:lineRule="exact"/>
        <w:ind w:firstLine="640" w:firstLineChars="200"/>
        <w:outlineLvl w:val="1"/>
        <w:rPr>
          <w:rFonts w:hint="eastAsia" w:ascii="仿宋" w:hAnsi="仿宋" w:eastAsia="仿宋"/>
          <w:color w:val="000000"/>
          <w:sz w:val="32"/>
          <w:szCs w:val="32"/>
        </w:rPr>
      </w:pPr>
    </w:p>
    <w:p w14:paraId="463FA0F6">
      <w:pPr>
        <w:spacing w:line="600" w:lineRule="exact"/>
        <w:ind w:firstLine="640" w:firstLineChars="200"/>
        <w:outlineLvl w:val="1"/>
        <w:rPr>
          <w:rFonts w:hint="eastAsia" w:ascii="仿宋" w:hAnsi="仿宋" w:eastAsia="仿宋"/>
          <w:color w:val="000000"/>
          <w:sz w:val="32"/>
          <w:szCs w:val="32"/>
        </w:rPr>
      </w:pPr>
    </w:p>
    <w:p w14:paraId="0D3DB4AC">
      <w:pPr>
        <w:spacing w:line="600" w:lineRule="exact"/>
        <w:ind w:firstLine="420" w:firstLineChars="200"/>
        <w:outlineLvl w:val="1"/>
        <w:rPr>
          <w:rFonts w:hint="eastAsia" w:ascii="仿宋" w:hAnsi="仿宋" w:eastAsia="仿宋"/>
          <w:color w:val="000000"/>
          <w:sz w:val="32"/>
          <w:szCs w:val="32"/>
        </w:rPr>
      </w:pPr>
      <w:r>
        <w:drawing>
          <wp:anchor distT="0" distB="0" distL="114300" distR="114300" simplePos="0" relativeHeight="251660288" behindDoc="0" locked="0" layoutInCell="1" allowOverlap="1">
            <wp:simplePos x="0" y="0"/>
            <wp:positionH relativeFrom="column">
              <wp:posOffset>414020</wp:posOffset>
            </wp:positionH>
            <wp:positionV relativeFrom="paragraph">
              <wp:posOffset>286385</wp:posOffset>
            </wp:positionV>
            <wp:extent cx="4572000" cy="2743200"/>
            <wp:effectExtent l="4445" t="4445" r="14605" b="1460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2DC5D9A">
      <w:pPr>
        <w:spacing w:line="600" w:lineRule="exact"/>
        <w:ind w:firstLine="640" w:firstLineChars="200"/>
        <w:outlineLvl w:val="1"/>
        <w:rPr>
          <w:rFonts w:hint="eastAsia" w:ascii="仿宋" w:hAnsi="仿宋" w:eastAsia="仿宋"/>
          <w:color w:val="000000"/>
          <w:sz w:val="32"/>
          <w:szCs w:val="32"/>
        </w:rPr>
      </w:pPr>
    </w:p>
    <w:p w14:paraId="044B4540">
      <w:pPr>
        <w:spacing w:line="600" w:lineRule="exact"/>
        <w:ind w:firstLine="640" w:firstLineChars="200"/>
        <w:outlineLvl w:val="1"/>
        <w:rPr>
          <w:rFonts w:hint="eastAsia" w:ascii="仿宋" w:hAnsi="仿宋" w:eastAsia="仿宋"/>
          <w:color w:val="000000"/>
          <w:sz w:val="32"/>
          <w:szCs w:val="32"/>
        </w:rPr>
      </w:pPr>
    </w:p>
    <w:p w14:paraId="157E2F7B">
      <w:pPr>
        <w:spacing w:line="600" w:lineRule="exact"/>
        <w:ind w:firstLine="640" w:firstLineChars="200"/>
        <w:outlineLvl w:val="1"/>
        <w:rPr>
          <w:rFonts w:hint="eastAsia" w:ascii="仿宋" w:hAnsi="仿宋" w:eastAsia="仿宋"/>
          <w:color w:val="000000"/>
          <w:sz w:val="32"/>
          <w:szCs w:val="32"/>
        </w:rPr>
      </w:pPr>
    </w:p>
    <w:p w14:paraId="24B8C107">
      <w:pPr>
        <w:spacing w:line="600" w:lineRule="exact"/>
        <w:ind w:firstLine="640" w:firstLineChars="200"/>
        <w:outlineLvl w:val="1"/>
        <w:rPr>
          <w:rFonts w:hint="eastAsia" w:ascii="仿宋" w:hAnsi="仿宋" w:eastAsia="仿宋"/>
          <w:color w:val="000000"/>
          <w:sz w:val="32"/>
          <w:szCs w:val="32"/>
        </w:rPr>
      </w:pPr>
    </w:p>
    <w:p w14:paraId="65035271">
      <w:pPr>
        <w:spacing w:line="600" w:lineRule="exact"/>
        <w:ind w:firstLine="640" w:firstLineChars="200"/>
        <w:outlineLvl w:val="1"/>
        <w:rPr>
          <w:rFonts w:hint="eastAsia" w:ascii="仿宋" w:hAnsi="仿宋" w:eastAsia="仿宋"/>
          <w:color w:val="000000"/>
          <w:sz w:val="32"/>
          <w:szCs w:val="32"/>
        </w:rPr>
      </w:pPr>
    </w:p>
    <w:p w14:paraId="0CF7D59A">
      <w:pPr>
        <w:spacing w:line="600" w:lineRule="exact"/>
        <w:ind w:firstLine="640" w:firstLineChars="200"/>
        <w:outlineLvl w:val="1"/>
        <w:rPr>
          <w:rFonts w:hint="eastAsia" w:ascii="仿宋" w:hAnsi="仿宋" w:eastAsia="仿宋"/>
          <w:color w:val="000000"/>
          <w:sz w:val="32"/>
          <w:szCs w:val="32"/>
        </w:rPr>
      </w:pPr>
    </w:p>
    <w:p w14:paraId="75CF4A02">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14:paraId="43C1E286">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w:t>
      </w:r>
    </w:p>
    <w:p w14:paraId="72AED8F3">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6175055D">
      <w:pPr>
        <w:spacing w:line="600" w:lineRule="exact"/>
        <w:ind w:firstLine="640"/>
        <w:rPr>
          <w:rFonts w:hint="eastAsia" w:ascii="仿宋" w:hAnsi="仿宋" w:eastAsia="仿宋"/>
          <w:color w:val="000000"/>
          <w:sz w:val="32"/>
          <w:szCs w:val="32"/>
          <w:shd w:val="pct10" w:color="auto" w:fill="FFFFFF"/>
          <w:lang w:eastAsia="zh-CN"/>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1928.18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179.35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81.91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348.83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18.09</w:t>
      </w:r>
      <w:r>
        <w:rPr>
          <w:rFonts w:ascii="仿宋" w:hAnsi="仿宋" w:eastAsia="仿宋"/>
          <w:color w:val="000000"/>
          <w:sz w:val="32"/>
          <w:szCs w:val="32"/>
        </w:rPr>
        <w:t>%</w:t>
      </w:r>
      <w:r>
        <w:rPr>
          <w:rFonts w:hint="eastAsia" w:ascii="仿宋" w:hAnsi="仿宋" w:eastAsia="仿宋"/>
          <w:color w:val="000000"/>
          <w:sz w:val="32"/>
          <w:szCs w:val="32"/>
          <w:lang w:eastAsia="zh-CN"/>
        </w:rPr>
        <w:t>。</w:t>
      </w:r>
    </w:p>
    <w:p w14:paraId="7099F3C5">
      <w:pPr>
        <w:spacing w:line="600" w:lineRule="exact"/>
        <w:ind w:firstLine="420" w:firstLineChars="200"/>
        <w:rPr>
          <w:rFonts w:ascii="仿宋_GB2312" w:eastAsia="仿宋_GB2312"/>
          <w:color w:val="FF0000"/>
          <w:sz w:val="32"/>
          <w:szCs w:val="32"/>
        </w:rPr>
      </w:pPr>
      <w:r>
        <w:drawing>
          <wp:anchor distT="0" distB="0" distL="114300" distR="114300" simplePos="0" relativeHeight="251661312" behindDoc="0" locked="0" layoutInCell="1" allowOverlap="1">
            <wp:simplePos x="0" y="0"/>
            <wp:positionH relativeFrom="column">
              <wp:posOffset>271145</wp:posOffset>
            </wp:positionH>
            <wp:positionV relativeFrom="paragraph">
              <wp:posOffset>233045</wp:posOffset>
            </wp:positionV>
            <wp:extent cx="4572000" cy="2743200"/>
            <wp:effectExtent l="4445" t="4445" r="14605" b="14605"/>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w:t>
      </w:r>
    </w:p>
    <w:p w14:paraId="10E97F7D">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683EBBE5">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1989.15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hint="eastAsia" w:ascii="仿宋" w:hAnsi="仿宋" w:eastAsia="仿宋"/>
          <w:color w:val="000000"/>
          <w:sz w:val="32"/>
          <w:szCs w:val="32"/>
          <w:lang w:val="en-US" w:eastAsia="zh-CN"/>
        </w:rPr>
        <w:t>136.91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7.39</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新购食品安全快速检验车</w:t>
      </w:r>
      <w:r>
        <w:rPr>
          <w:rFonts w:hint="eastAsia" w:ascii="仿宋" w:hAnsi="仿宋" w:eastAsia="仿宋"/>
          <w:color w:val="000000"/>
          <w:sz w:val="32"/>
          <w:szCs w:val="32"/>
          <w:lang w:val="en-US" w:eastAsia="zh-CN"/>
        </w:rPr>
        <w:t>1辆合计支出131.36万元。</w:t>
      </w:r>
    </w:p>
    <w:p w14:paraId="6876EAF9">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2336" behindDoc="0" locked="0" layoutInCell="1" allowOverlap="1">
            <wp:simplePos x="0" y="0"/>
            <wp:positionH relativeFrom="column">
              <wp:posOffset>404495</wp:posOffset>
            </wp:positionH>
            <wp:positionV relativeFrom="paragraph">
              <wp:posOffset>156845</wp:posOffset>
            </wp:positionV>
            <wp:extent cx="4572000" cy="2743200"/>
            <wp:effectExtent l="4445" t="4445" r="14605" b="14605"/>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themeColor="text1"/>
          <w:sz w:val="32"/>
          <w:szCs w:val="32"/>
          <w14:textFill>
            <w14:solidFill>
              <w14:schemeClr w14:val="tx1"/>
            </w14:solidFill>
          </w14:textFill>
        </w:rPr>
        <w:t>（图4：财政拨款收、支决算总计变动情况）</w:t>
      </w:r>
    </w:p>
    <w:p w14:paraId="2529ED79">
      <w:pPr>
        <w:spacing w:line="600" w:lineRule="exact"/>
        <w:ind w:firstLine="640"/>
        <w:rPr>
          <w:rFonts w:ascii="仿宋" w:hAnsi="仿宋" w:eastAsia="仿宋"/>
          <w:b/>
          <w:color w:val="00B050"/>
          <w:sz w:val="32"/>
          <w:szCs w:val="32"/>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14:paraId="158B7E9F">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0E764BD6">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76EB448C">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1904.63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98.78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304.49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19.03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新购食品安全快速检验车</w:t>
      </w:r>
      <w:r>
        <w:rPr>
          <w:rFonts w:hint="eastAsia" w:ascii="仿宋" w:hAnsi="仿宋" w:eastAsia="仿宋"/>
          <w:color w:val="000000"/>
          <w:sz w:val="32"/>
          <w:szCs w:val="32"/>
          <w:lang w:val="en-US" w:eastAsia="zh-CN"/>
        </w:rPr>
        <w:t>1辆合计支出131.36万元。</w:t>
      </w:r>
    </w:p>
    <w:p w14:paraId="7EB51B9A">
      <w:pPr>
        <w:spacing w:line="600" w:lineRule="exact"/>
        <w:ind w:firstLine="640" w:firstLineChars="200"/>
        <w:rPr>
          <w:rFonts w:hint="eastAsia" w:ascii="仿宋" w:hAnsi="仿宋" w:eastAsia="仿宋"/>
          <w:color w:val="000000"/>
          <w:sz w:val="32"/>
          <w:szCs w:val="32"/>
          <w:lang w:val="en-US" w:eastAsia="zh-CN"/>
        </w:rPr>
      </w:pPr>
    </w:p>
    <w:p w14:paraId="35500C54">
      <w:pPr>
        <w:spacing w:line="600" w:lineRule="exact"/>
        <w:ind w:firstLine="640" w:firstLineChars="200"/>
        <w:rPr>
          <w:rFonts w:hint="eastAsia" w:ascii="仿宋" w:hAnsi="仿宋" w:eastAsia="仿宋"/>
          <w:color w:val="000000"/>
          <w:sz w:val="32"/>
          <w:szCs w:val="32"/>
          <w:lang w:val="en-US" w:eastAsia="zh-CN"/>
        </w:rPr>
      </w:pPr>
    </w:p>
    <w:p w14:paraId="1E64F992">
      <w:pPr>
        <w:spacing w:line="600" w:lineRule="exact"/>
        <w:ind w:firstLine="640" w:firstLineChars="200"/>
        <w:rPr>
          <w:rFonts w:hint="eastAsia" w:ascii="仿宋" w:hAnsi="仿宋" w:eastAsia="仿宋"/>
          <w:color w:val="000000"/>
          <w:sz w:val="32"/>
          <w:szCs w:val="32"/>
          <w:lang w:val="en-US" w:eastAsia="zh-CN"/>
        </w:rPr>
      </w:pPr>
    </w:p>
    <w:p w14:paraId="1B9EA928">
      <w:pPr>
        <w:spacing w:line="600" w:lineRule="exact"/>
        <w:ind w:firstLine="420" w:firstLineChars="200"/>
        <w:rPr>
          <w:rFonts w:hint="eastAsia" w:ascii="仿宋" w:hAnsi="仿宋" w:eastAsia="仿宋"/>
          <w:color w:val="000000"/>
          <w:sz w:val="32"/>
          <w:szCs w:val="32"/>
          <w:lang w:val="en-US" w:eastAsia="zh-CN"/>
        </w:rPr>
      </w:pPr>
      <w:r>
        <w:drawing>
          <wp:anchor distT="0" distB="0" distL="114300" distR="114300" simplePos="0" relativeHeight="251663360" behindDoc="0" locked="0" layoutInCell="1" allowOverlap="1">
            <wp:simplePos x="0" y="0"/>
            <wp:positionH relativeFrom="column">
              <wp:posOffset>528320</wp:posOffset>
            </wp:positionH>
            <wp:positionV relativeFrom="paragraph">
              <wp:posOffset>324485</wp:posOffset>
            </wp:positionV>
            <wp:extent cx="4572000" cy="2743200"/>
            <wp:effectExtent l="4445" t="4445" r="14605" b="1460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38D83DF">
      <w:pPr>
        <w:spacing w:line="600" w:lineRule="exact"/>
        <w:ind w:firstLine="640" w:firstLineChars="200"/>
        <w:rPr>
          <w:rFonts w:hint="eastAsia" w:ascii="仿宋" w:hAnsi="仿宋" w:eastAsia="仿宋"/>
          <w:color w:val="000000"/>
          <w:sz w:val="32"/>
          <w:szCs w:val="32"/>
          <w:lang w:val="en-US" w:eastAsia="zh-CN"/>
        </w:rPr>
      </w:pPr>
    </w:p>
    <w:p w14:paraId="511708ED">
      <w:pPr>
        <w:spacing w:line="600" w:lineRule="exact"/>
        <w:ind w:firstLine="640" w:firstLineChars="200"/>
        <w:rPr>
          <w:rFonts w:hint="eastAsia" w:ascii="仿宋" w:hAnsi="仿宋" w:eastAsia="仿宋"/>
          <w:color w:val="000000"/>
          <w:sz w:val="32"/>
          <w:szCs w:val="32"/>
          <w:lang w:val="en-US" w:eastAsia="zh-CN"/>
        </w:rPr>
      </w:pPr>
    </w:p>
    <w:p w14:paraId="7FCECDC7">
      <w:pPr>
        <w:spacing w:line="600" w:lineRule="exact"/>
        <w:ind w:firstLine="640" w:firstLineChars="200"/>
        <w:rPr>
          <w:rFonts w:hint="eastAsia" w:ascii="仿宋" w:hAnsi="仿宋" w:eastAsia="仿宋"/>
          <w:color w:val="000000"/>
          <w:sz w:val="32"/>
          <w:szCs w:val="32"/>
          <w:lang w:val="en-US" w:eastAsia="zh-CN"/>
        </w:rPr>
      </w:pPr>
    </w:p>
    <w:p w14:paraId="31B3B968">
      <w:pPr>
        <w:spacing w:line="600" w:lineRule="exact"/>
        <w:ind w:firstLine="640" w:firstLineChars="200"/>
        <w:rPr>
          <w:rFonts w:hint="eastAsia" w:ascii="仿宋" w:hAnsi="仿宋" w:eastAsia="仿宋"/>
          <w:color w:val="000000"/>
          <w:sz w:val="32"/>
          <w:szCs w:val="32"/>
          <w:lang w:val="en-US" w:eastAsia="zh-CN"/>
        </w:rPr>
      </w:pPr>
    </w:p>
    <w:p w14:paraId="010B2AF2">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14:paraId="657A0051">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14:paraId="37363D38">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14:paraId="4CF8736C">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14:paraId="19F95C5C">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7A7953AE">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1904.63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社会保障和就业</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129.15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6.78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医疗卫生与计划生育</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eastAsia="zh-CN"/>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1694.22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88.95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住房保障</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81.26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7E73F4CA">
      <w:pPr>
        <w:spacing w:line="600" w:lineRule="exact"/>
        <w:ind w:firstLine="64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4384" behindDoc="0" locked="0" layoutInCell="1" allowOverlap="1">
            <wp:simplePos x="0" y="0"/>
            <wp:positionH relativeFrom="column">
              <wp:posOffset>534670</wp:posOffset>
            </wp:positionH>
            <wp:positionV relativeFrom="paragraph">
              <wp:posOffset>330835</wp:posOffset>
            </wp:positionV>
            <wp:extent cx="4572000" cy="2743200"/>
            <wp:effectExtent l="4445" t="4445" r="14605" b="1460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50B7BB5">
      <w:pPr>
        <w:spacing w:line="600" w:lineRule="exact"/>
        <w:ind w:firstLine="640"/>
        <w:rPr>
          <w:rFonts w:hint="eastAsia" w:ascii="仿宋" w:hAnsi="仿宋" w:eastAsia="仿宋"/>
          <w:color w:val="000000" w:themeColor="text1"/>
          <w:sz w:val="32"/>
          <w:szCs w:val="32"/>
          <w14:textFill>
            <w14:solidFill>
              <w14:schemeClr w14:val="tx1"/>
            </w14:solidFill>
          </w14:textFill>
        </w:rPr>
      </w:pPr>
    </w:p>
    <w:p w14:paraId="7D4F6D49">
      <w:pPr>
        <w:spacing w:line="600" w:lineRule="exact"/>
        <w:ind w:firstLine="640"/>
        <w:rPr>
          <w:rFonts w:hint="eastAsia" w:ascii="仿宋" w:hAnsi="仿宋" w:eastAsia="仿宋"/>
          <w:color w:val="000000" w:themeColor="text1"/>
          <w:sz w:val="32"/>
          <w:szCs w:val="32"/>
          <w14:textFill>
            <w14:solidFill>
              <w14:schemeClr w14:val="tx1"/>
            </w14:solidFill>
          </w14:textFill>
        </w:rPr>
      </w:pPr>
    </w:p>
    <w:p w14:paraId="433157BD">
      <w:pPr>
        <w:spacing w:line="600" w:lineRule="exact"/>
        <w:ind w:firstLine="640"/>
        <w:rPr>
          <w:rFonts w:hint="eastAsia" w:ascii="仿宋" w:hAnsi="仿宋" w:eastAsia="仿宋"/>
          <w:color w:val="000000" w:themeColor="text1"/>
          <w:sz w:val="32"/>
          <w:szCs w:val="32"/>
          <w14:textFill>
            <w14:solidFill>
              <w14:schemeClr w14:val="tx1"/>
            </w14:solidFill>
          </w14:textFill>
        </w:rPr>
      </w:pPr>
    </w:p>
    <w:p w14:paraId="4DC2FE35">
      <w:pPr>
        <w:spacing w:line="600" w:lineRule="exact"/>
        <w:ind w:firstLine="640"/>
        <w:rPr>
          <w:rFonts w:hint="eastAsia" w:ascii="仿宋" w:hAnsi="仿宋" w:eastAsia="仿宋"/>
          <w:color w:val="000000" w:themeColor="text1"/>
          <w:sz w:val="32"/>
          <w:szCs w:val="32"/>
          <w14:textFill>
            <w14:solidFill>
              <w14:schemeClr w14:val="tx1"/>
            </w14:solidFill>
          </w14:textFill>
        </w:rPr>
      </w:pPr>
    </w:p>
    <w:p w14:paraId="6430F91E">
      <w:pPr>
        <w:spacing w:line="600" w:lineRule="exact"/>
        <w:ind w:firstLine="640"/>
        <w:rPr>
          <w:rFonts w:hint="eastAsia" w:ascii="仿宋" w:hAnsi="仿宋" w:eastAsia="仿宋"/>
          <w:color w:val="000000" w:themeColor="text1"/>
          <w:sz w:val="32"/>
          <w:szCs w:val="32"/>
          <w14:textFill>
            <w14:solidFill>
              <w14:schemeClr w14:val="tx1"/>
            </w14:solidFill>
          </w14:textFill>
        </w:rPr>
      </w:pPr>
    </w:p>
    <w:p w14:paraId="6CA320E3">
      <w:pPr>
        <w:spacing w:line="600" w:lineRule="exact"/>
        <w:ind w:firstLine="640" w:firstLineChars="200"/>
        <w:rPr>
          <w:rFonts w:hint="eastAsia" w:ascii="仿宋" w:hAnsi="仿宋" w:eastAsia="仿宋"/>
          <w:color w:val="000000"/>
          <w:sz w:val="32"/>
          <w:szCs w:val="32"/>
        </w:rPr>
      </w:pPr>
    </w:p>
    <w:p w14:paraId="54DC84F6">
      <w:pPr>
        <w:spacing w:line="600" w:lineRule="exact"/>
        <w:ind w:firstLine="640" w:firstLineChars="200"/>
        <w:rPr>
          <w:rFonts w:hint="eastAsia" w:ascii="仿宋" w:hAnsi="仿宋" w:eastAsia="仿宋"/>
          <w:color w:val="000000"/>
          <w:sz w:val="32"/>
          <w:szCs w:val="32"/>
        </w:rPr>
      </w:pPr>
    </w:p>
    <w:p w14:paraId="7D346BD5">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14:paraId="36DDB5A2">
      <w:pPr>
        <w:spacing w:line="600" w:lineRule="exact"/>
        <w:ind w:firstLine="640" w:firstLineChars="200"/>
        <w:rPr>
          <w:rFonts w:ascii="仿宋" w:hAnsi="仿宋" w:eastAsia="仿宋"/>
          <w:color w:val="000000"/>
          <w:sz w:val="32"/>
          <w:szCs w:val="32"/>
        </w:rPr>
      </w:pPr>
    </w:p>
    <w:p w14:paraId="3D20A6CD">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3462663D">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般公共预算支出决算数为1904.63</w:t>
      </w:r>
      <w:r>
        <w:rPr>
          <w:rFonts w:hint="eastAsia" w:ascii="仿宋" w:hAnsi="仿宋" w:eastAsia="仿宋"/>
          <w:b/>
          <w:color w:val="000000" w:themeColor="text1"/>
          <w:sz w:val="32"/>
          <w:szCs w:val="32"/>
          <w:lang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14:paraId="41633E6D">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lang w:eastAsia="zh-CN"/>
        </w:rPr>
        <w:t>社会保障和就业</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未归口管理的行政单位离退休</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04</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5.47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553147BF">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2.</w:t>
      </w:r>
      <w:r>
        <w:rPr>
          <w:rStyle w:val="14"/>
          <w:rFonts w:hint="eastAsia" w:ascii="仿宋" w:hAnsi="仿宋" w:eastAsia="仿宋"/>
          <w:bCs/>
          <w:color w:val="000000"/>
          <w:sz w:val="32"/>
          <w:szCs w:val="32"/>
          <w:lang w:eastAsia="zh-CN"/>
        </w:rPr>
        <w:t>社会保障和就业</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机关事业单位基本养老保险缴费支出（</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lang w:eastAsia="zh-CN"/>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88.32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C5E0831">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3.</w:t>
      </w:r>
      <w:r>
        <w:rPr>
          <w:rStyle w:val="14"/>
          <w:rFonts w:hint="eastAsia" w:ascii="仿宋" w:hAnsi="仿宋" w:eastAsia="仿宋"/>
          <w:bCs/>
          <w:color w:val="000000"/>
          <w:sz w:val="32"/>
          <w:szCs w:val="32"/>
          <w:lang w:eastAsia="zh-CN"/>
        </w:rPr>
        <w:t>社会保障和就业</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机关事业单位职业年金缴费支出（</w:t>
      </w:r>
      <w:r>
        <w:rPr>
          <w:rStyle w:val="14"/>
          <w:rFonts w:hint="eastAsia" w:ascii="仿宋" w:hAnsi="仿宋" w:eastAsia="仿宋"/>
          <w:bCs/>
          <w:color w:val="000000"/>
          <w:sz w:val="32"/>
          <w:szCs w:val="32"/>
          <w:lang w:val="en-US" w:eastAsia="zh-CN"/>
        </w:rPr>
        <w:t>06</w:t>
      </w:r>
      <w:r>
        <w:rPr>
          <w:rStyle w:val="14"/>
          <w:rFonts w:hint="eastAsia" w:ascii="仿宋" w:hAnsi="仿宋" w:eastAsia="仿宋"/>
          <w:bCs/>
          <w:color w:val="000000"/>
          <w:sz w:val="32"/>
          <w:szCs w:val="32"/>
          <w:lang w:eastAsia="zh-CN"/>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35.36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EFC33B4">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4.</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食品和药品监督管理事务</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10</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964.49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2545E3D">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5.</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食品和药品监督管理事务</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一般行政管理事务</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21.7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0AEFFFC">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6.</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食品和药品监督管理事务</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食品安全事务</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16</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53.05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F0A15FA">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7.</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食品和药品监督管理事务</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事业运行</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50</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362.3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3481ACF">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8.</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食品和药品监督管理事务</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其他食品和药品监督管理事务支出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259.53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6C7B7A7E">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9.</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行政单位医疗</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21.28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1531141">
      <w:pPr>
        <w:spacing w:line="600" w:lineRule="exact"/>
        <w:ind w:firstLine="643" w:firstLineChars="200"/>
        <w:rPr>
          <w:rStyle w:val="14"/>
          <w:rFonts w:hint="eastAsia" w:ascii="仿宋" w:hAnsi="仿宋" w:eastAsia="仿宋"/>
          <w:b/>
          <w:bCs w:val="0"/>
          <w:color w:val="000000"/>
          <w:sz w:val="32"/>
          <w:szCs w:val="32"/>
        </w:rPr>
      </w:pPr>
      <w:r>
        <w:rPr>
          <w:rStyle w:val="14"/>
          <w:rFonts w:hint="eastAsia" w:ascii="仿宋" w:hAnsi="仿宋" w:eastAsia="仿宋"/>
          <w:bCs/>
          <w:color w:val="000000"/>
          <w:sz w:val="32"/>
          <w:szCs w:val="32"/>
          <w:lang w:val="en-US" w:eastAsia="zh-CN"/>
        </w:rPr>
        <w:t>10.</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事业单位医疗</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9.66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F9D0E32">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其他医疗卫生与计划生育支出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其他医疗卫生与计划生育支出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2.21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48BCD1D">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12.</w:t>
      </w:r>
      <w:r>
        <w:rPr>
          <w:rStyle w:val="14"/>
          <w:rFonts w:hint="eastAsia" w:ascii="仿宋" w:hAnsi="仿宋" w:eastAsia="仿宋"/>
          <w:bCs/>
          <w:color w:val="000000"/>
          <w:sz w:val="32"/>
          <w:szCs w:val="32"/>
          <w:lang w:eastAsia="zh-CN"/>
        </w:rPr>
        <w:t>住房保障支出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221</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住房改革支出</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住房公积金</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81.26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F96FB1B">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0AEC53C4">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1904.63</w:t>
      </w:r>
      <w:r>
        <w:rPr>
          <w:rFonts w:hint="eastAsia" w:ascii="仿宋" w:hAnsi="仿宋" w:eastAsia="仿宋"/>
          <w:color w:val="000000"/>
          <w:sz w:val="32"/>
          <w:szCs w:val="32"/>
        </w:rPr>
        <w:t>万元，其中：</w:t>
      </w:r>
    </w:p>
    <w:p w14:paraId="3CCC6663">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1451.2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453.43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61EF893">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375B3B45">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56610B6D">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9.18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30.6</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_GB2312" w:eastAsia="仿宋_GB2312"/>
          <w:sz w:val="32"/>
          <w:szCs w:val="32"/>
          <w:lang w:eastAsia="zh-CN"/>
        </w:rPr>
        <w:t>厉行节约，</w:t>
      </w:r>
      <w:r>
        <w:rPr>
          <w:rFonts w:hint="eastAsia" w:ascii="仿宋_GB2312" w:hAnsi="微软雅黑" w:eastAsia="仿宋_GB2312" w:cs="宋体"/>
          <w:sz w:val="32"/>
          <w:szCs w:val="32"/>
        </w:rPr>
        <w:t>严格按要求压缩支出</w:t>
      </w:r>
      <w:r>
        <w:rPr>
          <w:rFonts w:hint="eastAsia" w:ascii="仿宋" w:hAnsi="仿宋" w:eastAsia="仿宋"/>
          <w:color w:val="000000"/>
          <w:sz w:val="32"/>
          <w:szCs w:val="32"/>
        </w:rPr>
        <w:t>。</w:t>
      </w:r>
    </w:p>
    <w:p w14:paraId="77D26AC7">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3FACD205">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8年“三公”经费财政拨款支出决算中，公务用车购置及运行维护费支出决算</w:t>
      </w:r>
      <w:r>
        <w:rPr>
          <w:rFonts w:hint="eastAsia" w:ascii="仿宋" w:hAnsi="仿宋" w:eastAsia="仿宋"/>
          <w:color w:val="000000"/>
          <w:sz w:val="32"/>
          <w:szCs w:val="32"/>
          <w:lang w:val="en-US" w:eastAsia="zh-CN"/>
        </w:rPr>
        <w:t>7.38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80.39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19.61</w:t>
      </w:r>
      <w:r>
        <w:rPr>
          <w:rFonts w:ascii="仿宋" w:hAnsi="仿宋" w:eastAsia="仿宋"/>
          <w:color w:val="000000"/>
          <w:sz w:val="32"/>
          <w:szCs w:val="32"/>
        </w:rPr>
        <w:t>%</w:t>
      </w:r>
      <w:r>
        <w:rPr>
          <w:rFonts w:hint="eastAsia" w:ascii="仿宋" w:hAnsi="仿宋" w:eastAsia="仿宋"/>
          <w:color w:val="000000"/>
          <w:sz w:val="32"/>
          <w:szCs w:val="32"/>
        </w:rPr>
        <w:t>。具体情况如下：</w:t>
      </w:r>
    </w:p>
    <w:p w14:paraId="3F14A061">
      <w:pPr>
        <w:spacing w:line="600" w:lineRule="exact"/>
        <w:ind w:firstLine="640"/>
        <w:rPr>
          <w:rFonts w:hint="eastAsia" w:ascii="仿宋" w:hAnsi="仿宋" w:eastAsia="仿宋"/>
          <w:color w:val="000000"/>
          <w:sz w:val="32"/>
          <w:szCs w:val="32"/>
        </w:rPr>
      </w:pPr>
    </w:p>
    <w:p w14:paraId="4FF80C23">
      <w:pPr>
        <w:spacing w:line="600" w:lineRule="exact"/>
        <w:ind w:firstLine="640"/>
        <w:rPr>
          <w:rFonts w:hint="eastAsia" w:ascii="仿宋" w:hAnsi="仿宋" w:eastAsia="仿宋"/>
          <w:color w:val="000000"/>
          <w:sz w:val="32"/>
          <w:szCs w:val="32"/>
        </w:rPr>
      </w:pPr>
    </w:p>
    <w:p w14:paraId="6EF92B93">
      <w:pPr>
        <w:spacing w:line="600" w:lineRule="exact"/>
        <w:ind w:firstLine="640"/>
        <w:rPr>
          <w:rFonts w:hint="eastAsia" w:ascii="仿宋" w:hAnsi="仿宋" w:eastAsia="仿宋"/>
          <w:color w:val="000000"/>
          <w:sz w:val="32"/>
          <w:szCs w:val="32"/>
        </w:rPr>
      </w:pPr>
    </w:p>
    <w:p w14:paraId="364DFE02">
      <w:pPr>
        <w:spacing w:line="600" w:lineRule="exact"/>
        <w:ind w:firstLine="640"/>
        <w:rPr>
          <w:rFonts w:hint="eastAsia" w:ascii="仿宋" w:hAnsi="仿宋" w:eastAsia="仿宋"/>
          <w:color w:val="000000"/>
          <w:sz w:val="32"/>
          <w:szCs w:val="32"/>
        </w:rPr>
      </w:pPr>
    </w:p>
    <w:p w14:paraId="53F29A2D">
      <w:pPr>
        <w:spacing w:line="600" w:lineRule="exact"/>
        <w:ind w:firstLine="640"/>
        <w:rPr>
          <w:rFonts w:hint="eastAsia" w:ascii="仿宋" w:hAnsi="仿宋" w:eastAsia="仿宋"/>
          <w:color w:val="000000"/>
          <w:sz w:val="32"/>
          <w:szCs w:val="32"/>
        </w:rPr>
      </w:pPr>
    </w:p>
    <w:p w14:paraId="7749DE2A">
      <w:pPr>
        <w:spacing w:line="600" w:lineRule="exact"/>
        <w:ind w:firstLine="640"/>
        <w:rPr>
          <w:rFonts w:hint="eastAsia" w:ascii="仿宋" w:hAnsi="仿宋" w:eastAsia="仿宋"/>
          <w:color w:val="000000"/>
          <w:sz w:val="32"/>
          <w:szCs w:val="32"/>
        </w:rPr>
      </w:pPr>
    </w:p>
    <w:p w14:paraId="7EF32DC4">
      <w:pPr>
        <w:spacing w:line="600" w:lineRule="exact"/>
        <w:ind w:firstLine="640"/>
        <w:rPr>
          <w:rFonts w:hint="eastAsia" w:ascii="仿宋" w:hAnsi="仿宋" w:eastAsia="仿宋"/>
          <w:color w:val="000000"/>
          <w:sz w:val="32"/>
          <w:szCs w:val="32"/>
        </w:rPr>
      </w:pPr>
    </w:p>
    <w:p w14:paraId="51DA1621">
      <w:pPr>
        <w:spacing w:line="600" w:lineRule="exact"/>
        <w:ind w:firstLine="640"/>
        <w:rPr>
          <w:rFonts w:hint="eastAsia" w:ascii="仿宋" w:hAnsi="仿宋" w:eastAsia="仿宋"/>
          <w:color w:val="000000"/>
          <w:sz w:val="32"/>
          <w:szCs w:val="32"/>
        </w:rPr>
      </w:pPr>
      <w:r>
        <w:drawing>
          <wp:anchor distT="0" distB="0" distL="114300" distR="114300" simplePos="0" relativeHeight="251665408" behindDoc="0" locked="0" layoutInCell="1" allowOverlap="1">
            <wp:simplePos x="0" y="0"/>
            <wp:positionH relativeFrom="column">
              <wp:posOffset>525145</wp:posOffset>
            </wp:positionH>
            <wp:positionV relativeFrom="paragraph">
              <wp:posOffset>-18415</wp:posOffset>
            </wp:positionV>
            <wp:extent cx="4572000" cy="2743200"/>
            <wp:effectExtent l="4445" t="4445" r="14605"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E87FCB5">
      <w:pPr>
        <w:spacing w:line="600" w:lineRule="exact"/>
        <w:ind w:firstLine="640"/>
        <w:rPr>
          <w:rFonts w:hint="eastAsia" w:ascii="仿宋" w:hAnsi="仿宋" w:eastAsia="仿宋"/>
          <w:color w:val="000000"/>
          <w:sz w:val="32"/>
          <w:szCs w:val="32"/>
        </w:rPr>
      </w:pPr>
    </w:p>
    <w:p w14:paraId="29483138">
      <w:pPr>
        <w:spacing w:line="600" w:lineRule="exact"/>
        <w:ind w:firstLine="640"/>
        <w:rPr>
          <w:rFonts w:hint="eastAsia" w:ascii="仿宋" w:hAnsi="仿宋" w:eastAsia="仿宋"/>
          <w:color w:val="000000"/>
          <w:sz w:val="32"/>
          <w:szCs w:val="32"/>
        </w:rPr>
      </w:pPr>
    </w:p>
    <w:p w14:paraId="3BA17883">
      <w:pPr>
        <w:spacing w:line="600" w:lineRule="exact"/>
        <w:ind w:firstLine="640"/>
        <w:rPr>
          <w:rFonts w:hint="eastAsia" w:ascii="仿宋" w:hAnsi="仿宋" w:eastAsia="仿宋"/>
          <w:color w:val="000000"/>
          <w:sz w:val="32"/>
          <w:szCs w:val="32"/>
        </w:rPr>
      </w:pPr>
    </w:p>
    <w:p w14:paraId="0A3A8E42">
      <w:pPr>
        <w:spacing w:line="600" w:lineRule="exact"/>
        <w:rPr>
          <w:rFonts w:hint="eastAsia" w:ascii="仿宋" w:hAnsi="仿宋" w:eastAsia="仿宋"/>
          <w:color w:val="000000"/>
          <w:sz w:val="32"/>
          <w:szCs w:val="32"/>
        </w:rPr>
      </w:pPr>
    </w:p>
    <w:p w14:paraId="317FEB9D">
      <w:pPr>
        <w:spacing w:line="600" w:lineRule="exact"/>
        <w:ind w:firstLine="640"/>
        <w:rPr>
          <w:rFonts w:hint="eastAsia" w:ascii="仿宋" w:hAnsi="仿宋" w:eastAsia="仿宋"/>
          <w:color w:val="000000"/>
          <w:sz w:val="32"/>
          <w:szCs w:val="32"/>
        </w:rPr>
      </w:pPr>
    </w:p>
    <w:p w14:paraId="36C58E26">
      <w:pPr>
        <w:spacing w:line="600" w:lineRule="exact"/>
        <w:ind w:firstLine="640"/>
        <w:rPr>
          <w:rFonts w:hint="eastAsia" w:ascii="仿宋" w:hAnsi="仿宋" w:eastAsia="仿宋"/>
          <w:color w:val="000000"/>
          <w:sz w:val="32"/>
          <w:szCs w:val="32"/>
        </w:rPr>
      </w:pPr>
    </w:p>
    <w:p w14:paraId="50B1E055">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w:t>
      </w:r>
    </w:p>
    <w:p w14:paraId="552F768A">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p>
    <w:p w14:paraId="1F31B978">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7.38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24.6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16.42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68.99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sz w:val="32"/>
          <w:szCs w:val="32"/>
          <w:lang w:eastAsia="zh-CN"/>
        </w:rPr>
        <w:t>厉行节约，</w:t>
      </w:r>
      <w:r>
        <w:rPr>
          <w:rFonts w:hint="eastAsia" w:ascii="仿宋_GB2312" w:hAnsi="微软雅黑" w:eastAsia="仿宋_GB2312" w:cs="宋体"/>
          <w:sz w:val="32"/>
          <w:szCs w:val="32"/>
        </w:rPr>
        <w:t>严格按要求压缩支出</w:t>
      </w:r>
      <w:r>
        <w:rPr>
          <w:rFonts w:hint="eastAsia" w:ascii="仿宋_GB2312" w:eastAsia="仿宋_GB2312"/>
          <w:color w:val="000000"/>
          <w:sz w:val="32"/>
          <w:szCs w:val="32"/>
        </w:rPr>
        <w:t>。</w:t>
      </w:r>
    </w:p>
    <w:p w14:paraId="22F3680C">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p>
    <w:p w14:paraId="3265BFC4">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7.38</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食品药品安全监管</w:t>
      </w:r>
      <w:r>
        <w:rPr>
          <w:rFonts w:hint="eastAsia" w:ascii="仿宋_GB2312" w:eastAsia="仿宋_GB2312"/>
          <w:color w:val="000000"/>
          <w:sz w:val="32"/>
          <w:szCs w:val="32"/>
        </w:rPr>
        <w:t>等所需的公务用车燃料费、维修费、过路过桥费、保险费等支出。</w:t>
      </w:r>
    </w:p>
    <w:p w14:paraId="61FBBC94">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64.29</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1.08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150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接待批次人次增加</w:t>
      </w:r>
      <w:r>
        <w:rPr>
          <w:rFonts w:hint="eastAsia" w:ascii="仿宋_GB2312" w:eastAsia="仿宋_GB2312"/>
          <w:color w:val="000000"/>
          <w:sz w:val="32"/>
          <w:szCs w:val="32"/>
        </w:rPr>
        <w:t>。</w:t>
      </w:r>
    </w:p>
    <w:p w14:paraId="5D31ED76">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243</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万元</w:t>
      </w:r>
      <w:bookmarkStart w:id="46" w:name="_Toc15377218"/>
      <w:bookmarkStart w:id="47" w:name="_Toc15396610"/>
      <w:r>
        <w:rPr>
          <w:rFonts w:hint="eastAsia" w:ascii="仿宋_GB2312" w:eastAsia="仿宋_GB2312"/>
          <w:color w:val="000000"/>
          <w:sz w:val="32"/>
          <w:szCs w:val="32"/>
          <w:lang w:eastAsia="zh-CN"/>
        </w:rPr>
        <w:t>。</w:t>
      </w:r>
    </w:p>
    <w:p w14:paraId="1638C2B2">
      <w:pPr>
        <w:spacing w:line="600" w:lineRule="exact"/>
        <w:ind w:firstLine="640"/>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30E2387B">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30B15C7D">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14:paraId="460B7CE4">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682289C2">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14:paraId="2DB5F241">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17CEB14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个项目开展了绩效目标完成情况梳理填报。</w:t>
      </w:r>
    </w:p>
    <w:p w14:paraId="5547065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个项目开展绩效自评，从评价情况来看广汉市食品药品监管局201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年部门预算支出绩效评价结论为：较好。绩效目标较为明确，资金全部落实到位，201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年全市食品药品安全工作稳步推进，无一起食品药品安全事故发生。</w:t>
      </w:r>
    </w:p>
    <w:p w14:paraId="447204F0">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val="en-US" w:eastAsia="zh-CN"/>
        </w:rPr>
        <w:t>食品药品安全科普宣传项目、食品抽检（民生工程）项目、食品快检项目、学校阳光食堂电子远程监控运行维护项目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个项目绩效目标实际完成情况。</w:t>
      </w:r>
    </w:p>
    <w:p w14:paraId="4D1BD986">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食品药品安全科普宣传项目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开展“食品安全周”、“药品安全月”、“3.15”、“12331”、“12.4宪法日”等多项食品药品安全户外宣传活动并制作大型宣传广告牌用于加强宣传食品药品安全，发现的主要问题：预算管理不够细化。下一步改进措施：强全局内设机构的协调联动，保证预算编制的合理与精细，做好、做细预算编制工作</w:t>
      </w:r>
      <w:r>
        <w:rPr>
          <w:rFonts w:hint="eastAsia" w:ascii="仿宋_GB2312" w:hAnsi="仿宋_GB2312" w:eastAsia="仿宋_GB2312" w:cs="仿宋_GB2312"/>
          <w:sz w:val="32"/>
          <w:szCs w:val="32"/>
          <w:lang w:eastAsia="zh-CN"/>
        </w:rPr>
        <w:t>。</w:t>
      </w:r>
    </w:p>
    <w:p w14:paraId="412CA389">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食品抽检（民生工程）项目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万元，完成预算的XX%。通过项目实施，委托第三方检验检测机构（检验检测机构通过政府采购招标后有资质的检测机构）进行食品监督抽检，及时发现食品安全问题和隐患，防止不合格产品流入市场，发现的主要问题：预算管理不够细化。下一步改进措施：强全局内设机构的协调联动，保证预算编制的合理与精细，做好、做细预算编制工作</w:t>
      </w:r>
      <w:r>
        <w:rPr>
          <w:rFonts w:hint="eastAsia" w:ascii="仿宋_GB2312" w:hAnsi="仿宋_GB2312" w:eastAsia="仿宋_GB2312" w:cs="仿宋_GB2312"/>
          <w:sz w:val="32"/>
          <w:szCs w:val="32"/>
          <w:lang w:eastAsia="zh-CN"/>
        </w:rPr>
        <w:t>。</w:t>
      </w:r>
    </w:p>
    <w:p w14:paraId="0D59C38B">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食品快检项目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4.93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98.6</w:t>
      </w:r>
      <w:r>
        <w:rPr>
          <w:rFonts w:hint="eastAsia" w:ascii="仿宋_GB2312" w:hAnsi="仿宋_GB2312" w:eastAsia="仿宋_GB2312" w:cs="仿宋_GB2312"/>
          <w:sz w:val="32"/>
          <w:szCs w:val="32"/>
        </w:rPr>
        <w:t>%。通过项目实施，委托第三方检验检测机构（检验检测机构通过政府采购招标后有资质的检测机构）进行食品监督抽检，及时发现食品安全问题和隐患，防止不合格产品流入市场。发现的主要问题：预算管理不够细化。下一步改进措施：强全局内设机构的协调联动，保证预算编制的合理与精细，做好、做细预算编制工作</w:t>
      </w:r>
      <w:r>
        <w:rPr>
          <w:rFonts w:hint="eastAsia" w:ascii="仿宋_GB2312" w:hAnsi="仿宋_GB2312" w:eastAsia="仿宋_GB2312" w:cs="仿宋_GB2312"/>
          <w:sz w:val="32"/>
          <w:szCs w:val="32"/>
          <w:lang w:eastAsia="zh-CN"/>
        </w:rPr>
        <w:t>。</w:t>
      </w:r>
    </w:p>
    <w:p w14:paraId="3F3A77FB">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学校阳光食堂电子远程监控运行维护项目</w:t>
      </w:r>
      <w:r>
        <w:rPr>
          <w:rFonts w:hint="eastAsia" w:ascii="仿宋_GB2312" w:hAnsi="仿宋_GB2312" w:eastAsia="仿宋_GB2312" w:cs="仿宋_GB2312"/>
          <w:sz w:val="32"/>
          <w:szCs w:val="32"/>
        </w:rPr>
        <w:t>绩效目标完成情况综述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19.7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99.49</w:t>
      </w:r>
      <w:r>
        <w:rPr>
          <w:rFonts w:hint="eastAsia" w:ascii="仿宋_GB2312" w:hAnsi="仿宋_GB2312" w:eastAsia="仿宋_GB2312" w:cs="仿宋_GB2312"/>
          <w:sz w:val="32"/>
          <w:szCs w:val="32"/>
        </w:rPr>
        <w:t>%。通过项目实施，加强学校食堂标准化建设，逐步推行学校食堂食品安全远程视频监控。做到学校食堂餐饮监管电子化、信息化、动态化、阳光化。发现的主要问题：预算管理不够细化。下一步改进措施：强全局内设机构的协调联动，保证预算编制的合理与精细，做好、做细预算编制工作</w:t>
      </w:r>
      <w:r>
        <w:rPr>
          <w:rFonts w:hint="eastAsia" w:ascii="仿宋_GB2312" w:hAnsi="仿宋_GB2312" w:eastAsia="仿宋_GB2312" w:cs="仿宋_GB2312"/>
          <w:sz w:val="32"/>
          <w:szCs w:val="32"/>
          <w:lang w:eastAsia="zh-CN"/>
        </w:rPr>
        <w:t>。</w:t>
      </w:r>
    </w:p>
    <w:p w14:paraId="0EDB4AD1">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470BB0AC">
      <w:pPr>
        <w:widowControl/>
        <w:adjustRightInd w:val="0"/>
        <w:snapToGrid w:val="0"/>
        <w:spacing w:line="500" w:lineRule="exact"/>
        <w:ind w:firstLine="72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val="zh-CN"/>
        </w:rPr>
        <w:t>结合食品药品日常监管、专项检查、抽样检查、科普宣传等业务实际需要，及时对本单位所需工作经费进行科学合理预算，严格编制年初预算，并填报绩效目标，对专项预算进行提前细化。年终根据年初预算及实际收支情况，及时编制部门决算表，如实反映单位财政资金使用情况及单位财务状况。</w:t>
      </w:r>
    </w:p>
    <w:p w14:paraId="62799DB3">
      <w:pPr>
        <w:widowControl/>
        <w:adjustRightInd w:val="0"/>
        <w:snapToGrid w:val="0"/>
        <w:spacing w:line="500" w:lineRule="exact"/>
        <w:ind w:firstLine="72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（一）评价结论。</w:t>
      </w:r>
    </w:p>
    <w:p w14:paraId="1181C16F">
      <w:pPr>
        <w:widowControl/>
        <w:adjustRightInd w:val="0"/>
        <w:snapToGrid w:val="0"/>
        <w:spacing w:line="500" w:lineRule="exact"/>
        <w:ind w:firstLine="7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预算制度执行总体较为有效、绩效管理总的贯彻落实较好。</w:t>
      </w:r>
    </w:p>
    <w:p w14:paraId="1CC7C590">
      <w:pPr>
        <w:widowControl/>
        <w:adjustRightInd w:val="0"/>
        <w:snapToGrid w:val="0"/>
        <w:spacing w:line="500" w:lineRule="exact"/>
        <w:ind w:firstLine="72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（二）存在问题。</w:t>
      </w:r>
    </w:p>
    <w:p w14:paraId="2A270509">
      <w:pPr>
        <w:widowControl/>
        <w:adjustRightInd w:val="0"/>
        <w:snapToGrid w:val="0"/>
        <w:spacing w:line="500" w:lineRule="exact"/>
        <w:ind w:firstLine="72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预算制度执行仍需进一步强化。因内控各相对岗位缺乏相应的人，一些权责落实不是很到位，未能充分发挥内部控制管理的监督运行机制</w:t>
      </w:r>
    </w:p>
    <w:p w14:paraId="78C5B50A">
      <w:pPr>
        <w:widowControl/>
        <w:adjustRightInd w:val="0"/>
        <w:snapToGrid w:val="0"/>
        <w:spacing w:line="500" w:lineRule="exact"/>
        <w:ind w:firstLine="72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（三）改进建议。</w:t>
      </w:r>
    </w:p>
    <w:p w14:paraId="15215DE8">
      <w:pPr>
        <w:widowControl/>
        <w:adjustRightInd w:val="0"/>
        <w:snapToGrid w:val="0"/>
        <w:spacing w:line="500" w:lineRule="exact"/>
        <w:ind w:firstLine="7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预算管理不够细化。在预算管理过程中，需加强全局内设机构的协调联动，保证预算编制的合理与精细，做好、做细预算编制工作。科学编制预算方案，严格审核预算方案，认真执行，强化监督。</w:t>
      </w:r>
    </w:p>
    <w:p w14:paraId="242CB725">
      <w:pPr>
        <w:spacing w:line="580" w:lineRule="exact"/>
        <w:jc w:val="center"/>
        <w:rPr>
          <w:rFonts w:ascii="方正小标宋简体" w:hAnsi="方正小标宋简体" w:eastAsia="方正小标宋简体" w:cs="方正小标宋简体"/>
          <w:sz w:val="44"/>
          <w:szCs w:val="44"/>
        </w:rPr>
      </w:pPr>
    </w:p>
    <w:p w14:paraId="31793385">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14:paraId="2CD434D4">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6C23F83D">
      <w:pPr>
        <w:spacing w:line="600" w:lineRule="exact"/>
        <w:ind w:firstLine="64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广汉市食品药品</w:t>
      </w:r>
      <w:r>
        <w:rPr>
          <w:rFonts w:hint="eastAsia" w:ascii="仿宋_GB2312" w:eastAsia="仿宋_GB2312"/>
          <w:color w:val="000000"/>
          <w:sz w:val="32"/>
          <w:szCs w:val="32"/>
          <w:lang w:val="en-US" w:eastAsia="zh-CN"/>
        </w:rPr>
        <w:t>监督</w:t>
      </w:r>
      <w:r>
        <w:rPr>
          <w:rFonts w:hint="eastAsia" w:ascii="仿宋_GB2312" w:eastAsia="仿宋_GB2312"/>
          <w:color w:val="000000"/>
          <w:sz w:val="32"/>
          <w:szCs w:val="32"/>
          <w:lang w:eastAsia="zh-CN"/>
        </w:rPr>
        <w:t>管理局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119.15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9.4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7.31</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sz w:val="32"/>
          <w:szCs w:val="32"/>
          <w:lang w:eastAsia="zh-CN"/>
        </w:rPr>
        <w:t>厉行节约，</w:t>
      </w:r>
      <w:r>
        <w:rPr>
          <w:rFonts w:hint="eastAsia" w:ascii="仿宋_GB2312" w:hAnsi="微软雅黑" w:eastAsia="仿宋_GB2312" w:cs="宋体"/>
          <w:sz w:val="32"/>
          <w:szCs w:val="32"/>
        </w:rPr>
        <w:t>严格按要求压缩支出</w:t>
      </w:r>
      <w:r>
        <w:rPr>
          <w:rFonts w:hint="eastAsia" w:ascii="仿宋" w:hAnsi="仿宋" w:eastAsia="仿宋"/>
          <w:color w:val="000000"/>
          <w:sz w:val="32"/>
          <w:szCs w:val="32"/>
        </w:rPr>
        <w:t>。</w:t>
      </w:r>
    </w:p>
    <w:p w14:paraId="553B135F">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14:paraId="30E69384">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62FF8E1E">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广汉市食品药品</w:t>
      </w:r>
      <w:r>
        <w:rPr>
          <w:rFonts w:hint="eastAsia" w:ascii="仿宋_GB2312" w:eastAsia="仿宋_GB2312"/>
          <w:color w:val="000000"/>
          <w:sz w:val="32"/>
          <w:szCs w:val="32"/>
          <w:lang w:val="en-US" w:eastAsia="zh-CN"/>
        </w:rPr>
        <w:t>监督</w:t>
      </w:r>
      <w:r>
        <w:rPr>
          <w:rFonts w:hint="eastAsia" w:ascii="仿宋_GB2312" w:eastAsia="仿宋_GB2312"/>
          <w:color w:val="000000"/>
          <w:sz w:val="32"/>
          <w:szCs w:val="32"/>
          <w:lang w:eastAsia="zh-CN"/>
        </w:rPr>
        <w:t>管理局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215.86</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136.06</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79.8</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食品安全快速检验车采购及食品抽检</w:t>
      </w:r>
      <w:r>
        <w:rPr>
          <w:rFonts w:hint="eastAsia" w:ascii="仿宋_GB2312" w:eastAsia="仿宋_GB2312"/>
          <w:color w:val="000000"/>
          <w:sz w:val="32"/>
          <w:szCs w:val="32"/>
        </w:rPr>
        <w:t>。</w:t>
      </w:r>
    </w:p>
    <w:p w14:paraId="5BC2D42C">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14:paraId="0150F23F">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67E1F0D9">
      <w:pPr>
        <w:autoSpaceDE w:val="0"/>
        <w:autoSpaceDN w:val="0"/>
        <w:adjustRightInd w:val="0"/>
        <w:spacing w:line="600" w:lineRule="exact"/>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广汉市食品药品</w:t>
      </w:r>
      <w:r>
        <w:rPr>
          <w:rFonts w:hint="eastAsia" w:ascii="仿宋_GB2312" w:eastAsia="仿宋_GB2312"/>
          <w:color w:val="000000"/>
          <w:sz w:val="32"/>
          <w:szCs w:val="32"/>
          <w:lang w:val="en-US" w:eastAsia="zh-CN"/>
        </w:rPr>
        <w:t>监督</w:t>
      </w:r>
      <w:r>
        <w:rPr>
          <w:rFonts w:hint="eastAsia" w:ascii="仿宋_GB2312" w:eastAsia="仿宋_GB2312"/>
          <w:color w:val="000000"/>
          <w:sz w:val="32"/>
          <w:szCs w:val="32"/>
          <w:lang w:eastAsia="zh-CN"/>
        </w:rPr>
        <w:t>管理局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辆，其中一般执法执勤用车</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14:paraId="2A8EDF77">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14:paraId="0F49C1F1">
      <w:pPr>
        <w:spacing w:line="600" w:lineRule="atLeast"/>
        <w:ind w:firstLine="643" w:firstLineChars="200"/>
        <w:rPr>
          <w:rFonts w:ascii="仿宋_GB2312" w:eastAsia="仿宋_GB2312"/>
          <w:b/>
          <w:color w:val="000000"/>
          <w:sz w:val="32"/>
          <w:szCs w:val="32"/>
        </w:rPr>
      </w:pPr>
    </w:p>
    <w:p w14:paraId="17099B4C">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028F7D77">
      <w:pPr>
        <w:numPr>
          <w:ilvl w:val="0"/>
          <w:numId w:val="6"/>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14:paraId="0E2FD5F9">
      <w:pPr>
        <w:spacing w:line="600" w:lineRule="exact"/>
        <w:jc w:val="left"/>
        <w:rPr>
          <w:rFonts w:ascii="宋体"/>
          <w:b/>
          <w:color w:val="000000"/>
          <w:sz w:val="44"/>
          <w:szCs w:val="44"/>
        </w:rPr>
      </w:pPr>
    </w:p>
    <w:p w14:paraId="739AE61B">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28F15F14">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14:paraId="6D13132B">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667AA6D3">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14:paraId="593ADA47">
      <w:pPr>
        <w:widowControl/>
        <w:spacing w:before="150" w:after="150" w:line="580" w:lineRule="exact"/>
        <w:ind w:firstLine="640" w:firstLineChars="200"/>
        <w:jc w:val="left"/>
        <w:rPr>
          <w:rFonts w:ascii="仿宋_GB2312" w:hAnsi="宋体" w:eastAsia="仿宋_GB2312" w:cs="宋体"/>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hAnsi="宋体" w:eastAsia="仿宋_GB2312" w:cs="宋体"/>
          <w:sz w:val="32"/>
          <w:szCs w:val="32"/>
          <w:lang w:eastAsia="zh-CN"/>
        </w:rPr>
        <w:t>一般公共服务支出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201</w:t>
      </w:r>
      <w:r>
        <w:rPr>
          <w:rFonts w:hint="eastAsia" w:ascii="仿宋_GB2312" w:hAnsi="宋体" w:eastAsia="仿宋_GB2312" w:cs="宋体"/>
          <w:sz w:val="32"/>
          <w:szCs w:val="32"/>
        </w:rPr>
        <w:t>）</w:t>
      </w:r>
      <w:r>
        <w:rPr>
          <w:rFonts w:hint="eastAsia" w:ascii="仿宋_GB2312" w:eastAsia="仿宋_GB2312"/>
          <w:sz w:val="32"/>
          <w:szCs w:val="32"/>
          <w:lang w:eastAsia="zh-CN"/>
        </w:rPr>
        <w:t>市场监督管理事务</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38</w:t>
      </w:r>
      <w:r>
        <w:rPr>
          <w:rFonts w:hint="eastAsia" w:ascii="仿宋_GB2312" w:hAnsi="宋体" w:eastAsia="仿宋_GB2312" w:cs="宋体"/>
          <w:sz w:val="32"/>
          <w:szCs w:val="32"/>
        </w:rPr>
        <w:t>）</w:t>
      </w:r>
      <w:r>
        <w:rPr>
          <w:rFonts w:hint="eastAsia" w:ascii="仿宋_GB2312" w:eastAsia="仿宋_GB2312"/>
          <w:sz w:val="32"/>
          <w:szCs w:val="32"/>
          <w:lang w:eastAsia="zh-CN"/>
        </w:rPr>
        <w:t>行政运行</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01</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指机关</w:t>
      </w:r>
      <w:r>
        <w:rPr>
          <w:rFonts w:hint="eastAsia" w:ascii="仿宋_GB2312" w:hAnsi="宋体" w:eastAsia="仿宋_GB2312" w:cs="宋体"/>
          <w:sz w:val="32"/>
          <w:szCs w:val="32"/>
        </w:rPr>
        <w:t>保障机构正常运转的基本支出，包括基本工资、津贴补贴等人员经费以及办公费、印刷费、水电费等日常公用经费。</w:t>
      </w:r>
      <w:r>
        <w:rPr>
          <w:rFonts w:ascii="仿宋_GB2312" w:hAnsi="宋体" w:eastAsia="仿宋_GB2312" w:cs="宋体"/>
          <w:sz w:val="32"/>
          <w:szCs w:val="32"/>
        </w:rPr>
        <w:t xml:space="preserve"> </w:t>
      </w:r>
    </w:p>
    <w:p w14:paraId="1530134E">
      <w:pPr>
        <w:widowControl/>
        <w:spacing w:before="150" w:after="150"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lang w:eastAsia="zh-CN"/>
        </w:rPr>
        <w:t>一般公共服务支出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201</w:t>
      </w:r>
      <w:r>
        <w:rPr>
          <w:rFonts w:hint="eastAsia" w:ascii="仿宋_GB2312" w:hAnsi="宋体" w:eastAsia="仿宋_GB2312" w:cs="宋体"/>
          <w:sz w:val="32"/>
          <w:szCs w:val="32"/>
        </w:rPr>
        <w:t>）</w:t>
      </w:r>
      <w:r>
        <w:rPr>
          <w:rFonts w:hint="eastAsia" w:ascii="仿宋_GB2312" w:eastAsia="仿宋_GB2312"/>
          <w:sz w:val="32"/>
          <w:szCs w:val="32"/>
          <w:lang w:eastAsia="zh-CN"/>
        </w:rPr>
        <w:t>市场监督管理事务</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38</w:t>
      </w:r>
      <w:r>
        <w:rPr>
          <w:rFonts w:hint="eastAsia" w:ascii="仿宋_GB2312" w:hAnsi="宋体" w:eastAsia="仿宋_GB2312" w:cs="宋体"/>
          <w:sz w:val="32"/>
          <w:szCs w:val="32"/>
        </w:rPr>
        <w:t>）</w:t>
      </w:r>
      <w:r>
        <w:rPr>
          <w:rFonts w:hint="eastAsia" w:ascii="仿宋_GB2312" w:eastAsia="仿宋_GB2312"/>
          <w:sz w:val="32"/>
          <w:szCs w:val="32"/>
          <w:lang w:eastAsia="zh-CN"/>
        </w:rPr>
        <w:t>行政运行</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50</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指下属事业单位</w:t>
      </w:r>
      <w:r>
        <w:rPr>
          <w:rFonts w:hint="eastAsia" w:ascii="仿宋_GB2312" w:hAnsi="宋体" w:eastAsia="仿宋_GB2312" w:cs="宋体"/>
          <w:sz w:val="32"/>
          <w:szCs w:val="32"/>
        </w:rPr>
        <w:t>保障机构正常运转的基本支出，包括基本工资、津贴补贴等人员经费以及办公费、印刷费、水电费等日常公用经费。</w:t>
      </w:r>
    </w:p>
    <w:p w14:paraId="20720C36">
      <w:pPr>
        <w:widowControl/>
        <w:spacing w:before="150" w:after="150" w:line="580" w:lineRule="exact"/>
        <w:ind w:firstLine="640" w:firstLineChars="200"/>
        <w:jc w:val="left"/>
        <w:rPr>
          <w:rFonts w:ascii="宋体" w:cs="宋体"/>
          <w:kern w:val="0"/>
          <w:sz w:val="24"/>
          <w:szCs w:val="24"/>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lang w:eastAsia="zh-CN"/>
        </w:rPr>
        <w:t>社会保障和就业支出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208</w:t>
      </w:r>
      <w:r>
        <w:rPr>
          <w:rFonts w:hint="eastAsia" w:ascii="仿宋_GB2312" w:hAnsi="宋体" w:eastAsia="仿宋_GB2312" w:cs="宋体"/>
          <w:sz w:val="32"/>
          <w:szCs w:val="32"/>
        </w:rPr>
        <w:t>）</w:t>
      </w:r>
      <w:r>
        <w:rPr>
          <w:rFonts w:hint="eastAsia" w:ascii="仿宋_GB2312" w:eastAsia="仿宋_GB2312"/>
          <w:sz w:val="32"/>
          <w:szCs w:val="32"/>
          <w:lang w:eastAsia="zh-CN"/>
        </w:rPr>
        <w:t>行政事业单位离退休</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05</w:t>
      </w:r>
      <w:r>
        <w:rPr>
          <w:rFonts w:hint="eastAsia" w:ascii="仿宋_GB2312" w:hAnsi="宋体" w:eastAsia="仿宋_GB2312" w:cs="宋体"/>
          <w:sz w:val="32"/>
          <w:szCs w:val="32"/>
        </w:rPr>
        <w:t>）</w:t>
      </w:r>
      <w:r>
        <w:rPr>
          <w:rFonts w:hint="eastAsia" w:ascii="仿宋_GB2312" w:eastAsia="仿宋_GB2312"/>
          <w:sz w:val="32"/>
          <w:szCs w:val="32"/>
          <w:lang w:eastAsia="zh-CN"/>
        </w:rPr>
        <w:t>未归口管理的行政单位离退休</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04</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指机关</w:t>
      </w:r>
      <w:r>
        <w:rPr>
          <w:rFonts w:hint="eastAsia" w:ascii="仿宋_GB2312" w:eastAsia="仿宋_GB2312"/>
          <w:sz w:val="32"/>
          <w:szCs w:val="32"/>
          <w:lang w:eastAsia="zh-CN"/>
        </w:rPr>
        <w:t>及</w:t>
      </w:r>
      <w:r>
        <w:rPr>
          <w:rFonts w:hint="eastAsia" w:ascii="仿宋_GB2312" w:eastAsia="仿宋_GB2312"/>
          <w:sz w:val="32"/>
          <w:szCs w:val="32"/>
        </w:rPr>
        <w:t>下属事业单位离退休人员支出</w:t>
      </w:r>
      <w:r>
        <w:rPr>
          <w:rFonts w:hint="eastAsia" w:ascii="仿宋_GB2312" w:hAnsi="宋体" w:eastAsia="仿宋_GB2312" w:cs="宋体"/>
          <w:sz w:val="32"/>
          <w:szCs w:val="32"/>
        </w:rPr>
        <w:t>。</w:t>
      </w:r>
      <w:r>
        <w:rPr>
          <w:rFonts w:ascii="仿宋_GB2312" w:hAnsi="宋体" w:eastAsia="仿宋_GB2312" w:cs="宋体"/>
          <w:sz w:val="32"/>
          <w:szCs w:val="32"/>
        </w:rPr>
        <w:t xml:space="preserve"> </w:t>
      </w:r>
    </w:p>
    <w:p w14:paraId="51068302">
      <w:pPr>
        <w:widowControl/>
        <w:spacing w:before="150" w:after="150" w:line="58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社会保障和就业支出（</w:t>
      </w:r>
      <w:r>
        <w:rPr>
          <w:rFonts w:hint="eastAsia" w:ascii="仿宋_GB2312" w:hAnsi="宋体" w:eastAsia="仿宋_GB2312" w:cs="宋体"/>
          <w:sz w:val="32"/>
          <w:szCs w:val="32"/>
          <w:lang w:val="en-US" w:eastAsia="zh-CN"/>
        </w:rPr>
        <w:t>208</w:t>
      </w:r>
      <w:r>
        <w:rPr>
          <w:rFonts w:hint="eastAsia" w:ascii="仿宋_GB2312" w:hAnsi="宋体" w:eastAsia="仿宋_GB2312" w:cs="宋体"/>
          <w:sz w:val="32"/>
          <w:szCs w:val="32"/>
        </w:rPr>
        <w:t>）</w:t>
      </w:r>
      <w:r>
        <w:rPr>
          <w:rFonts w:hint="eastAsia" w:ascii="仿宋_GB2312" w:eastAsia="仿宋_GB2312"/>
          <w:sz w:val="32"/>
          <w:szCs w:val="32"/>
          <w:lang w:eastAsia="zh-CN"/>
        </w:rPr>
        <w:t>行政事业单位离退休</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05</w:t>
      </w:r>
      <w:r>
        <w:rPr>
          <w:rFonts w:hint="eastAsia" w:ascii="仿宋_GB2312" w:hAnsi="宋体" w:eastAsia="仿宋_GB2312" w:cs="宋体"/>
          <w:sz w:val="32"/>
          <w:szCs w:val="32"/>
        </w:rPr>
        <w:t>）</w:t>
      </w:r>
      <w:r>
        <w:rPr>
          <w:rFonts w:hint="eastAsia" w:ascii="仿宋_GB2312" w:eastAsia="仿宋_GB2312"/>
          <w:sz w:val="32"/>
          <w:szCs w:val="32"/>
          <w:lang w:eastAsia="zh-CN"/>
        </w:rPr>
        <w:t>机关事业单位基本养老保险缴费支出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05</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指机关</w:t>
      </w:r>
      <w:r>
        <w:rPr>
          <w:rFonts w:hint="eastAsia" w:ascii="仿宋_GB2312" w:eastAsia="仿宋_GB2312"/>
          <w:sz w:val="32"/>
          <w:szCs w:val="32"/>
          <w:lang w:eastAsia="zh-CN"/>
        </w:rPr>
        <w:t>及</w:t>
      </w:r>
      <w:r>
        <w:rPr>
          <w:rFonts w:hint="eastAsia" w:ascii="仿宋_GB2312" w:eastAsia="仿宋_GB2312"/>
          <w:sz w:val="32"/>
          <w:szCs w:val="32"/>
        </w:rPr>
        <w:t>下属事业单位基本养老保险</w:t>
      </w:r>
      <w:r>
        <w:rPr>
          <w:rFonts w:hint="eastAsia" w:ascii="仿宋_GB2312" w:eastAsia="仿宋_GB2312"/>
          <w:sz w:val="32"/>
          <w:szCs w:val="32"/>
          <w:lang w:eastAsia="zh-CN"/>
        </w:rPr>
        <w:t>方面的支出</w:t>
      </w:r>
      <w:r>
        <w:rPr>
          <w:rFonts w:hint="eastAsia" w:ascii="仿宋_GB2312" w:hAnsi="宋体" w:eastAsia="仿宋_GB2312" w:cs="宋体"/>
          <w:sz w:val="32"/>
          <w:szCs w:val="32"/>
        </w:rPr>
        <w:t>。</w:t>
      </w:r>
    </w:p>
    <w:p w14:paraId="18757BB4">
      <w:pPr>
        <w:widowControl/>
        <w:spacing w:before="150" w:after="150" w:line="58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社会保障和就业支出（</w:t>
      </w:r>
      <w:r>
        <w:rPr>
          <w:rFonts w:hint="eastAsia" w:ascii="仿宋_GB2312" w:hAnsi="宋体" w:eastAsia="仿宋_GB2312" w:cs="宋体"/>
          <w:sz w:val="32"/>
          <w:szCs w:val="32"/>
          <w:lang w:val="en-US" w:eastAsia="zh-CN"/>
        </w:rPr>
        <w:t>208</w:t>
      </w:r>
      <w:r>
        <w:rPr>
          <w:rFonts w:hint="eastAsia" w:ascii="仿宋_GB2312" w:hAnsi="宋体" w:eastAsia="仿宋_GB2312" w:cs="宋体"/>
          <w:sz w:val="32"/>
          <w:szCs w:val="32"/>
        </w:rPr>
        <w:t>）</w:t>
      </w:r>
      <w:r>
        <w:rPr>
          <w:rFonts w:hint="eastAsia" w:ascii="仿宋_GB2312" w:eastAsia="仿宋_GB2312"/>
          <w:sz w:val="32"/>
          <w:szCs w:val="32"/>
          <w:lang w:eastAsia="zh-CN"/>
        </w:rPr>
        <w:t>行政事业单位离退休</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05</w:t>
      </w:r>
      <w:r>
        <w:rPr>
          <w:rFonts w:hint="eastAsia" w:ascii="仿宋_GB2312" w:hAnsi="宋体" w:eastAsia="仿宋_GB2312" w:cs="宋体"/>
          <w:sz w:val="32"/>
          <w:szCs w:val="32"/>
        </w:rPr>
        <w:t>）</w:t>
      </w:r>
      <w:r>
        <w:rPr>
          <w:rFonts w:hint="eastAsia" w:ascii="仿宋_GB2312" w:eastAsia="仿宋_GB2312"/>
          <w:sz w:val="32"/>
          <w:szCs w:val="32"/>
          <w:lang w:eastAsia="zh-CN"/>
        </w:rPr>
        <w:t>机关事业单位职业年金缴费支出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06</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指机关</w:t>
      </w:r>
      <w:r>
        <w:rPr>
          <w:rFonts w:hint="eastAsia" w:ascii="仿宋_GB2312" w:eastAsia="仿宋_GB2312"/>
          <w:sz w:val="32"/>
          <w:szCs w:val="32"/>
          <w:lang w:eastAsia="zh-CN"/>
        </w:rPr>
        <w:t>及</w:t>
      </w:r>
      <w:r>
        <w:rPr>
          <w:rFonts w:hint="eastAsia" w:ascii="仿宋_GB2312" w:eastAsia="仿宋_GB2312"/>
          <w:sz w:val="32"/>
          <w:szCs w:val="32"/>
        </w:rPr>
        <w:t>下属事业单位</w:t>
      </w:r>
      <w:r>
        <w:rPr>
          <w:rFonts w:hint="eastAsia" w:ascii="仿宋_GB2312" w:eastAsia="仿宋_GB2312"/>
          <w:sz w:val="32"/>
          <w:szCs w:val="32"/>
          <w:lang w:eastAsia="zh-CN"/>
        </w:rPr>
        <w:t>职业年金方面的支出</w:t>
      </w:r>
      <w:r>
        <w:rPr>
          <w:rFonts w:hint="eastAsia" w:ascii="仿宋_GB2312" w:hAnsi="宋体" w:eastAsia="仿宋_GB2312" w:cs="宋体"/>
          <w:sz w:val="32"/>
          <w:szCs w:val="32"/>
        </w:rPr>
        <w:t>。</w:t>
      </w:r>
    </w:p>
    <w:p w14:paraId="4ABE88D8">
      <w:pPr>
        <w:spacing w:line="620" w:lineRule="exact"/>
        <w:ind w:firstLine="552"/>
        <w:jc w:val="left"/>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lang w:eastAsia="zh-CN"/>
        </w:rPr>
        <w:t>卫生健康支出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210</w:t>
      </w:r>
      <w:r>
        <w:rPr>
          <w:rFonts w:hint="eastAsia" w:ascii="仿宋_GB2312" w:hAnsi="宋体" w:eastAsia="仿宋_GB2312" w:cs="宋体"/>
          <w:sz w:val="32"/>
          <w:szCs w:val="32"/>
        </w:rPr>
        <w:t>）</w:t>
      </w:r>
      <w:r>
        <w:rPr>
          <w:rFonts w:hint="eastAsia" w:ascii="仿宋_GB2312" w:eastAsia="仿宋_GB2312"/>
          <w:sz w:val="32"/>
          <w:szCs w:val="32"/>
          <w:lang w:eastAsia="zh-CN"/>
        </w:rPr>
        <w:t>行政事业单位医疗</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w:t>
      </w:r>
      <w:r>
        <w:rPr>
          <w:rFonts w:hint="eastAsia" w:ascii="仿宋_GB2312" w:eastAsia="仿宋_GB2312"/>
          <w:sz w:val="32"/>
          <w:szCs w:val="32"/>
          <w:lang w:eastAsia="zh-CN"/>
        </w:rPr>
        <w:t>行政单位医疗</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01</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指</w:t>
      </w:r>
      <w:r>
        <w:rPr>
          <w:rFonts w:hint="eastAsia" w:ascii="仿宋_GB2312" w:hAnsi="宋体" w:eastAsia="仿宋_GB2312" w:cs="宋体"/>
          <w:sz w:val="32"/>
          <w:szCs w:val="32"/>
        </w:rPr>
        <w:t>按照规定标准为</w:t>
      </w:r>
      <w:r>
        <w:rPr>
          <w:rFonts w:hint="eastAsia" w:ascii="仿宋_GB2312" w:hAnsi="宋体" w:eastAsia="仿宋_GB2312" w:cs="宋体"/>
          <w:sz w:val="32"/>
          <w:szCs w:val="32"/>
          <w:lang w:eastAsia="zh-CN"/>
        </w:rPr>
        <w:t>机关</w:t>
      </w:r>
      <w:r>
        <w:rPr>
          <w:rFonts w:hint="eastAsia" w:ascii="仿宋_GB2312" w:hAnsi="宋体" w:eastAsia="仿宋_GB2312" w:cs="宋体"/>
          <w:sz w:val="32"/>
          <w:szCs w:val="32"/>
        </w:rPr>
        <w:t>职工缴纳的基本医疗保险支出。</w:t>
      </w:r>
    </w:p>
    <w:p w14:paraId="0648F72B">
      <w:pPr>
        <w:spacing w:line="620" w:lineRule="exact"/>
        <w:ind w:firstLine="552"/>
        <w:jc w:val="left"/>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lang w:eastAsia="zh-CN"/>
        </w:rPr>
        <w:t>卫生健康支出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210</w:t>
      </w:r>
      <w:r>
        <w:rPr>
          <w:rFonts w:hint="eastAsia" w:ascii="仿宋_GB2312" w:hAnsi="宋体" w:eastAsia="仿宋_GB2312" w:cs="宋体"/>
          <w:sz w:val="32"/>
          <w:szCs w:val="32"/>
        </w:rPr>
        <w:t>）</w:t>
      </w:r>
      <w:r>
        <w:rPr>
          <w:rFonts w:hint="eastAsia" w:ascii="仿宋_GB2312" w:eastAsia="仿宋_GB2312"/>
          <w:sz w:val="32"/>
          <w:szCs w:val="32"/>
          <w:lang w:eastAsia="zh-CN"/>
        </w:rPr>
        <w:t>行政事业单位医疗</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w:t>
      </w:r>
      <w:r>
        <w:rPr>
          <w:rFonts w:hint="eastAsia" w:ascii="仿宋_GB2312" w:eastAsia="仿宋_GB2312"/>
          <w:sz w:val="32"/>
          <w:szCs w:val="32"/>
          <w:lang w:eastAsia="zh-CN"/>
        </w:rPr>
        <w:t>事业单位医疗</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02</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指</w:t>
      </w:r>
      <w:r>
        <w:rPr>
          <w:rFonts w:hint="eastAsia" w:ascii="仿宋_GB2312" w:hAnsi="宋体" w:eastAsia="仿宋_GB2312" w:cs="宋体"/>
          <w:sz w:val="32"/>
          <w:szCs w:val="32"/>
        </w:rPr>
        <w:t>按照规定标准为</w:t>
      </w:r>
      <w:r>
        <w:rPr>
          <w:rFonts w:hint="eastAsia" w:ascii="仿宋_GB2312" w:hAnsi="宋体" w:eastAsia="仿宋_GB2312" w:cs="宋体"/>
          <w:sz w:val="32"/>
          <w:szCs w:val="32"/>
          <w:lang w:eastAsia="zh-CN"/>
        </w:rPr>
        <w:t>下属事业单位</w:t>
      </w:r>
      <w:r>
        <w:rPr>
          <w:rFonts w:hint="eastAsia" w:ascii="仿宋_GB2312" w:hAnsi="宋体" w:eastAsia="仿宋_GB2312" w:cs="宋体"/>
          <w:sz w:val="32"/>
          <w:szCs w:val="32"/>
        </w:rPr>
        <w:t>职工缴纳的基本医疗保险支出。</w:t>
      </w:r>
    </w:p>
    <w:p w14:paraId="38CFDD5F">
      <w:pPr>
        <w:spacing w:line="620" w:lineRule="exact"/>
        <w:ind w:firstLine="552"/>
        <w:jc w:val="left"/>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lang w:eastAsia="zh-CN"/>
        </w:rPr>
        <w:t>卫生健康支出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210</w:t>
      </w:r>
      <w:r>
        <w:rPr>
          <w:rFonts w:hint="eastAsia" w:ascii="仿宋_GB2312" w:hAnsi="宋体" w:eastAsia="仿宋_GB2312" w:cs="宋体"/>
          <w:sz w:val="32"/>
          <w:szCs w:val="32"/>
        </w:rPr>
        <w:t>）</w:t>
      </w:r>
      <w:r>
        <w:rPr>
          <w:rFonts w:hint="eastAsia" w:ascii="仿宋_GB2312" w:eastAsia="仿宋_GB2312"/>
          <w:sz w:val="32"/>
          <w:szCs w:val="32"/>
          <w:lang w:eastAsia="zh-CN"/>
        </w:rPr>
        <w:t>行政事业单位医疗</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w:t>
      </w:r>
      <w:r>
        <w:rPr>
          <w:rFonts w:hint="eastAsia" w:ascii="仿宋_GB2312" w:eastAsia="仿宋_GB2312"/>
          <w:sz w:val="32"/>
          <w:szCs w:val="32"/>
          <w:lang w:eastAsia="zh-CN"/>
        </w:rPr>
        <w:t>公务员医疗补助</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03</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指</w:t>
      </w:r>
      <w:r>
        <w:rPr>
          <w:rFonts w:hint="eastAsia" w:ascii="仿宋_GB2312" w:hAnsi="宋体" w:eastAsia="仿宋_GB2312" w:cs="宋体"/>
          <w:sz w:val="32"/>
          <w:szCs w:val="32"/>
        </w:rPr>
        <w:t>按照规定标准为</w:t>
      </w:r>
      <w:r>
        <w:rPr>
          <w:rFonts w:hint="eastAsia" w:ascii="仿宋_GB2312" w:hAnsi="宋体" w:eastAsia="仿宋_GB2312" w:cs="宋体"/>
          <w:sz w:val="32"/>
          <w:szCs w:val="32"/>
          <w:lang w:eastAsia="zh-CN"/>
        </w:rPr>
        <w:t>机关及下属事业单位</w:t>
      </w:r>
      <w:r>
        <w:rPr>
          <w:rFonts w:hint="eastAsia" w:ascii="仿宋_GB2312" w:hAnsi="宋体" w:eastAsia="仿宋_GB2312" w:cs="宋体"/>
          <w:sz w:val="32"/>
          <w:szCs w:val="32"/>
        </w:rPr>
        <w:t>职工缴纳的公务员医疗补助支出。</w:t>
      </w:r>
    </w:p>
    <w:p w14:paraId="6AD89A8D">
      <w:pPr>
        <w:spacing w:line="620" w:lineRule="exact"/>
        <w:ind w:firstLine="552"/>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13、</w:t>
      </w:r>
      <w:r>
        <w:rPr>
          <w:rFonts w:hint="eastAsia" w:ascii="仿宋_GB2312" w:hAnsi="宋体" w:eastAsia="仿宋_GB2312" w:cs="宋体"/>
          <w:sz w:val="32"/>
          <w:szCs w:val="32"/>
          <w:lang w:eastAsia="zh-CN"/>
        </w:rPr>
        <w:t>卫生健康支出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210</w:t>
      </w:r>
      <w:r>
        <w:rPr>
          <w:rFonts w:hint="eastAsia" w:ascii="仿宋_GB2312" w:hAnsi="宋体" w:eastAsia="仿宋_GB2312" w:cs="宋体"/>
          <w:sz w:val="32"/>
          <w:szCs w:val="32"/>
        </w:rPr>
        <w:t>）</w:t>
      </w:r>
      <w:r>
        <w:rPr>
          <w:rFonts w:hint="eastAsia" w:ascii="仿宋_GB2312" w:eastAsia="仿宋_GB2312"/>
          <w:sz w:val="32"/>
          <w:szCs w:val="32"/>
          <w:lang w:eastAsia="zh-CN"/>
        </w:rPr>
        <w:t>其他卫生健康支出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w:t>
      </w:r>
      <w:r>
        <w:rPr>
          <w:rFonts w:hint="eastAsia" w:ascii="仿宋_GB2312" w:eastAsia="仿宋_GB2312"/>
          <w:sz w:val="32"/>
          <w:szCs w:val="32"/>
          <w:lang w:eastAsia="zh-CN"/>
        </w:rPr>
        <w:t>其他卫生健康支出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01</w:t>
      </w:r>
      <w:r>
        <w:rPr>
          <w:rFonts w:hint="eastAsia" w:ascii="仿宋_GB2312" w:hAnsi="宋体" w:eastAsia="仿宋_GB2312" w:cs="宋体"/>
          <w:sz w:val="32"/>
          <w:szCs w:val="32"/>
        </w:rPr>
        <w:t>）按照规定标准为</w:t>
      </w:r>
      <w:r>
        <w:rPr>
          <w:rFonts w:hint="eastAsia" w:ascii="仿宋_GB2312" w:hAnsi="宋体" w:eastAsia="仿宋_GB2312" w:cs="宋体"/>
          <w:sz w:val="32"/>
          <w:szCs w:val="32"/>
          <w:lang w:eastAsia="zh-CN"/>
        </w:rPr>
        <w:t>机关及下属事业单位</w:t>
      </w:r>
      <w:r>
        <w:rPr>
          <w:rFonts w:hint="eastAsia" w:ascii="仿宋_GB2312" w:hAnsi="宋体" w:eastAsia="仿宋_GB2312" w:cs="宋体"/>
          <w:sz w:val="32"/>
          <w:szCs w:val="32"/>
        </w:rPr>
        <w:t>职工缴纳的生育保险缴费支出</w:t>
      </w:r>
      <w:r>
        <w:rPr>
          <w:rFonts w:hint="eastAsia" w:ascii="仿宋_GB2312" w:hAnsi="宋体" w:eastAsia="仿宋_GB2312" w:cs="宋体"/>
          <w:sz w:val="32"/>
          <w:szCs w:val="32"/>
          <w:lang w:eastAsia="zh-CN"/>
        </w:rPr>
        <w:t>。</w:t>
      </w:r>
    </w:p>
    <w:p w14:paraId="55DB78A2">
      <w:pPr>
        <w:spacing w:line="620" w:lineRule="exact"/>
        <w:ind w:firstLine="552"/>
        <w:jc w:val="left"/>
        <w:rPr>
          <w:rFonts w:hint="eastAsia" w:ascii="仿宋_GB2312" w:hAnsi="ˎ̥" w:eastAsia="仿宋_GB2312"/>
          <w:sz w:val="32"/>
          <w:szCs w:val="32"/>
        </w:rPr>
      </w:pPr>
      <w:r>
        <w:rPr>
          <w:rFonts w:hint="eastAsia" w:ascii="仿宋_GB2312" w:hAnsi="宋体" w:eastAsia="仿宋_GB2312" w:cs="宋体"/>
          <w:sz w:val="32"/>
          <w:szCs w:val="32"/>
          <w:lang w:val="en-US" w:eastAsia="zh-CN"/>
        </w:rPr>
        <w:t>14、</w:t>
      </w:r>
      <w:r>
        <w:rPr>
          <w:rFonts w:hint="eastAsia" w:ascii="仿宋_GB2312" w:hAnsi="宋体" w:eastAsia="仿宋_GB2312" w:cs="宋体"/>
          <w:sz w:val="32"/>
          <w:szCs w:val="32"/>
          <w:lang w:eastAsia="zh-CN"/>
        </w:rPr>
        <w:t>住房保障支出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221</w:t>
      </w:r>
      <w:r>
        <w:rPr>
          <w:rFonts w:hint="eastAsia" w:ascii="仿宋_GB2312" w:hAnsi="宋体" w:eastAsia="仿宋_GB2312" w:cs="宋体"/>
          <w:sz w:val="32"/>
          <w:szCs w:val="32"/>
        </w:rPr>
        <w:t>）</w:t>
      </w:r>
      <w:r>
        <w:rPr>
          <w:rFonts w:hint="eastAsia" w:ascii="仿宋_GB2312" w:eastAsia="仿宋_GB2312"/>
          <w:sz w:val="32"/>
          <w:szCs w:val="32"/>
          <w:lang w:eastAsia="zh-CN"/>
        </w:rPr>
        <w:t>住房改革支出</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02</w:t>
      </w:r>
      <w:r>
        <w:rPr>
          <w:rFonts w:hint="eastAsia" w:ascii="仿宋_GB2312" w:hAnsi="宋体" w:eastAsia="仿宋_GB2312" w:cs="宋体"/>
          <w:sz w:val="32"/>
          <w:szCs w:val="32"/>
        </w:rPr>
        <w:t>）</w:t>
      </w:r>
      <w:r>
        <w:rPr>
          <w:rFonts w:hint="eastAsia" w:ascii="仿宋_GB2312" w:eastAsia="仿宋_GB2312"/>
          <w:sz w:val="32"/>
          <w:szCs w:val="32"/>
          <w:lang w:eastAsia="zh-CN"/>
        </w:rPr>
        <w:t>住房公积金</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01</w:t>
      </w:r>
      <w:r>
        <w:rPr>
          <w:rFonts w:hint="eastAsia" w:ascii="仿宋_GB2312" w:hAnsi="宋体" w:eastAsia="仿宋_GB2312" w:cs="宋体"/>
          <w:sz w:val="32"/>
          <w:szCs w:val="32"/>
        </w:rPr>
        <w:t>）按照规定标准为</w:t>
      </w:r>
      <w:r>
        <w:rPr>
          <w:rFonts w:hint="eastAsia" w:ascii="仿宋_GB2312" w:hAnsi="宋体" w:eastAsia="仿宋_GB2312" w:cs="宋体"/>
          <w:sz w:val="32"/>
          <w:szCs w:val="32"/>
          <w:lang w:eastAsia="zh-CN"/>
        </w:rPr>
        <w:t>机关及下属事业单位</w:t>
      </w:r>
      <w:r>
        <w:rPr>
          <w:rFonts w:hint="eastAsia" w:ascii="仿宋_GB2312" w:hAnsi="宋体" w:eastAsia="仿宋_GB2312" w:cs="宋体"/>
          <w:sz w:val="32"/>
          <w:szCs w:val="32"/>
        </w:rPr>
        <w:t>职工缴纳的住房公积金缴费支出</w:t>
      </w:r>
      <w:r>
        <w:rPr>
          <w:rFonts w:hint="eastAsia" w:ascii="仿宋_GB2312" w:hAnsi="宋体" w:eastAsia="仿宋_GB2312" w:cs="宋体"/>
          <w:sz w:val="32"/>
          <w:szCs w:val="32"/>
          <w:lang w:eastAsia="zh-CN"/>
        </w:rPr>
        <w:t>。</w:t>
      </w:r>
    </w:p>
    <w:p w14:paraId="5C07077C">
      <w:pPr>
        <w:spacing w:line="600" w:lineRule="exact"/>
        <w:rPr>
          <w:rFonts w:ascii="仿宋" w:hAnsi="仿宋" w:eastAsia="仿宋"/>
          <w:b/>
          <w:color w:val="000000"/>
          <w:sz w:val="32"/>
          <w:szCs w:val="32"/>
        </w:rPr>
      </w:pPr>
    </w:p>
    <w:p w14:paraId="52EB4804">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基本支出：指为保障机构正常运转、完成日常工作任务而发生的人员支出和公用支出。</w:t>
      </w:r>
    </w:p>
    <w:p w14:paraId="7BE0D3F8">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521C01B7">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经营支出：指事业单位在专业业务活动及其辅助活动之外开展非独立核算经营活动发生的支出。</w:t>
      </w:r>
    </w:p>
    <w:p w14:paraId="7C4F9A34">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F47AFB6">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34D1127">
      <w:pPr>
        <w:spacing w:line="580" w:lineRule="exact"/>
        <w:ind w:firstLine="883" w:firstLineChars="200"/>
        <w:rPr>
          <w:rStyle w:val="24"/>
          <w:rFonts w:ascii="仿宋" w:hAnsi="仿宋" w:eastAsia="仿宋" w:cs="仿宋_GB2312"/>
          <w:b w:val="0"/>
          <w:bCs w:val="0"/>
          <w:kern w:val="2"/>
          <w:sz w:val="32"/>
          <w:szCs w:val="32"/>
        </w:rPr>
      </w:pPr>
      <w:bookmarkStart w:id="57" w:name="_Toc15377226"/>
      <w:r>
        <w:rPr>
          <w:rFonts w:ascii="宋体"/>
          <w:b/>
          <w:color w:val="000000"/>
          <w:sz w:val="44"/>
          <w:szCs w:val="44"/>
        </w:rPr>
        <w:br w:type="page"/>
      </w:r>
    </w:p>
    <w:p w14:paraId="6AE6DE8F">
      <w:pPr>
        <w:spacing w:line="600" w:lineRule="exact"/>
        <w:jc w:val="center"/>
        <w:outlineLvl w:val="0"/>
        <w:rPr>
          <w:rStyle w:val="24"/>
          <w:rFonts w:ascii="黑体" w:hAnsi="黑体" w:eastAsia="黑体"/>
          <w:b w:val="0"/>
        </w:rPr>
      </w:pPr>
      <w:bookmarkStart w:id="58" w:name="_Toc15396618"/>
      <w:r>
        <w:rPr>
          <w:rFonts w:hint="eastAsia" w:ascii="黑体" w:hAnsi="黑体" w:eastAsia="黑体"/>
          <w:color w:val="000000"/>
          <w:sz w:val="44"/>
          <w:szCs w:val="44"/>
        </w:rPr>
        <w:t>第</w:t>
      </w:r>
      <w:r>
        <w:rPr>
          <w:rStyle w:val="24"/>
          <w:rFonts w:hint="eastAsia" w:ascii="黑体" w:hAnsi="黑体" w:eastAsia="黑体"/>
          <w:b w:val="0"/>
          <w:lang w:eastAsia="zh-CN"/>
        </w:rPr>
        <w:t>四</w:t>
      </w:r>
      <w:r>
        <w:rPr>
          <w:rStyle w:val="24"/>
          <w:rFonts w:hint="eastAsia" w:ascii="黑体" w:hAnsi="黑体" w:eastAsia="黑体"/>
          <w:b w:val="0"/>
        </w:rPr>
        <w:t>部分 附表</w:t>
      </w:r>
      <w:bookmarkEnd w:id="57"/>
      <w:bookmarkEnd w:id="58"/>
    </w:p>
    <w:p w14:paraId="55269313">
      <w:pPr>
        <w:spacing w:line="600" w:lineRule="exact"/>
        <w:jc w:val="center"/>
        <w:outlineLvl w:val="0"/>
        <w:rPr>
          <w:rFonts w:ascii="仿宋" w:hAnsi="仿宋" w:eastAsia="仿宋"/>
          <w:b/>
          <w:color w:val="000000"/>
          <w:sz w:val="44"/>
          <w:szCs w:val="44"/>
        </w:rPr>
      </w:pPr>
    </w:p>
    <w:p w14:paraId="0F6F857C">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9"/>
    </w:p>
    <w:p w14:paraId="03EF658A">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0"/>
    </w:p>
    <w:p w14:paraId="26F4B06C">
      <w:pPr>
        <w:pStyle w:val="3"/>
        <w:rPr>
          <w:rFonts w:ascii="仿宋" w:hAnsi="仿宋" w:eastAsia="仿宋"/>
          <w:color w:val="000000"/>
        </w:rPr>
      </w:pPr>
      <w:bookmarkStart w:id="61"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1"/>
    </w:p>
    <w:p w14:paraId="66E33B29">
      <w:pPr>
        <w:pStyle w:val="3"/>
        <w:rPr>
          <w:rFonts w:ascii="仿宋" w:hAnsi="仿宋" w:eastAsia="仿宋"/>
          <w:b w:val="0"/>
          <w:color w:val="000000"/>
        </w:rPr>
      </w:pPr>
      <w:bookmarkStart w:id="62"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2"/>
    </w:p>
    <w:p w14:paraId="45A5A9AB">
      <w:pPr>
        <w:pStyle w:val="3"/>
        <w:rPr>
          <w:rFonts w:ascii="仿宋" w:hAnsi="仿宋" w:eastAsia="仿宋"/>
          <w:color w:val="000000"/>
        </w:rPr>
      </w:pPr>
      <w:bookmarkStart w:id="63"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3"/>
    </w:p>
    <w:p w14:paraId="69C79678">
      <w:pPr>
        <w:pStyle w:val="3"/>
        <w:rPr>
          <w:rFonts w:ascii="仿宋" w:hAnsi="仿宋" w:eastAsia="仿宋"/>
          <w:color w:val="000000"/>
        </w:rPr>
      </w:pPr>
      <w:bookmarkStart w:id="64"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4"/>
    </w:p>
    <w:p w14:paraId="10C309C0">
      <w:pPr>
        <w:pStyle w:val="3"/>
        <w:rPr>
          <w:rFonts w:ascii="仿宋" w:hAnsi="仿宋" w:eastAsia="仿宋"/>
          <w:color w:val="000000"/>
        </w:rPr>
      </w:pPr>
      <w:bookmarkStart w:id="65"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5"/>
    </w:p>
    <w:p w14:paraId="2E6C51E8">
      <w:pPr>
        <w:pStyle w:val="3"/>
        <w:rPr>
          <w:rFonts w:ascii="仿宋" w:hAnsi="仿宋" w:eastAsia="仿宋"/>
          <w:color w:val="000000"/>
        </w:rPr>
      </w:pPr>
      <w:bookmarkStart w:id="66"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6"/>
    </w:p>
    <w:p w14:paraId="10E36140">
      <w:pPr>
        <w:pStyle w:val="3"/>
        <w:rPr>
          <w:rFonts w:ascii="仿宋" w:hAnsi="仿宋" w:eastAsia="仿宋"/>
          <w:color w:val="000000"/>
        </w:rPr>
      </w:pPr>
      <w:bookmarkStart w:id="67"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7"/>
    </w:p>
    <w:p w14:paraId="0104D6A0">
      <w:pPr>
        <w:pStyle w:val="3"/>
        <w:rPr>
          <w:rFonts w:ascii="仿宋" w:hAnsi="仿宋" w:eastAsia="仿宋"/>
          <w:color w:val="000000"/>
        </w:rPr>
      </w:pPr>
      <w:bookmarkStart w:id="68"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8"/>
    </w:p>
    <w:p w14:paraId="47AF8E90">
      <w:pPr>
        <w:pStyle w:val="3"/>
        <w:rPr>
          <w:rFonts w:ascii="仿宋" w:hAnsi="仿宋" w:eastAsia="仿宋"/>
          <w:color w:val="000000"/>
        </w:rPr>
      </w:pPr>
      <w:bookmarkStart w:id="69"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9"/>
    </w:p>
    <w:p w14:paraId="49DAD61F">
      <w:pPr>
        <w:pStyle w:val="3"/>
        <w:rPr>
          <w:rFonts w:ascii="仿宋" w:hAnsi="仿宋" w:eastAsia="仿宋"/>
          <w:color w:val="000000"/>
        </w:rPr>
      </w:pPr>
      <w:bookmarkStart w:id="70"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0"/>
    </w:p>
    <w:p w14:paraId="07FAAC9A">
      <w:pPr>
        <w:pStyle w:val="3"/>
        <w:rPr>
          <w:rFonts w:ascii="仿宋" w:hAnsi="仿宋" w:eastAsia="仿宋"/>
          <w:color w:val="000000" w:themeColor="text1"/>
          <w14:textFill>
            <w14:solidFill>
              <w14:schemeClr w14:val="tx1"/>
            </w14:solidFill>
          </w14:textFill>
        </w:rPr>
      </w:pPr>
      <w:bookmarkStart w:id="71"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14:paraId="4BFF991A">
        <w:pPr>
          <w:pStyle w:val="8"/>
          <w:jc w:val="center"/>
        </w:pPr>
        <w:r>
          <w:fldChar w:fldCharType="begin"/>
        </w:r>
        <w:r>
          <w:instrText xml:space="preserve">PAGE   \* MERGEFORMAT</w:instrText>
        </w:r>
        <w:r>
          <w:fldChar w:fldCharType="separate"/>
        </w:r>
        <w:r>
          <w:rPr>
            <w:lang w:val="zh-CN"/>
          </w:rPr>
          <w:t>10</w:t>
        </w:r>
        <w:r>
          <w:fldChar w:fldCharType="end"/>
        </w:r>
      </w:p>
    </w:sdtContent>
  </w:sdt>
  <w:p w14:paraId="26936E0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6E4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1D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4E3501"/>
    <w:rsid w:val="02D27095"/>
    <w:rsid w:val="03AB156B"/>
    <w:rsid w:val="03F84ED1"/>
    <w:rsid w:val="045B6BCE"/>
    <w:rsid w:val="04A91D6C"/>
    <w:rsid w:val="04C02D31"/>
    <w:rsid w:val="06D56909"/>
    <w:rsid w:val="08726E52"/>
    <w:rsid w:val="0B0657A1"/>
    <w:rsid w:val="0C7C3812"/>
    <w:rsid w:val="0D4D2DA3"/>
    <w:rsid w:val="0E504105"/>
    <w:rsid w:val="0FBE05DD"/>
    <w:rsid w:val="10C055FF"/>
    <w:rsid w:val="11FA64BD"/>
    <w:rsid w:val="135E2C9B"/>
    <w:rsid w:val="143B2FF5"/>
    <w:rsid w:val="147F7AE2"/>
    <w:rsid w:val="148C2B16"/>
    <w:rsid w:val="14B204AB"/>
    <w:rsid w:val="164227AA"/>
    <w:rsid w:val="16BB723D"/>
    <w:rsid w:val="16D11CA8"/>
    <w:rsid w:val="170D1BC6"/>
    <w:rsid w:val="17485DB1"/>
    <w:rsid w:val="181F2173"/>
    <w:rsid w:val="187F033D"/>
    <w:rsid w:val="18AF6EA5"/>
    <w:rsid w:val="18D433B5"/>
    <w:rsid w:val="1A0D1761"/>
    <w:rsid w:val="1A73346B"/>
    <w:rsid w:val="1B9064D7"/>
    <w:rsid w:val="1BDD6D64"/>
    <w:rsid w:val="1E186168"/>
    <w:rsid w:val="20770451"/>
    <w:rsid w:val="21016A95"/>
    <w:rsid w:val="219E0AD7"/>
    <w:rsid w:val="225226CD"/>
    <w:rsid w:val="232B6CE7"/>
    <w:rsid w:val="23FF371F"/>
    <w:rsid w:val="240371BF"/>
    <w:rsid w:val="24B118BC"/>
    <w:rsid w:val="259479B1"/>
    <w:rsid w:val="25C17648"/>
    <w:rsid w:val="29FD04D3"/>
    <w:rsid w:val="308768DA"/>
    <w:rsid w:val="30EB482D"/>
    <w:rsid w:val="319F7F4E"/>
    <w:rsid w:val="32441DC1"/>
    <w:rsid w:val="32B65618"/>
    <w:rsid w:val="32CB4896"/>
    <w:rsid w:val="32D10C00"/>
    <w:rsid w:val="336D4559"/>
    <w:rsid w:val="33BE1506"/>
    <w:rsid w:val="34021CAC"/>
    <w:rsid w:val="36297F4F"/>
    <w:rsid w:val="37E819E5"/>
    <w:rsid w:val="3B0B1F72"/>
    <w:rsid w:val="3C5B7EC8"/>
    <w:rsid w:val="40D00074"/>
    <w:rsid w:val="434F7008"/>
    <w:rsid w:val="437B1475"/>
    <w:rsid w:val="452E508F"/>
    <w:rsid w:val="45303B74"/>
    <w:rsid w:val="466C2F7F"/>
    <w:rsid w:val="46B85E1E"/>
    <w:rsid w:val="4AC75E29"/>
    <w:rsid w:val="4B846D34"/>
    <w:rsid w:val="4D5131B1"/>
    <w:rsid w:val="4DA87950"/>
    <w:rsid w:val="4F3C5E01"/>
    <w:rsid w:val="4F8206AC"/>
    <w:rsid w:val="512A28DB"/>
    <w:rsid w:val="518A2458"/>
    <w:rsid w:val="51C3046C"/>
    <w:rsid w:val="549372B1"/>
    <w:rsid w:val="584219CA"/>
    <w:rsid w:val="58844FD6"/>
    <w:rsid w:val="592F2D06"/>
    <w:rsid w:val="599B72C8"/>
    <w:rsid w:val="5A4C6E08"/>
    <w:rsid w:val="5AA67D6F"/>
    <w:rsid w:val="5BD34D10"/>
    <w:rsid w:val="5C716C15"/>
    <w:rsid w:val="5DC90116"/>
    <w:rsid w:val="5E615553"/>
    <w:rsid w:val="5E964E3E"/>
    <w:rsid w:val="5E977F2A"/>
    <w:rsid w:val="5F754524"/>
    <w:rsid w:val="60427D47"/>
    <w:rsid w:val="606249CE"/>
    <w:rsid w:val="60C90075"/>
    <w:rsid w:val="62393593"/>
    <w:rsid w:val="62554536"/>
    <w:rsid w:val="655867F5"/>
    <w:rsid w:val="68460A55"/>
    <w:rsid w:val="684A483F"/>
    <w:rsid w:val="684C7B68"/>
    <w:rsid w:val="68BA6E26"/>
    <w:rsid w:val="68CB5FED"/>
    <w:rsid w:val="698D5D2B"/>
    <w:rsid w:val="6D4C0C77"/>
    <w:rsid w:val="6DD431C3"/>
    <w:rsid w:val="6FB5273F"/>
    <w:rsid w:val="6FCD6322"/>
    <w:rsid w:val="70121250"/>
    <w:rsid w:val="71435EFE"/>
    <w:rsid w:val="71DC5D09"/>
    <w:rsid w:val="72196318"/>
    <w:rsid w:val="730065C0"/>
    <w:rsid w:val="745F7F16"/>
    <w:rsid w:val="74BC4E90"/>
    <w:rsid w:val="75A13DA2"/>
    <w:rsid w:val="76A646DD"/>
    <w:rsid w:val="77201DF1"/>
    <w:rsid w:val="7752641B"/>
    <w:rsid w:val="7768784A"/>
    <w:rsid w:val="77916CC8"/>
    <w:rsid w:val="77EE02C1"/>
    <w:rsid w:val="79BA2638"/>
    <w:rsid w:val="7A4D0B44"/>
    <w:rsid w:val="7B471614"/>
    <w:rsid w:val="7BBA408E"/>
    <w:rsid w:val="7E2246A3"/>
    <w:rsid w:val="7FC361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4037;&#20316;&#3180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enovo\Desktop\&#24037;&#20316;&#31807;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[工作簿1]Sheet1!$A$2:$B$2</c:f>
              <c:strCache>
                <c:ptCount val="2"/>
                <c:pt idx="0">
                  <c:v>2017年</c:v>
                </c:pt>
                <c:pt idx="1">
                  <c:v>2018年</c:v>
                </c:pt>
              </c:strCache>
            </c:strRef>
          </c:cat>
          <c:val>
            <c:numRef>
              <c:f>[工作簿1]Sheet1!$A$3:$B$3</c:f>
              <c:numCache>
                <c:formatCode>General</c:formatCode>
                <c:ptCount val="2"/>
                <c:pt idx="0">
                  <c:v>1897.61</c:v>
                </c:pt>
                <c:pt idx="1">
                  <c:v>2045.13</c:v>
                </c:pt>
              </c:numCache>
            </c:numRef>
          </c:val>
        </c:ser>
        <c:dLbls>
          <c:showLegendKey val="0"/>
          <c:showVal val="1"/>
          <c:showCatName val="0"/>
          <c:showSerName val="0"/>
          <c:showPercent val="0"/>
          <c:showBubbleSize val="0"/>
        </c:dLbls>
        <c:gapWidth val="219"/>
        <c:overlap val="-27"/>
        <c:axId val="229845391"/>
        <c:axId val="753850874"/>
      </c:barChart>
      <c:catAx>
        <c:axId val="229845391"/>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13722222222222"/>
              <c:y val="0.113194444444444"/>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850874"/>
        <c:crosses val="autoZero"/>
        <c:auto val="1"/>
        <c:lblAlgn val="ctr"/>
        <c:lblOffset val="100"/>
        <c:noMultiLvlLbl val="0"/>
      </c:catAx>
      <c:valAx>
        <c:axId val="7538508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9845391"/>
        <c:crosses val="autoZero"/>
        <c:crossBetween val="between"/>
      </c:valAx>
      <c:spPr>
        <a:noFill/>
        <a:ln>
          <a:noFill/>
        </a:ln>
        <a:effectLst/>
      </c:spPr>
    </c:plotArea>
    <c:plotVisOnly val="1"/>
    <c:dispBlanksAs val="gap"/>
    <c:showDLblsOverMax val="0"/>
    <c:extLst>
      <c:ext uri="{0b15fc19-7d7d-44ad-8c2d-2c3a37ce22c3}">
        <chartProps xmlns="https://web.wps.cn/et/2018/main" chartId="{a2c4525a-9f69-4bfa-b3ab-60216a063946}"/>
      </c:ext>
    </c:extLst>
  </c:chart>
  <c:spPr>
    <a:solidFill>
      <a:schemeClr val="bg1">
        <a:alpha val="55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[工作簿1]Sheet1!$H$2:$I$2</c:f>
              <c:strCache>
                <c:ptCount val="2"/>
                <c:pt idx="0">
                  <c:v>一般公共预算财政拨款收入</c:v>
                </c:pt>
                <c:pt idx="1">
                  <c:v>其他收入</c:v>
                </c:pt>
              </c:strCache>
            </c:strRef>
          </c:cat>
          <c:val>
            <c:numRef>
              <c:f>[工作簿1]Sheet1!$H$3:$I$3</c:f>
              <c:numCache>
                <c:formatCode>General</c:formatCode>
                <c:ptCount val="2"/>
                <c:pt idx="0">
                  <c:v>1778.73</c:v>
                </c:pt>
                <c:pt idx="1">
                  <c:v>17.85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b872a6f-8b01-4667-b395-af35367bd31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[工作簿1]Sheet1!$A$26:$B$26</c:f>
              <c:strCache>
                <c:ptCount val="2"/>
                <c:pt idx="0">
                  <c:v>基本支出</c:v>
                </c:pt>
                <c:pt idx="1">
                  <c:v>项目支出</c:v>
                </c:pt>
              </c:strCache>
            </c:strRef>
          </c:cat>
          <c:val>
            <c:numRef>
              <c:f>[工作簿1]Sheet1!$A$27:$B$27</c:f>
              <c:numCache>
                <c:formatCode>General</c:formatCode>
                <c:ptCount val="2"/>
                <c:pt idx="0">
                  <c:v>179.35</c:v>
                </c:pt>
                <c:pt idx="1">
                  <c:v>348.83</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20adefa6-0df7-4598-ad0c-304e7bb2736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[工作簿1]Sheet1!$A$43:$B$43</c:f>
              <c:strCache>
                <c:ptCount val="2"/>
                <c:pt idx="0">
                  <c:v>2017年</c:v>
                </c:pt>
                <c:pt idx="1">
                  <c:v>2018年</c:v>
                </c:pt>
              </c:strCache>
            </c:strRef>
          </c:cat>
          <c:val>
            <c:numRef>
              <c:f>[工作簿1]Sheet1!$A$44:$B$44</c:f>
              <c:numCache>
                <c:formatCode>General</c:formatCode>
                <c:ptCount val="2"/>
                <c:pt idx="0">
                  <c:v>1852.23</c:v>
                </c:pt>
                <c:pt idx="1">
                  <c:v>1989.15</c:v>
                </c:pt>
              </c:numCache>
            </c:numRef>
          </c:val>
        </c:ser>
        <c:dLbls>
          <c:showLegendKey val="0"/>
          <c:showVal val="1"/>
          <c:showCatName val="0"/>
          <c:showSerName val="0"/>
          <c:showPercent val="0"/>
          <c:showBubbleSize val="0"/>
        </c:dLbls>
        <c:gapWidth val="219"/>
        <c:overlap val="-27"/>
        <c:axId val="677069082"/>
        <c:axId val="285341080"/>
      </c:barChart>
      <c:catAx>
        <c:axId val="67706908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19972222222222"/>
              <c:y val="0.10625"/>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341080"/>
        <c:crosses val="autoZero"/>
        <c:auto val="1"/>
        <c:lblAlgn val="ctr"/>
        <c:lblOffset val="100"/>
        <c:noMultiLvlLbl val="0"/>
      </c:catAx>
      <c:valAx>
        <c:axId val="285341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7069082"/>
        <c:crosses val="autoZero"/>
        <c:crossBetween val="between"/>
      </c:valAx>
      <c:spPr>
        <a:noFill/>
        <a:ln>
          <a:noFill/>
        </a:ln>
        <a:effectLst/>
      </c:spPr>
    </c:plotArea>
    <c:plotVisOnly val="1"/>
    <c:dispBlanksAs val="gap"/>
    <c:showDLblsOverMax val="0"/>
    <c:extLst>
      <c:ext uri="{0b15fc19-7d7d-44ad-8c2d-2c3a37ce22c3}">
        <chartProps xmlns="https://web.wps.cn/et/2018/main" chartId="{0b94347c-fb83-4b7f-9fc6-5cc7b1feb55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manualLayout>
          <c:xMode val="edge"/>
          <c:yMode val="edge"/>
          <c:x val="0.256805555555556"/>
          <c:y val="0.0138888888888889"/>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[工作簿1.xlsx]Sheet1!$J$46:$K$46</c:f>
              <c:strCache>
                <c:ptCount val="2"/>
                <c:pt idx="0">
                  <c:v>2017</c:v>
                </c:pt>
                <c:pt idx="1">
                  <c:v>2018年</c:v>
                </c:pt>
              </c:strCache>
            </c:strRef>
          </c:cat>
          <c:val>
            <c:numRef>
              <c:f>[工作簿1.xlsx]Sheet1!$J$47:$K$47</c:f>
              <c:numCache>
                <c:formatCode>General</c:formatCode>
                <c:ptCount val="2"/>
                <c:pt idx="0">
                  <c:v>1600.14</c:v>
                </c:pt>
                <c:pt idx="1">
                  <c:v>1904.63</c:v>
                </c:pt>
              </c:numCache>
            </c:numRef>
          </c:val>
        </c:ser>
        <c:dLbls>
          <c:showLegendKey val="0"/>
          <c:showVal val="1"/>
          <c:showCatName val="0"/>
          <c:showSerName val="0"/>
          <c:showPercent val="0"/>
          <c:showBubbleSize val="0"/>
        </c:dLbls>
        <c:gapWidth val="219"/>
        <c:overlap val="-27"/>
        <c:axId val="574490305"/>
        <c:axId val="91174220"/>
      </c:barChart>
      <c:catAx>
        <c:axId val="574490305"/>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01222222222222"/>
              <c:y val="0.11666666666666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174220"/>
        <c:crosses val="autoZero"/>
        <c:auto val="1"/>
        <c:lblAlgn val="ctr"/>
        <c:lblOffset val="100"/>
        <c:noMultiLvlLbl val="0"/>
      </c:catAx>
      <c:valAx>
        <c:axId val="911742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4490305"/>
        <c:crosses val="autoZero"/>
        <c:crossBetween val="between"/>
      </c:valAx>
      <c:spPr>
        <a:noFill/>
        <a:ln>
          <a:noFill/>
        </a:ln>
        <a:effectLst/>
      </c:spPr>
    </c:plotArea>
    <c:plotVisOnly val="1"/>
    <c:dispBlanksAs val="gap"/>
    <c:showDLblsOverMax val="0"/>
    <c:extLst>
      <c:ext uri="{0b15fc19-7d7d-44ad-8c2d-2c3a37ce22c3}">
        <chartProps xmlns="https://web.wps.cn/et/2018/main" chartId="{475979a3-0c92-4b40-9043-f542c8ab0cd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199861111111111"/>
          <c:y val="0.0312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[工作簿1.xlsx]Sheet1!$A$67:$C$67</c:f>
              <c:strCache>
                <c:ptCount val="3"/>
                <c:pt idx="0">
                  <c:v>社会保障和就业支出</c:v>
                </c:pt>
                <c:pt idx="1">
                  <c:v>医疗卫生与计划生育支出</c:v>
                </c:pt>
                <c:pt idx="2">
                  <c:v>住房保障支出</c:v>
                </c:pt>
              </c:strCache>
            </c:strRef>
          </c:cat>
          <c:val>
            <c:numRef>
              <c:f>[工作簿1.xlsx]Sheet1!$A$68:$C$68</c:f>
              <c:numCache>
                <c:formatCode>General</c:formatCode>
                <c:ptCount val="3"/>
                <c:pt idx="0">
                  <c:v>129.15</c:v>
                </c:pt>
                <c:pt idx="1">
                  <c:v>1694.22</c:v>
                </c:pt>
                <c:pt idx="2">
                  <c:v>81.26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7ad5817-0e0a-46b8-b1ab-4bda2f5db4a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[工作簿1]Sheet1!$A$1:$B$1</c:f>
              <c:strCache>
                <c:ptCount val="2"/>
                <c:pt idx="0">
                  <c:v>公务用车购置及运行维护费</c:v>
                </c:pt>
                <c:pt idx="1">
                  <c:v>公务接待费</c:v>
                </c:pt>
              </c:strCache>
            </c:strRef>
          </c:cat>
          <c:val>
            <c:numRef>
              <c:f>[工作簿1]Sheet1!$A$2:$B$2</c:f>
              <c:numCache>
                <c:formatCode>General</c:formatCode>
                <c:ptCount val="2"/>
                <c:pt idx="0">
                  <c:v>7.38</c:v>
                </c:pt>
                <c:pt idx="1">
                  <c:v>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747da55-2484-49b5-b86d-45b4d6d5d18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3911</Words>
  <Characters>4373</Characters>
  <Lines>68</Lines>
  <Paragraphs>19</Paragraphs>
  <TotalTime>3</TotalTime>
  <ScaleCrop>false</ScaleCrop>
  <LinksUpToDate>false</LinksUpToDate>
  <CharactersWithSpaces>4420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不經意的一片阳光</cp:lastModifiedBy>
  <cp:lastPrinted>2019-08-01T00:48:00Z</cp:lastPrinted>
  <dcterms:modified xsi:type="dcterms:W3CDTF">2025-06-24T03:09:46Z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5D5255BD58B54E5CBA15B3182DA53D06</vt:lpwstr>
  </property>
  <property fmtid="{D5CDD505-2E9C-101B-9397-08002B2CF9AE}" pid="4" name="KSOTemplateDocerSaveRecord">
    <vt:lpwstr>eyJoZGlkIjoiZTJiYzZhNTk3Y2FjOWIwMTg5NmZlN2Q3NDAyNjM5YzUiLCJ1c2VySWQiOiI0NDA2Mzk5NTcifQ==</vt:lpwstr>
  </property>
</Properties>
</file>