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296A">
      <w:pPr>
        <w:spacing w:line="600" w:lineRule="exact"/>
        <w:jc w:val="center"/>
        <w:outlineLvl w:val="0"/>
        <w:rPr>
          <w:rFonts w:ascii="方正小标宋简体" w:hAnsi="宋体" w:eastAsia="方正小标宋简体"/>
          <w:color w:val="000000"/>
          <w:sz w:val="72"/>
          <w:szCs w:val="72"/>
        </w:rPr>
      </w:pPr>
      <w:bookmarkStart w:id="0" w:name="_Toc15306267"/>
    </w:p>
    <w:p w14:paraId="34186499">
      <w:pPr>
        <w:spacing w:line="600" w:lineRule="exact"/>
        <w:jc w:val="center"/>
        <w:outlineLvl w:val="0"/>
        <w:rPr>
          <w:rFonts w:ascii="方正小标宋简体" w:hAnsi="宋体" w:eastAsia="方正小标宋简体"/>
          <w:color w:val="000000"/>
          <w:sz w:val="72"/>
          <w:szCs w:val="72"/>
        </w:rPr>
      </w:pPr>
    </w:p>
    <w:p w14:paraId="0B506892">
      <w:pPr>
        <w:spacing w:line="600" w:lineRule="exact"/>
        <w:jc w:val="center"/>
        <w:outlineLvl w:val="0"/>
        <w:rPr>
          <w:rFonts w:ascii="方正小标宋简体" w:hAnsi="宋体" w:eastAsia="方正小标宋简体"/>
          <w:color w:val="000000"/>
          <w:sz w:val="72"/>
          <w:szCs w:val="72"/>
        </w:rPr>
      </w:pPr>
    </w:p>
    <w:p w14:paraId="2A4B46C1">
      <w:pPr>
        <w:spacing w:line="600" w:lineRule="exact"/>
        <w:jc w:val="center"/>
        <w:outlineLvl w:val="0"/>
        <w:rPr>
          <w:rFonts w:ascii="方正小标宋简体" w:hAnsi="宋体" w:eastAsia="方正小标宋简体"/>
          <w:color w:val="000000"/>
          <w:sz w:val="72"/>
          <w:szCs w:val="72"/>
        </w:rPr>
      </w:pPr>
    </w:p>
    <w:p w14:paraId="64F111B2">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14:paraId="46F15C77">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6" w:name="_Toc15377194"/>
      <w:bookmarkStart w:id="7" w:name="_Toc15377426"/>
      <w:bookmarkStart w:id="8" w:name="_Toc15396598"/>
      <w:bookmarkStart w:id="9" w:name="_Toc15396476"/>
      <w:bookmarkStart w:id="10" w:name="_Toc15378442"/>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广汉市人力资源和社会保障局</w:t>
      </w:r>
    </w:p>
    <w:p w14:paraId="301AE884">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部门决算</w:t>
      </w:r>
      <w:bookmarkEnd w:id="6"/>
      <w:bookmarkEnd w:id="7"/>
      <w:bookmarkEnd w:id="8"/>
      <w:bookmarkEnd w:id="9"/>
      <w:bookmarkEnd w:id="10"/>
      <w:bookmarkEnd w:id="11"/>
    </w:p>
    <w:p w14:paraId="72C005B6">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14:paraId="0F556B20">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14:paraId="44569357">
      <w:pPr>
        <w:pStyle w:val="10"/>
        <w:rPr>
          <w:rFonts w:cs="Times New Roman"/>
        </w:rPr>
      </w:pPr>
      <w:r>
        <w:rPr>
          <w:rFonts w:hint="eastAsia"/>
        </w:rPr>
        <w:t>公开时间：</w:t>
      </w:r>
      <w:r>
        <w:t>2019</w:t>
      </w:r>
      <w:r>
        <w:rPr>
          <w:rFonts w:hint="eastAsia"/>
        </w:rPr>
        <w:t>年</w:t>
      </w:r>
      <w:r>
        <w:t xml:space="preserve"> </w:t>
      </w:r>
      <w:r>
        <w:rPr>
          <w:rFonts w:hint="eastAsia"/>
        </w:rPr>
        <w:t>10 月</w:t>
      </w:r>
      <w:r>
        <w:t xml:space="preserve"> </w:t>
      </w:r>
      <w:r>
        <w:rPr>
          <w:rFonts w:hint="eastAsia"/>
        </w:rPr>
        <w:t>23日</w:t>
      </w:r>
    </w:p>
    <w:p w14:paraId="3D825A9E"/>
    <w:p w14:paraId="3E2E75D8">
      <w:pPr>
        <w:pStyle w:val="10"/>
        <w:rPr>
          <w:rFonts w:cs="Times New Roman"/>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rPr>
          <w:rFonts w:cs="Times New Roman"/>
        </w:rPr>
        <w:tab/>
      </w:r>
      <w:r>
        <w:t>4</w:t>
      </w:r>
      <w:r>
        <w:fldChar w:fldCharType="end"/>
      </w:r>
    </w:p>
    <w:p w14:paraId="41E5863A">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14:paraId="4738EA8E">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15</w:t>
      </w:r>
      <w:r>
        <w:rPr>
          <w:rFonts w:ascii="仿宋" w:hAnsi="仿宋" w:eastAsia="仿宋" w:cs="仿宋"/>
          <w:sz w:val="28"/>
          <w:szCs w:val="28"/>
        </w:rPr>
        <w:fldChar w:fldCharType="end"/>
      </w:r>
      <w:r>
        <w:rPr>
          <w:rFonts w:ascii="仿宋" w:hAnsi="仿宋" w:eastAsia="仿宋" w:cs="仿宋"/>
          <w:sz w:val="28"/>
          <w:szCs w:val="28"/>
        </w:rPr>
        <w:fldChar w:fldCharType="end"/>
      </w:r>
    </w:p>
    <w:p w14:paraId="5AF1889A">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16</w:t>
      </w:r>
      <w:r>
        <w:fldChar w:fldCharType="end"/>
      </w:r>
      <w:r>
        <w:fldChar w:fldCharType="end"/>
      </w:r>
    </w:p>
    <w:p w14:paraId="45BC2441">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14:paraId="2E29831B">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16</w:t>
      </w:r>
      <w:r>
        <w:rPr>
          <w:rFonts w:ascii="仿宋" w:hAnsi="仿宋" w:eastAsia="仿宋" w:cs="仿宋"/>
          <w:sz w:val="28"/>
          <w:szCs w:val="28"/>
        </w:rPr>
        <w:fldChar w:fldCharType="end"/>
      </w:r>
      <w:r>
        <w:rPr>
          <w:rFonts w:ascii="仿宋" w:hAnsi="仿宋" w:eastAsia="仿宋" w:cs="仿宋"/>
          <w:sz w:val="28"/>
          <w:szCs w:val="28"/>
        </w:rPr>
        <w:fldChar w:fldCharType="end"/>
      </w:r>
    </w:p>
    <w:p w14:paraId="316D5263">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17</w:t>
      </w:r>
      <w:r>
        <w:rPr>
          <w:rFonts w:ascii="仿宋" w:hAnsi="仿宋" w:eastAsia="仿宋" w:cs="仿宋"/>
          <w:sz w:val="28"/>
          <w:szCs w:val="28"/>
        </w:rPr>
        <w:fldChar w:fldCharType="end"/>
      </w:r>
      <w:r>
        <w:rPr>
          <w:rFonts w:ascii="仿宋" w:hAnsi="仿宋" w:eastAsia="仿宋" w:cs="仿宋"/>
          <w:sz w:val="28"/>
          <w:szCs w:val="28"/>
        </w:rPr>
        <w:fldChar w:fldCharType="end"/>
      </w:r>
    </w:p>
    <w:p w14:paraId="58C759C9">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17</w:t>
      </w:r>
      <w:r>
        <w:rPr>
          <w:rFonts w:ascii="仿宋" w:hAnsi="仿宋" w:eastAsia="仿宋" w:cs="仿宋"/>
          <w:sz w:val="28"/>
          <w:szCs w:val="28"/>
        </w:rPr>
        <w:fldChar w:fldCharType="end"/>
      </w:r>
      <w:r>
        <w:rPr>
          <w:rFonts w:ascii="仿宋" w:hAnsi="仿宋" w:eastAsia="仿宋" w:cs="仿宋"/>
          <w:sz w:val="28"/>
          <w:szCs w:val="28"/>
        </w:rPr>
        <w:fldChar w:fldCharType="end"/>
      </w:r>
    </w:p>
    <w:p w14:paraId="0BD6EC3B">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18</w:t>
      </w:r>
      <w:r>
        <w:rPr>
          <w:rFonts w:ascii="仿宋" w:hAnsi="仿宋" w:eastAsia="仿宋" w:cs="仿宋"/>
          <w:sz w:val="28"/>
          <w:szCs w:val="28"/>
        </w:rPr>
        <w:fldChar w:fldCharType="end"/>
      </w:r>
      <w:r>
        <w:rPr>
          <w:rFonts w:ascii="仿宋" w:hAnsi="仿宋" w:eastAsia="仿宋" w:cs="仿宋"/>
          <w:sz w:val="28"/>
          <w:szCs w:val="28"/>
        </w:rPr>
        <w:fldChar w:fldCharType="end"/>
      </w:r>
    </w:p>
    <w:p w14:paraId="3516B670">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fldChar w:fldCharType="end"/>
      </w:r>
    </w:p>
    <w:p w14:paraId="44C76639">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14:paraId="6E0B03C7">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23</w:t>
      </w:r>
      <w:r>
        <w:rPr>
          <w:rFonts w:ascii="仿宋" w:hAnsi="仿宋" w:eastAsia="仿宋" w:cs="仿宋"/>
          <w:sz w:val="28"/>
          <w:szCs w:val="28"/>
        </w:rPr>
        <w:fldChar w:fldCharType="end"/>
      </w:r>
      <w:r>
        <w:rPr>
          <w:rFonts w:ascii="仿宋" w:hAnsi="仿宋" w:eastAsia="仿宋" w:cs="仿宋"/>
          <w:sz w:val="28"/>
          <w:szCs w:val="28"/>
        </w:rPr>
        <w:fldChar w:fldCharType="end"/>
      </w:r>
    </w:p>
    <w:p w14:paraId="124E30CE">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14:paraId="2EE18851">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28</w:t>
      </w:r>
      <w:r>
        <w:rPr>
          <w:rFonts w:ascii="仿宋" w:hAnsi="仿宋" w:eastAsia="仿宋" w:cs="仿宋"/>
          <w:sz w:val="28"/>
          <w:szCs w:val="28"/>
        </w:rPr>
        <w:fldChar w:fldCharType="end"/>
      </w:r>
      <w:r>
        <w:rPr>
          <w:rFonts w:ascii="仿宋" w:hAnsi="仿宋" w:eastAsia="仿宋" w:cs="仿宋"/>
          <w:sz w:val="28"/>
          <w:szCs w:val="28"/>
        </w:rPr>
        <w:fldChar w:fldCharType="end"/>
      </w:r>
    </w:p>
    <w:p w14:paraId="7BCA7420">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29</w:t>
      </w:r>
      <w:r>
        <w:fldChar w:fldCharType="end"/>
      </w:r>
      <w:r>
        <w:fldChar w:fldCharType="end"/>
      </w:r>
    </w:p>
    <w:p w14:paraId="40EB9D99">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w:t>
      </w:r>
      <w:r>
        <w:rPr>
          <w:rStyle w:val="15"/>
          <w:kern w:val="44"/>
        </w:rPr>
        <w:t xml:space="preserve"> </w:t>
      </w:r>
      <w:r>
        <w:rPr>
          <w:rStyle w:val="15"/>
          <w:rFonts w:hint="eastAsia"/>
          <w:kern w:val="44"/>
        </w:rPr>
        <w:t>附件</w:t>
      </w:r>
      <w:r>
        <w:rPr>
          <w:rFonts w:cs="Times New Roman"/>
        </w:rPr>
        <w:tab/>
      </w:r>
      <w:r>
        <w:fldChar w:fldCharType="begin"/>
      </w:r>
      <w:r>
        <w:instrText xml:space="preserve"> PAGEREF _Toc15396614 \h </w:instrText>
      </w:r>
      <w:r>
        <w:fldChar w:fldCharType="separate"/>
      </w:r>
      <w:r>
        <w:t>33</w:t>
      </w:r>
      <w:r>
        <w:fldChar w:fldCharType="end"/>
      </w:r>
      <w:r>
        <w:fldChar w:fldCharType="end"/>
      </w:r>
    </w:p>
    <w:p w14:paraId="3638AA39">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33</w:t>
      </w:r>
      <w:r>
        <w:rPr>
          <w:rFonts w:ascii="仿宋" w:hAnsi="仿宋" w:eastAsia="仿宋" w:cs="仿宋"/>
          <w:sz w:val="28"/>
          <w:szCs w:val="28"/>
        </w:rPr>
        <w:fldChar w:fldCharType="end"/>
      </w:r>
      <w:r>
        <w:rPr>
          <w:rFonts w:ascii="仿宋" w:hAnsi="仿宋" w:eastAsia="仿宋" w:cs="仿宋"/>
          <w:sz w:val="28"/>
          <w:szCs w:val="28"/>
        </w:rPr>
        <w:fldChar w:fldCharType="end"/>
      </w:r>
    </w:p>
    <w:p w14:paraId="56FD276E">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42</w:t>
      </w:r>
      <w:r>
        <w:rPr>
          <w:rFonts w:ascii="仿宋" w:hAnsi="仿宋" w:eastAsia="仿宋" w:cs="仿宋"/>
          <w:sz w:val="28"/>
          <w:szCs w:val="28"/>
        </w:rPr>
        <w:fldChar w:fldCharType="end"/>
      </w:r>
      <w:r>
        <w:rPr>
          <w:rFonts w:ascii="仿宋" w:hAnsi="仿宋" w:eastAsia="仿宋" w:cs="仿宋"/>
          <w:sz w:val="28"/>
          <w:szCs w:val="28"/>
        </w:rPr>
        <w:fldChar w:fldCharType="end"/>
      </w:r>
    </w:p>
    <w:p w14:paraId="73EFF711">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w:t>
      </w:r>
      <w:r>
        <w:rPr>
          <w:rStyle w:val="15"/>
          <w:kern w:val="44"/>
        </w:rPr>
        <w:t xml:space="preserve"> </w:t>
      </w:r>
      <w:r>
        <w:rPr>
          <w:rStyle w:val="15"/>
          <w:rFonts w:hint="eastAsia"/>
          <w:kern w:val="44"/>
        </w:rPr>
        <w:t>附表</w:t>
      </w:r>
      <w:r>
        <w:rPr>
          <w:rFonts w:cs="Times New Roman"/>
        </w:rPr>
        <w:tab/>
      </w:r>
      <w:r>
        <w:fldChar w:fldCharType="begin"/>
      </w:r>
      <w:r>
        <w:instrText xml:space="preserve"> PAGEREF _Toc15396618 \h </w:instrText>
      </w:r>
      <w:r>
        <w:fldChar w:fldCharType="separate"/>
      </w:r>
      <w:r>
        <w:t>42</w:t>
      </w:r>
      <w:r>
        <w:fldChar w:fldCharType="end"/>
      </w:r>
      <w:r>
        <w:fldChar w:fldCharType="end"/>
      </w:r>
    </w:p>
    <w:p w14:paraId="3BBAF6BF">
      <w:pPr>
        <w:pStyle w:val="11"/>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15D152A1">
      <w:pPr>
        <w:pStyle w:val="11"/>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577CAB56">
      <w:pPr>
        <w:pStyle w:val="11"/>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343E0C56">
      <w:pPr>
        <w:pStyle w:val="11"/>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7F2D8022">
      <w:pPr>
        <w:pStyle w:val="11"/>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1DF4581B">
      <w:pPr>
        <w:pStyle w:val="11"/>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7383C742">
      <w:pPr>
        <w:pStyle w:val="11"/>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4140FEA0">
      <w:pPr>
        <w:pStyle w:val="11"/>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05F52936">
      <w:pPr>
        <w:pStyle w:val="11"/>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2505F78E">
      <w:pPr>
        <w:pStyle w:val="11"/>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1BA08F7A">
      <w:pPr>
        <w:pStyle w:val="11"/>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360C5CA0">
      <w:pPr>
        <w:pStyle w:val="11"/>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66604ABF">
      <w:pPr>
        <w:pStyle w:val="11"/>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50</w:t>
      </w:r>
      <w:r>
        <w:rPr>
          <w:rFonts w:ascii="仿宋" w:hAnsi="仿宋" w:eastAsia="仿宋" w:cs="仿宋"/>
          <w:sz w:val="28"/>
          <w:szCs w:val="28"/>
        </w:rPr>
        <w:fldChar w:fldCharType="end"/>
      </w:r>
      <w:r>
        <w:rPr>
          <w:rFonts w:ascii="仿宋" w:hAnsi="仿宋" w:eastAsia="仿宋" w:cs="仿宋"/>
          <w:sz w:val="28"/>
          <w:szCs w:val="28"/>
        </w:rPr>
        <w:fldChar w:fldCharType="end"/>
      </w:r>
    </w:p>
    <w:p w14:paraId="3E34F7F7">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14:paraId="69BAE474">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14:paraId="01F60DCF">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14:paraId="47147F29">
      <w:pPr>
        <w:widowControl/>
        <w:jc w:val="left"/>
        <w:rPr>
          <w:rFonts w:ascii="黑体" w:eastAsia="黑体"/>
          <w:color w:val="000000"/>
          <w:sz w:val="32"/>
          <w:szCs w:val="32"/>
        </w:rPr>
      </w:pPr>
    </w:p>
    <w:p w14:paraId="09621B81">
      <w:pPr>
        <w:pStyle w:val="3"/>
        <w:rPr>
          <w:rStyle w:val="17"/>
          <w:rFonts w:ascii="仿宋" w:hAnsi="仿宋" w:eastAsia="仿宋" w:cs="Times New Roman"/>
          <w:b w:val="0"/>
          <w:bCs w:val="0"/>
        </w:rPr>
      </w:pPr>
      <w:bookmarkStart w:id="14" w:name="_Toc15396600"/>
      <w:bookmarkStart w:id="15" w:name="_Toc15377197"/>
      <w:r>
        <w:rPr>
          <w:rFonts w:hint="eastAsia" w:ascii="黑体" w:hAnsi="黑体" w:eastAsia="黑体" w:cs="黑体"/>
          <w:b w:val="0"/>
          <w:bCs w:val="0"/>
          <w:color w:val="000000"/>
        </w:rPr>
        <w:t>一、基</w:t>
      </w:r>
      <w:r>
        <w:rPr>
          <w:rStyle w:val="17"/>
          <w:rFonts w:hint="eastAsia" w:ascii="黑体" w:hAnsi="黑体" w:eastAsia="黑体" w:cs="黑体"/>
          <w:b w:val="0"/>
          <w:bCs w:val="0"/>
        </w:rPr>
        <w:t>本职能及主要工作</w:t>
      </w:r>
      <w:bookmarkEnd w:id="14"/>
      <w:bookmarkEnd w:id="15"/>
    </w:p>
    <w:p w14:paraId="641F9E94">
      <w:pPr>
        <w:pStyle w:val="5"/>
        <w:adjustRightInd w:val="0"/>
        <w:snapToGrid w:val="0"/>
        <w:spacing w:before="93" w:line="600" w:lineRule="exact"/>
        <w:ind w:firstLine="672" w:firstLineChars="210"/>
        <w:outlineLvl w:val="2"/>
        <w:rPr>
          <w:rFonts w:ascii="仿宋" w:hAnsi="仿宋" w:eastAsia="仿宋" w:cs="仿宋"/>
          <w:color w:val="000000"/>
          <w:sz w:val="32"/>
          <w:szCs w:val="32"/>
        </w:rPr>
      </w:pPr>
      <w:bookmarkStart w:id="16" w:name="_Toc15378445"/>
      <w:bookmarkStart w:id="17" w:name="_Toc15377198"/>
      <w:r>
        <w:rPr>
          <w:rFonts w:hint="eastAsia" w:ascii="仿宋" w:hAnsi="仿宋" w:eastAsia="仿宋" w:cs="仿宋"/>
          <w:color w:val="000000"/>
          <w:sz w:val="32"/>
          <w:szCs w:val="32"/>
        </w:rPr>
        <w:t>（一）主要职能。</w:t>
      </w:r>
      <w:bookmarkEnd w:id="16"/>
      <w:bookmarkEnd w:id="17"/>
    </w:p>
    <w:p w14:paraId="5D432C50">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人力资源和社会保障局主要职能。</w:t>
      </w:r>
    </w:p>
    <w:p w14:paraId="3DE4BAB1">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1、贯彻执行国家、省和德阳市有关人力资源和社会保障工作的法律、法规、规章和政策。</w:t>
      </w:r>
    </w:p>
    <w:p w14:paraId="04F02ECC">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2、负责人力资源市场的综合管理工作。</w:t>
      </w:r>
    </w:p>
    <w:p w14:paraId="6BDC3CFC">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3、负责全市促进就业工作。</w:t>
      </w:r>
    </w:p>
    <w:p w14:paraId="35ECA92C">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4、组织实施城乡社会保险及其补充保险政策和标准，贯彻落实全国统一的社会保险关系转续办法。</w:t>
      </w:r>
    </w:p>
    <w:p w14:paraId="2ADDD5A6">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5、负责就业失业和本市统筹的社会保险基金预测预警和信息引导，拟订应对预案，实施预防、调节和控制，保持就业形势稳定和社会保险基金总体收支平衡。</w:t>
      </w:r>
    </w:p>
    <w:p w14:paraId="78964554">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6、会同有关部门拟订机关、事业单位人员工资收入分配实施办法和企业职工工资收入分配调控政策，建立机关企事业单位人员工资正常增长和支付保障机制，贯彻落实机关企事业单位人员福利和离退休政策。</w:t>
      </w:r>
    </w:p>
    <w:p w14:paraId="5CE49220">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7、会同有关部门指导事业单位人事制度改革，拟订事业单位人员和机关工勤人员管理政策、中长期人员发展规划和年度工作计划并组织实施，负责全市事业单位和机关工勤人员的考试、聘用、考核、培训、奖励、惩戒等工作。</w:t>
      </w:r>
    </w:p>
    <w:p w14:paraId="5B95C4A8">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8、会同有关部门拟订军队转业干部安置政策和安置计划，负责军队转业干部教育培训工作，组织拟订部分企业军队转业干部解困和稳定政策，负责自主择业军队转业干部管理服务工作。</w:t>
      </w:r>
    </w:p>
    <w:p w14:paraId="57858284">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9、综合管理全市国家公务员，拟定全市国家公务员队伍建设、中长期发展规划和年度工作计划，组织实施全市公务员考试录用、考核、培训、奖励、惩戒、申诉控告、辞职辞退等。</w:t>
      </w:r>
    </w:p>
    <w:p w14:paraId="0766BC6A">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10、</w:t>
      </w:r>
      <w:r>
        <w:rPr>
          <w:rFonts w:hAnsi="宋体" w:cs="宋体"/>
          <w:color w:val="000000"/>
          <w:sz w:val="32"/>
          <w:szCs w:val="32"/>
          <w:shd w:val="clear" w:color="auto" w:fill="FFFFFF"/>
        </w:rPr>
        <w:t>负责协调和综合管理农民工工作。</w:t>
      </w:r>
    </w:p>
    <w:p w14:paraId="231A5FCE">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11、</w:t>
      </w:r>
      <w:r>
        <w:rPr>
          <w:rFonts w:hAnsi="宋体" w:cs="宋体"/>
          <w:color w:val="000000"/>
          <w:sz w:val="32"/>
          <w:szCs w:val="32"/>
          <w:shd w:val="clear" w:color="auto" w:fill="FFFFFF"/>
        </w:rPr>
        <w:t>负责劳动、人事争议调解仲裁工作。</w:t>
      </w:r>
    </w:p>
    <w:p w14:paraId="3753C024">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12、</w:t>
      </w:r>
      <w:r>
        <w:rPr>
          <w:rFonts w:hAnsi="宋体" w:cs="宋体"/>
          <w:color w:val="000000"/>
          <w:sz w:val="32"/>
          <w:szCs w:val="32"/>
          <w:shd w:val="clear" w:color="auto" w:fill="FFFFFF"/>
        </w:rPr>
        <w:t>负责劳动关系行政管理工作。</w:t>
      </w:r>
    </w:p>
    <w:p w14:paraId="67195A04">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13、</w:t>
      </w:r>
      <w:r>
        <w:rPr>
          <w:rFonts w:hAnsi="宋体" w:cs="宋体"/>
          <w:color w:val="000000"/>
          <w:sz w:val="32"/>
          <w:szCs w:val="32"/>
          <w:shd w:val="clear" w:color="auto" w:fill="FFFFFF"/>
        </w:rPr>
        <w:t>负责监督检查用人单位依法用工。</w:t>
      </w:r>
    </w:p>
    <w:p w14:paraId="4D1BCD78">
      <w:pPr>
        <w:pStyle w:val="5"/>
        <w:adjustRightInd w:val="0"/>
        <w:snapToGrid w:val="0"/>
        <w:spacing w:before="93" w:line="600" w:lineRule="exact"/>
        <w:ind w:firstLine="672" w:firstLineChars="210"/>
        <w:outlineLvl w:val="2"/>
        <w:rPr>
          <w:rFonts w:hAnsi="宋体" w:cs="宋体"/>
          <w:color w:val="000000"/>
          <w:sz w:val="32"/>
          <w:szCs w:val="32"/>
          <w:shd w:val="clear" w:color="auto" w:fill="FFFFFF"/>
        </w:rPr>
      </w:pPr>
      <w:r>
        <w:rPr>
          <w:rFonts w:hint="eastAsia" w:hAnsi="宋体" w:cs="宋体"/>
          <w:color w:val="000000"/>
          <w:sz w:val="32"/>
          <w:szCs w:val="32"/>
          <w:shd w:val="clear" w:color="auto" w:fill="FFFFFF"/>
        </w:rPr>
        <w:t>14、负责全市人力资源和社会保障系统信息化网络建设工作。</w:t>
      </w:r>
    </w:p>
    <w:p w14:paraId="027A91F2">
      <w:pPr>
        <w:pStyle w:val="5"/>
        <w:adjustRightInd w:val="0"/>
        <w:snapToGrid w:val="0"/>
        <w:spacing w:before="93" w:line="600" w:lineRule="exact"/>
        <w:ind w:firstLine="672" w:firstLineChars="210"/>
        <w:outlineLvl w:val="2"/>
        <w:rPr>
          <w:rFonts w:ascii="仿宋" w:hAnsi="仿宋" w:eastAsia="仿宋" w:cs="仿宋"/>
          <w:color w:val="000000"/>
          <w:sz w:val="32"/>
          <w:szCs w:val="32"/>
        </w:rPr>
      </w:pPr>
      <w:bookmarkStart w:id="18" w:name="_Toc15377199"/>
      <w:bookmarkStart w:id="19" w:name="_Toc15378446"/>
      <w:r>
        <w:rPr>
          <w:rFonts w:hint="eastAsia" w:ascii="仿宋" w:hAnsi="仿宋" w:eastAsia="仿宋" w:cs="仿宋"/>
          <w:color w:val="000000"/>
          <w:sz w:val="32"/>
          <w:szCs w:val="32"/>
        </w:rPr>
        <w:t>（二）</w:t>
      </w:r>
      <w:r>
        <w:rPr>
          <w:rFonts w:ascii="仿宋" w:hAnsi="仿宋" w:eastAsia="仿宋" w:cs="仿宋"/>
          <w:color w:val="000000"/>
          <w:sz w:val="32"/>
          <w:szCs w:val="32"/>
        </w:rPr>
        <w:t>2018</w:t>
      </w:r>
      <w:r>
        <w:rPr>
          <w:rFonts w:hint="eastAsia" w:ascii="仿宋" w:hAnsi="仿宋" w:eastAsia="仿宋" w:cs="仿宋"/>
          <w:color w:val="000000"/>
          <w:sz w:val="32"/>
          <w:szCs w:val="32"/>
        </w:rPr>
        <w:t>年重点工作完成情况。</w:t>
      </w:r>
      <w:bookmarkEnd w:id="18"/>
      <w:bookmarkEnd w:id="19"/>
    </w:p>
    <w:p w14:paraId="7C4C3D3A">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1、坚持创新驱动，就业创业服务更加精准。一是</w:t>
      </w:r>
      <w:r>
        <w:rPr>
          <w:rFonts w:hint="eastAsia" w:hAnsi="宋体" w:cs="宋体"/>
          <w:color w:val="000000"/>
          <w:sz w:val="32"/>
          <w:szCs w:val="32"/>
          <w:shd w:val="clear" w:color="auto" w:fill="FFFFFF"/>
        </w:rPr>
        <w:t>聚力双创激发就业活力。成功举办“首届家庭服务业就业创业技能大赛”、第二届“千里眼”创业大赛、创业指导进乡村、创业指导进校园等双创服务活动4期；申报认定德阳市级创新创业园区1个，为创业园（孵化基地）争取补贴资金1</w:t>
      </w:r>
      <w:r>
        <w:rPr>
          <w:rFonts w:hAnsi="宋体" w:cs="宋体"/>
          <w:color w:val="000000"/>
          <w:sz w:val="32"/>
          <w:szCs w:val="32"/>
          <w:shd w:val="clear" w:color="auto" w:fill="FFFFFF"/>
        </w:rPr>
        <w:t>5</w:t>
      </w:r>
      <w:r>
        <w:rPr>
          <w:rFonts w:hint="eastAsia" w:hAnsi="宋体" w:cs="宋体"/>
          <w:color w:val="000000"/>
          <w:sz w:val="32"/>
          <w:szCs w:val="32"/>
          <w:shd w:val="clear" w:color="auto" w:fill="FFFFFF"/>
        </w:rPr>
        <w:t>万元，促进大学生创业实体入驻创业园8户、农民工创业者入住6户。</w:t>
      </w:r>
      <w:r>
        <w:rPr>
          <w:rFonts w:hint="eastAsia" w:hAnsi="宋体" w:cs="宋体"/>
          <w:b/>
          <w:color w:val="000000"/>
          <w:sz w:val="32"/>
          <w:szCs w:val="32"/>
          <w:shd w:val="clear" w:color="auto" w:fill="FFFFFF"/>
        </w:rPr>
        <w:t>二是</w:t>
      </w:r>
      <w:r>
        <w:rPr>
          <w:rFonts w:hint="eastAsia" w:hAnsi="宋体" w:cs="宋体"/>
          <w:color w:val="000000"/>
          <w:sz w:val="32"/>
          <w:szCs w:val="32"/>
          <w:shd w:val="clear" w:color="auto" w:fill="FFFFFF"/>
        </w:rPr>
        <w:t>抓实培训质量提升技能。创新开展项目制管理培训，制定《关于开展职业培训项目制管理工作的通知》《关于职业培训合格证书考核的通知》，通过项目制方式，整建制购买职业技能培训或创业培训项目；创新“技能+创业”合训、“政校企联合育才”等培训模式，开展职业技能培训进高校、进企业、进农村“三进”活动，提供培训订单、定向、定岗“三定”服务，全力推进扶贫专项培训、劳务品牌培训、高技能人才培训、</w:t>
      </w:r>
      <w:r>
        <w:rPr>
          <w:rFonts w:hAnsi="宋体" w:cs="宋体"/>
          <w:color w:val="000000"/>
          <w:sz w:val="32"/>
          <w:szCs w:val="32"/>
          <w:shd w:val="clear" w:color="auto" w:fill="FFFFFF"/>
        </w:rPr>
        <w:t xml:space="preserve"> “</w:t>
      </w:r>
      <w:r>
        <w:rPr>
          <w:rFonts w:hint="eastAsia" w:hAnsi="宋体" w:cs="宋体"/>
          <w:color w:val="000000"/>
          <w:sz w:val="32"/>
          <w:szCs w:val="32"/>
          <w:shd w:val="clear" w:color="auto" w:fill="FFFFFF"/>
        </w:rPr>
        <w:t>就业技能</w:t>
      </w:r>
      <w:r>
        <w:rPr>
          <w:rFonts w:hAnsi="宋体" w:cs="宋体"/>
          <w:color w:val="000000"/>
          <w:sz w:val="32"/>
          <w:szCs w:val="32"/>
          <w:shd w:val="clear" w:color="auto" w:fill="FFFFFF"/>
        </w:rPr>
        <w:t>+</w:t>
      </w:r>
      <w:r>
        <w:rPr>
          <w:rFonts w:hint="eastAsia" w:hAnsi="宋体" w:cs="宋体"/>
          <w:color w:val="000000"/>
          <w:sz w:val="32"/>
          <w:szCs w:val="32"/>
          <w:shd w:val="clear" w:color="auto" w:fill="FFFFFF"/>
        </w:rPr>
        <w:t>实用技术</w:t>
      </w:r>
      <w:r>
        <w:rPr>
          <w:rFonts w:hAnsi="宋体" w:cs="宋体"/>
          <w:color w:val="000000"/>
          <w:sz w:val="32"/>
          <w:szCs w:val="32"/>
          <w:shd w:val="clear" w:color="auto" w:fill="FFFFFF"/>
        </w:rPr>
        <w:t>”</w:t>
      </w:r>
      <w:r>
        <w:rPr>
          <w:rFonts w:hint="eastAsia" w:hAnsi="宋体" w:cs="宋体"/>
          <w:color w:val="000000"/>
          <w:sz w:val="32"/>
          <w:szCs w:val="32"/>
          <w:shd w:val="clear" w:color="auto" w:fill="FFFFFF"/>
        </w:rPr>
        <w:t>培训；开展技能提升“展翅行动”</w:t>
      </w:r>
      <w:r>
        <w:rPr>
          <w:rFonts w:hAnsi="宋体" w:cs="宋体"/>
          <w:color w:val="000000"/>
          <w:sz w:val="32"/>
          <w:szCs w:val="32"/>
          <w:shd w:val="clear" w:color="auto" w:fill="FFFFFF"/>
        </w:rPr>
        <w:t>,</w:t>
      </w:r>
      <w:r>
        <w:rPr>
          <w:rFonts w:hint="eastAsia" w:hAnsi="宋体" w:cs="宋体"/>
          <w:color w:val="000000"/>
          <w:sz w:val="32"/>
          <w:szCs w:val="32"/>
          <w:shd w:val="clear" w:color="auto" w:fill="FFFFFF"/>
        </w:rPr>
        <w:t>为取得职业资格证书的152名在职企业员工发放技能提升补贴30.87万元；新增建成技能大师工作室1个，获德阳市级“首席技师”称号1人；培训各类人员3972人，其中，创业培训1262（大学生创业培训1080、返乡农民工创业培训182人），技能培训2710人（品牌培训423人、高技能人才培训581人、青年劳动者技能培训1706人）；组织技能鉴定及合格证考核共537人。</w:t>
      </w:r>
      <w:r>
        <w:rPr>
          <w:rFonts w:hint="eastAsia" w:hAnsi="宋体" w:cs="宋体"/>
          <w:b/>
          <w:color w:val="000000"/>
          <w:sz w:val="32"/>
          <w:szCs w:val="32"/>
          <w:shd w:val="clear" w:color="auto" w:fill="FFFFFF"/>
        </w:rPr>
        <w:t>三是</w:t>
      </w:r>
      <w:r>
        <w:rPr>
          <w:rFonts w:hint="eastAsia" w:hAnsi="宋体" w:cs="宋体"/>
          <w:color w:val="000000"/>
          <w:sz w:val="32"/>
          <w:szCs w:val="32"/>
          <w:shd w:val="clear" w:color="auto" w:fill="FFFFFF"/>
        </w:rPr>
        <w:t>强化重点人群就业援助。（1）促进大学生就业创业。加强大学生就业创业政策宣传和落实；市、乡、村三级联动建立离校未就业毕业生实名制台账，实施动态跟踪服务；加强就业见习基地规范化管理，54名见习期满高校毕业生就业率实现100%，其中在基地就业率为86%，发放高校毕业生就业见习生活补贴及见习基地补贴等补贴为</w:t>
      </w:r>
      <w:r>
        <w:rPr>
          <w:rFonts w:hAnsi="宋体" w:cs="宋体"/>
          <w:color w:val="000000"/>
          <w:sz w:val="32"/>
          <w:szCs w:val="32"/>
          <w:shd w:val="clear" w:color="auto" w:fill="FFFFFF"/>
        </w:rPr>
        <w:t>22.1</w:t>
      </w:r>
      <w:r>
        <w:rPr>
          <w:rFonts w:hint="eastAsia" w:hAnsi="宋体" w:cs="宋体"/>
          <w:color w:val="000000"/>
          <w:sz w:val="32"/>
          <w:szCs w:val="32"/>
          <w:shd w:val="clear" w:color="auto" w:fill="FFFFFF"/>
        </w:rPr>
        <w:t>万元；组织开展“创业培训进校园”活动27期，培训在校大学生800余人，引领高校毕业生和在校大学生创业8</w:t>
      </w:r>
      <w:r>
        <w:rPr>
          <w:rFonts w:hAnsi="宋体" w:cs="宋体"/>
          <w:color w:val="000000"/>
          <w:sz w:val="32"/>
          <w:szCs w:val="32"/>
          <w:shd w:val="clear" w:color="auto" w:fill="FFFFFF"/>
        </w:rPr>
        <w:t>0</w:t>
      </w:r>
      <w:r>
        <w:rPr>
          <w:rFonts w:hint="eastAsia" w:hAnsi="宋体" w:cs="宋体"/>
          <w:color w:val="000000"/>
          <w:sz w:val="32"/>
          <w:szCs w:val="32"/>
          <w:shd w:val="clear" w:color="auto" w:fill="FFFFFF"/>
        </w:rPr>
        <w:t>人，发放创业补贴、创业场租补贴、吸纳就业奖励等4</w:t>
      </w:r>
      <w:r>
        <w:rPr>
          <w:rFonts w:hAnsi="宋体" w:cs="宋体"/>
          <w:color w:val="000000"/>
          <w:sz w:val="32"/>
          <w:szCs w:val="32"/>
          <w:shd w:val="clear" w:color="auto" w:fill="FFFFFF"/>
        </w:rPr>
        <w:t>4.9</w:t>
      </w:r>
      <w:r>
        <w:rPr>
          <w:rFonts w:hint="eastAsia" w:hAnsi="宋体" w:cs="宋体"/>
          <w:color w:val="000000"/>
          <w:sz w:val="32"/>
          <w:szCs w:val="32"/>
          <w:shd w:val="clear" w:color="auto" w:fill="FFFFFF"/>
        </w:rPr>
        <w:t>万元；发放毕业年度高校毕业生申报求职创业补贴等各类补贴</w:t>
      </w:r>
      <w:r>
        <w:rPr>
          <w:rFonts w:hAnsi="宋体" w:cs="宋体"/>
          <w:color w:val="000000"/>
          <w:sz w:val="32"/>
          <w:szCs w:val="32"/>
          <w:shd w:val="clear" w:color="auto" w:fill="FFFFFF"/>
        </w:rPr>
        <w:t>4</w:t>
      </w:r>
      <w:r>
        <w:rPr>
          <w:rFonts w:hint="eastAsia" w:hAnsi="宋体" w:cs="宋体"/>
          <w:color w:val="000000"/>
          <w:sz w:val="32"/>
          <w:szCs w:val="32"/>
          <w:shd w:val="clear" w:color="auto" w:fill="FFFFFF"/>
        </w:rPr>
        <w:t>2.6万元。（2）支持农民工返乡创业。落实返乡农民工创业扶持政策，鼓励返乡人员创办农业企业、专合社、家庭农场、乡村旅游等新型经营主体8个，返乡创业</w:t>
      </w:r>
      <w:r>
        <w:rPr>
          <w:rFonts w:hAnsi="宋体" w:cs="宋体"/>
          <w:color w:val="000000"/>
          <w:sz w:val="32"/>
          <w:szCs w:val="32"/>
          <w:shd w:val="clear" w:color="auto" w:fill="FFFFFF"/>
        </w:rPr>
        <w:t>50</w:t>
      </w:r>
      <w:r>
        <w:rPr>
          <w:rFonts w:hint="eastAsia" w:hAnsi="宋体" w:cs="宋体"/>
          <w:color w:val="000000"/>
          <w:sz w:val="32"/>
          <w:szCs w:val="32"/>
          <w:shd w:val="clear" w:color="auto" w:fill="FFFFFF"/>
        </w:rPr>
        <w:t>人次，发放创业补贴、创业场租补贴、吸纳就业奖励1</w:t>
      </w:r>
      <w:r>
        <w:rPr>
          <w:rFonts w:hAnsi="宋体" w:cs="宋体"/>
          <w:color w:val="000000"/>
          <w:sz w:val="32"/>
          <w:szCs w:val="32"/>
          <w:shd w:val="clear" w:color="auto" w:fill="FFFFFF"/>
        </w:rPr>
        <w:t>0.8</w:t>
      </w:r>
      <w:r>
        <w:rPr>
          <w:rFonts w:hint="eastAsia" w:hAnsi="宋体" w:cs="宋体"/>
          <w:color w:val="000000"/>
          <w:sz w:val="32"/>
          <w:szCs w:val="32"/>
          <w:shd w:val="clear" w:color="auto" w:fill="FFFFFF"/>
        </w:rPr>
        <w:t>万元（其中，建档立卡贫困人员4人），发放创业担保贷款1100万元。（3）强化困难群体就业。建立就业困难人员实名制登记台账；制定《关于贯彻〈关于做好就业扶贫工作中公益性岗位兜底安置有关工作的通知〉的补充通知》《关于调整公益性岗位兜底安置岗位补贴标准的通知》，新增开发农村公益性岗位613个，岗位补贴由原300元/人·月增加至400元/人·月，增幅33.3%；开发公益性岗位安置就业困难人员和贫困人员920人，鼓励用人单位吸纳就业困难人员就业74人，发放岗位补贴（助）643.06万元、社会保险补贴408.24万元；灵活就业99人，发放补贴37.19万元。</w:t>
      </w:r>
      <w:r>
        <w:rPr>
          <w:rFonts w:hint="eastAsia" w:hAnsi="宋体" w:cs="宋体"/>
          <w:b/>
          <w:color w:val="000000"/>
          <w:sz w:val="32"/>
          <w:szCs w:val="32"/>
          <w:shd w:val="clear" w:color="auto" w:fill="FFFFFF"/>
        </w:rPr>
        <w:t>四是</w:t>
      </w:r>
      <w:r>
        <w:rPr>
          <w:rFonts w:hint="eastAsia" w:hAnsi="宋体" w:cs="宋体"/>
          <w:color w:val="000000"/>
          <w:sz w:val="32"/>
          <w:szCs w:val="32"/>
          <w:shd w:val="clear" w:color="auto" w:fill="FFFFFF"/>
        </w:rPr>
        <w:t>系列招聘活动卓有成效。开展“春风行动”、乡镇巡回、就业扶贫、退役士兵、民营企业招聘周等主题招聘活动，举办各类招聘会117场(其中网络招聘会50场)，促进1.26万人实现就业和流动。</w:t>
      </w:r>
      <w:r>
        <w:rPr>
          <w:rFonts w:hint="eastAsia" w:hAnsi="宋体" w:cs="宋体"/>
          <w:b/>
          <w:color w:val="000000"/>
          <w:sz w:val="32"/>
          <w:szCs w:val="32"/>
          <w:shd w:val="clear" w:color="auto" w:fill="FFFFFF"/>
        </w:rPr>
        <w:t>五是</w:t>
      </w:r>
      <w:r>
        <w:rPr>
          <w:rFonts w:hint="eastAsia" w:hAnsi="宋体" w:cs="宋体"/>
          <w:color w:val="000000"/>
          <w:sz w:val="32"/>
          <w:szCs w:val="32"/>
          <w:shd w:val="clear" w:color="auto" w:fill="FFFFFF"/>
        </w:rPr>
        <w:t>精准扶贫，助力脱贫攻坚。对9620名农村适龄贫困劳动者建档立卡，建立“五库一名单”，实行台账管理和动态跟踪服务；通过开展扶贫培训、开发公益性岗位、岗位推荐、上门招聘等方式全力帮扶贫困人员就业，开展“农民夜校”等扶贫培训班6期，培训贫困人员76人，公益性岗位安置农村贫困劳动者441名；建成鑫利达等就业扶贫基地6个，吸纳贫困人员就业111人；对建档立卡贫困人口参加城乡居民基本医疗保险的个人缴费部分由财政代缴。目前，全市建档立卡贫困人口</w:t>
      </w:r>
      <w:r>
        <w:rPr>
          <w:rFonts w:hAnsi="宋体" w:cs="宋体"/>
          <w:color w:val="000000"/>
          <w:sz w:val="32"/>
          <w:szCs w:val="32"/>
          <w:shd w:val="clear" w:color="auto" w:fill="FFFFFF"/>
        </w:rPr>
        <w:t>20223</w:t>
      </w:r>
      <w:r>
        <w:rPr>
          <w:rFonts w:hint="eastAsia" w:hAnsi="宋体" w:cs="宋体"/>
          <w:color w:val="000000"/>
          <w:sz w:val="32"/>
          <w:szCs w:val="32"/>
          <w:shd w:val="clear" w:color="auto" w:fill="FFFFFF"/>
        </w:rPr>
        <w:t>人，参加城乡居民医疗保险的人数为</w:t>
      </w:r>
      <w:r>
        <w:rPr>
          <w:rFonts w:hAnsi="宋体" w:cs="宋体"/>
          <w:color w:val="000000"/>
          <w:sz w:val="32"/>
          <w:szCs w:val="32"/>
          <w:shd w:val="clear" w:color="auto" w:fill="FFFFFF"/>
        </w:rPr>
        <w:t>193</w:t>
      </w:r>
      <w:r>
        <w:rPr>
          <w:rFonts w:hint="eastAsia" w:hAnsi="宋体" w:cs="宋体"/>
          <w:color w:val="000000"/>
          <w:sz w:val="32"/>
          <w:szCs w:val="32"/>
          <w:shd w:val="clear" w:color="auto" w:fill="FFFFFF"/>
        </w:rPr>
        <w:t>62人（其中，以建档立卡贫困人口身份参加居民医疗11164人，以其他特殊身份参保8198人），以企业职工等其他途径参保861人，实现建档立卡贫困人口100%参保，财政代缴城乡居民医疗保险费共计389.17万元；通过“彝乡就业信息平台”QQ群定期向金阳县发布适合彝族老乡的招聘信息12期，提供岗位1.3万个，</w:t>
      </w:r>
      <w:r>
        <w:rPr>
          <w:rFonts w:hAnsi="宋体" w:cs="宋体"/>
          <w:color w:val="000000"/>
          <w:sz w:val="32"/>
          <w:szCs w:val="32"/>
          <w:shd w:val="clear" w:color="auto" w:fill="FFFFFF"/>
        </w:rPr>
        <w:t>组织用人单位到金阳县举办现场招聘会</w:t>
      </w:r>
      <w:r>
        <w:rPr>
          <w:rFonts w:hint="eastAsia" w:hAnsi="宋体" w:cs="宋体"/>
          <w:color w:val="000000"/>
          <w:sz w:val="32"/>
          <w:szCs w:val="32"/>
          <w:shd w:val="clear" w:color="auto" w:fill="FFFFFF"/>
        </w:rPr>
        <w:t>1期；举办援彝“扶贫专班”1期，对30名彝族贫困人员进行了汽车修理工、钢筋工培训，</w:t>
      </w:r>
      <w:r>
        <w:rPr>
          <w:rFonts w:hAnsi="宋体" w:cs="宋体"/>
          <w:color w:val="000000"/>
          <w:sz w:val="32"/>
          <w:szCs w:val="32"/>
          <w:shd w:val="clear" w:color="auto" w:fill="FFFFFF"/>
        </w:rPr>
        <w:t>剩余2期60人正在组织中，同时组织老师到金阳县举办厨师、焊工等短期培训</w:t>
      </w:r>
      <w:r>
        <w:rPr>
          <w:rFonts w:hint="eastAsia" w:hAnsi="宋体" w:cs="宋体"/>
          <w:color w:val="000000"/>
          <w:sz w:val="32"/>
          <w:szCs w:val="32"/>
          <w:shd w:val="clear" w:color="auto" w:fill="FFFFFF"/>
        </w:rPr>
        <w:t>。</w:t>
      </w:r>
    </w:p>
    <w:p w14:paraId="06C21346">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2、坚持深化改革，社会保障体系不断完善。一是</w:t>
      </w:r>
      <w:r>
        <w:rPr>
          <w:rFonts w:hint="eastAsia" w:hAnsi="宋体" w:cs="宋体"/>
          <w:color w:val="000000"/>
          <w:sz w:val="32"/>
          <w:szCs w:val="32"/>
          <w:shd w:val="clear" w:color="auto" w:fill="FFFFFF"/>
        </w:rPr>
        <w:t>社会保险基金收支情况。（1）企业职工养老保险参保人数24.32万人(其中，在职14.78万人、退休9.54万人)。（2）医疗保险参保人数55.94万人（其中，城镇职工医疗保险参保人数为10.97万人，城乡居民基本医疗参保人数44.97万人）。（3）工伤保险参保人数5.87万人。（4）生育保险参保人数6.08万人。（5）失业保险参保人数6.16万人。（6）城乡居民基本养老保险参保14.9万人，完成96.75％；续保6.3032万人。（7）机关事业单位参保单位336户，参保人数14749人（其中在职8835人，退休5914人）。</w:t>
      </w:r>
      <w:r>
        <w:rPr>
          <w:rFonts w:hint="eastAsia" w:hAnsi="宋体" w:cs="宋体"/>
          <w:b/>
          <w:color w:val="000000"/>
          <w:sz w:val="32"/>
          <w:szCs w:val="32"/>
          <w:shd w:val="clear" w:color="auto" w:fill="FFFFFF"/>
        </w:rPr>
        <w:t>二是</w:t>
      </w:r>
      <w:r>
        <w:rPr>
          <w:rFonts w:hint="eastAsia" w:hAnsi="宋体" w:cs="宋体"/>
          <w:color w:val="000000"/>
          <w:sz w:val="32"/>
          <w:szCs w:val="32"/>
          <w:shd w:val="clear" w:color="auto" w:fill="FFFFFF"/>
        </w:rPr>
        <w:t>加强政策宣传，加大征缴扩面。（1）加强社保政策的宣传和解读力度。按政策实施中断缴费年限的补缴，截止9月底已办理补缴202人，累计补缴511.91万元；企业职工养老保险新增参保单位336户（累计参保3226户）、机关事业单位新增参保单位</w:t>
      </w:r>
      <w:r>
        <w:rPr>
          <w:rFonts w:hAnsi="宋体" w:cs="宋体"/>
          <w:color w:val="000000"/>
          <w:sz w:val="32"/>
          <w:szCs w:val="32"/>
          <w:shd w:val="clear" w:color="auto" w:fill="FFFFFF"/>
        </w:rPr>
        <w:t>1</w:t>
      </w:r>
      <w:r>
        <w:rPr>
          <w:rFonts w:hint="eastAsia" w:hAnsi="宋体" w:cs="宋体"/>
          <w:color w:val="000000"/>
          <w:sz w:val="32"/>
          <w:szCs w:val="32"/>
          <w:shd w:val="clear" w:color="auto" w:fill="FFFFFF"/>
        </w:rPr>
        <w:t>户（累计参保</w:t>
      </w:r>
      <w:r>
        <w:rPr>
          <w:rFonts w:hAnsi="宋体" w:cs="宋体"/>
          <w:color w:val="000000"/>
          <w:sz w:val="32"/>
          <w:szCs w:val="32"/>
          <w:shd w:val="clear" w:color="auto" w:fill="FFFFFF"/>
        </w:rPr>
        <w:t>33</w:t>
      </w:r>
      <w:r>
        <w:rPr>
          <w:rFonts w:hint="eastAsia" w:hAnsi="宋体" w:cs="宋体"/>
          <w:color w:val="000000"/>
          <w:sz w:val="32"/>
          <w:szCs w:val="32"/>
          <w:shd w:val="clear" w:color="auto" w:fill="FFFFFF"/>
        </w:rPr>
        <w:t>6户）；建筑施工企业工伤保险新增参保建筑项目86个。（2）落实征地参保人员预存款制度。</w:t>
      </w:r>
      <w:r>
        <w:rPr>
          <w:rFonts w:hint="eastAsia" w:hAnsi="宋体" w:cs="宋体"/>
          <w:b/>
          <w:color w:val="000000"/>
          <w:sz w:val="32"/>
          <w:szCs w:val="32"/>
          <w:shd w:val="clear" w:color="auto" w:fill="FFFFFF"/>
        </w:rPr>
        <w:t>三是</w:t>
      </w:r>
      <w:r>
        <w:rPr>
          <w:rFonts w:hint="eastAsia" w:hAnsi="宋体" w:cs="宋体"/>
          <w:color w:val="000000"/>
          <w:sz w:val="32"/>
          <w:szCs w:val="32"/>
          <w:shd w:val="clear" w:color="auto" w:fill="FFFFFF"/>
        </w:rPr>
        <w:t>全面实施机关事业单位养老保险制度。完成2018年养老保险缴费申报336户，完成率100%；完成2014年10月至2016年12月期间退休“中人”视同缴费年限的确认核定工作，涉及总人数526人，核定率为100%；完成2017年1月至2018年12月期间退休“中人”视同缴费年限的确认核定工作，涉及总人数693人，核定率为96%；完成原机保试点个人帐户储存额清退；6月起，正式启用四川省社会保险网上服务大厅，全面开展机关事业单位养老保险业务网上经办工作。</w:t>
      </w:r>
      <w:r>
        <w:rPr>
          <w:rFonts w:hint="eastAsia" w:hAnsi="宋体" w:cs="宋体"/>
          <w:b/>
          <w:color w:val="000000"/>
          <w:sz w:val="32"/>
          <w:szCs w:val="32"/>
          <w:shd w:val="clear" w:color="auto" w:fill="FFFFFF"/>
        </w:rPr>
        <w:t>四是</w:t>
      </w:r>
      <w:r>
        <w:rPr>
          <w:rFonts w:hint="eastAsia" w:hAnsi="宋体" w:cs="宋体"/>
          <w:color w:val="000000"/>
          <w:sz w:val="32"/>
          <w:szCs w:val="32"/>
          <w:shd w:val="clear" w:color="auto" w:fill="FFFFFF"/>
        </w:rPr>
        <w:t>异地就医零距离，大病保险全覆盖。扩大异地就医即时结算范围，增加接入国家、省级平台医院数量，实现省内515家、全国三级以上医院异地就医联网结算，统筹支付2347.89万元；建成覆盖城乡居民的大病保险制度，支付基金911.21万元，报销人次3110人，“因病致贫、因病返贫”问题得到有效缓解。</w:t>
      </w:r>
      <w:r>
        <w:rPr>
          <w:rFonts w:hint="eastAsia" w:hAnsi="宋体" w:cs="宋体"/>
          <w:b/>
          <w:color w:val="000000"/>
          <w:sz w:val="32"/>
          <w:szCs w:val="32"/>
          <w:shd w:val="clear" w:color="auto" w:fill="FFFFFF"/>
        </w:rPr>
        <w:t>五是</w:t>
      </w:r>
      <w:r>
        <w:rPr>
          <w:rFonts w:hint="eastAsia" w:hAnsi="宋体" w:cs="宋体"/>
          <w:color w:val="000000"/>
          <w:sz w:val="32"/>
          <w:szCs w:val="32"/>
          <w:shd w:val="clear" w:color="auto" w:fill="FFFFFF"/>
        </w:rPr>
        <w:t>落实减负政策,助力企业健康发展。落实阶段性降低社会保险费率政策为企业减轻负担1406万元；落实援企稳岗“护航行动”，为</w:t>
      </w:r>
      <w:r>
        <w:rPr>
          <w:rFonts w:hAnsi="宋体" w:cs="宋体"/>
          <w:color w:val="000000"/>
          <w:sz w:val="32"/>
          <w:szCs w:val="32"/>
          <w:shd w:val="clear" w:color="auto" w:fill="FFFFFF"/>
        </w:rPr>
        <w:t>182</w:t>
      </w:r>
      <w:r>
        <w:rPr>
          <w:rFonts w:hint="eastAsia" w:hAnsi="宋体" w:cs="宋体"/>
          <w:color w:val="000000"/>
          <w:sz w:val="32"/>
          <w:szCs w:val="32"/>
          <w:shd w:val="clear" w:color="auto" w:fill="FFFFFF"/>
        </w:rPr>
        <w:t>户企业发放稳岗补贴</w:t>
      </w:r>
      <w:r>
        <w:rPr>
          <w:rFonts w:hAnsi="宋体" w:cs="宋体"/>
          <w:color w:val="000000"/>
          <w:sz w:val="32"/>
          <w:szCs w:val="32"/>
          <w:shd w:val="clear" w:color="auto" w:fill="FFFFFF"/>
        </w:rPr>
        <w:t>4</w:t>
      </w:r>
      <w:r>
        <w:rPr>
          <w:rFonts w:hint="eastAsia" w:hAnsi="宋体" w:cs="宋体"/>
          <w:color w:val="000000"/>
          <w:sz w:val="32"/>
          <w:szCs w:val="32"/>
          <w:shd w:val="clear" w:color="auto" w:fill="FFFFFF"/>
        </w:rPr>
        <w:t>28.27万元。</w:t>
      </w:r>
      <w:r>
        <w:rPr>
          <w:rFonts w:hint="eastAsia" w:hAnsi="宋体" w:cs="宋体"/>
          <w:b/>
          <w:color w:val="000000"/>
          <w:sz w:val="32"/>
          <w:szCs w:val="32"/>
          <w:shd w:val="clear" w:color="auto" w:fill="FFFFFF"/>
        </w:rPr>
        <w:t>六是</w:t>
      </w:r>
      <w:r>
        <w:rPr>
          <w:rFonts w:hint="eastAsia" w:hAnsi="宋体" w:cs="宋体"/>
          <w:color w:val="000000"/>
          <w:sz w:val="32"/>
          <w:szCs w:val="32"/>
          <w:shd w:val="clear" w:color="auto" w:fill="FFFFFF"/>
        </w:rPr>
        <w:t>深化退管服务,提升社会保障水平。实现退休人员年审省内异地认证；为10.1314万人（企保9.54万人、机保0.5914万人）发放养老金15.623亿元（企保13.44亿元、机保2.183亿元），社会化发放率100%；开展退管活动40场、生日祝贺4758人、住院探望32人、丧事慰问66人。累计使用社会化管理服务专项资金70万元</w:t>
      </w:r>
      <w:r>
        <w:rPr>
          <w:rFonts w:hAnsi="宋体" w:cs="宋体"/>
          <w:color w:val="000000"/>
          <w:sz w:val="32"/>
          <w:szCs w:val="32"/>
          <w:shd w:val="clear" w:color="auto" w:fill="FFFFFF"/>
        </w:rPr>
        <w:t>(</w:t>
      </w:r>
      <w:r>
        <w:rPr>
          <w:rFonts w:hint="eastAsia" w:hAnsi="宋体" w:cs="宋体"/>
          <w:color w:val="000000"/>
          <w:sz w:val="32"/>
          <w:szCs w:val="32"/>
          <w:shd w:val="clear" w:color="auto" w:fill="FFFFFF"/>
        </w:rPr>
        <w:t>其中春节慰问</w:t>
      </w:r>
      <w:r>
        <w:rPr>
          <w:rFonts w:hAnsi="宋体" w:cs="宋体"/>
          <w:color w:val="000000"/>
          <w:sz w:val="32"/>
          <w:szCs w:val="32"/>
          <w:shd w:val="clear" w:color="auto" w:fill="FFFFFF"/>
        </w:rPr>
        <w:t>20</w:t>
      </w:r>
      <w:r>
        <w:rPr>
          <w:rFonts w:hint="eastAsia" w:hAnsi="宋体" w:cs="宋体"/>
          <w:color w:val="000000"/>
          <w:sz w:val="32"/>
          <w:szCs w:val="32"/>
          <w:shd w:val="clear" w:color="auto" w:fill="FFFFFF"/>
        </w:rPr>
        <w:t>万元、退管活动经费50万元</w:t>
      </w:r>
      <w:r>
        <w:rPr>
          <w:rFonts w:hAnsi="宋体" w:cs="宋体"/>
          <w:color w:val="000000"/>
          <w:sz w:val="32"/>
          <w:szCs w:val="32"/>
          <w:shd w:val="clear" w:color="auto" w:fill="FFFFFF"/>
        </w:rPr>
        <w:t>)</w:t>
      </w:r>
      <w:r>
        <w:rPr>
          <w:rFonts w:hint="eastAsia" w:hAnsi="宋体" w:cs="宋体"/>
          <w:color w:val="000000"/>
          <w:sz w:val="32"/>
          <w:szCs w:val="32"/>
          <w:shd w:val="clear" w:color="auto" w:fill="FFFFFF"/>
        </w:rPr>
        <w:t>。七是养老保险待遇持续提升。一方面对全市97165名退休人员（其中，企业离退休人员91542人、机关事业单位退休人员</w:t>
      </w:r>
      <w:r>
        <w:rPr>
          <w:rFonts w:hAnsi="宋体" w:cs="宋体"/>
          <w:color w:val="000000"/>
          <w:sz w:val="32"/>
          <w:szCs w:val="32"/>
          <w:shd w:val="clear" w:color="auto" w:fill="FFFFFF"/>
        </w:rPr>
        <w:t>5</w:t>
      </w:r>
      <w:r>
        <w:rPr>
          <w:rFonts w:hint="eastAsia" w:hAnsi="宋体" w:cs="宋体"/>
          <w:color w:val="000000"/>
          <w:sz w:val="32"/>
          <w:szCs w:val="32"/>
          <w:shd w:val="clear" w:color="auto" w:fill="FFFFFF"/>
        </w:rPr>
        <w:t>623人）基本养老金进行了调整。企业退休人员基本养老金人均增资96.6元</w:t>
      </w:r>
      <w:r>
        <w:rPr>
          <w:rFonts w:hAnsi="宋体" w:cs="宋体"/>
          <w:color w:val="000000"/>
          <w:sz w:val="32"/>
          <w:szCs w:val="32"/>
          <w:shd w:val="clear" w:color="auto" w:fill="FFFFFF"/>
        </w:rPr>
        <w:t>/</w:t>
      </w:r>
      <w:r>
        <w:rPr>
          <w:rFonts w:hint="eastAsia" w:hAnsi="宋体" w:cs="宋体"/>
          <w:color w:val="000000"/>
          <w:sz w:val="32"/>
          <w:szCs w:val="32"/>
          <w:shd w:val="clear" w:color="auto" w:fill="FFFFFF"/>
        </w:rPr>
        <w:t>月，机关事业单位退休人员基本养老金人均增资162元。补发新增调整养老金</w:t>
      </w:r>
      <w:r>
        <w:rPr>
          <w:rFonts w:hAnsi="宋体" w:cs="宋体"/>
          <w:color w:val="000000"/>
          <w:sz w:val="32"/>
          <w:szCs w:val="32"/>
          <w:shd w:val="clear" w:color="auto" w:fill="FFFFFF"/>
        </w:rPr>
        <w:t>6</w:t>
      </w:r>
      <w:r>
        <w:rPr>
          <w:rFonts w:hint="eastAsia" w:hAnsi="宋体" w:cs="宋体"/>
          <w:color w:val="000000"/>
          <w:sz w:val="32"/>
          <w:szCs w:val="32"/>
          <w:shd w:val="clear" w:color="auto" w:fill="FFFFFF"/>
        </w:rPr>
        <w:t>829万元（其中，企业退休人员基本养老金6192万元、机关事业单位退休人员基本养老金637万元）；另一方面，对全市5.9万人城乡居民基本养老保险待遇领取人员基础养老金进行调整，由原每人每月75元上调至93元，人均增资18元，补发新增调整养老金824.9万元（1</w:t>
      </w:r>
      <w:r>
        <w:rPr>
          <w:rFonts w:hAnsi="宋体" w:cs="宋体"/>
          <w:color w:val="000000"/>
          <w:sz w:val="32"/>
          <w:szCs w:val="32"/>
          <w:shd w:val="clear" w:color="auto" w:fill="FFFFFF"/>
        </w:rPr>
        <w:t>2月起</w:t>
      </w:r>
      <w:r>
        <w:rPr>
          <w:rFonts w:hint="eastAsia" w:hAnsi="宋体" w:cs="宋体"/>
          <w:color w:val="000000"/>
          <w:sz w:val="32"/>
          <w:szCs w:val="32"/>
          <w:shd w:val="clear" w:color="auto" w:fill="FFFFFF"/>
        </w:rPr>
        <w:t>，将在本次调整后的基础上再次上调7</w:t>
      </w:r>
      <w:r>
        <w:rPr>
          <w:rFonts w:hAnsi="宋体" w:cs="宋体"/>
          <w:color w:val="000000"/>
          <w:sz w:val="32"/>
          <w:szCs w:val="32"/>
          <w:shd w:val="clear" w:color="auto" w:fill="FFFFFF"/>
        </w:rPr>
        <w:t>元</w:t>
      </w:r>
      <w:r>
        <w:rPr>
          <w:rFonts w:hint="eastAsia" w:hAnsi="宋体" w:cs="宋体"/>
          <w:color w:val="000000"/>
          <w:sz w:val="32"/>
          <w:szCs w:val="32"/>
          <w:shd w:val="clear" w:color="auto" w:fill="FFFFFF"/>
        </w:rPr>
        <w:t>，每人每月增至100元）。</w:t>
      </w:r>
    </w:p>
    <w:p w14:paraId="12DF765A">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3、坚持监督管理，各项基金平稳安全运行。一是</w:t>
      </w:r>
      <w:r>
        <w:rPr>
          <w:rFonts w:hint="eastAsia" w:hAnsi="宋体" w:cs="宋体"/>
          <w:color w:val="000000"/>
          <w:sz w:val="32"/>
          <w:szCs w:val="32"/>
          <w:shd w:val="clear" w:color="auto" w:fill="FFFFFF"/>
        </w:rPr>
        <w:t>加强社会保险基金清欠力度，加大行政处罚和强制征收力度。建立企业欠费三级预警机制</w:t>
      </w:r>
      <w:r>
        <w:rPr>
          <w:rFonts w:hAnsi="宋体" w:cs="宋体"/>
          <w:color w:val="000000"/>
          <w:sz w:val="32"/>
          <w:szCs w:val="32"/>
          <w:shd w:val="clear" w:color="auto" w:fill="FFFFFF"/>
        </w:rPr>
        <w:t>,</w:t>
      </w:r>
      <w:r>
        <w:rPr>
          <w:rFonts w:hint="eastAsia" w:hAnsi="宋体" w:cs="宋体"/>
          <w:color w:val="000000"/>
          <w:sz w:val="32"/>
          <w:szCs w:val="32"/>
          <w:shd w:val="clear" w:color="auto" w:fill="FFFFFF"/>
        </w:rPr>
        <w:t>建立企业欠费预警机制，对恶意欠费企业建立台账、动态管理、定期通报；依法追回历年欠费</w:t>
      </w:r>
      <w:r>
        <w:rPr>
          <w:rFonts w:hAnsi="宋体" w:cs="宋体"/>
          <w:color w:val="000000"/>
          <w:sz w:val="32"/>
          <w:szCs w:val="32"/>
          <w:shd w:val="clear" w:color="auto" w:fill="FFFFFF"/>
        </w:rPr>
        <w:t>610</w:t>
      </w:r>
      <w:r>
        <w:rPr>
          <w:rFonts w:hint="eastAsia" w:hAnsi="宋体" w:cs="宋体"/>
          <w:color w:val="000000"/>
          <w:sz w:val="32"/>
          <w:szCs w:val="32"/>
          <w:shd w:val="clear" w:color="auto" w:fill="FFFFFF"/>
        </w:rPr>
        <w:t>余万元，其中，成功追回</w:t>
      </w:r>
      <w:r>
        <w:rPr>
          <w:rFonts w:hAnsi="宋体" w:cs="宋体"/>
          <w:color w:val="000000"/>
          <w:sz w:val="32"/>
          <w:szCs w:val="32"/>
          <w:shd w:val="clear" w:color="auto" w:fill="FFFFFF"/>
        </w:rPr>
        <w:t>14</w:t>
      </w:r>
      <w:r>
        <w:rPr>
          <w:rFonts w:hint="eastAsia" w:hAnsi="宋体" w:cs="宋体"/>
          <w:color w:val="000000"/>
          <w:sz w:val="32"/>
          <w:szCs w:val="32"/>
          <w:shd w:val="clear" w:color="auto" w:fill="FFFFFF"/>
        </w:rPr>
        <w:t>年前广东华圣科教投资股份有限公司（原广东英豪科技教育投资股份有限公司）拖欠社会保险费及利息</w:t>
      </w:r>
      <w:r>
        <w:rPr>
          <w:rFonts w:hAnsi="宋体" w:cs="宋体"/>
          <w:color w:val="000000"/>
          <w:sz w:val="32"/>
          <w:szCs w:val="32"/>
          <w:shd w:val="clear" w:color="auto" w:fill="FFFFFF"/>
        </w:rPr>
        <w:t>437.895</w:t>
      </w:r>
      <w:r>
        <w:rPr>
          <w:rFonts w:hint="eastAsia" w:hAnsi="宋体" w:cs="宋体"/>
          <w:color w:val="000000"/>
          <w:sz w:val="32"/>
          <w:szCs w:val="32"/>
          <w:shd w:val="clear" w:color="auto" w:fill="FFFFFF"/>
        </w:rPr>
        <w:t>万元。</w:t>
      </w:r>
      <w:r>
        <w:rPr>
          <w:rFonts w:hint="eastAsia" w:hAnsi="宋体" w:cs="宋体"/>
          <w:b/>
          <w:color w:val="000000"/>
          <w:sz w:val="32"/>
          <w:szCs w:val="32"/>
          <w:shd w:val="clear" w:color="auto" w:fill="FFFFFF"/>
        </w:rPr>
        <w:t>二是</w:t>
      </w:r>
      <w:r>
        <w:rPr>
          <w:rFonts w:hint="eastAsia" w:hAnsi="宋体" w:cs="宋体"/>
          <w:color w:val="000000"/>
          <w:sz w:val="32"/>
          <w:szCs w:val="32"/>
          <w:shd w:val="clear" w:color="auto" w:fill="FFFFFF"/>
        </w:rPr>
        <w:t>实施医疗保险智能审核系统应用，加快推进智能化管理；实施医疗保险“协议管理医疗机构”日常巡查和多部门联合检查机制；实行总额预付、按临床路径付费、按定额付费、按项目付费等多种付费方式；专项检查定点零售药店和特殊疾病定点药店256家，巡查医院56次，查处违规药店2家，暂停特殊疾病药店门诊结算业务1家，拒付各类违规医保基金108.53万元，追回基金1.70618万元；通过省级交叉检查和德阳市“双随机”检查，拒付医保基金27152.7元，扣减履约保证金共29487.2元。</w:t>
      </w:r>
      <w:r>
        <w:rPr>
          <w:rFonts w:hint="eastAsia" w:hAnsi="宋体" w:cs="宋体"/>
          <w:b/>
          <w:color w:val="000000"/>
          <w:sz w:val="32"/>
          <w:szCs w:val="32"/>
          <w:shd w:val="clear" w:color="auto" w:fill="FFFFFF"/>
        </w:rPr>
        <w:t>三是</w:t>
      </w:r>
      <w:r>
        <w:rPr>
          <w:rFonts w:hint="eastAsia" w:hAnsi="宋体" w:cs="宋体"/>
          <w:color w:val="000000"/>
          <w:sz w:val="32"/>
          <w:szCs w:val="32"/>
          <w:shd w:val="clear" w:color="auto" w:fill="FFFFFF"/>
        </w:rPr>
        <w:t>通过建立“一对一”联系基层追缴工作机制、“数据共享、比对核查”常态化机制、“三级经办”审批机制、“待遇领取公示稽核”机制，追缴死亡冒领、待遇重领城乡居民养老保险金78.3万元、涉及905人。</w:t>
      </w:r>
      <w:r>
        <w:rPr>
          <w:rFonts w:hint="eastAsia" w:hAnsi="宋体" w:cs="宋体"/>
          <w:b/>
          <w:color w:val="000000"/>
          <w:sz w:val="32"/>
          <w:szCs w:val="32"/>
          <w:shd w:val="clear" w:color="auto" w:fill="FFFFFF"/>
        </w:rPr>
        <w:t>四是</w:t>
      </w:r>
      <w:r>
        <w:rPr>
          <w:rFonts w:hint="eastAsia" w:hAnsi="宋体" w:cs="宋体"/>
          <w:color w:val="000000"/>
          <w:sz w:val="32"/>
          <w:szCs w:val="32"/>
          <w:shd w:val="clear" w:color="auto" w:fill="FFFFFF"/>
        </w:rPr>
        <w:t>建立查处和防范社会保险欺诈工作联席会议制度；选聘社会保险基金社会监督员40人；开展社保基金现场监督检查2次、专项检查3次；电话抽查享受培训、技能鉴定等各类补贴发放及培训学校开班情况147余人次；处理社会保险基金网络监督系统预警信息8066条。</w:t>
      </w:r>
    </w:p>
    <w:p w14:paraId="54E17BB2">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4、坚持人才兴市，人事人才服务不断增强。</w:t>
      </w:r>
      <w:r>
        <w:rPr>
          <w:rFonts w:hAnsi="宋体" w:cs="宋体"/>
          <w:b/>
          <w:color w:val="000000"/>
          <w:sz w:val="32"/>
          <w:szCs w:val="32"/>
          <w:shd w:val="clear" w:color="auto" w:fill="FFFFFF"/>
        </w:rPr>
        <w:t>一是</w:t>
      </w:r>
      <w:r>
        <w:rPr>
          <w:rFonts w:hAnsi="宋体" w:cs="宋体"/>
          <w:color w:val="000000"/>
          <w:sz w:val="32"/>
          <w:szCs w:val="32"/>
          <w:shd w:val="clear" w:color="auto" w:fill="FFFFFF"/>
        </w:rPr>
        <w:t>做好各类人才引进和服务工作。建立机关事业单位“公开选调”长效机制，</w:t>
      </w:r>
      <w:r>
        <w:rPr>
          <w:rFonts w:hint="eastAsia" w:hAnsi="宋体" w:cs="宋体"/>
          <w:color w:val="000000"/>
          <w:sz w:val="32"/>
          <w:szCs w:val="32"/>
          <w:shd w:val="clear" w:color="auto" w:fill="FFFFFF"/>
        </w:rPr>
        <w:t>创新开展事业单位专业技术岗位 “定向招聘”，加大教育卫计系统招聘力度，联合制定《广汉市人才引进和培养暂行实施办法》，赴四川大学成功举行了广汉市人才新政新闻发布会；赴西南大学、陕西师范大学等高校开展广汉市2019年事业单位硕博直聘“校园招聘”活动；录用（引进）</w:t>
      </w:r>
      <w:r>
        <w:rPr>
          <w:rFonts w:hAnsi="宋体" w:cs="宋体"/>
          <w:color w:val="000000"/>
          <w:sz w:val="32"/>
          <w:szCs w:val="32"/>
          <w:shd w:val="clear" w:color="auto" w:fill="FFFFFF"/>
        </w:rPr>
        <w:t>公务员</w:t>
      </w:r>
      <w:r>
        <w:rPr>
          <w:rFonts w:hint="eastAsia" w:hAnsi="宋体" w:cs="宋体"/>
          <w:color w:val="000000"/>
          <w:sz w:val="32"/>
          <w:szCs w:val="32"/>
          <w:shd w:val="clear" w:color="auto" w:fill="FFFFFF"/>
        </w:rPr>
        <w:t>（</w:t>
      </w:r>
      <w:r>
        <w:rPr>
          <w:rFonts w:hAnsi="宋体" w:cs="宋体"/>
          <w:color w:val="000000"/>
          <w:sz w:val="32"/>
          <w:szCs w:val="32"/>
          <w:shd w:val="clear" w:color="auto" w:fill="FFFFFF"/>
        </w:rPr>
        <w:t>参公</w:t>
      </w:r>
      <w:r>
        <w:rPr>
          <w:rFonts w:hint="eastAsia" w:hAnsi="宋体" w:cs="宋体"/>
          <w:color w:val="000000"/>
          <w:sz w:val="32"/>
          <w:szCs w:val="32"/>
          <w:shd w:val="clear" w:color="auto" w:fill="FFFFFF"/>
        </w:rPr>
        <w:t>）</w:t>
      </w:r>
      <w:r>
        <w:rPr>
          <w:rFonts w:hAnsi="宋体" w:cs="宋体"/>
          <w:color w:val="000000"/>
          <w:sz w:val="32"/>
          <w:szCs w:val="32"/>
          <w:shd w:val="clear" w:color="auto" w:fill="FFFFFF"/>
        </w:rPr>
        <w:t>人员</w:t>
      </w:r>
      <w:r>
        <w:rPr>
          <w:rFonts w:hint="eastAsia" w:hAnsi="宋体" w:cs="宋体"/>
          <w:color w:val="000000"/>
          <w:sz w:val="32"/>
          <w:szCs w:val="32"/>
          <w:shd w:val="clear" w:color="auto" w:fill="FFFFFF"/>
        </w:rPr>
        <w:t>20</w:t>
      </w:r>
      <w:r>
        <w:rPr>
          <w:rFonts w:hAnsi="宋体" w:cs="宋体"/>
          <w:color w:val="000000"/>
          <w:sz w:val="32"/>
          <w:szCs w:val="32"/>
          <w:shd w:val="clear" w:color="auto" w:fill="FFFFFF"/>
        </w:rPr>
        <w:t>人、事业人员</w:t>
      </w:r>
      <w:r>
        <w:rPr>
          <w:rFonts w:hint="eastAsia" w:hAnsi="宋体" w:cs="宋体"/>
          <w:color w:val="000000"/>
          <w:sz w:val="32"/>
          <w:szCs w:val="32"/>
          <w:shd w:val="clear" w:color="auto" w:fill="FFFFFF"/>
        </w:rPr>
        <w:t>255</w:t>
      </w:r>
      <w:r>
        <w:rPr>
          <w:rFonts w:hAnsi="宋体" w:cs="宋体"/>
          <w:color w:val="000000"/>
          <w:sz w:val="32"/>
          <w:szCs w:val="32"/>
          <w:shd w:val="clear" w:color="auto" w:fill="FFFFFF"/>
        </w:rPr>
        <w:t>人</w:t>
      </w:r>
      <w:r>
        <w:rPr>
          <w:rFonts w:hint="eastAsia" w:hAnsi="宋体" w:cs="宋体"/>
          <w:color w:val="000000"/>
          <w:sz w:val="32"/>
          <w:szCs w:val="32"/>
          <w:shd w:val="clear" w:color="auto" w:fill="FFFFFF"/>
        </w:rPr>
        <w:t>；招募三支一扶7名；成功申报为国家重点引智项目2个，引进国外专家2名，获引智资金25万元;</w:t>
      </w:r>
      <w:r>
        <w:rPr>
          <w:rFonts w:hAnsi="宋体" w:cs="宋体"/>
          <w:color w:val="000000"/>
          <w:sz w:val="32"/>
          <w:szCs w:val="32"/>
          <w:shd w:val="clear" w:color="auto" w:fill="FFFFFF"/>
        </w:rPr>
        <w:t>获</w:t>
      </w:r>
      <w:r>
        <w:rPr>
          <w:rFonts w:hint="eastAsia" w:hAnsi="宋体" w:cs="宋体"/>
          <w:color w:val="000000"/>
          <w:sz w:val="32"/>
          <w:szCs w:val="32"/>
          <w:shd w:val="clear" w:color="auto" w:fill="FFFFFF"/>
        </w:rPr>
        <w:t>“</w:t>
      </w:r>
      <w:r>
        <w:rPr>
          <w:rFonts w:hAnsi="宋体" w:cs="宋体"/>
          <w:color w:val="000000"/>
          <w:sz w:val="32"/>
          <w:szCs w:val="32"/>
          <w:shd w:val="clear" w:color="auto" w:fill="FFFFFF"/>
        </w:rPr>
        <w:t>第十三批四川省有突出贡献的优秀专家</w:t>
      </w:r>
      <w:r>
        <w:rPr>
          <w:rFonts w:hint="eastAsia" w:hAnsi="宋体" w:cs="宋体"/>
          <w:color w:val="000000"/>
          <w:sz w:val="32"/>
          <w:szCs w:val="32"/>
          <w:shd w:val="clear" w:color="auto" w:fill="FFFFFF"/>
        </w:rPr>
        <w:t>”</w:t>
      </w:r>
      <w:r>
        <w:rPr>
          <w:rFonts w:hAnsi="宋体" w:cs="宋体"/>
          <w:color w:val="000000"/>
          <w:sz w:val="32"/>
          <w:szCs w:val="32"/>
          <w:shd w:val="clear" w:color="auto" w:fill="FFFFFF"/>
        </w:rPr>
        <w:t>称号</w:t>
      </w:r>
      <w:r>
        <w:rPr>
          <w:rFonts w:hint="eastAsia" w:hAnsi="宋体" w:cs="宋体"/>
          <w:color w:val="000000"/>
          <w:sz w:val="32"/>
          <w:szCs w:val="32"/>
          <w:shd w:val="clear" w:color="auto" w:fill="FFFFFF"/>
        </w:rPr>
        <w:t>1人；新增</w:t>
      </w:r>
      <w:r>
        <w:rPr>
          <w:rFonts w:hAnsi="宋体" w:cs="宋体"/>
          <w:color w:val="000000"/>
          <w:sz w:val="32"/>
          <w:szCs w:val="32"/>
          <w:shd w:val="clear" w:color="auto" w:fill="FFFFFF"/>
        </w:rPr>
        <w:t>设立博士后创新实践基地</w:t>
      </w:r>
      <w:r>
        <w:rPr>
          <w:rFonts w:hint="eastAsia" w:hAnsi="宋体" w:cs="宋体"/>
          <w:color w:val="000000"/>
          <w:sz w:val="32"/>
          <w:szCs w:val="32"/>
          <w:shd w:val="clear" w:color="auto" w:fill="FFFFFF"/>
        </w:rPr>
        <w:t>1个，</w:t>
      </w:r>
      <w:r>
        <w:rPr>
          <w:rFonts w:hAnsi="宋体" w:cs="宋体"/>
          <w:color w:val="000000"/>
          <w:sz w:val="32"/>
          <w:szCs w:val="32"/>
          <w:shd w:val="clear" w:color="auto" w:fill="FFFFFF"/>
        </w:rPr>
        <w:t>获得专项资金20万元</w:t>
      </w:r>
      <w:r>
        <w:rPr>
          <w:rFonts w:hint="eastAsia" w:hAnsi="宋体" w:cs="宋体"/>
          <w:color w:val="000000"/>
          <w:sz w:val="32"/>
          <w:szCs w:val="32"/>
          <w:shd w:val="clear" w:color="auto" w:fill="FFFFFF"/>
        </w:rPr>
        <w:t>；争取</w:t>
      </w:r>
      <w:r>
        <w:rPr>
          <w:rFonts w:hAnsi="宋体" w:cs="宋体"/>
          <w:color w:val="000000"/>
          <w:sz w:val="32"/>
          <w:szCs w:val="32"/>
          <w:shd w:val="clear" w:color="auto" w:fill="FFFFFF"/>
        </w:rPr>
        <w:t>全面创新（国际）领军人才专项资金63万元</w:t>
      </w:r>
      <w:r>
        <w:rPr>
          <w:rFonts w:hint="eastAsia" w:hAnsi="宋体" w:cs="宋体"/>
          <w:color w:val="000000"/>
          <w:sz w:val="32"/>
          <w:szCs w:val="32"/>
          <w:shd w:val="clear" w:color="auto" w:fill="FFFFFF"/>
        </w:rPr>
        <w:t>；</w:t>
      </w:r>
      <w:r>
        <w:rPr>
          <w:rFonts w:hAnsi="宋体" w:cs="宋体"/>
          <w:color w:val="000000"/>
          <w:sz w:val="32"/>
          <w:szCs w:val="32"/>
          <w:shd w:val="clear" w:color="auto" w:fill="FFFFFF"/>
        </w:rPr>
        <w:t>接收应届大中专毕业生报到</w:t>
      </w:r>
      <w:r>
        <w:rPr>
          <w:rFonts w:hint="eastAsia" w:hAnsi="宋体" w:cs="宋体"/>
          <w:color w:val="000000"/>
          <w:sz w:val="32"/>
          <w:szCs w:val="32"/>
          <w:shd w:val="clear" w:color="auto" w:fill="FFFFFF"/>
        </w:rPr>
        <w:t>1452</w:t>
      </w:r>
      <w:r>
        <w:rPr>
          <w:rFonts w:hAnsi="宋体" w:cs="宋体"/>
          <w:color w:val="000000"/>
          <w:sz w:val="32"/>
          <w:szCs w:val="32"/>
          <w:shd w:val="clear" w:color="auto" w:fill="FFFFFF"/>
        </w:rPr>
        <w:t>人，并提供档案管理和人事服务。</w:t>
      </w:r>
      <w:r>
        <w:rPr>
          <w:rFonts w:hAnsi="宋体" w:cs="宋体"/>
          <w:b/>
          <w:color w:val="000000"/>
          <w:sz w:val="32"/>
          <w:szCs w:val="32"/>
          <w:shd w:val="clear" w:color="auto" w:fill="FFFFFF"/>
        </w:rPr>
        <w:t>二是</w:t>
      </w:r>
      <w:r>
        <w:rPr>
          <w:rFonts w:hAnsi="宋体" w:cs="宋体"/>
          <w:color w:val="000000"/>
          <w:sz w:val="32"/>
          <w:szCs w:val="32"/>
          <w:shd w:val="clear" w:color="auto" w:fill="FFFFFF"/>
        </w:rPr>
        <w:t>做好机关事业单位人员考核和岗位职称管理工作。完成全市</w:t>
      </w:r>
      <w:r>
        <w:rPr>
          <w:rFonts w:hint="eastAsia" w:hAnsi="宋体" w:cs="宋体"/>
          <w:color w:val="000000"/>
          <w:sz w:val="32"/>
          <w:szCs w:val="32"/>
          <w:shd w:val="clear" w:color="auto" w:fill="FFFFFF"/>
        </w:rPr>
        <w:t>1679</w:t>
      </w:r>
      <w:r>
        <w:rPr>
          <w:rFonts w:hAnsi="宋体" w:cs="宋体"/>
          <w:color w:val="000000"/>
          <w:sz w:val="32"/>
          <w:szCs w:val="32"/>
          <w:shd w:val="clear" w:color="auto" w:fill="FFFFFF"/>
        </w:rPr>
        <w:t>名公务员（参公人员）和70</w:t>
      </w:r>
      <w:r>
        <w:rPr>
          <w:rFonts w:hint="eastAsia" w:hAnsi="宋体" w:cs="宋体"/>
          <w:color w:val="000000"/>
          <w:sz w:val="32"/>
          <w:szCs w:val="32"/>
          <w:shd w:val="clear" w:color="auto" w:fill="FFFFFF"/>
        </w:rPr>
        <w:t>93</w:t>
      </w:r>
      <w:r>
        <w:rPr>
          <w:rFonts w:hAnsi="宋体" w:cs="宋体"/>
          <w:color w:val="000000"/>
          <w:sz w:val="32"/>
          <w:szCs w:val="32"/>
          <w:shd w:val="clear" w:color="auto" w:fill="FFFFFF"/>
        </w:rPr>
        <w:t>名事业人员（机关工勤）201</w:t>
      </w:r>
      <w:r>
        <w:rPr>
          <w:rFonts w:hint="eastAsia" w:hAnsi="宋体" w:cs="宋体"/>
          <w:color w:val="000000"/>
          <w:sz w:val="32"/>
          <w:szCs w:val="32"/>
          <w:shd w:val="clear" w:color="auto" w:fill="FFFFFF"/>
        </w:rPr>
        <w:t>7</w:t>
      </w:r>
      <w:r>
        <w:rPr>
          <w:rFonts w:hAnsi="宋体" w:cs="宋体"/>
          <w:color w:val="000000"/>
          <w:sz w:val="32"/>
          <w:szCs w:val="32"/>
          <w:shd w:val="clear" w:color="auto" w:fill="FFFFFF"/>
        </w:rPr>
        <w:t>年年度考核和奖励工作，评选出优秀等次公务员316人、事业人员</w:t>
      </w:r>
      <w:r>
        <w:rPr>
          <w:rFonts w:hint="eastAsia" w:hAnsi="宋体" w:cs="宋体"/>
          <w:color w:val="000000"/>
          <w:sz w:val="32"/>
          <w:szCs w:val="32"/>
          <w:shd w:val="clear" w:color="auto" w:fill="FFFFFF"/>
        </w:rPr>
        <w:t>1009</w:t>
      </w:r>
      <w:r>
        <w:rPr>
          <w:rFonts w:hAnsi="宋体" w:cs="宋体"/>
          <w:color w:val="000000"/>
          <w:sz w:val="32"/>
          <w:szCs w:val="32"/>
          <w:shd w:val="clear" w:color="auto" w:fill="FFFFFF"/>
        </w:rPr>
        <w:t>人；审批任用股级干部</w:t>
      </w:r>
      <w:r>
        <w:rPr>
          <w:rFonts w:hint="eastAsia" w:hAnsi="宋体" w:cs="宋体"/>
          <w:color w:val="000000"/>
          <w:sz w:val="32"/>
          <w:szCs w:val="32"/>
          <w:shd w:val="clear" w:color="auto" w:fill="FFFFFF"/>
        </w:rPr>
        <w:t>59</w:t>
      </w:r>
      <w:r>
        <w:rPr>
          <w:rFonts w:hAnsi="宋体" w:cs="宋体"/>
          <w:color w:val="000000"/>
          <w:sz w:val="32"/>
          <w:szCs w:val="32"/>
          <w:shd w:val="clear" w:color="auto" w:fill="FFFFFF"/>
        </w:rPr>
        <w:t>名；调整、新设</w:t>
      </w:r>
      <w:r>
        <w:rPr>
          <w:rFonts w:hint="eastAsia" w:hAnsi="宋体" w:cs="宋体"/>
          <w:color w:val="000000"/>
          <w:sz w:val="32"/>
          <w:szCs w:val="32"/>
          <w:shd w:val="clear" w:color="auto" w:fill="FFFFFF"/>
        </w:rPr>
        <w:t>65</w:t>
      </w:r>
      <w:r>
        <w:rPr>
          <w:rFonts w:hAnsi="宋体" w:cs="宋体"/>
          <w:color w:val="000000"/>
          <w:sz w:val="32"/>
          <w:szCs w:val="32"/>
          <w:shd w:val="clear" w:color="auto" w:fill="FFFFFF"/>
        </w:rPr>
        <w:t>家事业单位的岗位设置；办理初级职称</w:t>
      </w:r>
      <w:r>
        <w:rPr>
          <w:rFonts w:hint="eastAsia" w:hAnsi="宋体" w:cs="宋体"/>
          <w:color w:val="000000"/>
          <w:sz w:val="32"/>
          <w:szCs w:val="32"/>
          <w:shd w:val="clear" w:color="auto" w:fill="FFFFFF"/>
        </w:rPr>
        <w:t>200</w:t>
      </w:r>
      <w:r>
        <w:rPr>
          <w:rFonts w:hAnsi="宋体" w:cs="宋体"/>
          <w:color w:val="000000"/>
          <w:sz w:val="32"/>
          <w:szCs w:val="32"/>
          <w:shd w:val="clear" w:color="auto" w:fill="FFFFFF"/>
        </w:rPr>
        <w:t>个、中级职称</w:t>
      </w:r>
      <w:r>
        <w:rPr>
          <w:rFonts w:hint="eastAsia" w:hAnsi="宋体" w:cs="宋体"/>
          <w:color w:val="000000"/>
          <w:sz w:val="32"/>
          <w:szCs w:val="32"/>
          <w:shd w:val="clear" w:color="auto" w:fill="FFFFFF"/>
        </w:rPr>
        <w:t>233</w:t>
      </w:r>
      <w:r>
        <w:rPr>
          <w:rFonts w:hAnsi="宋体" w:cs="宋体"/>
          <w:color w:val="000000"/>
          <w:sz w:val="32"/>
          <w:szCs w:val="32"/>
          <w:shd w:val="clear" w:color="auto" w:fill="FFFFFF"/>
        </w:rPr>
        <w:t>个、高级职称</w:t>
      </w:r>
      <w:r>
        <w:rPr>
          <w:rFonts w:hint="eastAsia" w:hAnsi="宋体" w:cs="宋体"/>
          <w:color w:val="000000"/>
          <w:sz w:val="32"/>
          <w:szCs w:val="32"/>
          <w:shd w:val="clear" w:color="auto" w:fill="FFFFFF"/>
        </w:rPr>
        <w:t>163</w:t>
      </w:r>
      <w:r>
        <w:rPr>
          <w:rFonts w:hAnsi="宋体" w:cs="宋体"/>
          <w:color w:val="000000"/>
          <w:sz w:val="32"/>
          <w:szCs w:val="32"/>
          <w:shd w:val="clear" w:color="auto" w:fill="FFFFFF"/>
        </w:rPr>
        <w:t>个；办理机关事业单位工人等级证书高级</w:t>
      </w:r>
      <w:r>
        <w:rPr>
          <w:rFonts w:hint="eastAsia" w:hAnsi="宋体" w:cs="宋体"/>
          <w:color w:val="000000"/>
          <w:sz w:val="32"/>
          <w:szCs w:val="32"/>
          <w:shd w:val="clear" w:color="auto" w:fill="FFFFFF"/>
        </w:rPr>
        <w:t>12</w:t>
      </w:r>
      <w:r>
        <w:rPr>
          <w:rFonts w:hAnsi="宋体" w:cs="宋体"/>
          <w:color w:val="000000"/>
          <w:sz w:val="32"/>
          <w:szCs w:val="32"/>
          <w:shd w:val="clear" w:color="auto" w:fill="FFFFFF"/>
        </w:rPr>
        <w:t>人、中级</w:t>
      </w:r>
      <w:r>
        <w:rPr>
          <w:rFonts w:hint="eastAsia" w:hAnsi="宋体" w:cs="宋体"/>
          <w:color w:val="000000"/>
          <w:sz w:val="32"/>
          <w:szCs w:val="32"/>
          <w:shd w:val="clear" w:color="auto" w:fill="FFFFFF"/>
        </w:rPr>
        <w:t>55</w:t>
      </w:r>
      <w:r>
        <w:rPr>
          <w:rFonts w:hAnsi="宋体" w:cs="宋体"/>
          <w:color w:val="000000"/>
          <w:sz w:val="32"/>
          <w:szCs w:val="32"/>
          <w:shd w:val="clear" w:color="auto" w:fill="FFFFFF"/>
        </w:rPr>
        <w:t xml:space="preserve">人。 </w:t>
      </w:r>
      <w:r>
        <w:rPr>
          <w:rFonts w:hint="eastAsia" w:hAnsi="宋体" w:cs="宋体"/>
          <w:b/>
          <w:color w:val="000000"/>
          <w:sz w:val="32"/>
          <w:szCs w:val="32"/>
          <w:shd w:val="clear" w:color="auto" w:fill="FFFFFF"/>
        </w:rPr>
        <w:t>三是</w:t>
      </w:r>
      <w:r>
        <w:rPr>
          <w:rFonts w:hint="eastAsia" w:hAnsi="宋体" w:cs="宋体"/>
          <w:color w:val="000000"/>
          <w:sz w:val="32"/>
          <w:szCs w:val="32"/>
          <w:shd w:val="clear" w:color="auto" w:fill="FFFFFF"/>
        </w:rPr>
        <w:t>做好职务与职级并行政策的落实和机关事业单位人员各类培训工作。完成2018年度19名符合晋升副科职级的公务员及参公人员材料审核、审批工作；开展“不忘初心、牢记使命，做人民满意公务员”主题培训2200人；开展专业技术人员公需科目“大数据时代的互联网信息安全”网络培训8632人。</w:t>
      </w:r>
      <w:r>
        <w:rPr>
          <w:rFonts w:hint="eastAsia" w:hAnsi="宋体" w:cs="宋体"/>
          <w:b/>
          <w:color w:val="000000"/>
          <w:sz w:val="32"/>
          <w:szCs w:val="32"/>
          <w:shd w:val="clear" w:color="auto" w:fill="FFFFFF"/>
        </w:rPr>
        <w:t>四是</w:t>
      </w:r>
      <w:r>
        <w:rPr>
          <w:rFonts w:hint="eastAsia" w:hAnsi="宋体" w:cs="宋体"/>
          <w:color w:val="000000"/>
          <w:sz w:val="32"/>
          <w:szCs w:val="32"/>
          <w:shd w:val="clear" w:color="auto" w:fill="FFFFFF"/>
        </w:rPr>
        <w:t>做好军转干部和退役士兵安置工作。共接收安置军队转业干部13名（其中，计划安置9名、自主择业安置4名）、退役士兵31名。累计发放生活困难补助、职务补贴及慰问金700余万元。</w:t>
      </w:r>
      <w:r>
        <w:rPr>
          <w:rFonts w:hint="eastAsia" w:hAnsi="宋体" w:cs="宋体"/>
          <w:b/>
          <w:color w:val="000000"/>
          <w:sz w:val="32"/>
          <w:szCs w:val="32"/>
          <w:shd w:val="clear" w:color="auto" w:fill="FFFFFF"/>
        </w:rPr>
        <w:t>五是</w:t>
      </w:r>
      <w:r>
        <w:rPr>
          <w:rFonts w:hint="eastAsia" w:hAnsi="宋体" w:cs="宋体"/>
          <w:color w:val="000000"/>
          <w:sz w:val="32"/>
          <w:szCs w:val="32"/>
          <w:shd w:val="clear" w:color="auto" w:fill="FFFFFF"/>
        </w:rPr>
        <w:t>做好人事档案管理服务工作。全面启动干部</w:t>
      </w:r>
      <w:r>
        <w:rPr>
          <w:rFonts w:hAnsi="宋体" w:cs="宋体"/>
          <w:color w:val="000000"/>
          <w:sz w:val="32"/>
          <w:szCs w:val="32"/>
          <w:shd w:val="clear" w:color="auto" w:fill="FFFFFF"/>
        </w:rPr>
        <w:t>人事档案</w:t>
      </w:r>
      <w:r>
        <w:rPr>
          <w:rFonts w:hint="eastAsia" w:hAnsi="宋体" w:cs="宋体"/>
          <w:color w:val="000000"/>
          <w:sz w:val="32"/>
          <w:szCs w:val="32"/>
          <w:shd w:val="clear" w:color="auto" w:fill="FFFFFF"/>
        </w:rPr>
        <w:t>数字化建设，目前已完成数字化扫描1000余卷，实现</w:t>
      </w:r>
      <w:r>
        <w:rPr>
          <w:rFonts w:hAnsi="宋体" w:cs="宋体"/>
          <w:color w:val="000000"/>
          <w:sz w:val="32"/>
          <w:szCs w:val="32"/>
          <w:shd w:val="clear" w:color="auto" w:fill="FFFFFF"/>
        </w:rPr>
        <w:t>保管室、查阅室、微机整理室、办公室</w:t>
      </w:r>
      <w:r>
        <w:rPr>
          <w:rFonts w:hint="eastAsia" w:hAnsi="宋体" w:cs="宋体"/>
          <w:color w:val="000000"/>
          <w:sz w:val="32"/>
          <w:szCs w:val="32"/>
          <w:shd w:val="clear" w:color="auto" w:fill="FFFFFF"/>
        </w:rPr>
        <w:t>“</w:t>
      </w:r>
      <w:r>
        <w:rPr>
          <w:rFonts w:hAnsi="宋体" w:cs="宋体"/>
          <w:color w:val="000000"/>
          <w:sz w:val="32"/>
          <w:szCs w:val="32"/>
          <w:shd w:val="clear" w:color="auto" w:fill="FFFFFF"/>
        </w:rPr>
        <w:t>四分开</w:t>
      </w:r>
      <w:r>
        <w:rPr>
          <w:rFonts w:hint="eastAsia" w:hAnsi="宋体" w:cs="宋体"/>
          <w:color w:val="000000"/>
          <w:sz w:val="32"/>
          <w:szCs w:val="32"/>
          <w:shd w:val="clear" w:color="auto" w:fill="FFFFFF"/>
        </w:rPr>
        <w:t>”；实现流动人员档案信息化管理，完成录入四川省人事档案管理服务系统流动人员档案信息17651人。</w:t>
      </w:r>
    </w:p>
    <w:p w14:paraId="1D80803B">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5、坚持和谐稳定，劳动维权能力更加有力。一是</w:t>
      </w:r>
      <w:r>
        <w:rPr>
          <w:rFonts w:hint="eastAsia" w:hAnsi="宋体" w:cs="宋体"/>
          <w:color w:val="000000"/>
          <w:sz w:val="32"/>
          <w:szCs w:val="32"/>
          <w:shd w:val="clear" w:color="auto" w:fill="FFFFFF"/>
        </w:rPr>
        <w:t>基本实现劳动监察“两网化”全覆盖，形成“一点举报投诉、区域联动处理”工作格局，目前通过网上办理案件44件；开展日常巡查148次、专项检查8次，检查用人单位380余家（含建设项目），受理劳动监察投诉案件153件，已办结125件，案件限时办结率100%。移交公安机涉嫌拒不支付劳动报酬案件3件，申请法院强制执行6件，监督发放民工工资3000余万元。</w:t>
      </w:r>
      <w:r>
        <w:rPr>
          <w:rFonts w:hint="eastAsia" w:hAnsi="宋体" w:cs="宋体"/>
          <w:b/>
          <w:color w:val="000000"/>
          <w:sz w:val="32"/>
          <w:szCs w:val="32"/>
          <w:shd w:val="clear" w:color="auto" w:fill="FFFFFF"/>
        </w:rPr>
        <w:t>二是</w:t>
      </w:r>
      <w:r>
        <w:rPr>
          <w:rFonts w:hint="eastAsia" w:hAnsi="宋体" w:cs="宋体"/>
          <w:color w:val="000000"/>
          <w:sz w:val="32"/>
          <w:szCs w:val="32"/>
          <w:shd w:val="clear" w:color="auto" w:fill="FFFFFF"/>
        </w:rPr>
        <w:t>建立劳动人事争议裁审衔接工作机制；完成全市卫生、教育系统事业单位调解组织建设；组织全市102名基层调解员进行了专题业务培训；受理劳动争议仲裁案件290件，已按期审结277件，按期结案率95.52</w:t>
      </w:r>
      <w:r>
        <w:rPr>
          <w:rFonts w:hAnsi="宋体" w:cs="宋体"/>
          <w:color w:val="000000"/>
          <w:sz w:val="32"/>
          <w:szCs w:val="32"/>
          <w:shd w:val="clear" w:color="auto" w:fill="FFFFFF"/>
        </w:rPr>
        <w:t xml:space="preserve"> %</w:t>
      </w:r>
      <w:r>
        <w:rPr>
          <w:rFonts w:hint="eastAsia" w:hAnsi="宋体" w:cs="宋体"/>
          <w:color w:val="000000"/>
          <w:sz w:val="32"/>
          <w:szCs w:val="32"/>
          <w:shd w:val="clear" w:color="auto" w:fill="FFFFFF"/>
        </w:rPr>
        <w:t>；为劳动者挽回经济损失</w:t>
      </w:r>
      <w:r>
        <w:rPr>
          <w:rFonts w:hAnsi="宋体" w:cs="宋体"/>
          <w:color w:val="000000"/>
          <w:sz w:val="32"/>
          <w:szCs w:val="32"/>
          <w:shd w:val="clear" w:color="auto" w:fill="FFFFFF"/>
        </w:rPr>
        <w:t>2136.81</w:t>
      </w:r>
      <w:r>
        <w:rPr>
          <w:rFonts w:hint="eastAsia" w:hAnsi="宋体" w:cs="宋体"/>
          <w:color w:val="000000"/>
          <w:sz w:val="32"/>
          <w:szCs w:val="32"/>
          <w:shd w:val="clear" w:color="auto" w:fill="FFFFFF"/>
        </w:rPr>
        <w:t>万元。</w:t>
      </w:r>
      <w:r>
        <w:rPr>
          <w:rFonts w:hint="eastAsia" w:hAnsi="宋体" w:cs="宋体"/>
          <w:b/>
          <w:color w:val="000000"/>
          <w:sz w:val="32"/>
          <w:szCs w:val="32"/>
          <w:shd w:val="clear" w:color="auto" w:fill="FFFFFF"/>
        </w:rPr>
        <w:t>三是</w:t>
      </w:r>
      <w:r>
        <w:rPr>
          <w:rFonts w:hint="eastAsia" w:hAnsi="宋体" w:cs="宋体"/>
          <w:color w:val="000000"/>
          <w:sz w:val="32"/>
          <w:szCs w:val="32"/>
          <w:shd w:val="clear" w:color="auto" w:fill="FFFFFF"/>
        </w:rPr>
        <w:t>认定工伤532件。</w:t>
      </w:r>
    </w:p>
    <w:p w14:paraId="361ABE4C">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6、坚持群众满意，公共服务水平不断提升。</w:t>
      </w:r>
      <w:r>
        <w:rPr>
          <w:rFonts w:hint="eastAsia" w:hAnsi="宋体" w:cs="宋体"/>
          <w:color w:val="000000"/>
          <w:sz w:val="32"/>
          <w:szCs w:val="32"/>
          <w:shd w:val="clear" w:color="auto" w:fill="FFFFFF"/>
        </w:rPr>
        <w:t>按照省厅“一号工程”总体部署，紧紧围绕“标准化、信息化、协同化、专业化”建设要求，结合广汉实际、因地制宜，采取“试点先行、复制推广”模式，以“独立建设”与“嵌入式建设”相结合方式，有计划、分步骤推进乡镇人社公共服务平台建设。</w:t>
      </w:r>
      <w:r>
        <w:rPr>
          <w:rFonts w:hint="eastAsia" w:hAnsi="宋体" w:cs="宋体"/>
          <w:color w:val="000000"/>
          <w:sz w:val="32"/>
          <w:szCs w:val="32"/>
          <w:u w:val="single"/>
          <w:shd w:val="clear" w:color="auto" w:fill="FFFFFF"/>
        </w:rPr>
        <w:t>已完成了</w:t>
      </w:r>
      <w:r>
        <w:rPr>
          <w:rFonts w:hint="eastAsia" w:hAnsi="宋体" w:cs="宋体"/>
          <w:color w:val="000000"/>
          <w:sz w:val="32"/>
          <w:szCs w:val="32"/>
          <w:shd w:val="clear" w:color="auto" w:fill="FFFFFF"/>
        </w:rPr>
        <w:t>西外乡、新丰镇两个基层人社平台示范点建设，编印了《公共服务平台标准化建设工作手册》等7本指导性配套《手册》，实现了“八个标配”“六个统一”。下延至乡镇办理的公共服务事项由6大类19项增加至8大类66项。</w:t>
      </w:r>
    </w:p>
    <w:p w14:paraId="3D0E12F0">
      <w:pPr>
        <w:pStyle w:val="5"/>
        <w:spacing w:before="93" w:line="600" w:lineRule="exact"/>
        <w:ind w:firstLine="675" w:firstLineChars="210"/>
        <w:outlineLvl w:val="2"/>
        <w:rPr>
          <w:rFonts w:hAnsi="宋体" w:cs="宋体"/>
          <w:color w:val="000000"/>
          <w:sz w:val="32"/>
          <w:szCs w:val="32"/>
          <w:shd w:val="clear" w:color="auto" w:fill="FFFFFF"/>
        </w:rPr>
      </w:pPr>
      <w:r>
        <w:rPr>
          <w:rFonts w:hint="eastAsia" w:hAnsi="宋体" w:cs="宋体"/>
          <w:b/>
          <w:color w:val="000000"/>
          <w:sz w:val="32"/>
          <w:szCs w:val="32"/>
          <w:shd w:val="clear" w:color="auto" w:fill="FFFFFF"/>
        </w:rPr>
        <w:t>7、坚持勤政廉洁，依法行政水平切实提高。一是</w:t>
      </w:r>
      <w:r>
        <w:rPr>
          <w:rFonts w:hint="eastAsia" w:hAnsi="宋体" w:cs="宋体"/>
          <w:color w:val="000000"/>
          <w:sz w:val="32"/>
          <w:szCs w:val="32"/>
          <w:shd w:val="clear" w:color="auto" w:fill="FFFFFF"/>
        </w:rPr>
        <w:t>认真落实党建工作责任制，扎实开展“网上走基层”“三分类三升级”“大学习、大讨论、大调研”活动，制定活动方案，成立活动领导小组，下发学习资料1000余份，开展大讨论10次，走访调研15次。积极组织党员干部参与“7.11”暴雨抗洪救灾工作。隆重庆祝建党97周年，3个先进基层党组织、29名优秀共产党员进行表彰。建成局党员活动室和党建文化长廊，全面推进“两学一做”学习教育常态化制度化。</w:t>
      </w:r>
      <w:r>
        <w:rPr>
          <w:rFonts w:hint="eastAsia" w:hAnsi="宋体" w:cs="宋体"/>
          <w:b/>
          <w:color w:val="000000"/>
          <w:sz w:val="32"/>
          <w:szCs w:val="32"/>
          <w:shd w:val="clear" w:color="auto" w:fill="FFFFFF"/>
        </w:rPr>
        <w:t>二是</w:t>
      </w:r>
      <w:r>
        <w:rPr>
          <w:rFonts w:hint="eastAsia" w:hAnsi="宋体" w:cs="宋体"/>
          <w:color w:val="000000"/>
          <w:sz w:val="32"/>
          <w:szCs w:val="32"/>
          <w:shd w:val="clear" w:color="auto" w:fill="FFFFFF"/>
        </w:rPr>
        <w:t>严格落实党风廉政建设“主体责任”，层层签订《党风廉政建设主体责任书》21份，《廉洁承诺书》119份。局党委书记上廉政党课4次，对新提拔的14名中层干部进行任前廉政谈话提醒。在春节、清明、端午、国庆等重大节假日，利用手机短信、微信、QQ群等发送廉政短信1500余条。对28个A级风险点重新梳理上报，实施重点监管。立案查处案件3件，处理群众举报投诉案件11起。对“清风行动”中，收集到的25条意见建议，认真调查核实、回复，满意率达100%。</w:t>
      </w:r>
      <w:r>
        <w:rPr>
          <w:rFonts w:hint="eastAsia" w:hAnsi="宋体" w:cs="宋体"/>
          <w:b/>
          <w:color w:val="000000"/>
          <w:sz w:val="32"/>
          <w:szCs w:val="32"/>
          <w:shd w:val="clear" w:color="auto" w:fill="FFFFFF"/>
        </w:rPr>
        <w:t>三是</w:t>
      </w:r>
      <w:r>
        <w:rPr>
          <w:rFonts w:hAnsi="宋体" w:cs="宋体"/>
          <w:color w:val="000000"/>
          <w:sz w:val="32"/>
          <w:szCs w:val="32"/>
          <w:shd w:val="clear" w:color="auto" w:fill="FFFFFF"/>
        </w:rPr>
        <w:t>落实行政执法</w:t>
      </w:r>
      <w:r>
        <w:rPr>
          <w:rFonts w:hint="eastAsia" w:hAnsi="宋体" w:cs="宋体"/>
          <w:color w:val="000000"/>
          <w:sz w:val="32"/>
          <w:szCs w:val="32"/>
          <w:shd w:val="clear" w:color="auto" w:fill="FFFFFF"/>
          <w:lang w:eastAsia="zh-CN"/>
        </w:rPr>
        <w:t>“</w:t>
      </w:r>
      <w:r>
        <w:rPr>
          <w:rFonts w:hAnsi="宋体" w:cs="宋体"/>
          <w:color w:val="000000"/>
          <w:sz w:val="32"/>
          <w:szCs w:val="32"/>
          <w:shd w:val="clear" w:color="auto" w:fill="FFFFFF"/>
        </w:rPr>
        <w:t>三项制度</w:t>
      </w:r>
      <w:r>
        <w:rPr>
          <w:rFonts w:hint="eastAsia" w:hAnsi="宋体" w:cs="宋体"/>
          <w:color w:val="000000"/>
          <w:sz w:val="32"/>
          <w:szCs w:val="32"/>
          <w:shd w:val="clear" w:color="auto" w:fill="FFFFFF"/>
          <w:lang w:eastAsia="zh-CN"/>
        </w:rPr>
        <w:t>”</w:t>
      </w:r>
      <w:bookmarkStart w:id="76" w:name="_GoBack"/>
      <w:bookmarkEnd w:id="76"/>
      <w:r>
        <w:rPr>
          <w:rFonts w:hAnsi="宋体" w:cs="宋体"/>
          <w:color w:val="000000"/>
          <w:sz w:val="32"/>
          <w:szCs w:val="32"/>
          <w:shd w:val="clear" w:color="auto" w:fill="FFFFFF"/>
        </w:rPr>
        <w:t>，</w:t>
      </w:r>
      <w:r>
        <w:rPr>
          <w:rFonts w:hint="eastAsia" w:hAnsi="宋体" w:cs="宋体"/>
          <w:color w:val="000000"/>
          <w:sz w:val="32"/>
          <w:szCs w:val="32"/>
          <w:shd w:val="clear" w:color="auto" w:fill="FFFFFF"/>
        </w:rPr>
        <w:t>开</w:t>
      </w:r>
      <w:r>
        <w:rPr>
          <w:rFonts w:hAnsi="宋体" w:cs="宋体"/>
          <w:color w:val="000000"/>
          <w:sz w:val="32"/>
          <w:szCs w:val="32"/>
          <w:shd w:val="clear" w:color="auto" w:fill="FFFFFF"/>
        </w:rPr>
        <w:t>展</w:t>
      </w:r>
      <w:r>
        <w:rPr>
          <w:rFonts w:hint="eastAsia" w:hAnsi="宋体" w:cs="宋体"/>
          <w:color w:val="000000"/>
          <w:sz w:val="32"/>
          <w:szCs w:val="32"/>
          <w:shd w:val="clear" w:color="auto" w:fill="FFFFFF"/>
        </w:rPr>
        <w:t>事中事后“双随机、一公开”监管，组织人社法治基层行活动70多次；牵头办理人大政协议提案20件次，面商率、答复率、满意率均达100%；全力推进省政务服务一体化平台2.0版试点工作，目前，全局68项行政权力事项、222项公共服务事项全部可在平台通行（其中：网办事项171项，全程网办事项37项，“只跑一次”事项219项，授权乡镇事项48项）；受理群众来信来访350多件次（其中政策咨询类达70%左右），按期办结率100%，群众满意率90%以上。</w:t>
      </w:r>
    </w:p>
    <w:p w14:paraId="37E27BFB">
      <w:pPr>
        <w:pStyle w:val="3"/>
        <w:rPr>
          <w:rFonts w:ascii="仿宋_GB2312" w:hAnsi="宋体" w:eastAsia="仿宋_GB2312" w:cs="宋体"/>
          <w:color w:val="000000"/>
          <w:kern w:val="0"/>
          <w:shd w:val="clear" w:color="auto" w:fill="FFFFFF"/>
        </w:rPr>
      </w:pPr>
      <w:bookmarkStart w:id="20" w:name="_Toc15377200"/>
      <w:bookmarkStart w:id="21" w:name="_Toc15396601"/>
      <w:r>
        <w:rPr>
          <w:rFonts w:hint="eastAsia" w:ascii="仿宋_GB2312" w:hAnsi="宋体" w:eastAsia="仿宋_GB2312" w:cs="宋体"/>
          <w:color w:val="000000"/>
          <w:kern w:val="0"/>
          <w:shd w:val="clear" w:color="auto" w:fill="FFFFFF"/>
        </w:rPr>
        <w:t>二、机构设置</w:t>
      </w:r>
      <w:bookmarkEnd w:id="20"/>
      <w:bookmarkEnd w:id="21"/>
    </w:p>
    <w:p w14:paraId="3F0AF15E">
      <w:pPr>
        <w:ind w:firstLine="800" w:firstLineChars="25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广汉市人社局下属二级单位8个，其中行政单位0个，参照公务员法管理的事业单位2个，其他事业单位1个。</w:t>
      </w:r>
    </w:p>
    <w:p w14:paraId="219A11A9">
      <w:pPr>
        <w:widowControl/>
        <w:ind w:firstLine="640" w:firstLineChars="20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广汉市社会保险事业管理局、广汉市就业服务管理局、广汉市医疗保障局、广汉市城乡居民养老保险局、广汉人事档案馆、广汉市信息网络中心、人力资源服务中心、劳动人事争议仲裁院属市人力资源和社会保障局下属社会保险经办机构和事业单位，其部门预算、决算均未单列，合并纳入市人力资源和社会保障局机关统筹。</w:t>
      </w:r>
    </w:p>
    <w:p w14:paraId="039F8C95">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6C4AD2B">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22"/>
      <w:bookmarkEnd w:id="23"/>
    </w:p>
    <w:p w14:paraId="1170F2CD"/>
    <w:p w14:paraId="17CE0A4D">
      <w:pPr>
        <w:pStyle w:val="26"/>
        <w:numPr>
          <w:ilvl w:val="0"/>
          <w:numId w:val="1"/>
        </w:numPr>
        <w:spacing w:line="600" w:lineRule="exact"/>
        <w:ind w:firstLineChars="0"/>
        <w:outlineLvl w:val="1"/>
        <w:rPr>
          <w:rStyle w:val="17"/>
          <w:rFonts w:ascii="黑体" w:hAnsi="黑体" w:eastAsia="黑体" w:cs="Times New Roman"/>
          <w:b w:val="0"/>
          <w:bCs w:val="0"/>
        </w:rPr>
      </w:pPr>
      <w:bookmarkStart w:id="24" w:name="_Toc15377205"/>
      <w:bookmarkStart w:id="25" w:name="_Toc15396603"/>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4"/>
      <w:bookmarkEnd w:id="25"/>
    </w:p>
    <w:p w14:paraId="7F6DF990">
      <w:pPr>
        <w:spacing w:line="600" w:lineRule="exact"/>
        <w:ind w:firstLine="640" w:firstLineChars="20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pict>
          <v:shape id="_x0000_s1026" o:spid="_x0000_s1026" o:spt="202" type="#_x0000_t202" style="position:absolute;left:0pt;margin-left:31.55pt;margin-top:173.8pt;height:226.75pt;width:365.95pt;z-index:251659264;mso-width-relative:page;mso-height-relative:page;" filled="f" stroked="f" coordsize="21600,21600" o:gfxdata="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C7I7&#10;2AAAAAoBAAAPAAAAAAAAAAEAIAAAACIAAABkcnMvZG93bnJldi54bWxQSwECFAAUAAAACACHTuJA&#10;qaY/sK8BAABPAwAADgAAAAAAAAABACAAAAAnAQAAZHJzL2Uyb0RvYy54bWxQSwUGAAAAAAYABgBZ&#10;AQAASAUAAAAA&#10;">
            <v:path/>
            <v:fill on="f" focussize="0,0"/>
            <v:stroke on="f" joinstyle="miter"/>
            <v:imagedata o:title=""/>
            <o:lock v:ext="edit"/>
            <v:textbox>
              <w:txbxContent>
                <w:p w14:paraId="479696F2">
                  <w:r>
                    <w:drawing>
                      <wp:inline distT="0" distB="0" distL="114300" distR="114300">
                        <wp:extent cx="4175760" cy="2589530"/>
                        <wp:effectExtent l="4445" t="4445" r="10795" b="15875"/>
                        <wp:docPr id="7" name="图片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shape>
        </w:pict>
      </w: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年度收总计4287.09万元、支总计4193.67万元。与</w:t>
      </w:r>
      <w:r>
        <w:rPr>
          <w:rFonts w:ascii="仿宋_GB2312" w:hAnsi="宋体" w:eastAsia="仿宋_GB2312" w:cs="宋体"/>
          <w:color w:val="000000"/>
          <w:kern w:val="0"/>
          <w:sz w:val="32"/>
          <w:szCs w:val="32"/>
          <w:shd w:val="clear" w:color="auto" w:fill="FFFFFF"/>
        </w:rPr>
        <w:t>2017</w:t>
      </w:r>
      <w:r>
        <w:rPr>
          <w:rFonts w:hint="eastAsia" w:ascii="仿宋_GB2312" w:hAnsi="宋体" w:eastAsia="仿宋_GB2312" w:cs="宋体"/>
          <w:color w:val="000000"/>
          <w:kern w:val="0"/>
          <w:sz w:val="32"/>
          <w:szCs w:val="32"/>
          <w:shd w:val="clear" w:color="auto" w:fill="FFFFFF"/>
        </w:rPr>
        <w:t>年相比，收总计增加1155.38万元，增长36.89</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、支总计各增加960.37万元，增长29.7</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。主要变动原因是人员及日常运行开支的增加、三支一扶人员相关补助增加以及军队转业干部安置相关支出增加。相关收、支决算总计变动情况图见图1。</w:t>
      </w:r>
    </w:p>
    <w:p w14:paraId="0463CB0F">
      <w:pPr>
        <w:spacing w:line="600" w:lineRule="exact"/>
        <w:ind w:firstLine="640" w:firstLineChars="200"/>
        <w:jc w:val="left"/>
        <w:rPr>
          <w:rFonts w:ascii="仿宋_GB2312" w:eastAsia="仿宋_GB2312"/>
          <w:color w:val="000000"/>
          <w:sz w:val="32"/>
          <w:szCs w:val="32"/>
        </w:rPr>
      </w:pPr>
    </w:p>
    <w:p w14:paraId="502A255F">
      <w:pPr>
        <w:spacing w:line="600" w:lineRule="exact"/>
        <w:ind w:firstLine="640" w:firstLineChars="200"/>
        <w:jc w:val="left"/>
        <w:rPr>
          <w:rFonts w:ascii="仿宋_GB2312" w:eastAsia="仿宋_GB2312"/>
          <w:color w:val="000000"/>
          <w:sz w:val="32"/>
          <w:szCs w:val="32"/>
        </w:rPr>
      </w:pPr>
    </w:p>
    <w:p w14:paraId="2D3038FA">
      <w:pPr>
        <w:spacing w:line="600" w:lineRule="exact"/>
        <w:ind w:firstLine="640" w:firstLineChars="200"/>
        <w:jc w:val="left"/>
        <w:rPr>
          <w:rFonts w:ascii="仿宋_GB2312" w:eastAsia="仿宋_GB2312"/>
          <w:color w:val="000000"/>
          <w:sz w:val="32"/>
          <w:szCs w:val="32"/>
        </w:rPr>
      </w:pPr>
    </w:p>
    <w:p w14:paraId="362CE2A8">
      <w:pPr>
        <w:spacing w:line="600" w:lineRule="exact"/>
        <w:ind w:firstLine="640" w:firstLineChars="200"/>
        <w:jc w:val="left"/>
        <w:rPr>
          <w:rFonts w:ascii="仿宋_GB2312" w:eastAsia="仿宋_GB2312"/>
          <w:color w:val="000000"/>
          <w:sz w:val="32"/>
          <w:szCs w:val="32"/>
        </w:rPr>
      </w:pPr>
    </w:p>
    <w:p w14:paraId="7257EB2C">
      <w:pPr>
        <w:spacing w:line="600" w:lineRule="exact"/>
        <w:ind w:firstLine="640" w:firstLineChars="200"/>
        <w:jc w:val="left"/>
        <w:rPr>
          <w:rFonts w:ascii="仿宋_GB2312" w:eastAsia="仿宋_GB2312"/>
          <w:color w:val="000000"/>
          <w:sz w:val="32"/>
          <w:szCs w:val="32"/>
        </w:rPr>
      </w:pPr>
    </w:p>
    <w:p w14:paraId="5E99727A">
      <w:pPr>
        <w:spacing w:line="600" w:lineRule="exact"/>
        <w:ind w:firstLine="640" w:firstLineChars="200"/>
        <w:jc w:val="left"/>
        <w:rPr>
          <w:rFonts w:ascii="仿宋_GB2312" w:eastAsia="仿宋_GB2312"/>
          <w:color w:val="000000"/>
          <w:sz w:val="32"/>
          <w:szCs w:val="32"/>
        </w:rPr>
      </w:pPr>
    </w:p>
    <w:p w14:paraId="20E2D468">
      <w:pPr>
        <w:spacing w:line="600" w:lineRule="exact"/>
        <w:jc w:val="left"/>
        <w:rPr>
          <w:rFonts w:ascii="仿宋_GB2312" w:eastAsia="仿宋_GB2312"/>
          <w:color w:val="000000"/>
          <w:sz w:val="32"/>
          <w:szCs w:val="32"/>
        </w:rPr>
      </w:pPr>
    </w:p>
    <w:p w14:paraId="142D88FE">
      <w:pPr>
        <w:pStyle w:val="26"/>
        <w:numPr>
          <w:ilvl w:val="0"/>
          <w:numId w:val="1"/>
        </w:numPr>
        <w:spacing w:line="600" w:lineRule="exact"/>
        <w:ind w:firstLineChars="0"/>
        <w:outlineLvl w:val="1"/>
        <w:rPr>
          <w:rStyle w:val="17"/>
          <w:rFonts w:ascii="黑体" w:hAnsi="黑体" w:eastAsia="黑体" w:cs="Times New Roman"/>
          <w:b w:val="0"/>
          <w:bCs w:val="0"/>
        </w:rPr>
      </w:pPr>
      <w:bookmarkStart w:id="26" w:name="_Toc15396604"/>
      <w:bookmarkStart w:id="27" w:name="_Toc15377206"/>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6"/>
      <w:bookmarkEnd w:id="27"/>
    </w:p>
    <w:p w14:paraId="1051E843">
      <w:pPr>
        <w:spacing w:line="600" w:lineRule="exact"/>
        <w:ind w:firstLine="640" w:firstLineChars="200"/>
        <w:outlineLvl w:val="1"/>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年本年收入合计4287.09万元，其中：一般公共预算财政拨款收入4285.57万元，占99.96</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；其他收入1.52万元，占0.04</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。见图</w:t>
      </w:r>
      <w:r>
        <w:rPr>
          <w:rFonts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rPr>
        <w:t>：收入决算结构图。</w:t>
      </w:r>
    </w:p>
    <w:p w14:paraId="4550B0A4">
      <w:pPr>
        <w:spacing w:line="600" w:lineRule="exact"/>
        <w:ind w:firstLine="640" w:firstLineChars="200"/>
        <w:outlineLvl w:val="1"/>
        <w:rPr>
          <w:rFonts w:ascii="仿宋" w:hAnsi="仿宋" w:eastAsia="仿宋" w:cs="仿宋"/>
          <w:color w:val="000000"/>
          <w:sz w:val="32"/>
          <w:szCs w:val="32"/>
        </w:rPr>
      </w:pPr>
    </w:p>
    <w:p w14:paraId="144CF435">
      <w:pPr>
        <w:spacing w:line="600" w:lineRule="exact"/>
        <w:ind w:firstLine="640" w:firstLineChars="200"/>
        <w:outlineLvl w:val="1"/>
        <w:rPr>
          <w:rFonts w:ascii="仿宋" w:hAnsi="仿宋" w:eastAsia="仿宋" w:cs="仿宋"/>
          <w:color w:val="000000"/>
          <w:sz w:val="32"/>
          <w:szCs w:val="32"/>
        </w:rPr>
      </w:pPr>
      <w:r>
        <w:rPr>
          <w:sz w:val="32"/>
        </w:rPr>
        <w:pict>
          <v:shape id="文本框 3" o:spid="_x0000_s1031" o:spt="202" type="#_x0000_t202" style="position:absolute;left:0pt;margin-left:32.15pt;margin-top:3.8pt;height:196.15pt;width:345.65pt;z-index:251660288;mso-width-relative:page;mso-height-relative:page;" stroked="f" coordsize="21600,21600" o:gfxdata="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euDTdcAAAAIAQAADwAAAAAAAAABACAAAAAiAAAAZHJzL2Rvd25yZXYu&#10;eG1sUEsBAhQAFAAAAAgAh07iQHOipvLDAQAAeAMAAA4AAAAAAAAAAQAgAAAAJgEAAGRycy9lMm9E&#10;b2MueG1sUEsFBgAAAAAGAAYAWQEAAFsFAAAAAA==&#10;">
            <v:path/>
            <v:fill focussize="0,0"/>
            <v:stroke on="f" joinstyle="miter"/>
            <v:imagedata o:title=""/>
            <o:lock v:ext="edit"/>
            <v:textbox>
              <w:txbxContent>
                <w:p w14:paraId="2036C992">
                  <w:r>
                    <w:drawing>
                      <wp:inline distT="0" distB="0" distL="114300" distR="114300">
                        <wp:extent cx="4078605" cy="2298700"/>
                        <wp:effectExtent l="4445" t="4445" r="12700" b="20955"/>
                        <wp:docPr id="8"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14:paraId="79C26745">
      <w:pPr>
        <w:spacing w:line="600" w:lineRule="exact"/>
        <w:ind w:firstLine="640" w:firstLineChars="200"/>
        <w:outlineLvl w:val="1"/>
        <w:rPr>
          <w:rFonts w:ascii="仿宋" w:hAnsi="仿宋" w:eastAsia="仿宋" w:cs="仿宋"/>
          <w:color w:val="000000"/>
          <w:sz w:val="32"/>
          <w:szCs w:val="32"/>
        </w:rPr>
      </w:pPr>
    </w:p>
    <w:p w14:paraId="4D5B72BF">
      <w:pPr>
        <w:spacing w:line="600" w:lineRule="exact"/>
        <w:ind w:firstLine="640" w:firstLineChars="200"/>
        <w:outlineLvl w:val="1"/>
        <w:rPr>
          <w:rFonts w:ascii="仿宋" w:hAnsi="仿宋" w:eastAsia="仿宋" w:cs="仿宋"/>
          <w:color w:val="000000"/>
          <w:sz w:val="32"/>
          <w:szCs w:val="32"/>
        </w:rPr>
      </w:pPr>
    </w:p>
    <w:p w14:paraId="468BFC23">
      <w:pPr>
        <w:spacing w:line="600" w:lineRule="exact"/>
        <w:ind w:firstLine="640" w:firstLineChars="200"/>
        <w:outlineLvl w:val="1"/>
        <w:rPr>
          <w:rFonts w:ascii="仿宋" w:hAnsi="仿宋" w:eastAsia="仿宋" w:cs="仿宋"/>
          <w:color w:val="000000"/>
          <w:sz w:val="32"/>
          <w:szCs w:val="32"/>
        </w:rPr>
      </w:pPr>
    </w:p>
    <w:p w14:paraId="65D94C8D">
      <w:pPr>
        <w:spacing w:line="600" w:lineRule="exact"/>
        <w:ind w:firstLine="640" w:firstLineChars="200"/>
        <w:outlineLvl w:val="1"/>
        <w:rPr>
          <w:rFonts w:ascii="仿宋" w:hAnsi="仿宋" w:eastAsia="仿宋" w:cs="仿宋"/>
          <w:color w:val="000000"/>
          <w:sz w:val="32"/>
          <w:szCs w:val="32"/>
        </w:rPr>
      </w:pPr>
    </w:p>
    <w:p w14:paraId="417D78AC">
      <w:pPr>
        <w:spacing w:line="600" w:lineRule="exact"/>
        <w:rPr>
          <w:rFonts w:ascii="仿宋_GB2312" w:eastAsia="仿宋_GB2312"/>
          <w:color w:val="FF0000"/>
          <w:sz w:val="32"/>
          <w:szCs w:val="32"/>
        </w:rPr>
      </w:pPr>
    </w:p>
    <w:p w14:paraId="4B527941">
      <w:pPr>
        <w:spacing w:line="600" w:lineRule="exact"/>
        <w:rPr>
          <w:rFonts w:ascii="仿宋_GB2312" w:eastAsia="仿宋_GB2312"/>
          <w:color w:val="FF0000"/>
          <w:sz w:val="32"/>
          <w:szCs w:val="32"/>
        </w:rPr>
      </w:pPr>
    </w:p>
    <w:p w14:paraId="1D0F74B2">
      <w:pPr>
        <w:pStyle w:val="26"/>
        <w:numPr>
          <w:ilvl w:val="0"/>
          <w:numId w:val="1"/>
        </w:numPr>
        <w:spacing w:line="600" w:lineRule="exact"/>
        <w:ind w:firstLineChars="0"/>
        <w:outlineLvl w:val="1"/>
        <w:rPr>
          <w:rStyle w:val="17"/>
          <w:rFonts w:ascii="黑体" w:hAnsi="黑体" w:eastAsia="黑体" w:cs="Times New Roman"/>
          <w:b w:val="0"/>
          <w:bCs w:val="0"/>
        </w:rPr>
      </w:pPr>
      <w:bookmarkStart w:id="28" w:name="_Toc15377207"/>
      <w:bookmarkStart w:id="29" w:name="_Toc15396605"/>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8"/>
      <w:bookmarkEnd w:id="29"/>
    </w:p>
    <w:p w14:paraId="7DC36BC2">
      <w:pPr>
        <w:spacing w:line="600" w:lineRule="exact"/>
        <w:ind w:firstLine="64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pict>
          <v:shape id="文本框 11" o:spid="_x0000_s1030" o:spt="202" type="#_x0000_t202" style="position:absolute;left:0pt;margin-left:52.2pt;margin-top:87.4pt;height:174.8pt;width:324.25pt;mso-wrap-style:none;z-index:251664384;mso-width-relative:page;mso-height-relative:page;" stroked="f" coordsize="21600,21600" o:gfxdata="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HwM7YAAAACwEAAA8AAAAAAAAAAQAgAAAAIgAAAGRy&#10;cy9kb3ducmV2LnhtbFBLAQIUABQAAAAIAIdO4kDLIRxzzAEAAIUDAAAOAAAAAAAAAAEAIAAAACcB&#10;AABkcnMvZTJvRG9jLnhtbFBLBQYAAAAABgAGAFkBAABlBQAAAAA=&#10;">
            <v:path/>
            <v:fill focussize="0,0"/>
            <v:stroke on="f" joinstyle="miter"/>
            <v:imagedata o:title=""/>
            <o:lock v:ext="edit"/>
            <v:textbox>
              <w:txbxContent>
                <w:p w14:paraId="72F856A3">
                  <w:r>
                    <w:drawing>
                      <wp:inline distT="0" distB="0" distL="114300" distR="114300">
                        <wp:extent cx="3912235" cy="2044700"/>
                        <wp:effectExtent l="4445" t="4445" r="7620" b="825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年本年支出合计4193.67万元，其中：基本支出3573.13万元，占85.2</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；项目支出620.54万元，占14.8</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。见图</w:t>
      </w:r>
      <w:r>
        <w:rPr>
          <w:rFonts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rPr>
        <w:t>：支出决算结构图.</w:t>
      </w:r>
    </w:p>
    <w:p w14:paraId="6657D1F1">
      <w:pPr>
        <w:spacing w:line="600" w:lineRule="exact"/>
        <w:ind w:firstLine="640"/>
        <w:rPr>
          <w:rFonts w:ascii="仿宋" w:hAnsi="仿宋" w:eastAsia="仿宋" w:cs="仿宋"/>
          <w:color w:val="000000"/>
          <w:sz w:val="32"/>
          <w:szCs w:val="32"/>
        </w:rPr>
      </w:pPr>
    </w:p>
    <w:p w14:paraId="317C1FC7">
      <w:pPr>
        <w:spacing w:line="600" w:lineRule="exact"/>
        <w:ind w:firstLine="640"/>
        <w:rPr>
          <w:rFonts w:ascii="仿宋" w:hAnsi="仿宋" w:eastAsia="仿宋" w:cs="仿宋"/>
          <w:color w:val="000000"/>
          <w:sz w:val="32"/>
          <w:szCs w:val="32"/>
        </w:rPr>
      </w:pPr>
    </w:p>
    <w:p w14:paraId="0E8BE12F">
      <w:pPr>
        <w:spacing w:line="600" w:lineRule="exact"/>
        <w:ind w:firstLine="640"/>
        <w:rPr>
          <w:rFonts w:ascii="仿宋" w:hAnsi="仿宋" w:eastAsia="仿宋" w:cs="仿宋"/>
          <w:color w:val="000000"/>
          <w:sz w:val="32"/>
          <w:szCs w:val="32"/>
        </w:rPr>
      </w:pPr>
    </w:p>
    <w:p w14:paraId="651911A4">
      <w:pPr>
        <w:spacing w:line="600" w:lineRule="exact"/>
        <w:ind w:firstLine="640"/>
        <w:rPr>
          <w:rFonts w:ascii="仿宋" w:hAnsi="仿宋" w:eastAsia="仿宋" w:cs="仿宋"/>
          <w:color w:val="000000"/>
          <w:sz w:val="32"/>
          <w:szCs w:val="32"/>
        </w:rPr>
      </w:pPr>
    </w:p>
    <w:p w14:paraId="08D7C55C">
      <w:pPr>
        <w:spacing w:line="600" w:lineRule="exact"/>
        <w:rPr>
          <w:rFonts w:ascii="仿宋_GB2312" w:eastAsia="仿宋_GB2312"/>
          <w:color w:val="FF0000"/>
          <w:sz w:val="32"/>
          <w:szCs w:val="32"/>
        </w:rPr>
      </w:pPr>
    </w:p>
    <w:p w14:paraId="5F31DDDF">
      <w:pPr>
        <w:spacing w:line="600" w:lineRule="exact"/>
        <w:rPr>
          <w:rFonts w:ascii="仿宋_GB2312" w:eastAsia="仿宋_GB2312"/>
          <w:color w:val="FF0000"/>
          <w:sz w:val="32"/>
          <w:szCs w:val="32"/>
        </w:rPr>
      </w:pPr>
    </w:p>
    <w:p w14:paraId="3A9289AF">
      <w:pPr>
        <w:spacing w:line="600" w:lineRule="exact"/>
        <w:ind w:firstLine="640" w:firstLineChars="200"/>
        <w:outlineLvl w:val="1"/>
        <w:rPr>
          <w:rStyle w:val="17"/>
          <w:rFonts w:ascii="黑体" w:hAnsi="黑体" w:eastAsia="黑体" w:cs="Times New Roman"/>
          <w:b w:val="0"/>
          <w:bCs w:val="0"/>
        </w:rPr>
      </w:pPr>
      <w:bookmarkStart w:id="30" w:name="_Toc15396606"/>
      <w:bookmarkStart w:id="31" w:name="_Toc15377208"/>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30"/>
      <w:bookmarkEnd w:id="31"/>
    </w:p>
    <w:p w14:paraId="6E9EB796">
      <w:pPr>
        <w:spacing w:line="600" w:lineRule="exact"/>
        <w:ind w:firstLine="640" w:firstLineChars="20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年财政拨款收、支总计4453.86万元。与</w:t>
      </w:r>
      <w:r>
        <w:rPr>
          <w:rFonts w:ascii="仿宋_GB2312" w:hAnsi="宋体" w:eastAsia="仿宋_GB2312" w:cs="宋体"/>
          <w:color w:val="000000"/>
          <w:kern w:val="0"/>
          <w:sz w:val="32"/>
          <w:szCs w:val="32"/>
          <w:shd w:val="clear" w:color="auto" w:fill="FFFFFF"/>
        </w:rPr>
        <w:t>2017</w:t>
      </w:r>
      <w:r>
        <w:rPr>
          <w:rFonts w:hint="eastAsia" w:ascii="仿宋_GB2312" w:hAnsi="宋体" w:eastAsia="仿宋_GB2312" w:cs="宋体"/>
          <w:color w:val="000000"/>
          <w:kern w:val="0"/>
          <w:sz w:val="32"/>
          <w:szCs w:val="32"/>
          <w:shd w:val="clear" w:color="auto" w:fill="FFFFFF"/>
        </w:rPr>
        <w:t>年相比，财政拨款收、支总计各增加1101.02万元，增长32.84</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。主要变动原因是人员及日常运行开支的增加、三支一扶人员相关补助增加以及军队转业干部安置相关支出增加。相关财政拨款收、支决算总计变动情况见图4。</w:t>
      </w:r>
    </w:p>
    <w:p w14:paraId="723BF1B3">
      <w:pPr>
        <w:spacing w:line="600" w:lineRule="exact"/>
        <w:ind w:firstLine="640" w:firstLineChars="200"/>
        <w:rPr>
          <w:rFonts w:ascii="仿宋" w:hAnsi="仿宋" w:eastAsia="仿宋" w:cs="仿宋"/>
          <w:color w:val="000000"/>
          <w:sz w:val="32"/>
          <w:szCs w:val="32"/>
        </w:rPr>
      </w:pPr>
      <w:r>
        <w:rPr>
          <w:sz w:val="32"/>
        </w:rPr>
        <w:pict>
          <v:shape id="_x0000_s1029" o:spid="_x0000_s1029" o:spt="202" type="#_x0000_t202" style="position:absolute;left:0pt;margin-left:36.95pt;margin-top:-0.9pt;height:182.1pt;width:319.2pt;mso-wrap-style:none;z-index:251661312;mso-width-relative:page;mso-height-relative:page;" stroked="f" coordsize="21600,21600" o:gfxdata="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dAWlNgAAAAJAQAADwAAAAAAAAAB&#10;ACAAAAAiAAAAZHJzL2Rvd25yZXYueG1sUEsBAhQAFAAAAAgAh07iQIVO2ebXAQAAngMAAA4AAAAA&#10;AAAAAQAgAAAAJwEAAGRycy9lMm9Eb2MueG1sUEsFBgAAAAAGAAYAWQEAAHAFAAAAAA==&#10;">
            <v:path/>
            <v:fill focussize="0,0"/>
            <v:stroke on="f" joinstyle="miter"/>
            <v:imagedata o:title=""/>
            <o:lock v:ext="edit"/>
            <v:textbox style="mso-fit-shape-to-text:t;">
              <w:txbxContent>
                <w:p w14:paraId="5D926B40">
                  <w:r>
                    <w:drawing>
                      <wp:inline distT="0" distB="0" distL="114300" distR="114300">
                        <wp:extent cx="4352925" cy="2118360"/>
                        <wp:effectExtent l="4445" t="4445" r="5080" b="1079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p>
    <w:p w14:paraId="65C86825">
      <w:pPr>
        <w:spacing w:line="600" w:lineRule="exact"/>
        <w:rPr>
          <w:rFonts w:ascii="仿宋" w:hAnsi="仿宋" w:eastAsia="仿宋"/>
          <w:b/>
          <w:bCs/>
          <w:color w:val="00B050"/>
          <w:sz w:val="32"/>
          <w:szCs w:val="32"/>
        </w:rPr>
      </w:pPr>
    </w:p>
    <w:p w14:paraId="253BA779">
      <w:pPr>
        <w:spacing w:line="600" w:lineRule="exact"/>
        <w:rPr>
          <w:rFonts w:ascii="仿宋" w:hAnsi="仿宋" w:eastAsia="仿宋"/>
          <w:b/>
          <w:bCs/>
          <w:color w:val="00B050"/>
          <w:sz w:val="32"/>
          <w:szCs w:val="32"/>
        </w:rPr>
      </w:pPr>
    </w:p>
    <w:p w14:paraId="4E50455E">
      <w:pPr>
        <w:spacing w:line="600" w:lineRule="exact"/>
        <w:rPr>
          <w:rFonts w:ascii="仿宋" w:hAnsi="仿宋" w:eastAsia="仿宋"/>
          <w:b/>
          <w:bCs/>
          <w:color w:val="00B050"/>
          <w:sz w:val="32"/>
          <w:szCs w:val="32"/>
        </w:rPr>
      </w:pPr>
    </w:p>
    <w:p w14:paraId="372EB671">
      <w:pPr>
        <w:spacing w:line="600" w:lineRule="exact"/>
        <w:rPr>
          <w:rFonts w:ascii="仿宋" w:hAnsi="仿宋" w:eastAsia="仿宋"/>
          <w:b/>
          <w:bCs/>
          <w:color w:val="00B050"/>
          <w:sz w:val="32"/>
          <w:szCs w:val="32"/>
        </w:rPr>
      </w:pPr>
    </w:p>
    <w:p w14:paraId="18BC0DFB">
      <w:pPr>
        <w:spacing w:line="600" w:lineRule="exact"/>
        <w:outlineLvl w:val="1"/>
        <w:rPr>
          <w:rFonts w:ascii="黑体" w:hAnsi="黑体" w:eastAsia="黑体" w:cs="黑体"/>
          <w:color w:val="000000"/>
          <w:sz w:val="32"/>
          <w:szCs w:val="32"/>
        </w:rPr>
      </w:pPr>
      <w:bookmarkStart w:id="32" w:name="_Toc15396607"/>
      <w:bookmarkStart w:id="33" w:name="_Toc15377209"/>
    </w:p>
    <w:p w14:paraId="558E4492">
      <w:pPr>
        <w:spacing w:line="600" w:lineRule="exact"/>
        <w:ind w:firstLine="640" w:firstLineChars="200"/>
        <w:outlineLvl w:val="1"/>
        <w:rPr>
          <w:rStyle w:val="17"/>
          <w:rFonts w:ascii="黑体" w:hAnsi="黑体" w:eastAsia="黑体" w:cs="Times New Roman"/>
          <w:b w:val="0"/>
          <w:bCs w:val="0"/>
        </w:rPr>
      </w:pPr>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2"/>
      <w:bookmarkEnd w:id="33"/>
    </w:p>
    <w:p w14:paraId="73A1D3A7">
      <w:pPr>
        <w:spacing w:line="600" w:lineRule="exact"/>
        <w:ind w:firstLine="640" w:firstLineChars="200"/>
        <w:outlineLvl w:val="2"/>
        <w:rPr>
          <w:rFonts w:ascii="仿宋" w:hAnsi="仿宋" w:eastAsia="仿宋" w:cs="仿宋"/>
          <w:color w:val="000000"/>
          <w:sz w:val="32"/>
          <w:szCs w:val="32"/>
        </w:rPr>
      </w:pPr>
      <w:bookmarkStart w:id="34" w:name="_Toc15377210"/>
      <w:r>
        <w:rPr>
          <w:rFonts w:hint="eastAsia" w:ascii="仿宋" w:hAnsi="仿宋" w:eastAsia="仿宋" w:cs="仿宋"/>
          <w:color w:val="000000"/>
          <w:sz w:val="32"/>
          <w:szCs w:val="32"/>
        </w:rPr>
        <w:t>（一）一般公共预算财政拨款支出决算总体情况</w:t>
      </w:r>
      <w:bookmarkEnd w:id="34"/>
    </w:p>
    <w:p w14:paraId="2D49B3C6">
      <w:pPr>
        <w:spacing w:line="600" w:lineRule="exact"/>
        <w:ind w:firstLine="640" w:firstLineChars="20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年一般公共预算财政拨款支出4188.35万元，占本年支出合计的99.87</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。与</w:t>
      </w:r>
      <w:r>
        <w:rPr>
          <w:rFonts w:ascii="仿宋_GB2312" w:hAnsi="宋体" w:eastAsia="仿宋_GB2312" w:cs="宋体"/>
          <w:color w:val="000000"/>
          <w:kern w:val="0"/>
          <w:sz w:val="32"/>
          <w:szCs w:val="32"/>
          <w:shd w:val="clear" w:color="auto" w:fill="FFFFFF"/>
        </w:rPr>
        <w:t>2017</w:t>
      </w:r>
      <w:r>
        <w:rPr>
          <w:rFonts w:hint="eastAsia" w:ascii="仿宋_GB2312" w:hAnsi="宋体" w:eastAsia="仿宋_GB2312" w:cs="宋体"/>
          <w:color w:val="000000"/>
          <w:kern w:val="0"/>
          <w:sz w:val="32"/>
          <w:szCs w:val="32"/>
          <w:shd w:val="clear" w:color="auto" w:fill="FFFFFF"/>
        </w:rPr>
        <w:t>年3227.55万元相比，一般公共预算财政拨款增加960.81万元，增长29.77</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。原因为三支一扶人员及单位在编人员增多，而相应增加的人员经费、公用经费及日常工作开支。图</w:t>
      </w:r>
      <w:r>
        <w:rPr>
          <w:rFonts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rPr>
        <w:t>：一般公共预算财政拨款支出决算变动情况。</w:t>
      </w:r>
    </w:p>
    <w:p w14:paraId="4B326B41">
      <w:pPr>
        <w:spacing w:line="600" w:lineRule="exact"/>
        <w:ind w:firstLine="640" w:firstLineChars="200"/>
        <w:rPr>
          <w:rFonts w:ascii="仿宋" w:hAnsi="仿宋" w:eastAsia="仿宋" w:cs="仿宋"/>
          <w:color w:val="000000"/>
          <w:sz w:val="32"/>
          <w:szCs w:val="32"/>
        </w:rPr>
      </w:pPr>
      <w:r>
        <w:rPr>
          <w:sz w:val="32"/>
        </w:rPr>
        <w:pict>
          <v:shape id="文本框 6" o:spid="_x0000_s1028" o:spt="202" type="#_x0000_t202" style="position:absolute;left:0pt;margin-left:35.75pt;margin-top:6.95pt;height:200.65pt;width:330.6pt;mso-wrap-style:none;z-index:251662336;mso-width-relative:page;mso-height-relative:page;" stroked="f" coordsize="21600,21600" o:gfxdata="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ALAR2QAAAAkBAAAPAAAAAAAAAAEA&#10;IAAAACIAAABkcnMvZG93bnJldi54bWxQSwECFAAUAAAACACHTuJAo+WYKNUBAACeAwAADgAAAAAA&#10;AAABACAAAAAoAQAAZHJzL2Uyb0RvYy54bWxQSwUGAAAAAAYABgBZAQAAbwUAAAAA&#10;">
            <v:path/>
            <v:fill focussize="0,0"/>
            <v:stroke on="f" joinstyle="miter"/>
            <v:imagedata o:title=""/>
            <o:lock v:ext="edit"/>
            <v:textbox style="mso-fit-shape-to-text:t;">
              <w:txbxContent>
                <w:p w14:paraId="7402059F">
                  <w:r>
                    <w:drawing>
                      <wp:inline distT="0" distB="0" distL="114300" distR="114300">
                        <wp:extent cx="3992245" cy="2030730"/>
                        <wp:effectExtent l="5080" t="4445" r="22225" b="22225"/>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p>
    <w:p w14:paraId="64C82519">
      <w:pPr>
        <w:spacing w:line="600" w:lineRule="exact"/>
        <w:ind w:firstLine="640" w:firstLineChars="200"/>
        <w:rPr>
          <w:rFonts w:ascii="仿宋" w:hAnsi="仿宋" w:eastAsia="仿宋" w:cs="仿宋"/>
          <w:color w:val="000000"/>
          <w:sz w:val="32"/>
          <w:szCs w:val="32"/>
        </w:rPr>
      </w:pPr>
    </w:p>
    <w:p w14:paraId="143E10E5">
      <w:pPr>
        <w:spacing w:line="600" w:lineRule="exact"/>
        <w:ind w:firstLine="640" w:firstLineChars="200"/>
        <w:rPr>
          <w:rFonts w:ascii="仿宋" w:hAnsi="仿宋" w:eastAsia="仿宋" w:cs="仿宋"/>
          <w:color w:val="000000"/>
          <w:sz w:val="32"/>
          <w:szCs w:val="32"/>
        </w:rPr>
      </w:pPr>
    </w:p>
    <w:p w14:paraId="301C20BC">
      <w:pPr>
        <w:spacing w:line="600" w:lineRule="exact"/>
        <w:ind w:firstLine="640" w:firstLineChars="200"/>
        <w:rPr>
          <w:rFonts w:ascii="仿宋" w:hAnsi="仿宋" w:eastAsia="仿宋" w:cs="仿宋"/>
          <w:color w:val="000000"/>
          <w:sz w:val="32"/>
          <w:szCs w:val="32"/>
        </w:rPr>
      </w:pPr>
    </w:p>
    <w:p w14:paraId="6762BB3D">
      <w:pPr>
        <w:spacing w:line="600" w:lineRule="exact"/>
        <w:rPr>
          <w:rFonts w:ascii="仿宋" w:hAnsi="仿宋" w:eastAsia="仿宋" w:cs="仿宋"/>
          <w:color w:val="000000"/>
          <w:sz w:val="32"/>
          <w:szCs w:val="32"/>
        </w:rPr>
      </w:pPr>
    </w:p>
    <w:p w14:paraId="6D319A4D">
      <w:pPr>
        <w:spacing w:line="600" w:lineRule="exact"/>
        <w:rPr>
          <w:rFonts w:ascii="仿宋" w:hAnsi="仿宋" w:eastAsia="仿宋" w:cs="仿宋"/>
          <w:color w:val="000000"/>
          <w:sz w:val="32"/>
          <w:szCs w:val="32"/>
        </w:rPr>
      </w:pPr>
    </w:p>
    <w:p w14:paraId="1560A14D">
      <w:pPr>
        <w:spacing w:line="600" w:lineRule="exact"/>
        <w:ind w:firstLine="640" w:firstLineChars="200"/>
        <w:outlineLvl w:val="2"/>
        <w:rPr>
          <w:rFonts w:ascii="仿宋" w:hAnsi="仿宋" w:eastAsia="仿宋" w:cs="仿宋"/>
          <w:color w:val="000000"/>
          <w:sz w:val="32"/>
          <w:szCs w:val="32"/>
        </w:rPr>
      </w:pPr>
      <w:bookmarkStart w:id="35" w:name="_Toc15377211"/>
      <w:r>
        <w:rPr>
          <w:rFonts w:hint="eastAsia" w:ascii="仿宋" w:hAnsi="仿宋" w:eastAsia="仿宋" w:cs="仿宋"/>
          <w:color w:val="000000"/>
          <w:sz w:val="32"/>
          <w:szCs w:val="32"/>
        </w:rPr>
        <w:t>（二）一般公共预算财政拨款支出决算结构情况</w:t>
      </w:r>
      <w:bookmarkEnd w:id="35"/>
    </w:p>
    <w:p w14:paraId="5DE6BC00">
      <w:pPr>
        <w:spacing w:line="600" w:lineRule="exact"/>
        <w:ind w:firstLine="64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2018</w:t>
      </w:r>
      <w:r>
        <w:rPr>
          <w:rFonts w:hint="eastAsia" w:ascii="仿宋_GB2312" w:hAnsi="宋体" w:eastAsia="仿宋_GB2312" w:cs="宋体"/>
          <w:color w:val="000000"/>
          <w:kern w:val="0"/>
          <w:sz w:val="32"/>
          <w:szCs w:val="32"/>
          <w:shd w:val="clear" w:color="auto" w:fill="FFFFFF"/>
        </w:rPr>
        <w:t>年一般公共预算财政拨款支出4188.35万元，主要用于以下方面</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一般公共服务支出</w:t>
      </w:r>
      <w:r>
        <w:rPr>
          <w:rFonts w:hint="eastAsia" w:ascii="仿宋_GB2312" w:hAnsi="宋体" w:eastAsia="仿宋_GB2312" w:cs="宋体"/>
          <w:color w:val="000000"/>
          <w:kern w:val="0"/>
          <w:sz w:val="32"/>
          <w:szCs w:val="32"/>
          <w:shd w:val="clear" w:color="auto" w:fill="FFFFFF"/>
        </w:rPr>
        <w:t>526.14万元，占12.56</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教育支出支出</w:t>
      </w:r>
      <w:r>
        <w:rPr>
          <w:rFonts w:hint="eastAsia" w:ascii="仿宋_GB2312" w:hAnsi="宋体" w:eastAsia="仿宋_GB2312" w:cs="宋体"/>
          <w:color w:val="000000"/>
          <w:kern w:val="0"/>
          <w:sz w:val="32"/>
          <w:szCs w:val="32"/>
          <w:shd w:val="clear" w:color="auto" w:fill="FFFFFF"/>
        </w:rPr>
        <w:t>0.45万元，占0.014</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社会保障和就业支出</w:t>
      </w:r>
      <w:r>
        <w:rPr>
          <w:rFonts w:hint="eastAsia" w:ascii="仿宋_GB2312" w:hAnsi="宋体" w:eastAsia="仿宋_GB2312" w:cs="宋体"/>
          <w:color w:val="000000"/>
          <w:kern w:val="0"/>
          <w:sz w:val="32"/>
          <w:szCs w:val="32"/>
          <w:shd w:val="clear" w:color="auto" w:fill="FFFFFF"/>
        </w:rPr>
        <w:t>2957.78万元，占70.62</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医疗卫生和计划生育支出</w:t>
      </w:r>
      <w:r>
        <w:rPr>
          <w:rFonts w:hint="eastAsia" w:ascii="仿宋_GB2312" w:hAnsi="宋体" w:eastAsia="仿宋_GB2312" w:cs="宋体"/>
          <w:color w:val="000000"/>
          <w:kern w:val="0"/>
          <w:sz w:val="32"/>
          <w:szCs w:val="32"/>
          <w:shd w:val="clear" w:color="auto" w:fill="FFFFFF"/>
        </w:rPr>
        <w:t>577.33万元，占13.79</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住房保障支出</w:t>
      </w:r>
      <w:r>
        <w:rPr>
          <w:rFonts w:hint="eastAsia" w:ascii="仿宋_GB2312" w:hAnsi="宋体" w:eastAsia="仿宋_GB2312" w:cs="宋体"/>
          <w:color w:val="000000"/>
          <w:kern w:val="0"/>
          <w:sz w:val="32"/>
          <w:szCs w:val="32"/>
          <w:shd w:val="clear" w:color="auto" w:fill="FFFFFF"/>
        </w:rPr>
        <w:t>126.65万元，占3.02</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。见图</w:t>
      </w:r>
      <w:r>
        <w:rPr>
          <w:rFonts w:ascii="仿宋_GB2312" w:hAnsi="宋体" w:eastAsia="仿宋_GB2312" w:cs="宋体"/>
          <w:color w:val="000000"/>
          <w:kern w:val="0"/>
          <w:sz w:val="32"/>
          <w:szCs w:val="32"/>
          <w:shd w:val="clear" w:color="auto" w:fill="FFFFFF"/>
        </w:rPr>
        <w:t>6</w:t>
      </w:r>
      <w:r>
        <w:rPr>
          <w:rFonts w:hint="eastAsia" w:ascii="仿宋_GB2312" w:hAnsi="宋体" w:eastAsia="仿宋_GB2312" w:cs="宋体"/>
          <w:color w:val="000000"/>
          <w:kern w:val="0"/>
          <w:sz w:val="32"/>
          <w:szCs w:val="32"/>
          <w:shd w:val="clear" w:color="auto" w:fill="FFFFFF"/>
        </w:rPr>
        <w:t>：一般公共预算财政拨款支出决算结构。</w:t>
      </w:r>
    </w:p>
    <w:p w14:paraId="7CDE1D37">
      <w:pPr>
        <w:spacing w:line="600" w:lineRule="exact"/>
        <w:ind w:firstLine="640" w:firstLineChars="200"/>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pict>
          <v:shape id="文本框 7" o:spid="_x0000_s1027" o:spt="202" type="#_x0000_t202" style="position:absolute;left:0pt;margin-left:28.55pt;margin-top:2.4pt;height:154.8pt;width:351.55pt;z-index:251663360;mso-width-relative:page;mso-height-relative:page;" stroked="f" coordsize="21600,21600" o:gfxdata="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lvWVHXAAAACAEAAA8AAAAAAAAAAQAgAAAAIgAAAGRycy9kb3ducmV2&#10;LnhtbFBLAQIUABQAAAAIAIdO4kBGRZHpxAEAAHgDAAAOAAAAAAAAAAEAIAAAACYBAABkcnMvZTJv&#10;RG9jLnhtbFBLBQYAAAAABgAGAFkBAABcBQAAAAA=&#10;">
            <v:path/>
            <v:fill focussize="0,0"/>
            <v:stroke on="f" joinstyle="miter"/>
            <v:imagedata o:title=""/>
            <o:lock v:ext="edit"/>
            <v:textbox>
              <w:txbxContent>
                <w:p w14:paraId="1BABF937">
                  <w:r>
                    <w:drawing>
                      <wp:inline distT="0" distB="0" distL="114300" distR="114300">
                        <wp:extent cx="4173220" cy="1747520"/>
                        <wp:effectExtent l="4445" t="5080" r="13335" b="1905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4EDDC0"/>
                <w:p w14:paraId="25C9187E"/>
              </w:txbxContent>
            </v:textbox>
          </v:shape>
        </w:pict>
      </w:r>
    </w:p>
    <w:p w14:paraId="6C34E393">
      <w:pPr>
        <w:spacing w:line="600" w:lineRule="exact"/>
        <w:ind w:firstLine="640" w:firstLineChars="200"/>
        <w:rPr>
          <w:rFonts w:ascii="仿宋_GB2312" w:hAnsi="宋体" w:eastAsia="仿宋_GB2312" w:cs="宋体"/>
          <w:color w:val="000000"/>
          <w:kern w:val="0"/>
          <w:sz w:val="32"/>
          <w:szCs w:val="32"/>
          <w:shd w:val="clear" w:color="auto" w:fill="FFFFFF"/>
        </w:rPr>
      </w:pPr>
    </w:p>
    <w:p w14:paraId="164C01CB">
      <w:pPr>
        <w:spacing w:line="600" w:lineRule="exact"/>
        <w:ind w:firstLine="640" w:firstLineChars="200"/>
        <w:rPr>
          <w:rFonts w:ascii="仿宋" w:hAnsi="仿宋" w:eastAsia="仿宋"/>
          <w:color w:val="000000"/>
          <w:sz w:val="32"/>
          <w:szCs w:val="32"/>
        </w:rPr>
      </w:pPr>
    </w:p>
    <w:p w14:paraId="78040136">
      <w:pPr>
        <w:spacing w:line="600" w:lineRule="exact"/>
        <w:ind w:firstLine="640" w:firstLineChars="200"/>
        <w:rPr>
          <w:rFonts w:ascii="仿宋" w:hAnsi="仿宋" w:eastAsia="仿宋"/>
          <w:color w:val="000000"/>
          <w:sz w:val="32"/>
          <w:szCs w:val="32"/>
        </w:rPr>
      </w:pPr>
    </w:p>
    <w:p w14:paraId="375B38CD">
      <w:pPr>
        <w:spacing w:line="600" w:lineRule="exact"/>
        <w:outlineLvl w:val="2"/>
        <w:rPr>
          <w:rFonts w:ascii="仿宋" w:hAnsi="仿宋" w:eastAsia="仿宋" w:cs="仿宋"/>
          <w:b/>
          <w:bCs/>
          <w:color w:val="000000"/>
          <w:sz w:val="32"/>
          <w:szCs w:val="32"/>
        </w:rPr>
      </w:pPr>
      <w:bookmarkStart w:id="36" w:name="_Toc15377212"/>
    </w:p>
    <w:p w14:paraId="1E1B06BB">
      <w:pPr>
        <w:spacing w:line="600" w:lineRule="exact"/>
        <w:ind w:firstLine="643" w:firstLineChars="200"/>
        <w:outlineLvl w:val="2"/>
        <w:rPr>
          <w:rFonts w:ascii="仿宋" w:hAnsi="仿宋" w:eastAsia="仿宋" w:cs="仿宋"/>
          <w:b/>
          <w:bCs/>
          <w:color w:val="000000"/>
          <w:sz w:val="32"/>
          <w:szCs w:val="32"/>
        </w:rPr>
      </w:pPr>
      <w:r>
        <w:rPr>
          <w:rFonts w:hint="eastAsia" w:ascii="仿宋" w:hAnsi="仿宋" w:eastAsia="仿宋" w:cs="仿宋"/>
          <w:b/>
          <w:bCs/>
          <w:color w:val="000000"/>
          <w:sz w:val="32"/>
          <w:szCs w:val="32"/>
        </w:rPr>
        <w:t>（三）一般公共预算财政拨款支出决算具体情况</w:t>
      </w:r>
      <w:bookmarkEnd w:id="36"/>
      <w:bookmarkStart w:id="37" w:name="_Toc15377213"/>
      <w:bookmarkStart w:id="38" w:name="_Toc15377444"/>
      <w:bookmarkStart w:id="39" w:name="_Toc15378460"/>
    </w:p>
    <w:p w14:paraId="01618D6B">
      <w:pPr>
        <w:spacing w:line="600" w:lineRule="exact"/>
        <w:ind w:firstLine="643" w:firstLineChars="200"/>
        <w:outlineLvl w:val="2"/>
        <w:rPr>
          <w:rFonts w:ascii="仿宋_GB2312" w:hAnsi="宋体" w:eastAsia="仿宋_GB2312" w:cs="宋体"/>
          <w:b/>
          <w:color w:val="000000"/>
          <w:kern w:val="0"/>
          <w:sz w:val="32"/>
          <w:szCs w:val="32"/>
          <w:shd w:val="clear" w:color="auto" w:fill="FFFFFF"/>
        </w:rPr>
      </w:pPr>
      <w:r>
        <w:rPr>
          <w:rFonts w:ascii="仿宋_GB2312" w:hAnsi="宋体" w:eastAsia="仿宋_GB2312" w:cs="宋体"/>
          <w:b/>
          <w:color w:val="000000"/>
          <w:kern w:val="0"/>
          <w:sz w:val="32"/>
          <w:szCs w:val="32"/>
          <w:shd w:val="clear" w:color="auto" w:fill="FFFFFF"/>
        </w:rPr>
        <w:t>2018</w:t>
      </w:r>
      <w:r>
        <w:rPr>
          <w:rFonts w:hint="eastAsia" w:ascii="仿宋_GB2312" w:hAnsi="宋体" w:eastAsia="仿宋_GB2312" w:cs="宋体"/>
          <w:b/>
          <w:color w:val="000000"/>
          <w:kern w:val="0"/>
          <w:sz w:val="32"/>
          <w:szCs w:val="32"/>
          <w:shd w:val="clear" w:color="auto" w:fill="FFFFFF"/>
        </w:rPr>
        <w:t>年般公共预算支出决算数为4188.35，完成预算94.04</w:t>
      </w:r>
      <w:r>
        <w:rPr>
          <w:rFonts w:ascii="仿宋_GB2312" w:hAnsi="宋体" w:eastAsia="仿宋_GB2312" w:cs="宋体"/>
          <w:b/>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。其中：</w:t>
      </w:r>
      <w:bookmarkEnd w:id="37"/>
      <w:bookmarkEnd w:id="38"/>
      <w:bookmarkEnd w:id="39"/>
    </w:p>
    <w:p w14:paraId="73101F86">
      <w:pPr>
        <w:spacing w:line="60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1. 一般公共服务-人力资源事务-军队转业干部安置（2011006）：</w:t>
      </w:r>
      <w:r>
        <w:rPr>
          <w:rFonts w:hint="eastAsia" w:ascii="仿宋_GB2312" w:hAnsi="宋体" w:eastAsia="仿宋_GB2312" w:cs="宋体"/>
          <w:color w:val="000000"/>
          <w:kern w:val="0"/>
          <w:sz w:val="32"/>
          <w:szCs w:val="32"/>
          <w:shd w:val="clear" w:color="auto" w:fill="FFFFFF"/>
        </w:rPr>
        <w:t>2018年决算数为228.72万元，完成预算数94.54%，该项目主要是企业军转干补助、自主择业军转干工作经费支出。</w:t>
      </w:r>
    </w:p>
    <w:p w14:paraId="5CEEC98E">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2.一般公共服务-人力资源事务-其他人力资源事务（2011099）:</w:t>
      </w:r>
      <w:r>
        <w:rPr>
          <w:rFonts w:hint="eastAsia" w:ascii="仿宋_GB2312" w:hAnsi="宋体" w:eastAsia="仿宋_GB2312" w:cs="宋体"/>
          <w:color w:val="000000"/>
          <w:kern w:val="0"/>
          <w:sz w:val="32"/>
          <w:szCs w:val="32"/>
          <w:shd w:val="clear" w:color="auto" w:fill="FFFFFF"/>
        </w:rPr>
        <w:t>2018年决算数为297.78万元，完成预算99.88%，与预算基本持平。该项支出主要是三支一扶人员工资福利支出。</w:t>
      </w:r>
    </w:p>
    <w:p w14:paraId="75EA51F6">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3.教育-职业教育-中专教育（2050302）:</w:t>
      </w:r>
      <w:r>
        <w:rPr>
          <w:rFonts w:hint="eastAsia" w:ascii="仿宋_GB2312" w:hAnsi="宋体" w:eastAsia="仿宋_GB2312" w:cs="宋体"/>
          <w:color w:val="000000"/>
          <w:kern w:val="0"/>
          <w:sz w:val="32"/>
          <w:szCs w:val="32"/>
          <w:shd w:val="clear" w:color="auto" w:fill="FFFFFF"/>
        </w:rPr>
        <w:t>2018年决算数为0.45万元，完成预算100%，与预算数持平。</w:t>
      </w:r>
    </w:p>
    <w:p w14:paraId="37E82A2E">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4.社会保障和就业-人力资源和社会保障-行政运行（2080101）:</w:t>
      </w:r>
      <w:r>
        <w:rPr>
          <w:rFonts w:hint="eastAsia" w:ascii="仿宋_GB2312" w:hAnsi="宋体" w:eastAsia="仿宋_GB2312" w:cs="宋体"/>
          <w:color w:val="000000"/>
          <w:kern w:val="0"/>
          <w:sz w:val="32"/>
          <w:szCs w:val="32"/>
          <w:shd w:val="clear" w:color="auto" w:fill="FFFFFF"/>
        </w:rPr>
        <w:t>2018年决算数为1924.85万元，完成预算90.98%，涉及工作跨年开展及结算。</w:t>
      </w:r>
    </w:p>
    <w:p w14:paraId="15AFCFED">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社会保障和就业-人力资源和社会保障-一般行政管理事务（2080102）：</w:t>
      </w:r>
      <w:r>
        <w:rPr>
          <w:rFonts w:hint="eastAsia" w:ascii="仿宋_GB2312" w:hAnsi="宋体" w:eastAsia="仿宋_GB2312" w:cs="宋体"/>
          <w:color w:val="000000"/>
          <w:kern w:val="0"/>
          <w:sz w:val="32"/>
          <w:szCs w:val="32"/>
          <w:shd w:val="clear" w:color="auto" w:fill="FFFFFF"/>
        </w:rPr>
        <w:t>2018年决算数为26.45万元，完成预算100%。</w:t>
      </w:r>
    </w:p>
    <w:p w14:paraId="7FBBC493">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社会保障和就业-人力资源和社会保障-综合业务管理（2080104）:</w:t>
      </w:r>
      <w:r>
        <w:rPr>
          <w:rFonts w:hint="eastAsia" w:ascii="仿宋_GB2312" w:hAnsi="宋体" w:eastAsia="仿宋_GB2312" w:cs="宋体"/>
          <w:color w:val="000000"/>
          <w:kern w:val="0"/>
          <w:sz w:val="32"/>
          <w:szCs w:val="32"/>
          <w:shd w:val="clear" w:color="auto" w:fill="FFFFFF"/>
        </w:rPr>
        <w:t>2018年决算数为30.03万元，完成预算78.41%。原因为：公务员、事业人员数字档案整理工作跨年开展、跨年结算。</w:t>
      </w:r>
    </w:p>
    <w:p w14:paraId="796C3A5E">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社会保障和就业-人力资源和社会保障-就业管理事务（2080106）:</w:t>
      </w:r>
      <w:r>
        <w:rPr>
          <w:rFonts w:hint="eastAsia" w:ascii="仿宋_GB2312" w:hAnsi="宋体" w:eastAsia="仿宋_GB2312" w:cs="宋体"/>
          <w:color w:val="000000"/>
          <w:kern w:val="0"/>
          <w:sz w:val="32"/>
          <w:szCs w:val="32"/>
          <w:shd w:val="clear" w:color="auto" w:fill="FFFFFF"/>
        </w:rPr>
        <w:t>2018年决算数为8.33万元，完成预算100%。</w:t>
      </w:r>
    </w:p>
    <w:p w14:paraId="2343217F">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社会保障和就业-人力资源和社会保障-社会保险经办机构（2080109）:</w:t>
      </w:r>
      <w:r>
        <w:rPr>
          <w:rFonts w:hint="eastAsia" w:ascii="仿宋_GB2312" w:hAnsi="宋体" w:eastAsia="仿宋_GB2312" w:cs="宋体"/>
          <w:color w:val="000000"/>
          <w:kern w:val="0"/>
          <w:sz w:val="32"/>
          <w:szCs w:val="32"/>
          <w:shd w:val="clear" w:color="auto" w:fill="FFFFFF"/>
        </w:rPr>
        <w:t>2018年决算数为309.73万元，完成预算96.58%。</w:t>
      </w:r>
    </w:p>
    <w:p w14:paraId="65B8FCC2">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社会保障和就业-人力资源和社会保障-其他人力资源和社会保障管理事务支出（2080199）：</w:t>
      </w:r>
      <w:r>
        <w:rPr>
          <w:rFonts w:hint="eastAsia" w:ascii="仿宋_GB2312" w:hAnsi="宋体" w:eastAsia="仿宋_GB2312" w:cs="宋体"/>
          <w:color w:val="000000"/>
          <w:kern w:val="0"/>
          <w:sz w:val="32"/>
          <w:szCs w:val="32"/>
          <w:shd w:val="clear" w:color="auto" w:fill="FFFFFF"/>
        </w:rPr>
        <w:t>2018年决算数为408.73万元，完成预算94.31%。</w:t>
      </w:r>
    </w:p>
    <w:p w14:paraId="310850AD">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社会保障和就业-行政事业单位离退休-其未归口管理的行政单位离退休（2080504）：</w:t>
      </w:r>
      <w:r>
        <w:rPr>
          <w:rFonts w:hint="eastAsia" w:ascii="仿宋_GB2312" w:hAnsi="宋体" w:eastAsia="仿宋_GB2312" w:cs="宋体"/>
          <w:color w:val="000000"/>
          <w:kern w:val="0"/>
          <w:sz w:val="32"/>
          <w:szCs w:val="32"/>
          <w:shd w:val="clear" w:color="auto" w:fill="FFFFFF"/>
        </w:rPr>
        <w:t>2018年决算数为57.42万元，完成预算100%。</w:t>
      </w:r>
    </w:p>
    <w:p w14:paraId="67E72963">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社会保障和就业-行政事业单位离退休-机关事业单位基本养老保险缴费支出（2080505）：</w:t>
      </w:r>
      <w:r>
        <w:rPr>
          <w:rFonts w:hint="eastAsia" w:ascii="仿宋_GB2312" w:hAnsi="宋体" w:eastAsia="仿宋_GB2312" w:cs="宋体"/>
          <w:color w:val="000000"/>
          <w:kern w:val="0"/>
          <w:sz w:val="32"/>
          <w:szCs w:val="32"/>
          <w:shd w:val="clear" w:color="auto" w:fill="FFFFFF"/>
        </w:rPr>
        <w:t>2018年决算数为137.32万元，完成预算100%。</w:t>
      </w:r>
    </w:p>
    <w:p w14:paraId="3F4CFB66">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社会保障和就业-行政事业单位离退休-机关事业单位职业年金缴费支出（2080506）：</w:t>
      </w:r>
      <w:r>
        <w:rPr>
          <w:rFonts w:hint="eastAsia" w:ascii="仿宋_GB2312" w:hAnsi="宋体" w:eastAsia="仿宋_GB2312" w:cs="宋体"/>
          <w:color w:val="000000"/>
          <w:kern w:val="0"/>
          <w:sz w:val="32"/>
          <w:szCs w:val="32"/>
          <w:shd w:val="clear" w:color="auto" w:fill="FFFFFF"/>
        </w:rPr>
        <w:t>2018年决算数为54.93万元，完成预算100%。</w:t>
      </w:r>
    </w:p>
    <w:p w14:paraId="2B502437">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5.医疗卫生与计划生育-医疗保障-行政单位医疗（2101101）:</w:t>
      </w:r>
      <w:r>
        <w:rPr>
          <w:rFonts w:hint="eastAsia" w:ascii="仿宋_GB2312" w:hAnsi="宋体" w:eastAsia="仿宋_GB2312" w:cs="宋体"/>
          <w:color w:val="000000"/>
          <w:kern w:val="0"/>
          <w:sz w:val="32"/>
          <w:szCs w:val="32"/>
          <w:shd w:val="clear" w:color="auto" w:fill="FFFFFF"/>
        </w:rPr>
        <w:t xml:space="preserve">2018年决算数为231.76万元，完成预算100%。  </w:t>
      </w:r>
    </w:p>
    <w:p w14:paraId="6D1565B8">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医疗卫生与计划生育-医疗保障-公务员医疗补助（2101103）:</w:t>
      </w:r>
      <w:r>
        <w:rPr>
          <w:rFonts w:hint="eastAsia" w:ascii="仿宋_GB2312" w:hAnsi="宋体" w:eastAsia="仿宋_GB2312" w:cs="宋体"/>
          <w:color w:val="000000"/>
          <w:kern w:val="0"/>
          <w:sz w:val="32"/>
          <w:szCs w:val="32"/>
          <w:shd w:val="clear" w:color="auto" w:fill="FFFFFF"/>
        </w:rPr>
        <w:t xml:space="preserve">2018年决算数为21.6万元，完成预算100%。        </w:t>
      </w:r>
    </w:p>
    <w:p w14:paraId="3CEA91ED">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医疗卫生与计划生育-医疗保障-其他行政事业单位医疗支出（2101199）:</w:t>
      </w:r>
      <w:r>
        <w:rPr>
          <w:rFonts w:hint="eastAsia" w:ascii="仿宋_GB2312" w:hAnsi="宋体" w:eastAsia="仿宋_GB2312" w:cs="宋体"/>
          <w:color w:val="000000"/>
          <w:kern w:val="0"/>
          <w:sz w:val="32"/>
          <w:szCs w:val="32"/>
          <w:shd w:val="clear" w:color="auto" w:fill="FFFFFF"/>
        </w:rPr>
        <w:t>2018年决算数为3.2万元，完成预算100%。</w:t>
      </w:r>
    </w:p>
    <w:p w14:paraId="012B9879">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医疗卫生与计划生育-其他医疗卫生与计划生育-其他医疗卫生与计划生育（2109901）:</w:t>
      </w:r>
      <w:r>
        <w:rPr>
          <w:rFonts w:hint="eastAsia" w:ascii="仿宋_GB2312" w:hAnsi="宋体" w:eastAsia="仿宋_GB2312" w:cs="宋体"/>
          <w:color w:val="000000"/>
          <w:kern w:val="0"/>
          <w:sz w:val="32"/>
          <w:szCs w:val="32"/>
          <w:shd w:val="clear" w:color="auto" w:fill="FFFFFF"/>
        </w:rPr>
        <w:t>2018年决算数为320.77万元，完成预算100%。</w:t>
      </w:r>
    </w:p>
    <w:p w14:paraId="63C7711E">
      <w:pPr>
        <w:spacing w:line="600" w:lineRule="exact"/>
        <w:ind w:firstLine="643" w:firstLineChars="200"/>
        <w:outlineLvl w:val="2"/>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color w:val="000000"/>
          <w:kern w:val="0"/>
          <w:sz w:val="32"/>
          <w:szCs w:val="32"/>
          <w:shd w:val="clear" w:color="auto" w:fill="FFFFFF"/>
        </w:rPr>
        <w:t>6.住房保障支出-住房改革支出-住房公积金（2210201）：</w:t>
      </w:r>
      <w:r>
        <w:rPr>
          <w:rFonts w:hint="eastAsia" w:ascii="仿宋_GB2312" w:hAnsi="宋体" w:eastAsia="仿宋_GB2312" w:cs="宋体"/>
          <w:color w:val="000000"/>
          <w:kern w:val="0"/>
          <w:sz w:val="32"/>
          <w:szCs w:val="32"/>
          <w:shd w:val="clear" w:color="auto" w:fill="FFFFFF"/>
        </w:rPr>
        <w:t xml:space="preserve"> 2018年决算数为126.65万元，完成预算100%。</w:t>
      </w:r>
    </w:p>
    <w:p w14:paraId="1EEC0BF6">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40"/>
      <w:bookmarkEnd w:id="41"/>
      <w:r>
        <w:rPr>
          <w:rStyle w:val="17"/>
          <w:rFonts w:ascii="黑体" w:hAnsi="黑体" w:eastAsia="黑体" w:cs="Times New Roman"/>
          <w:b w:val="0"/>
          <w:bCs w:val="0"/>
        </w:rPr>
        <w:tab/>
      </w:r>
    </w:p>
    <w:p w14:paraId="3E291772">
      <w:pPr>
        <w:spacing w:line="600" w:lineRule="exact"/>
        <w:ind w:firstLine="645"/>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广汉市人社局2018年一般公共预算财政拨款基本支出3567.81万元，其中：</w:t>
      </w:r>
    </w:p>
    <w:p w14:paraId="64823B89">
      <w:pPr>
        <w:spacing w:line="600" w:lineRule="exact"/>
        <w:ind w:firstLine="645"/>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人员经费2876.97万元，主要包括：基本工资367.01万元、津贴补贴324.69万元、奖金365.09万元、机关事业单位基本养老保险缴费137.32万元、职业年金缴费54.93万元、职工基本医疗保险缴费48.04万元、其他社会保障缴费38.42万元、住房公积金126.65万元、其他工资福利支出9.01万元、离休费13.45万元、生活补助310.08万元、医疗费补助539.25万元、奖励金508.05万元、其他对个人和家庭的补助支出34.98万元。</w:t>
      </w:r>
      <w:r>
        <w:rPr>
          <w:rFonts w:hint="eastAsia" w:ascii="仿宋_GB2312" w:hAnsi="宋体" w:eastAsia="仿宋_GB2312" w:cs="宋体"/>
          <w:color w:val="000000"/>
          <w:kern w:val="0"/>
          <w:sz w:val="32"/>
          <w:szCs w:val="32"/>
          <w:shd w:val="clear" w:color="auto" w:fill="FFFFFF"/>
        </w:rPr>
        <w:br w:type="textWrapping"/>
      </w:r>
      <w:r>
        <w:rPr>
          <w:rFonts w:hint="eastAsia" w:ascii="仿宋_GB2312" w:hAnsi="宋体" w:eastAsia="仿宋_GB2312" w:cs="宋体"/>
          <w:color w:val="000000"/>
          <w:kern w:val="0"/>
          <w:sz w:val="32"/>
          <w:szCs w:val="32"/>
          <w:shd w:val="clear" w:color="auto" w:fill="FFFFFF"/>
        </w:rPr>
        <w:t>　　公用经费690.84万元，主要包括：办公费49.24万元、印刷费8.72万元、手续费0.19万元、水费4.23万元、电费16.96万元、邮电费23.08万元、物业管理费27.27万元、差旅费8.48万元、维修（护）费25.25万元、培训费1.24万元、公务接待费2.04万元、专用材料费2.27万元、劳务费83.4万元、工会经费17.7万元、福利费4.19万元、其他交通费40.9万元、其他商品和服务支出371.68、办公设备购置4万元</w:t>
      </w:r>
    </w:p>
    <w:p w14:paraId="659803A5">
      <w:pPr>
        <w:spacing w:line="600" w:lineRule="exact"/>
        <w:ind w:firstLine="640"/>
        <w:outlineLvl w:val="1"/>
        <w:rPr>
          <w:rStyle w:val="17"/>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2"/>
      <w:bookmarkEnd w:id="43"/>
    </w:p>
    <w:p w14:paraId="6824B726">
      <w:pPr>
        <w:spacing w:line="600" w:lineRule="exact"/>
        <w:ind w:firstLine="640"/>
        <w:outlineLvl w:val="2"/>
        <w:rPr>
          <w:rFonts w:ascii="仿宋" w:hAnsi="仿宋" w:eastAsia="仿宋" w:cs="仿宋"/>
          <w:color w:val="000000"/>
          <w:sz w:val="32"/>
          <w:szCs w:val="32"/>
        </w:rPr>
      </w:pPr>
      <w:bookmarkStart w:id="44" w:name="_Toc15377216"/>
      <w:r>
        <w:rPr>
          <w:rFonts w:hint="eastAsia" w:ascii="仿宋" w:hAnsi="仿宋" w:eastAsia="仿宋" w:cs="仿宋"/>
          <w:color w:val="000000"/>
          <w:sz w:val="32"/>
          <w:szCs w:val="32"/>
        </w:rPr>
        <w:t>（一）“三公”经费财政拨款支出决算总体情况说明</w:t>
      </w:r>
      <w:bookmarkEnd w:id="44"/>
    </w:p>
    <w:p w14:paraId="0E40137A">
      <w:pPr>
        <w:spacing w:line="600" w:lineRule="exact"/>
        <w:ind w:firstLine="64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广汉市人社局2018年度“三公”经费财政拨款支出决算为2.04万元，完成预算12.75%，其中；公务用车运行维护费支出决算数0万元，原因为2016年公车改革后，所有公车由国资统一管理安排，单位根据国资文件对公车进行核减，在实际账务处理中按照上级财政要求，将发生的相关车辆运行维护费在“其他交通费用”中列支，因此决算中公务用车运行维护费决算数为0，而每年财政根据公车改革时单位保留的2辆公车安排预算6万元，实际2018年该2辆公车的汽油、保险等方面的运行维护费为6.4万元，完成预算的106.67%；公务接待费支出决算为2.04元，完成预算20.4%，原因为贯彻中央八项规定，按照厉行节约的要求，严格执行接待规定，降低接待标准。 </w:t>
      </w:r>
    </w:p>
    <w:p w14:paraId="5937B9FA">
      <w:pPr>
        <w:spacing w:line="600" w:lineRule="exact"/>
        <w:ind w:firstLine="64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2018年度“三公”经费财政拨款支出决算数2.04万元，比2017年决算数9.59万元减少7.55万元，下降78.73%，其中：公务用车购置及运行维护费支出决算减少6.37万元，原因为2016年公车改革后，所有公车由国资统一管理安排，单位根据国资文件对公车进行核减，在实际账务处理中按照上级财政要求，将发生的相关车辆运行维护费在“其他交通费用”中列支，因此决算中公务用车运行维护费决算数为0，实际2018年该2辆公车的汽油、保险等方面的运行维护费为6.4万元，与2017年基本持平；公务接待费支出决算减少1.18万元，减少36.65 %，原因为公务接待厉行节约减少相关开支。 </w:t>
      </w:r>
    </w:p>
    <w:p w14:paraId="29A99734">
      <w:pPr>
        <w:spacing w:line="600" w:lineRule="exact"/>
        <w:ind w:firstLine="640"/>
        <w:outlineLvl w:val="2"/>
        <w:rPr>
          <w:rFonts w:ascii="仿宋" w:hAnsi="仿宋" w:eastAsia="仿宋" w:cs="仿宋"/>
          <w:color w:val="000000"/>
          <w:sz w:val="32"/>
          <w:szCs w:val="32"/>
        </w:rPr>
      </w:pPr>
      <w:bookmarkStart w:id="45" w:name="_Toc15377217"/>
      <w:r>
        <w:rPr>
          <w:rFonts w:hint="eastAsia" w:ascii="仿宋" w:hAnsi="仿宋" w:eastAsia="仿宋" w:cs="仿宋"/>
          <w:color w:val="000000"/>
          <w:sz w:val="32"/>
          <w:szCs w:val="32"/>
        </w:rPr>
        <w:t>（二）“三公”经费财政拨款支出决算具体情况说明</w:t>
      </w:r>
      <w:bookmarkEnd w:id="45"/>
    </w:p>
    <w:p w14:paraId="1AE7176B">
      <w:pPr>
        <w:spacing w:line="600" w:lineRule="exact"/>
        <w:ind w:firstLine="640"/>
        <w:rPr>
          <w:rFonts w:ascii="仿宋_GB2312" w:hAnsi="宋体" w:eastAsia="仿宋_GB2312" w:cs="宋体"/>
          <w:b/>
          <w:color w:val="000000"/>
          <w:kern w:val="0"/>
          <w:sz w:val="32"/>
          <w:szCs w:val="32"/>
          <w:shd w:val="clear" w:color="auto" w:fill="FFFFFF"/>
        </w:rPr>
      </w:pPr>
      <w:r>
        <w:rPr>
          <w:rFonts w:ascii="仿宋_GB2312" w:hAnsi="宋体" w:eastAsia="仿宋_GB2312" w:cs="宋体"/>
          <w:b/>
          <w:color w:val="000000"/>
          <w:kern w:val="0"/>
          <w:sz w:val="32"/>
          <w:szCs w:val="32"/>
          <w:shd w:val="clear" w:color="auto" w:fill="FFFFFF"/>
        </w:rPr>
        <w:t>2018</w:t>
      </w:r>
      <w:r>
        <w:rPr>
          <w:rFonts w:hint="eastAsia" w:ascii="仿宋_GB2312" w:hAnsi="宋体" w:eastAsia="仿宋_GB2312" w:cs="宋体"/>
          <w:b/>
          <w:color w:val="000000"/>
          <w:kern w:val="0"/>
          <w:sz w:val="32"/>
          <w:szCs w:val="32"/>
          <w:shd w:val="clear" w:color="auto" w:fill="FFFFFF"/>
        </w:rPr>
        <w:t>年“三公”经费财政拨款支出决算中，因公出国（境）费支出决算0万元，占0</w:t>
      </w:r>
      <w:r>
        <w:rPr>
          <w:rFonts w:ascii="仿宋_GB2312" w:hAnsi="宋体" w:eastAsia="仿宋_GB2312" w:cs="宋体"/>
          <w:b/>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；公务用车购置及运行维护费支出决算0万元，占0</w:t>
      </w:r>
      <w:r>
        <w:rPr>
          <w:rFonts w:ascii="仿宋_GB2312" w:hAnsi="宋体" w:eastAsia="仿宋_GB2312" w:cs="宋体"/>
          <w:b/>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；公务接待费支出决算2.04万元，占100</w:t>
      </w:r>
      <w:r>
        <w:rPr>
          <w:rFonts w:ascii="仿宋_GB2312" w:hAnsi="宋体" w:eastAsia="仿宋_GB2312" w:cs="宋体"/>
          <w:b/>
          <w:color w:val="000000"/>
          <w:kern w:val="0"/>
          <w:sz w:val="32"/>
          <w:szCs w:val="32"/>
          <w:shd w:val="clear" w:color="auto" w:fill="FFFFFF"/>
        </w:rPr>
        <w:t>%</w:t>
      </w:r>
      <w:r>
        <w:rPr>
          <w:rFonts w:hint="eastAsia" w:ascii="仿宋_GB2312" w:hAnsi="宋体" w:eastAsia="仿宋_GB2312" w:cs="宋体"/>
          <w:b/>
          <w:color w:val="000000"/>
          <w:kern w:val="0"/>
          <w:sz w:val="32"/>
          <w:szCs w:val="32"/>
          <w:shd w:val="clear" w:color="auto" w:fill="FFFFFF"/>
        </w:rPr>
        <w:t>。具体情况如下：</w:t>
      </w:r>
    </w:p>
    <w:p w14:paraId="2C18210C">
      <w:pPr>
        <w:spacing w:line="600" w:lineRule="exact"/>
        <w:ind w:firstLine="640"/>
        <w:rPr>
          <w:rFonts w:ascii="仿宋_GB2312" w:eastAsia="仿宋_GB2312"/>
          <w:color w:val="000000"/>
          <w:sz w:val="32"/>
          <w:szCs w:val="32"/>
        </w:rPr>
      </w:pPr>
      <w:bookmarkStart w:id="46" w:name="_Toc15396610"/>
      <w:bookmarkStart w:id="47" w:name="_Toc15377218"/>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w:t>
      </w:r>
    </w:p>
    <w:p w14:paraId="7997141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8年因公出国（境）费0万元。</w:t>
      </w:r>
    </w:p>
    <w:p w14:paraId="75C20084">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0万元。其中：</w:t>
      </w:r>
    </w:p>
    <w:p w14:paraId="127057BC">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14:paraId="57DC6027">
      <w:pPr>
        <w:spacing w:line="600" w:lineRule="exact"/>
        <w:ind w:firstLine="640"/>
        <w:rPr>
          <w:rFonts w:ascii="仿宋_GB2312" w:eastAsia="仿宋_GB2312"/>
          <w:color w:val="FF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51F82CD9">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t xml:space="preserve">公务用车购置及运行维护费支出决算比2017年减少6.37万元，下降100%。主要原因是: </w:t>
      </w:r>
      <w:r>
        <w:rPr>
          <w:rFonts w:hint="eastAsia" w:ascii="仿宋_GB2312" w:eastAsia="仿宋_GB2312"/>
          <w:color w:val="333333"/>
          <w:sz w:val="32"/>
          <w:szCs w:val="32"/>
        </w:rPr>
        <w:t>2016年公车改革后，所有公车由国资统一管理，单位根据国资文件对公车进行核减，在实际账务处理中按照上级财政要求，将发生的相关车辆运行维护费在“其他交通费用”中列支，因此决算中公务用车运行维护费决算数为0；而每年财政根据公车改革时单位保留的2辆公车安排预算6万元，实际2018年本单位2辆公车的燃油、保险、维修维护等方面的运行维护费为6.4万元</w:t>
      </w:r>
    </w:p>
    <w:p w14:paraId="0AC2EFF8">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2.04万元。主要用于执行公务、开展业务活动开支的交通费、住宿费、用餐费等。国内公务接待21批次，255人次，共计支出2.04万元</w:t>
      </w:r>
    </w:p>
    <w:p w14:paraId="56070B5C">
      <w:pPr>
        <w:spacing w:line="600" w:lineRule="exact"/>
        <w:ind w:firstLine="643" w:firstLineChars="200"/>
        <w:rPr>
          <w:rFonts w:ascii="仿宋_GB2312" w:eastAsia="仿宋_GB2312"/>
          <w:color w:val="000000"/>
          <w:sz w:val="32"/>
          <w:szCs w:val="32"/>
        </w:rPr>
      </w:pPr>
      <w:r>
        <w:rPr>
          <w:rFonts w:hint="eastAsia" w:ascii="仿宋" w:hAnsi="仿宋" w:eastAsia="仿宋" w:cs="仿宋"/>
          <w:b/>
          <w:bCs/>
          <w:color w:val="000000"/>
          <w:sz w:val="32"/>
          <w:szCs w:val="32"/>
        </w:rPr>
        <w:t>外事接待支出</w:t>
      </w:r>
      <w:r>
        <w:rPr>
          <w:rFonts w:hint="eastAsia" w:ascii="仿宋" w:hAnsi="仿宋" w:eastAsia="仿宋" w:cs="仿宋"/>
          <w:color w:val="000000"/>
          <w:sz w:val="32"/>
          <w:szCs w:val="32"/>
        </w:rPr>
        <w:t>0</w:t>
      </w:r>
      <w:r>
        <w:rPr>
          <w:rFonts w:hint="eastAsia" w:ascii="仿宋_GB2312" w:eastAsia="仿宋_GB2312" w:cs="仿宋_GB2312"/>
          <w:color w:val="000000"/>
          <w:sz w:val="32"/>
          <w:szCs w:val="32"/>
        </w:rPr>
        <w:t>万元。</w:t>
      </w:r>
    </w:p>
    <w:p w14:paraId="1E00AE81">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其他国内公务接待支出</w:t>
      </w:r>
      <w:r>
        <w:rPr>
          <w:rFonts w:hint="eastAsia" w:ascii="仿宋" w:hAnsi="仿宋" w:eastAsia="仿宋" w:cs="仿宋"/>
          <w:color w:val="000000"/>
          <w:sz w:val="32"/>
          <w:szCs w:val="32"/>
        </w:rPr>
        <w:t>0</w:t>
      </w:r>
      <w:r>
        <w:rPr>
          <w:rFonts w:hint="eastAsia" w:ascii="仿宋_GB2312" w:eastAsia="仿宋_GB2312" w:cs="仿宋_GB2312"/>
          <w:color w:val="000000"/>
          <w:sz w:val="32"/>
          <w:szCs w:val="32"/>
        </w:rPr>
        <w:t>万元。</w:t>
      </w:r>
    </w:p>
    <w:p w14:paraId="4D739408">
      <w:pPr>
        <w:spacing w:line="600" w:lineRule="exact"/>
        <w:ind w:firstLine="640"/>
        <w:outlineLvl w:val="1"/>
        <w:rPr>
          <w:rStyle w:val="17"/>
          <w:rFonts w:ascii="黑体" w:hAnsi="黑体" w:eastAsia="黑体" w:cs="Times New Roman"/>
        </w:rPr>
      </w:pPr>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6"/>
      <w:bookmarkEnd w:id="47"/>
    </w:p>
    <w:p w14:paraId="05EA589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广汉市人社局2018年无政府性基金预算财政拨款支出。</w:t>
      </w:r>
    </w:p>
    <w:p w14:paraId="303AFADB">
      <w:pPr>
        <w:numPr>
          <w:ilvl w:val="0"/>
          <w:numId w:val="2"/>
        </w:numPr>
        <w:spacing w:line="600" w:lineRule="exact"/>
        <w:ind w:firstLine="640"/>
        <w:outlineLvl w:val="1"/>
        <w:rPr>
          <w:rStyle w:val="17"/>
          <w:rFonts w:ascii="黑体" w:hAnsi="黑体" w:eastAsia="黑体" w:cs="Times New Roman"/>
          <w:b w:val="0"/>
          <w:bCs w:val="0"/>
        </w:rPr>
      </w:pPr>
      <w:bookmarkStart w:id="48" w:name="_Toc15377219"/>
      <w:bookmarkStart w:id="49" w:name="_Toc15396611"/>
      <w:r>
        <w:rPr>
          <w:rStyle w:val="17"/>
          <w:rFonts w:hint="eastAsia" w:ascii="黑体" w:hAnsi="黑体" w:eastAsia="黑体" w:cs="黑体"/>
          <w:b w:val="0"/>
          <w:bCs w:val="0"/>
        </w:rPr>
        <w:t>国有资本经营预算支出决算情况说明</w:t>
      </w:r>
      <w:bookmarkEnd w:id="48"/>
      <w:bookmarkEnd w:id="49"/>
    </w:p>
    <w:p w14:paraId="110BB9BD">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广汉市人社局</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年无国有资本经营预算拨款支出。</w:t>
      </w:r>
    </w:p>
    <w:p w14:paraId="7224E2BD">
      <w:pPr>
        <w:pStyle w:val="26"/>
        <w:numPr>
          <w:ilvl w:val="0"/>
          <w:numId w:val="3"/>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14:paraId="650AB5A8">
      <w:pPr>
        <w:numPr>
          <w:ilvl w:val="0"/>
          <w:numId w:val="4"/>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14:paraId="5A329AEC">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单位在年初预算编制阶段，组织对三支一扶项目、企业军转干项目及退休人员社会化管理开展了预算事前绩效评估，对3个项目编制了绩效目标，预算执行过程中，选取2个项目开展绩效监控，年终执行完毕后，对2个项目开展了绩效目标完成情况梳理填报。</w:t>
      </w:r>
    </w:p>
    <w:p w14:paraId="3507EF63">
      <w:pPr>
        <w:widowControl/>
        <w:adjustRightInd w:val="0"/>
        <w:snapToGrid w:val="0"/>
        <w:spacing w:line="540" w:lineRule="exact"/>
        <w:ind w:firstLine="720"/>
        <w:jc w:val="left"/>
        <w:rPr>
          <w:rFonts w:ascii="仿宋_GB2312" w:hAnsi="宋体" w:cs="宋体"/>
          <w:color w:val="000000"/>
          <w:kern w:val="0"/>
          <w:szCs w:val="32"/>
          <w:shd w:val="clear" w:color="auto" w:fill="FFFFFF"/>
          <w:lang w:val="zh-CN"/>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年部门整体支出开展绩效自评，从评价情况来看广汉市人社局</w:t>
      </w:r>
      <w:r>
        <w:rPr>
          <w:rFonts w:ascii="仿宋_GB2312" w:hAnsi="仿宋_GB2312" w:eastAsia="仿宋_GB2312" w:cs="仿宋_GB2312"/>
          <w:sz w:val="32"/>
          <w:szCs w:val="32"/>
        </w:rPr>
        <w:t>部门预算执行情况良好，无不良记录及违规违纪行为，预算支出和决算支出情况相符。</w:t>
      </w:r>
    </w:p>
    <w:p w14:paraId="5A3DF396">
      <w:pPr>
        <w:numPr>
          <w:ilvl w:val="0"/>
          <w:numId w:val="4"/>
        </w:numPr>
        <w:spacing w:line="580" w:lineRule="exact"/>
        <w:ind w:firstLine="643"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年度部门决算中反映“三支一扶”、“退休人员社会化管理”“企业军转干”等3个项目绩效目标实际完成情况。</w:t>
      </w:r>
    </w:p>
    <w:p w14:paraId="5B34A39C">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1.高校毕业生“三支一扶”项目绩效目标完成情况综述。项目全年预算数297.78万元，执行数为297.42万元，完成预算的99.88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为我市基层教育、农业、卫生补充了新鲜血液，充实了基层队伍，为基层各项事业发展做出了贡献，得到了群众和党员干部的广泛认可。发现的主要问题：“三支一扶”大学生服务期满去向问题。下一步改进措施：针对这种形势，应加强“三支一扶”就业培训，开阔就业意识、增强就业技能、拓宽就业去向。</w:t>
      </w:r>
    </w:p>
    <w:p w14:paraId="3E4A0E24">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退休人员社会化管理项目绩效目标完成情况综述。项目全年预算数135万元，执行数为140.13万元，完成预算。通过项目实施，保障企业离退休人员资格认证工作顺利有序开展，杜绝了冒领养老金的现象，丰富退休人员文化生活、建立了空巢老人“一对一帮扶”，将党和政府对广大退休人员的关怀传到千家万户。</w:t>
      </w:r>
    </w:p>
    <w:p w14:paraId="184E1F81">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3.企业军转干项目绩效目标完成情况综述。项目全年预算数413.59万元，执行数为413.59万元，完成预算的100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。通过项目实施，保障企业军转干的补助，对该群体的</w:t>
      </w:r>
      <w:r>
        <w:rPr>
          <w:rFonts w:hint="eastAsia" w:ascii="仿宋_GB2312" w:eastAsia="仿宋_GB2312"/>
          <w:color w:val="000000"/>
          <w:sz w:val="32"/>
          <w:szCs w:val="32"/>
        </w:rPr>
        <w:t>管理达到预期经济、社会目标</w:t>
      </w:r>
      <w:r>
        <w:rPr>
          <w:rFonts w:hint="eastAsia" w:ascii="仿宋_GB2312" w:hAnsi="仿宋_GB2312" w:eastAsia="仿宋_GB2312" w:cs="仿宋_GB2312"/>
          <w:sz w:val="32"/>
          <w:szCs w:val="32"/>
        </w:rPr>
        <w:t>。</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610"/>
        <w:gridCol w:w="782"/>
        <w:gridCol w:w="494"/>
        <w:gridCol w:w="1898"/>
        <w:gridCol w:w="1362"/>
        <w:gridCol w:w="1032"/>
        <w:gridCol w:w="2392"/>
      </w:tblGrid>
      <w:tr w14:paraId="79145875">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14:paraId="76F44EC0">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(2018</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67E8067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C0038">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4B53F9">
            <w:pPr>
              <w:widowControl/>
              <w:jc w:val="center"/>
              <w:textAlignment w:val="center"/>
              <w:rPr>
                <w:rFonts w:ascii="宋体"/>
                <w:color w:val="000000"/>
                <w:sz w:val="24"/>
                <w:szCs w:val="24"/>
              </w:rPr>
            </w:pPr>
            <w:r>
              <w:rPr>
                <w:rFonts w:hint="eastAsia" w:ascii="宋体"/>
                <w:color w:val="000000"/>
                <w:sz w:val="24"/>
                <w:szCs w:val="24"/>
              </w:rPr>
              <w:t>高校毕业生“三支一扶”</w:t>
            </w:r>
          </w:p>
        </w:tc>
      </w:tr>
      <w:tr w14:paraId="12BAAD0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DA9B6D">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118FD0">
            <w:pPr>
              <w:widowControl/>
              <w:jc w:val="center"/>
              <w:textAlignment w:val="center"/>
              <w:rPr>
                <w:rFonts w:ascii="宋体"/>
                <w:color w:val="000000"/>
                <w:sz w:val="24"/>
                <w:szCs w:val="24"/>
              </w:rPr>
            </w:pPr>
            <w:r>
              <w:rPr>
                <w:rFonts w:hint="eastAsia" w:ascii="宋体"/>
                <w:color w:val="000000"/>
                <w:sz w:val="24"/>
                <w:szCs w:val="24"/>
              </w:rPr>
              <w:t>广汉市人力资源和社会保障局</w:t>
            </w:r>
          </w:p>
        </w:tc>
      </w:tr>
      <w:tr w14:paraId="0AD2E60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289B86">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69947">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5AF8F">
            <w:pPr>
              <w:widowControl/>
              <w:jc w:val="center"/>
              <w:textAlignment w:val="center"/>
              <w:rPr>
                <w:rFonts w:ascii="宋体"/>
                <w:color w:val="000000"/>
                <w:sz w:val="24"/>
                <w:szCs w:val="24"/>
              </w:rPr>
            </w:pPr>
            <w:r>
              <w:rPr>
                <w:rFonts w:hint="eastAsia" w:ascii="宋体"/>
                <w:color w:val="000000"/>
                <w:sz w:val="24"/>
                <w:szCs w:val="24"/>
              </w:rPr>
              <w:t>297.78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9C45B">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5E7D8">
            <w:pPr>
              <w:widowControl/>
              <w:jc w:val="center"/>
              <w:textAlignment w:val="center"/>
              <w:rPr>
                <w:rFonts w:ascii="宋体"/>
                <w:color w:val="000000"/>
                <w:sz w:val="24"/>
                <w:szCs w:val="24"/>
              </w:rPr>
            </w:pPr>
            <w:r>
              <w:rPr>
                <w:rFonts w:hint="eastAsia" w:ascii="宋体"/>
                <w:color w:val="000000"/>
                <w:sz w:val="24"/>
                <w:szCs w:val="24"/>
              </w:rPr>
              <w:t>297.42</w:t>
            </w:r>
            <w:r>
              <w:rPr>
                <w:rFonts w:ascii="宋体"/>
                <w:color w:val="000000"/>
                <w:sz w:val="24"/>
                <w:szCs w:val="24"/>
              </w:rPr>
              <w:t xml:space="preserve"> </w:t>
            </w:r>
          </w:p>
        </w:tc>
      </w:tr>
      <w:tr w14:paraId="00C78629">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E82CFC">
            <w:pPr>
              <w:widowControl/>
              <w:jc w:val="left"/>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43366">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C8AC3C">
            <w:pPr>
              <w:widowControl/>
              <w:jc w:val="center"/>
              <w:textAlignment w:val="center"/>
              <w:rPr>
                <w:rFonts w:ascii="宋体"/>
                <w:color w:val="000000"/>
                <w:sz w:val="24"/>
                <w:szCs w:val="24"/>
              </w:rPr>
            </w:pPr>
            <w:r>
              <w:rPr>
                <w:rFonts w:hint="eastAsia" w:ascii="宋体"/>
                <w:color w:val="000000"/>
                <w:sz w:val="24"/>
                <w:szCs w:val="24"/>
              </w:rPr>
              <w:t>297.78</w:t>
            </w:r>
            <w:r>
              <w:rPr>
                <w:rFonts w:ascii="宋体"/>
                <w:color w:val="000000"/>
                <w:sz w:val="24"/>
                <w:szCs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570C5">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5FCA6">
            <w:pPr>
              <w:widowControl/>
              <w:jc w:val="center"/>
              <w:textAlignment w:val="center"/>
              <w:rPr>
                <w:rFonts w:ascii="宋体"/>
                <w:color w:val="000000"/>
                <w:sz w:val="24"/>
                <w:szCs w:val="24"/>
              </w:rPr>
            </w:pPr>
            <w:r>
              <w:rPr>
                <w:rFonts w:hint="eastAsia" w:ascii="宋体"/>
                <w:color w:val="000000"/>
                <w:sz w:val="24"/>
                <w:szCs w:val="24"/>
              </w:rPr>
              <w:t>297.42</w:t>
            </w:r>
            <w:r>
              <w:rPr>
                <w:rFonts w:ascii="宋体"/>
                <w:color w:val="000000"/>
                <w:sz w:val="24"/>
                <w:szCs w:val="24"/>
              </w:rPr>
              <w:t xml:space="preserve"> </w:t>
            </w:r>
          </w:p>
        </w:tc>
      </w:tr>
      <w:tr w14:paraId="28C0D0B3">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3B25FE">
            <w:pPr>
              <w:widowControl/>
              <w:jc w:val="left"/>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998A8A">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04C7E8">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0A037">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5644E">
            <w:pPr>
              <w:jc w:val="center"/>
              <w:rPr>
                <w:rFonts w:ascii="宋体"/>
                <w:color w:val="000000"/>
                <w:sz w:val="24"/>
                <w:szCs w:val="24"/>
              </w:rPr>
            </w:pPr>
            <w:r>
              <w:rPr>
                <w:rFonts w:hint="eastAsia" w:ascii="宋体"/>
                <w:color w:val="000000"/>
                <w:sz w:val="24"/>
                <w:szCs w:val="24"/>
              </w:rPr>
              <w:t>0</w:t>
            </w:r>
          </w:p>
        </w:tc>
      </w:tr>
      <w:tr w14:paraId="7675406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4021C">
            <w:pPr>
              <w:widowControl/>
              <w:jc w:val="center"/>
              <w:textAlignment w:val="center"/>
              <w:rPr>
                <w:rFonts w:ascii="宋体"/>
                <w:color w:val="000000"/>
                <w:sz w:val="24"/>
                <w:szCs w:val="24"/>
              </w:rPr>
            </w:pPr>
            <w:r>
              <w:rPr>
                <w:rFonts w:hint="eastAsia" w:ascii="宋体" w:hAnsi="宋体" w:cs="宋体"/>
                <w:color w:val="000000"/>
                <w:kern w:val="0"/>
                <w:sz w:val="24"/>
                <w:szCs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F746B8">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F27D08">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14:paraId="6ACCC56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B90177">
            <w:pPr>
              <w:widowControl/>
              <w:jc w:val="left"/>
              <w:rPr>
                <w:rFonts w:ascii="宋体"/>
                <w:color w:val="000000"/>
                <w:sz w:val="24"/>
                <w:szCs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206E9D">
            <w:pPr>
              <w:widowControl/>
              <w:jc w:val="left"/>
              <w:textAlignment w:val="center"/>
              <w:rPr>
                <w:rFonts w:ascii="宋体"/>
                <w:color w:val="000000"/>
                <w:sz w:val="24"/>
                <w:szCs w:val="24"/>
              </w:rPr>
            </w:pPr>
            <w:r>
              <w:rPr>
                <w:rFonts w:hint="eastAsia" w:ascii="宋体"/>
                <w:color w:val="000000"/>
                <w:sz w:val="24"/>
                <w:szCs w:val="24"/>
              </w:rPr>
              <w:t>保证“三支一扶”计划</w:t>
            </w:r>
            <w:r>
              <w:rPr>
                <w:rFonts w:ascii="宋体"/>
                <w:color w:val="000000"/>
                <w:sz w:val="24"/>
                <w:szCs w:val="24"/>
              </w:rPr>
              <w:t>201</w:t>
            </w:r>
            <w:r>
              <w:rPr>
                <w:rFonts w:hint="eastAsia" w:ascii="宋体"/>
                <w:color w:val="000000"/>
                <w:sz w:val="24"/>
                <w:szCs w:val="24"/>
              </w:rPr>
              <w:t>8年所需资金充足，按月发放“三支一扶”大学生工作生活补贴，按时交纳社会保险和住房公积金，规范使用专项资金。</w:t>
            </w:r>
          </w:p>
          <w:p w14:paraId="0455CB49">
            <w:pPr>
              <w:widowControl/>
              <w:jc w:val="center"/>
              <w:textAlignment w:val="center"/>
              <w:rPr>
                <w:rFonts w:ascii="宋体"/>
                <w:color w:val="000000"/>
                <w:sz w:val="24"/>
                <w:szCs w:val="24"/>
              </w:rPr>
            </w:pP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CCE05">
            <w:pPr>
              <w:widowControl/>
              <w:jc w:val="left"/>
              <w:textAlignment w:val="center"/>
              <w:rPr>
                <w:rFonts w:ascii="宋体"/>
                <w:color w:val="000000"/>
                <w:sz w:val="24"/>
                <w:szCs w:val="24"/>
              </w:rPr>
            </w:pPr>
            <w:r>
              <w:rPr>
                <w:rFonts w:hint="eastAsia" w:ascii="宋体"/>
                <w:color w:val="000000"/>
                <w:sz w:val="24"/>
                <w:szCs w:val="24"/>
              </w:rPr>
              <w:t>截止2018年12月底，我市 “三支一扶”大学生在岗39人，支农33人、扶贫2人、支医4人；本科34人、专科5人；</w:t>
            </w:r>
          </w:p>
          <w:p w14:paraId="0B07409C">
            <w:pPr>
              <w:widowControl/>
              <w:jc w:val="left"/>
              <w:textAlignment w:val="center"/>
              <w:rPr>
                <w:rFonts w:ascii="宋体"/>
                <w:color w:val="000000"/>
                <w:sz w:val="24"/>
                <w:szCs w:val="24"/>
              </w:rPr>
            </w:pPr>
            <w:r>
              <w:rPr>
                <w:rFonts w:hint="eastAsia" w:ascii="宋体"/>
                <w:color w:val="000000"/>
                <w:sz w:val="24"/>
                <w:szCs w:val="24"/>
              </w:rPr>
              <w:t>按月足额发放生活补贴、缴纳保险公积金；</w:t>
            </w:r>
          </w:p>
          <w:p w14:paraId="61DB4514">
            <w:pPr>
              <w:widowControl/>
              <w:jc w:val="left"/>
              <w:textAlignment w:val="center"/>
              <w:rPr>
                <w:rFonts w:ascii="宋体"/>
                <w:color w:val="000000"/>
                <w:sz w:val="24"/>
                <w:szCs w:val="24"/>
              </w:rPr>
            </w:pPr>
            <w:r>
              <w:rPr>
                <w:rFonts w:hint="eastAsia" w:ascii="宋体"/>
                <w:color w:val="000000"/>
                <w:sz w:val="24"/>
                <w:szCs w:val="24"/>
              </w:rPr>
              <w:t>规范使用该专项资金；</w:t>
            </w:r>
          </w:p>
          <w:p w14:paraId="0E5E183A">
            <w:pPr>
              <w:widowControl/>
              <w:jc w:val="left"/>
              <w:textAlignment w:val="center"/>
              <w:rPr>
                <w:rFonts w:ascii="宋体"/>
                <w:color w:val="000000"/>
                <w:sz w:val="24"/>
                <w:szCs w:val="24"/>
              </w:rPr>
            </w:pPr>
            <w:r>
              <w:rPr>
                <w:rFonts w:hint="eastAsia" w:ascii="宋体"/>
                <w:color w:val="000000"/>
                <w:sz w:val="24"/>
                <w:szCs w:val="24"/>
              </w:rPr>
              <w:t>丰富高校毕业生就业渠道。</w:t>
            </w:r>
          </w:p>
        </w:tc>
      </w:tr>
      <w:tr w14:paraId="45013AC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08D53A">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5A8BE">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ECF8BF">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63A6D8">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D88E62">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13F97">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14:paraId="1781D27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8DA42B4">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D03BE6">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E0DA4C">
            <w:pPr>
              <w:widowControl/>
              <w:jc w:val="center"/>
              <w:textAlignment w:val="center"/>
              <w:rPr>
                <w:rFonts w:ascii="宋体"/>
                <w:color w:val="000000"/>
                <w:sz w:val="24"/>
                <w:szCs w:val="24"/>
              </w:rPr>
            </w:pPr>
            <w:r>
              <w:rPr>
                <w:rFonts w:hint="eastAsia" w:ascii="宋体"/>
                <w:color w:val="000000"/>
                <w:sz w:val="24"/>
                <w:szCs w:val="24"/>
              </w:rPr>
              <w:t>数量指标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0C3CC">
            <w:pPr>
              <w:widowControl/>
              <w:jc w:val="center"/>
              <w:textAlignment w:val="center"/>
              <w:rPr>
                <w:rFonts w:ascii="宋体"/>
                <w:color w:val="000000"/>
                <w:sz w:val="24"/>
                <w:szCs w:val="24"/>
              </w:rPr>
            </w:pPr>
            <w:r>
              <w:rPr>
                <w:rFonts w:hint="eastAsia" w:ascii="宋体"/>
                <w:color w:val="000000"/>
                <w:sz w:val="24"/>
                <w:szCs w:val="24"/>
              </w:rPr>
              <w:t>2018年三支一扶招募人员情况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5DB12">
            <w:pPr>
              <w:widowControl/>
              <w:jc w:val="center"/>
              <w:textAlignment w:val="center"/>
              <w:rPr>
                <w:rFonts w:ascii="宋体"/>
                <w:color w:val="000000"/>
                <w:sz w:val="24"/>
                <w:szCs w:val="24"/>
              </w:rPr>
            </w:pPr>
            <w:r>
              <w:rPr>
                <w:rFonts w:hint="eastAsia" w:ascii="宋体"/>
                <w:color w:val="000000"/>
                <w:sz w:val="24"/>
                <w:szCs w:val="24"/>
              </w:rPr>
              <w:t>补充基层组织新鲜血液</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7F493D">
            <w:pPr>
              <w:widowControl/>
              <w:jc w:val="center"/>
              <w:textAlignment w:val="center"/>
              <w:rPr>
                <w:rFonts w:ascii="宋体"/>
                <w:color w:val="000000"/>
              </w:rPr>
            </w:pPr>
            <w:r>
              <w:rPr>
                <w:rFonts w:ascii="宋体"/>
                <w:color w:val="000000"/>
                <w:sz w:val="24"/>
                <w:szCs w:val="24"/>
              </w:rPr>
              <w:t>201</w:t>
            </w:r>
            <w:r>
              <w:rPr>
                <w:rFonts w:hint="eastAsia" w:ascii="宋体"/>
                <w:color w:val="000000"/>
                <w:sz w:val="24"/>
                <w:szCs w:val="24"/>
              </w:rPr>
              <w:t>8年新招募“三支一扶”大学生7人，支农5人、扶贫2人。</w:t>
            </w:r>
          </w:p>
        </w:tc>
      </w:tr>
      <w:tr w14:paraId="369B2D1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48C7E6">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EAB78">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8FB29">
            <w:pPr>
              <w:widowControl/>
              <w:jc w:val="center"/>
              <w:textAlignment w:val="center"/>
              <w:rPr>
                <w:rFonts w:ascii="宋体"/>
                <w:color w:val="000000"/>
                <w:sz w:val="24"/>
                <w:szCs w:val="24"/>
              </w:rPr>
            </w:pPr>
            <w:r>
              <w:rPr>
                <w:rFonts w:hint="eastAsia" w:ascii="宋体"/>
                <w:color w:val="000000"/>
                <w:sz w:val="24"/>
                <w:szCs w:val="24"/>
              </w:rPr>
              <w:t>社会效益指标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6AFD83">
            <w:pPr>
              <w:widowControl/>
              <w:jc w:val="center"/>
              <w:textAlignment w:val="center"/>
              <w:rPr>
                <w:rFonts w:ascii="宋体"/>
                <w:color w:val="000000"/>
                <w:sz w:val="24"/>
                <w:szCs w:val="24"/>
              </w:rPr>
            </w:pPr>
            <w:r>
              <w:rPr>
                <w:rFonts w:hint="eastAsia" w:ascii="宋体"/>
                <w:color w:val="000000"/>
                <w:sz w:val="24"/>
                <w:szCs w:val="24"/>
              </w:rPr>
              <w:t>社会影响力</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9C751">
            <w:pPr>
              <w:widowControl/>
              <w:jc w:val="center"/>
              <w:textAlignment w:val="center"/>
              <w:rPr>
                <w:rFonts w:ascii="宋体"/>
                <w:color w:val="000000"/>
                <w:sz w:val="24"/>
                <w:szCs w:val="24"/>
              </w:rPr>
            </w:pPr>
            <w:r>
              <w:rPr>
                <w:rFonts w:hint="eastAsia" w:ascii="宋体"/>
                <w:color w:val="000000"/>
                <w:sz w:val="24"/>
                <w:szCs w:val="24"/>
              </w:rPr>
              <w:t>公开招募情况</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823602">
            <w:pPr>
              <w:widowControl/>
              <w:jc w:val="center"/>
              <w:textAlignment w:val="center"/>
              <w:rPr>
                <w:rFonts w:ascii="宋体"/>
                <w:color w:val="000000"/>
                <w:sz w:val="24"/>
                <w:szCs w:val="24"/>
              </w:rPr>
            </w:pPr>
            <w:r>
              <w:rPr>
                <w:rFonts w:hint="eastAsia" w:ascii="宋体"/>
                <w:color w:val="000000"/>
                <w:sz w:val="24"/>
                <w:szCs w:val="24"/>
              </w:rPr>
              <w:t>公开招募报名人数较以往上升，扩宽了高校毕业生就业渠道</w:t>
            </w:r>
          </w:p>
        </w:tc>
      </w:tr>
      <w:tr w14:paraId="399E7C24">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EDABF2">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A2369">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648CE">
            <w:pPr>
              <w:widowControl/>
              <w:jc w:val="center"/>
              <w:textAlignment w:val="center"/>
              <w:rPr>
                <w:rFonts w:ascii="宋体"/>
                <w:color w:val="000000"/>
                <w:sz w:val="24"/>
                <w:szCs w:val="24"/>
              </w:rPr>
            </w:pPr>
            <w:r>
              <w:rPr>
                <w:rFonts w:hint="eastAsia" w:ascii="宋体"/>
                <w:color w:val="000000"/>
                <w:sz w:val="24"/>
                <w:szCs w:val="24"/>
              </w:rPr>
              <w:t>满意度指标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7680C8">
            <w:pPr>
              <w:widowControl/>
              <w:jc w:val="center"/>
              <w:textAlignment w:val="center"/>
              <w:rPr>
                <w:rFonts w:ascii="宋体"/>
                <w:color w:val="000000"/>
                <w:sz w:val="24"/>
                <w:szCs w:val="24"/>
              </w:rPr>
            </w:pPr>
            <w:r>
              <w:rPr>
                <w:rFonts w:hint="eastAsia" w:ascii="宋体"/>
                <w:color w:val="000000"/>
                <w:sz w:val="24"/>
                <w:szCs w:val="24"/>
              </w:rPr>
              <w:t>群众满意度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BFE53E">
            <w:pPr>
              <w:widowControl/>
              <w:jc w:val="center"/>
              <w:textAlignment w:val="center"/>
              <w:rPr>
                <w:rFonts w:ascii="宋体"/>
                <w:color w:val="000000"/>
                <w:sz w:val="24"/>
                <w:szCs w:val="24"/>
              </w:rPr>
            </w:pPr>
            <w:r>
              <w:rPr>
                <w:rFonts w:hint="eastAsia" w:ascii="宋体"/>
                <w:color w:val="000000"/>
                <w:sz w:val="24"/>
                <w:szCs w:val="24"/>
              </w:rPr>
              <w:t>用人单位及招募人员满意度</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C1B2B">
            <w:pPr>
              <w:widowControl/>
              <w:jc w:val="center"/>
              <w:textAlignment w:val="center"/>
              <w:rPr>
                <w:rFonts w:ascii="宋体"/>
                <w:color w:val="000000"/>
                <w:sz w:val="24"/>
                <w:szCs w:val="24"/>
              </w:rPr>
            </w:pPr>
            <w:r>
              <w:rPr>
                <w:rFonts w:hint="eastAsia" w:ascii="宋体"/>
                <w:color w:val="000000"/>
                <w:sz w:val="24"/>
                <w:szCs w:val="24"/>
              </w:rPr>
              <w:t>&gt;=80%</w:t>
            </w:r>
          </w:p>
        </w:tc>
      </w:tr>
      <w:tr w14:paraId="16A1CA1C">
        <w:tblPrEx>
          <w:tblCellMar>
            <w:top w:w="0" w:type="dxa"/>
            <w:left w:w="0" w:type="dxa"/>
            <w:bottom w:w="0" w:type="dxa"/>
            <w:right w:w="0" w:type="dxa"/>
          </w:tblCellMar>
        </w:tblPrEx>
        <w:trPr>
          <w:trHeight w:val="1034" w:hRule="atLeast"/>
        </w:trPr>
        <w:tc>
          <w:tcPr>
            <w:tcW w:w="9960" w:type="dxa"/>
            <w:gridSpan w:val="8"/>
            <w:tcMar>
              <w:top w:w="15" w:type="dxa"/>
              <w:left w:w="15" w:type="dxa"/>
              <w:bottom w:w="0" w:type="dxa"/>
              <w:right w:w="15" w:type="dxa"/>
            </w:tcMar>
            <w:vAlign w:val="center"/>
          </w:tcPr>
          <w:p w14:paraId="556962F5">
            <w:pPr>
              <w:pStyle w:val="26"/>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(2018</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1DB6628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18C69">
            <w:pPr>
              <w:widowControl/>
              <w:jc w:val="center"/>
              <w:textAlignment w:val="center"/>
              <w:rPr>
                <w:rFonts w:ascii="宋体"/>
                <w:color w:val="000000"/>
                <w:sz w:val="24"/>
                <w:szCs w:val="24"/>
              </w:rPr>
            </w:pPr>
            <w:r>
              <w:rPr>
                <w:rFonts w:hint="eastAsia" w:ascii="宋体" w:hAnsi="宋体" w:cs="宋体"/>
                <w:color w:val="000000"/>
                <w:kern w:val="0"/>
                <w:sz w:val="24"/>
                <w:szCs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C6F8F">
            <w:pPr>
              <w:widowControl/>
              <w:jc w:val="center"/>
              <w:textAlignment w:val="center"/>
              <w:rPr>
                <w:rFonts w:ascii="宋体"/>
                <w:color w:val="000000"/>
                <w:sz w:val="24"/>
                <w:szCs w:val="24"/>
              </w:rPr>
            </w:pPr>
            <w:r>
              <w:rPr>
                <w:rFonts w:hint="eastAsia" w:ascii="宋体"/>
                <w:color w:val="000000"/>
                <w:sz w:val="24"/>
                <w:szCs w:val="24"/>
              </w:rPr>
              <w:t>退休人员社会化管理项目</w:t>
            </w:r>
          </w:p>
        </w:tc>
      </w:tr>
      <w:tr w14:paraId="4F935A1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05472">
            <w:pPr>
              <w:widowControl/>
              <w:jc w:val="center"/>
              <w:textAlignment w:val="center"/>
              <w:rPr>
                <w:rFonts w:ascii="宋体"/>
                <w:color w:val="000000"/>
                <w:sz w:val="24"/>
                <w:szCs w:val="24"/>
              </w:rPr>
            </w:pPr>
            <w:r>
              <w:rPr>
                <w:rFonts w:hint="eastAsia" w:ascii="宋体" w:hAnsi="宋体" w:cs="宋体"/>
                <w:color w:val="000000"/>
                <w:kern w:val="0"/>
                <w:sz w:val="24"/>
                <w:szCs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415CC1">
            <w:pPr>
              <w:widowControl/>
              <w:jc w:val="center"/>
              <w:textAlignment w:val="center"/>
              <w:rPr>
                <w:rFonts w:ascii="宋体"/>
                <w:color w:val="000000"/>
                <w:sz w:val="24"/>
                <w:szCs w:val="24"/>
              </w:rPr>
            </w:pPr>
            <w:r>
              <w:rPr>
                <w:rFonts w:hint="eastAsia" w:ascii="宋体"/>
                <w:color w:val="000000"/>
                <w:sz w:val="24"/>
                <w:szCs w:val="24"/>
              </w:rPr>
              <w:t>广汉市人力资源和社会保障局</w:t>
            </w:r>
          </w:p>
        </w:tc>
      </w:tr>
      <w:tr w14:paraId="5E02D6A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97E75">
            <w:pPr>
              <w:widowControl/>
              <w:jc w:val="center"/>
              <w:textAlignment w:val="center"/>
              <w:rPr>
                <w:rFonts w:ascii="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44FAC8">
            <w:pPr>
              <w:widowControl/>
              <w:jc w:val="center"/>
              <w:textAlignment w:val="center"/>
              <w:rPr>
                <w:rFonts w:ascii="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B3F146">
            <w:pPr>
              <w:widowControl/>
              <w:jc w:val="center"/>
              <w:textAlignment w:val="center"/>
              <w:rPr>
                <w:rFonts w:ascii="宋体"/>
                <w:color w:val="000000"/>
                <w:sz w:val="24"/>
                <w:szCs w:val="24"/>
              </w:rPr>
            </w:pPr>
            <w:r>
              <w:rPr>
                <w:rFonts w:hint="eastAsia" w:ascii="宋体"/>
                <w:color w:val="000000"/>
                <w:sz w:val="24"/>
                <w:szCs w:val="24"/>
              </w:rPr>
              <w:t>135</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3D4E9C">
            <w:pPr>
              <w:widowControl/>
              <w:jc w:val="center"/>
              <w:textAlignment w:val="center"/>
              <w:rPr>
                <w:rFonts w:ascii="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29ABD4">
            <w:pPr>
              <w:widowControl/>
              <w:jc w:val="center"/>
              <w:textAlignment w:val="center"/>
              <w:rPr>
                <w:rFonts w:ascii="宋体"/>
                <w:color w:val="000000"/>
                <w:sz w:val="24"/>
                <w:szCs w:val="24"/>
              </w:rPr>
            </w:pPr>
            <w:r>
              <w:rPr>
                <w:rFonts w:hint="eastAsia" w:ascii="宋体"/>
                <w:color w:val="000000"/>
                <w:sz w:val="24"/>
                <w:szCs w:val="24"/>
              </w:rPr>
              <w:t>140.13</w:t>
            </w:r>
          </w:p>
        </w:tc>
      </w:tr>
      <w:tr w14:paraId="6FE4A6E6">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6E8A19">
            <w:pPr>
              <w:widowControl/>
              <w:jc w:val="left"/>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297C85">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C2A234">
            <w:pPr>
              <w:widowControl/>
              <w:jc w:val="center"/>
              <w:textAlignment w:val="center"/>
              <w:rPr>
                <w:rFonts w:ascii="宋体"/>
                <w:color w:val="000000"/>
                <w:sz w:val="24"/>
                <w:szCs w:val="24"/>
              </w:rPr>
            </w:pPr>
            <w:r>
              <w:rPr>
                <w:rFonts w:hint="eastAsia" w:ascii="宋体"/>
                <w:color w:val="000000"/>
                <w:sz w:val="24"/>
                <w:szCs w:val="24"/>
              </w:rPr>
              <w:t>135</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D8A5D">
            <w:pPr>
              <w:widowControl/>
              <w:jc w:val="center"/>
              <w:textAlignment w:val="center"/>
              <w:rPr>
                <w:rFonts w:ascii="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6CB425">
            <w:pPr>
              <w:widowControl/>
              <w:jc w:val="center"/>
              <w:textAlignment w:val="center"/>
              <w:rPr>
                <w:rFonts w:ascii="宋体"/>
                <w:color w:val="000000"/>
                <w:sz w:val="24"/>
                <w:szCs w:val="24"/>
              </w:rPr>
            </w:pPr>
            <w:r>
              <w:rPr>
                <w:rFonts w:hint="eastAsia" w:ascii="宋体"/>
                <w:color w:val="000000"/>
                <w:sz w:val="24"/>
                <w:szCs w:val="24"/>
              </w:rPr>
              <w:t>135</w:t>
            </w:r>
          </w:p>
        </w:tc>
      </w:tr>
      <w:tr w14:paraId="41AFF267">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823BA2E">
            <w:pPr>
              <w:widowControl/>
              <w:jc w:val="left"/>
              <w:rPr>
                <w:rFonts w:ascii="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D9C4D">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9B8CAB">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E95DED">
            <w:pPr>
              <w:widowControl/>
              <w:jc w:val="center"/>
              <w:textAlignment w:val="center"/>
              <w:rPr>
                <w:rFonts w:ascii="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10D11C">
            <w:pPr>
              <w:jc w:val="center"/>
              <w:rPr>
                <w:rFonts w:ascii="宋体"/>
                <w:color w:val="000000"/>
                <w:sz w:val="24"/>
                <w:szCs w:val="24"/>
              </w:rPr>
            </w:pPr>
            <w:r>
              <w:rPr>
                <w:rFonts w:hint="eastAsia" w:ascii="宋体"/>
                <w:color w:val="000000"/>
                <w:sz w:val="24"/>
                <w:szCs w:val="24"/>
              </w:rPr>
              <w:t>5.13</w:t>
            </w:r>
          </w:p>
        </w:tc>
      </w:tr>
      <w:tr w14:paraId="3357410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CEF9CB">
            <w:pPr>
              <w:widowControl/>
              <w:jc w:val="center"/>
              <w:textAlignment w:val="center"/>
              <w:rPr>
                <w:rFonts w:ascii="宋体"/>
                <w:color w:val="000000"/>
              </w:rPr>
            </w:pPr>
            <w:r>
              <w:rPr>
                <w:rFonts w:hint="eastAsia" w:ascii="宋体" w:hAnsi="宋体" w:cs="宋体"/>
                <w:color w:val="000000"/>
                <w:kern w:val="0"/>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DE56E">
            <w:pPr>
              <w:widowControl/>
              <w:jc w:val="center"/>
              <w:textAlignment w:val="center"/>
              <w:rPr>
                <w:rFonts w:ascii="宋体"/>
                <w:color w:val="000000"/>
                <w:sz w:val="24"/>
                <w:szCs w:val="24"/>
              </w:rPr>
            </w:pPr>
            <w:r>
              <w:rPr>
                <w:rFonts w:hint="eastAsia" w:ascii="宋体" w:hAnsi="宋体" w:cs="宋体"/>
                <w:color w:val="000000"/>
                <w:kern w:val="0"/>
                <w:sz w:val="24"/>
                <w:szCs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DA14A0">
            <w:pPr>
              <w:widowControl/>
              <w:jc w:val="center"/>
              <w:textAlignment w:val="center"/>
              <w:rPr>
                <w:rFonts w:ascii="宋体"/>
                <w:color w:val="000000"/>
                <w:sz w:val="24"/>
                <w:szCs w:val="24"/>
              </w:rPr>
            </w:pPr>
            <w:r>
              <w:rPr>
                <w:rFonts w:hint="eastAsia" w:ascii="宋体" w:hAnsi="宋体" w:cs="宋体"/>
                <w:color w:val="000000"/>
                <w:kern w:val="0"/>
                <w:sz w:val="24"/>
                <w:szCs w:val="24"/>
              </w:rPr>
              <w:t>实际完成目标</w:t>
            </w:r>
          </w:p>
        </w:tc>
      </w:tr>
      <w:tr w14:paraId="64218B97">
        <w:tblPrEx>
          <w:tblCellMar>
            <w:top w:w="0" w:type="dxa"/>
            <w:left w:w="0" w:type="dxa"/>
            <w:bottom w:w="0" w:type="dxa"/>
            <w:right w:w="0" w:type="dxa"/>
          </w:tblCellMar>
        </w:tblPrEx>
        <w:trPr>
          <w:trHeight w:val="18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181608">
            <w:pPr>
              <w:widowControl/>
              <w:jc w:val="left"/>
              <w:rPr>
                <w:rFonts w:ascii="宋体"/>
                <w:color w:val="000000"/>
                <w:sz w:val="24"/>
                <w:szCs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A5439">
            <w:pPr>
              <w:widowControl/>
              <w:jc w:val="left"/>
              <w:textAlignment w:val="center"/>
              <w:rPr>
                <w:rFonts w:ascii="宋体"/>
                <w:color w:val="000000"/>
                <w:sz w:val="24"/>
                <w:szCs w:val="24"/>
              </w:rPr>
            </w:pPr>
            <w:r>
              <w:rPr>
                <w:rFonts w:hint="eastAsia" w:ascii="宋体"/>
                <w:color w:val="000000"/>
                <w:sz w:val="24"/>
                <w:szCs w:val="24"/>
              </w:rPr>
              <w:t>进一步保障离退休人员晚年生活和提高生活质量，完善社会保障体系。</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22862">
            <w:pPr>
              <w:widowControl/>
              <w:jc w:val="left"/>
              <w:textAlignment w:val="center"/>
              <w:rPr>
                <w:rFonts w:ascii="宋体"/>
                <w:color w:val="000000"/>
                <w:sz w:val="24"/>
                <w:szCs w:val="24"/>
              </w:rPr>
            </w:pPr>
            <w:r>
              <w:rPr>
                <w:rFonts w:hint="eastAsia" w:ascii="宋体"/>
                <w:color w:val="000000"/>
                <w:sz w:val="24"/>
                <w:szCs w:val="24"/>
              </w:rPr>
              <w:t>退休人员的资格认证；丰富了退休人员的文体活动；对全市离退休人员进行了慰问；对困难退休人员的慰问及空巢老人的进行了帮扶。使广大离退休人员感受到党和政府的关怀</w:t>
            </w:r>
          </w:p>
          <w:p w14:paraId="3B19DE37">
            <w:pPr>
              <w:widowControl/>
              <w:jc w:val="left"/>
              <w:textAlignment w:val="center"/>
              <w:rPr>
                <w:rFonts w:ascii="宋体"/>
                <w:color w:val="000000"/>
                <w:sz w:val="24"/>
                <w:szCs w:val="24"/>
              </w:rPr>
            </w:pPr>
          </w:p>
        </w:tc>
      </w:tr>
      <w:tr w14:paraId="46A84AFA">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E77F2">
            <w:pPr>
              <w:widowControl/>
              <w:jc w:val="center"/>
              <w:textAlignment w:val="center"/>
              <w:rPr>
                <w:rFonts w:ascii="宋体"/>
                <w:color w:val="000000"/>
                <w:sz w:val="24"/>
                <w:szCs w:val="24"/>
              </w:rPr>
            </w:pPr>
            <w:r>
              <w:rPr>
                <w:rFonts w:hint="eastAsia" w:ascii="宋体" w:hAnsi="宋体" w:cs="宋体"/>
                <w:color w:val="000000"/>
                <w:sz w:val="24"/>
                <w:szCs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D3132">
            <w:pPr>
              <w:widowControl/>
              <w:jc w:val="center"/>
              <w:textAlignment w:val="center"/>
              <w:rPr>
                <w:rFonts w:ascii="宋体"/>
                <w:color w:val="000000"/>
                <w:sz w:val="24"/>
                <w:szCs w:val="24"/>
              </w:rPr>
            </w:pPr>
            <w:r>
              <w:rPr>
                <w:rFonts w:hint="eastAsia" w:ascii="宋体" w:hAnsi="宋体" w:cs="宋体"/>
                <w:color w:val="000000"/>
                <w:kern w:val="0"/>
                <w:sz w:val="24"/>
                <w:szCs w:val="24"/>
              </w:rPr>
              <w:t>一级指标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EE6804">
            <w:pPr>
              <w:widowControl/>
              <w:jc w:val="center"/>
              <w:textAlignment w:val="center"/>
              <w:rPr>
                <w:rFonts w:ascii="宋体"/>
                <w:color w:val="000000"/>
                <w:sz w:val="24"/>
                <w:szCs w:val="24"/>
              </w:rPr>
            </w:pPr>
            <w:r>
              <w:rPr>
                <w:rFonts w:hint="eastAsia" w:ascii="宋体" w:hAnsi="宋体" w:cs="宋体"/>
                <w:color w:val="000000"/>
                <w:kern w:val="0"/>
                <w:sz w:val="24"/>
                <w:szCs w:val="24"/>
              </w:rPr>
              <w:t>二级指标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E179A7">
            <w:pPr>
              <w:widowControl/>
              <w:jc w:val="center"/>
              <w:textAlignment w:val="center"/>
              <w:rPr>
                <w:rFonts w:ascii="宋体"/>
                <w:color w:val="000000"/>
                <w:sz w:val="24"/>
                <w:szCs w:val="24"/>
              </w:rPr>
            </w:pPr>
            <w:r>
              <w:rPr>
                <w:rFonts w:hint="eastAsia" w:ascii="宋体" w:hAnsi="宋体" w:cs="宋体"/>
                <w:color w:val="000000"/>
                <w:kern w:val="0"/>
                <w:sz w:val="24"/>
                <w:szCs w:val="24"/>
              </w:rPr>
              <w:t>三级指标</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42933">
            <w:pPr>
              <w:widowControl/>
              <w:jc w:val="center"/>
              <w:textAlignment w:val="center"/>
              <w:rPr>
                <w:rFonts w:ascii="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5B751F">
            <w:pPr>
              <w:widowControl/>
              <w:jc w:val="center"/>
              <w:textAlignment w:val="center"/>
              <w:rPr>
                <w:rFonts w:ascii="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14:paraId="45A968F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62203A3">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2E044C">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167418">
            <w:pPr>
              <w:widowControl/>
              <w:jc w:val="center"/>
              <w:textAlignment w:val="center"/>
              <w:rPr>
                <w:rFonts w:ascii="宋体"/>
                <w:color w:val="000000"/>
                <w:sz w:val="24"/>
                <w:szCs w:val="24"/>
              </w:rPr>
            </w:pPr>
            <w:r>
              <w:rPr>
                <w:rFonts w:hint="eastAsia" w:ascii="宋体"/>
                <w:color w:val="000000"/>
                <w:sz w:val="24"/>
                <w:szCs w:val="24"/>
              </w:rPr>
              <w:t>数量指标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961247">
            <w:pPr>
              <w:widowControl/>
              <w:jc w:val="center"/>
              <w:textAlignment w:val="center"/>
              <w:rPr>
                <w:rFonts w:ascii="宋体"/>
                <w:color w:val="000000"/>
                <w:sz w:val="24"/>
                <w:szCs w:val="24"/>
              </w:rPr>
            </w:pPr>
            <w:r>
              <w:rPr>
                <w:rFonts w:hint="eastAsia" w:ascii="宋体"/>
                <w:color w:val="000000"/>
                <w:sz w:val="24"/>
                <w:szCs w:val="24"/>
              </w:rPr>
              <w:t>开展退管慰问情况</w:t>
            </w:r>
            <w:r>
              <w:rPr>
                <w:rFonts w:ascii="宋体"/>
                <w:color w:val="000000"/>
                <w:sz w:val="24"/>
                <w:szCs w:val="24"/>
              </w:rPr>
              <w:t xml:space="preserve"> </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40CB9">
            <w:pPr>
              <w:widowControl/>
              <w:jc w:val="center"/>
              <w:textAlignment w:val="center"/>
              <w:rPr>
                <w:rFonts w:ascii="宋体"/>
                <w:color w:val="000000"/>
                <w:sz w:val="24"/>
                <w:szCs w:val="24"/>
              </w:rPr>
            </w:pPr>
            <w:r>
              <w:rPr>
                <w:rFonts w:hint="eastAsia" w:ascii="宋体"/>
                <w:color w:val="000000"/>
                <w:sz w:val="24"/>
                <w:szCs w:val="24"/>
              </w:rPr>
              <w:t>生日慰问、住院慰问等</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22201">
            <w:pPr>
              <w:widowControl/>
              <w:jc w:val="left"/>
              <w:textAlignment w:val="center"/>
              <w:rPr>
                <w:rFonts w:ascii="宋体"/>
                <w:color w:val="000000"/>
              </w:rPr>
            </w:pPr>
            <w:r>
              <w:rPr>
                <w:rFonts w:hint="eastAsia" w:ascii="宋体"/>
                <w:color w:val="000000"/>
              </w:rPr>
              <w:t>为8000名左右退休人员送上生日的祝福；为200名左右的生病住院人员进行了慰问，为400名左右的困难退休人员送上了20万左右的慰问品及慰问金</w:t>
            </w:r>
          </w:p>
        </w:tc>
      </w:tr>
      <w:tr w14:paraId="7B1FDBE7">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34FFEB0">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C5554">
            <w:pPr>
              <w:widowControl/>
              <w:jc w:val="center"/>
              <w:textAlignment w:val="center"/>
              <w:rPr>
                <w:rFonts w:ascii="宋体"/>
                <w:color w:val="000000"/>
                <w:sz w:val="24"/>
                <w:szCs w:val="24"/>
              </w:rPr>
            </w:pPr>
            <w:r>
              <w:rPr>
                <w:rFonts w:hint="eastAsia" w:ascii="宋体" w:hAnsi="宋体" w:cs="宋体"/>
                <w:color w:val="000000"/>
                <w:kern w:val="0"/>
                <w:sz w:val="24"/>
                <w:szCs w:val="24"/>
              </w:rPr>
              <w:t>项目完成指标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25A9F7">
            <w:pPr>
              <w:widowControl/>
              <w:jc w:val="center"/>
              <w:textAlignment w:val="center"/>
              <w:rPr>
                <w:rFonts w:ascii="宋体"/>
                <w:color w:val="000000"/>
                <w:sz w:val="24"/>
                <w:szCs w:val="24"/>
              </w:rPr>
            </w:pPr>
            <w:r>
              <w:rPr>
                <w:rFonts w:hint="eastAsia" w:ascii="宋体"/>
                <w:color w:val="000000"/>
                <w:sz w:val="24"/>
                <w:szCs w:val="24"/>
              </w:rPr>
              <w:t>数量指标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78BD03">
            <w:pPr>
              <w:widowControl/>
              <w:jc w:val="center"/>
              <w:textAlignment w:val="center"/>
              <w:rPr>
                <w:rFonts w:ascii="宋体"/>
                <w:color w:val="000000"/>
                <w:sz w:val="24"/>
                <w:szCs w:val="24"/>
              </w:rPr>
            </w:pPr>
            <w:r>
              <w:rPr>
                <w:rFonts w:hint="eastAsia" w:ascii="宋体"/>
                <w:color w:val="000000"/>
                <w:sz w:val="24"/>
                <w:szCs w:val="24"/>
              </w:rPr>
              <w:t>帮扶情况</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342255">
            <w:pPr>
              <w:widowControl/>
              <w:jc w:val="center"/>
              <w:textAlignment w:val="center"/>
              <w:rPr>
                <w:rFonts w:ascii="宋体"/>
                <w:color w:val="000000"/>
                <w:sz w:val="24"/>
                <w:szCs w:val="24"/>
              </w:rPr>
            </w:pPr>
            <w:r>
              <w:rPr>
                <w:rFonts w:hint="eastAsia" w:ascii="宋体"/>
                <w:color w:val="000000"/>
                <w:sz w:val="24"/>
                <w:szCs w:val="24"/>
              </w:rPr>
              <w:t>空巢老人帮扶</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DDA06">
            <w:pPr>
              <w:widowControl/>
              <w:jc w:val="left"/>
              <w:textAlignment w:val="center"/>
              <w:rPr>
                <w:rFonts w:ascii="宋体"/>
                <w:color w:val="000000"/>
              </w:rPr>
            </w:pPr>
            <w:r>
              <w:rPr>
                <w:rFonts w:hint="eastAsia" w:ascii="宋体"/>
                <w:color w:val="000000"/>
              </w:rPr>
              <w:t>为30名空巢老人建立了一对一帮扶</w:t>
            </w:r>
          </w:p>
        </w:tc>
      </w:tr>
      <w:tr w14:paraId="38C0413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3C3FB9">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791D9">
            <w:pPr>
              <w:widowControl/>
              <w:jc w:val="center"/>
              <w:textAlignment w:val="center"/>
              <w:rPr>
                <w:rFonts w:ascii="宋体"/>
                <w:color w:val="000000"/>
                <w:sz w:val="24"/>
                <w:szCs w:val="24"/>
              </w:rPr>
            </w:pPr>
            <w:r>
              <w:rPr>
                <w:rFonts w:hint="eastAsia" w:ascii="宋体" w:hAnsi="宋体" w:cs="宋体"/>
                <w:color w:val="000000"/>
                <w:kern w:val="0"/>
                <w:sz w:val="24"/>
                <w:szCs w:val="24"/>
              </w:rPr>
              <w:t>效益指标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72AF0">
            <w:pPr>
              <w:widowControl/>
              <w:jc w:val="center"/>
              <w:textAlignment w:val="center"/>
              <w:rPr>
                <w:rFonts w:ascii="宋体"/>
                <w:color w:val="000000"/>
                <w:sz w:val="24"/>
                <w:szCs w:val="24"/>
              </w:rPr>
            </w:pPr>
            <w:r>
              <w:rPr>
                <w:rFonts w:hint="eastAsia" w:ascii="宋体"/>
                <w:color w:val="000000"/>
                <w:sz w:val="24"/>
                <w:szCs w:val="24"/>
              </w:rPr>
              <w:t>社会效益指标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A2A62B">
            <w:pPr>
              <w:widowControl/>
              <w:jc w:val="center"/>
              <w:textAlignment w:val="center"/>
              <w:rPr>
                <w:rFonts w:ascii="宋体"/>
                <w:color w:val="000000"/>
                <w:sz w:val="24"/>
                <w:szCs w:val="24"/>
              </w:rPr>
            </w:pPr>
            <w:r>
              <w:rPr>
                <w:rFonts w:hint="eastAsia" w:ascii="宋体"/>
                <w:color w:val="000000"/>
                <w:sz w:val="24"/>
                <w:szCs w:val="24"/>
              </w:rPr>
              <w:t>社会影响力</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CAF65">
            <w:pPr>
              <w:widowControl/>
              <w:jc w:val="center"/>
              <w:textAlignment w:val="center"/>
              <w:rPr>
                <w:rFonts w:ascii="宋体"/>
                <w:color w:val="000000"/>
                <w:sz w:val="24"/>
                <w:szCs w:val="24"/>
              </w:rPr>
            </w:pPr>
            <w:r>
              <w:rPr>
                <w:rFonts w:hint="eastAsia" w:ascii="宋体"/>
                <w:color w:val="000000"/>
                <w:sz w:val="24"/>
                <w:szCs w:val="24"/>
              </w:rPr>
              <w:t>退管文体活动开展情况</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1A9589">
            <w:pPr>
              <w:widowControl/>
              <w:jc w:val="left"/>
              <w:textAlignment w:val="center"/>
              <w:rPr>
                <w:rFonts w:ascii="宋体"/>
                <w:color w:val="000000"/>
                <w:sz w:val="24"/>
                <w:szCs w:val="24"/>
              </w:rPr>
            </w:pPr>
            <w:r>
              <w:rPr>
                <w:rFonts w:hint="eastAsia" w:ascii="宋体"/>
                <w:color w:val="000000"/>
              </w:rPr>
              <w:t>丰富退休人员的文体生活，组织乡镇、社区开展40场左右的文体活动</w:t>
            </w:r>
          </w:p>
        </w:tc>
      </w:tr>
      <w:tr w14:paraId="563D253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CEB3664">
            <w:pPr>
              <w:widowControl/>
              <w:jc w:val="left"/>
              <w:rPr>
                <w:rFonts w:ascii="宋体"/>
                <w:color w:val="000000"/>
                <w:sz w:val="24"/>
                <w:szCs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C5320">
            <w:pPr>
              <w:widowControl/>
              <w:jc w:val="center"/>
              <w:textAlignment w:val="center"/>
              <w:rPr>
                <w:rFonts w:ascii="宋体"/>
                <w:color w:val="000000"/>
                <w:sz w:val="24"/>
                <w:szCs w:val="24"/>
              </w:rPr>
            </w:pPr>
            <w:r>
              <w:rPr>
                <w:rFonts w:hint="eastAsia" w:ascii="宋体" w:hAnsi="宋体" w:cs="宋体"/>
                <w:color w:val="000000"/>
                <w:kern w:val="0"/>
                <w:sz w:val="24"/>
                <w:szCs w:val="24"/>
              </w:rPr>
              <w:t>满意度指标</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4AC52">
            <w:pPr>
              <w:widowControl/>
              <w:jc w:val="center"/>
              <w:textAlignment w:val="center"/>
              <w:rPr>
                <w:rFonts w:ascii="宋体"/>
                <w:color w:val="000000"/>
                <w:sz w:val="24"/>
                <w:szCs w:val="24"/>
              </w:rPr>
            </w:pPr>
            <w:r>
              <w:rPr>
                <w:rFonts w:hint="eastAsia" w:ascii="宋体"/>
                <w:color w:val="000000"/>
                <w:sz w:val="24"/>
                <w:szCs w:val="24"/>
              </w:rPr>
              <w:t>满意度指标</w:t>
            </w:r>
          </w:p>
        </w:tc>
        <w:tc>
          <w:tcPr>
            <w:tcW w:w="18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EC54EC">
            <w:pPr>
              <w:widowControl/>
              <w:jc w:val="center"/>
              <w:textAlignment w:val="center"/>
              <w:rPr>
                <w:rFonts w:ascii="宋体"/>
                <w:color w:val="000000"/>
                <w:sz w:val="24"/>
                <w:szCs w:val="24"/>
              </w:rPr>
            </w:pPr>
            <w:r>
              <w:rPr>
                <w:rFonts w:hint="eastAsia" w:ascii="宋体"/>
                <w:color w:val="000000"/>
                <w:sz w:val="24"/>
                <w:szCs w:val="24"/>
              </w:rPr>
              <w:t>群众满意度</w:t>
            </w:r>
          </w:p>
        </w:tc>
        <w:tc>
          <w:tcPr>
            <w:tcW w:w="13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93ADD">
            <w:pPr>
              <w:widowControl/>
              <w:jc w:val="center"/>
              <w:textAlignment w:val="center"/>
              <w:rPr>
                <w:rFonts w:ascii="宋体"/>
                <w:color w:val="000000"/>
                <w:sz w:val="24"/>
                <w:szCs w:val="24"/>
              </w:rPr>
            </w:pPr>
            <w:r>
              <w:rPr>
                <w:rFonts w:hint="eastAsia" w:ascii="宋体"/>
                <w:color w:val="000000"/>
                <w:sz w:val="24"/>
                <w:szCs w:val="24"/>
              </w:rPr>
              <w:t>广大离退休人员满意度</w:t>
            </w:r>
          </w:p>
        </w:tc>
        <w:tc>
          <w:tcPr>
            <w:tcW w:w="3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3A6B2">
            <w:pPr>
              <w:widowControl/>
              <w:jc w:val="center"/>
              <w:textAlignment w:val="center"/>
              <w:rPr>
                <w:rFonts w:ascii="宋体"/>
                <w:color w:val="000000"/>
                <w:sz w:val="24"/>
                <w:szCs w:val="24"/>
              </w:rPr>
            </w:pPr>
            <w:r>
              <w:rPr>
                <w:rFonts w:hint="eastAsia" w:ascii="宋体"/>
                <w:color w:val="000000"/>
                <w:sz w:val="24"/>
                <w:szCs w:val="24"/>
              </w:rPr>
              <w:t>&gt;=80%</w:t>
            </w:r>
          </w:p>
        </w:tc>
      </w:tr>
    </w:tbl>
    <w:p w14:paraId="3458BE73">
      <w:pPr>
        <w:spacing w:line="580" w:lineRule="exact"/>
        <w:rPr>
          <w:rFonts w:ascii="仿宋" w:hAnsi="仿宋" w:eastAsia="仿宋" w:cs="仿宋"/>
          <w:b/>
          <w:bCs/>
          <w:sz w:val="32"/>
          <w:szCs w:val="32"/>
        </w:rPr>
      </w:pPr>
    </w:p>
    <w:p w14:paraId="3389B8A4">
      <w:pPr>
        <w:spacing w:line="580" w:lineRule="exact"/>
        <w:rPr>
          <w:rFonts w:ascii="仿宋" w:hAnsi="仿宋" w:eastAsia="仿宋" w:cs="仿宋"/>
          <w:b/>
          <w:bCs/>
          <w:sz w:val="32"/>
          <w:szCs w:val="32"/>
        </w:rPr>
      </w:pPr>
    </w:p>
    <w:p w14:paraId="581CA273">
      <w:pPr>
        <w:numPr>
          <w:ilvl w:val="0"/>
          <w:numId w:val="5"/>
        </w:numPr>
        <w:spacing w:line="580" w:lineRule="exact"/>
        <w:rPr>
          <w:rFonts w:ascii="仿宋" w:hAnsi="仿宋" w:eastAsia="仿宋"/>
          <w:sz w:val="32"/>
          <w:szCs w:val="32"/>
        </w:rPr>
      </w:pPr>
      <w:r>
        <w:rPr>
          <w:rFonts w:hint="eastAsia" w:ascii="仿宋" w:hAnsi="仿宋" w:eastAsia="仿宋" w:cs="仿宋"/>
          <w:b/>
          <w:bCs/>
          <w:sz w:val="32"/>
          <w:szCs w:val="32"/>
        </w:rPr>
        <w:t>部门开展绩效评价结果。</w:t>
      </w:r>
    </w:p>
    <w:p w14:paraId="25B90A7B">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年部门整体支出绩效评价情况开展自评，《广汉市人力资源和社会保障局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09F68A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本部门自行组织对三支一扶项目、退休人员社会化管理项目、企业军转干项目开展了绩效评价，《项目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14:paraId="5D45E428">
      <w:pPr>
        <w:spacing w:line="600" w:lineRule="exact"/>
        <w:ind w:firstLine="800" w:firstLineChars="250"/>
        <w:outlineLvl w:val="1"/>
        <w:rPr>
          <w:rStyle w:val="17"/>
          <w:rFonts w:ascii="黑体" w:hAnsi="黑体" w:eastAsia="黑体" w:cs="Times New Roman"/>
        </w:rPr>
      </w:pPr>
      <w:bookmarkStart w:id="50" w:name="_Toc15377221"/>
      <w:bookmarkStart w:id="51" w:name="_Toc15396612"/>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50"/>
      <w:bookmarkEnd w:id="51"/>
    </w:p>
    <w:p w14:paraId="3E35DD30">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cs="仿宋"/>
          <w:b/>
          <w:bCs/>
          <w:color w:val="000000"/>
          <w:sz w:val="32"/>
          <w:szCs w:val="32"/>
        </w:rPr>
        <w:t>（一）机关运行经费支出情况</w:t>
      </w:r>
      <w:bookmarkEnd w:id="52"/>
    </w:p>
    <w:p w14:paraId="7F4F14CF">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年，广汉市人社局机关运行经费支出690.84万元，比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年增加352.39万元。主要原因是支付2017年、2018年两年城乡居民医疗保险经办工作经费、上级拨入的基层平台建设相关经费等导致其他商品和服务支出的增加。</w:t>
      </w:r>
    </w:p>
    <w:p w14:paraId="405079F7">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3" w:name="_Toc15377223"/>
      <w:r>
        <w:rPr>
          <w:rFonts w:hint="eastAsia" w:ascii="仿宋" w:hAnsi="仿宋" w:eastAsia="仿宋" w:cs="仿宋"/>
          <w:b/>
          <w:bCs/>
          <w:color w:val="000000"/>
          <w:sz w:val="32"/>
          <w:szCs w:val="32"/>
        </w:rPr>
        <w:t>（二）政府采购支出情况</w:t>
      </w:r>
      <w:bookmarkEnd w:id="53"/>
    </w:p>
    <w:p w14:paraId="091ADF7E">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年，广汉市人社局政府采购支出总额316.75万元，其中：政府采购货物支出162.22万元、</w:t>
      </w:r>
      <w:r>
        <w:rPr>
          <w:rFonts w:hint="eastAsia" w:ascii="仿宋_GB2312" w:eastAsia="仿宋_GB2312"/>
          <w:color w:val="000000"/>
          <w:sz w:val="32"/>
          <w:szCs w:val="32"/>
        </w:rPr>
        <w:t>政府采购工程支出0万元、</w:t>
      </w:r>
      <w:r>
        <w:rPr>
          <w:rFonts w:hint="eastAsia" w:ascii="仿宋_GB2312" w:eastAsia="仿宋_GB2312" w:cs="仿宋_GB2312"/>
          <w:color w:val="000000"/>
          <w:sz w:val="32"/>
          <w:szCs w:val="32"/>
        </w:rPr>
        <w:t>政府采购服务支出154.53万元。主要用于</w:t>
      </w:r>
      <w:r>
        <w:rPr>
          <w:rFonts w:hint="eastAsia" w:ascii="仿宋_GB2312" w:eastAsia="仿宋_GB2312"/>
          <w:color w:val="000000"/>
          <w:sz w:val="32"/>
          <w:szCs w:val="32"/>
        </w:rPr>
        <w:t>基层服务公共平台设备采购、就业V2.0系统升级设备采购、电信网络服务采购、创新创业活动采购、就业扶贫活动采购等。</w:t>
      </w:r>
    </w:p>
    <w:p w14:paraId="73BE9ABD">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4" w:name="_Toc15377224"/>
      <w:r>
        <w:rPr>
          <w:rFonts w:hint="eastAsia" w:ascii="仿宋" w:hAnsi="仿宋" w:eastAsia="仿宋" w:cs="仿宋"/>
          <w:b/>
          <w:bCs/>
          <w:color w:val="000000"/>
          <w:sz w:val="32"/>
          <w:szCs w:val="32"/>
        </w:rPr>
        <w:t>（三）国有资产占有使用情况</w:t>
      </w:r>
      <w:bookmarkEnd w:id="54"/>
    </w:p>
    <w:p w14:paraId="41298382">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截至2018年12月31日，广汉市人社局无公务用车，实际单位保留使用的一般公务用车2辆，有国资统一管理。</w:t>
      </w:r>
    </w:p>
    <w:p w14:paraId="7F1C467F">
      <w:pPr>
        <w:widowControl/>
        <w:jc w:val="left"/>
        <w:rPr>
          <w:rFonts w:ascii="仿宋_GB2312" w:eastAsia="仿宋_GB2312"/>
          <w:b/>
          <w:bCs/>
          <w:color w:val="000000"/>
          <w:sz w:val="32"/>
          <w:szCs w:val="32"/>
        </w:rPr>
      </w:pPr>
    </w:p>
    <w:p w14:paraId="5F9AF4A1">
      <w:pPr>
        <w:numPr>
          <w:ilvl w:val="0"/>
          <w:numId w:val="6"/>
        </w:numPr>
        <w:spacing w:line="600" w:lineRule="exact"/>
        <w:ind w:firstLine="663" w:firstLineChars="150"/>
        <w:jc w:val="center"/>
        <w:outlineLvl w:val="0"/>
        <w:rPr>
          <w:rStyle w:val="16"/>
          <w:rFonts w:ascii="黑体" w:hAnsi="黑体" w:eastAsia="黑体"/>
          <w:b w:val="0"/>
          <w:bCs w:val="0"/>
        </w:rPr>
      </w:pPr>
      <w:bookmarkStart w:id="55" w:name="_Toc15396613"/>
      <w:bookmarkStart w:id="56" w:name="_Toc15377225"/>
      <w:r>
        <w:rPr>
          <w:rFonts w:hint="eastAsia" w:ascii="黑体" w:hAnsi="黑体" w:eastAsia="黑体" w:cs="黑体"/>
          <w:b/>
          <w:bCs/>
          <w:color w:val="000000"/>
          <w:sz w:val="44"/>
          <w:szCs w:val="44"/>
        </w:rPr>
        <w:t>名</w:t>
      </w:r>
      <w:r>
        <w:rPr>
          <w:rStyle w:val="16"/>
          <w:rFonts w:hint="eastAsia" w:ascii="黑体" w:hAnsi="黑体" w:eastAsia="黑体" w:cs="黑体"/>
          <w:b w:val="0"/>
          <w:bCs w:val="0"/>
        </w:rPr>
        <w:t>词解释</w:t>
      </w:r>
      <w:bookmarkEnd w:id="55"/>
      <w:bookmarkEnd w:id="56"/>
    </w:p>
    <w:p w14:paraId="22350673">
      <w:pPr>
        <w:spacing w:line="600" w:lineRule="exact"/>
        <w:jc w:val="left"/>
        <w:rPr>
          <w:rFonts w:ascii="宋体"/>
          <w:b/>
          <w:bCs/>
          <w:color w:val="000000"/>
          <w:sz w:val="44"/>
          <w:szCs w:val="44"/>
        </w:rPr>
      </w:pPr>
    </w:p>
    <w:p w14:paraId="7F7EB2F5">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14:paraId="0D42A4C7">
      <w:pPr>
        <w:pStyle w:val="25"/>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其他收入：指单位取得的除上述收入以外的各项收入。本单位主要是</w:t>
      </w:r>
      <w:r>
        <w:rPr>
          <w:rFonts w:hint="eastAsia" w:ascii="仿宋_GB2312" w:eastAsia="仿宋_GB2312"/>
          <w:sz w:val="32"/>
          <w:szCs w:val="32"/>
        </w:rPr>
        <w:t>上级拨入的工作经费等相关补助收入</w:t>
      </w:r>
      <w:r>
        <w:rPr>
          <w:rFonts w:hint="eastAsia" w:ascii="仿宋_GB2312" w:eastAsia="仿宋_GB2312" w:cs="仿宋_GB2312"/>
          <w:sz w:val="32"/>
          <w:szCs w:val="32"/>
        </w:rPr>
        <w:t>。</w:t>
      </w:r>
      <w:r>
        <w:rPr>
          <w:rFonts w:ascii="仿宋_GB2312" w:eastAsia="仿宋_GB2312" w:cs="仿宋_GB2312"/>
          <w:sz w:val="32"/>
          <w:szCs w:val="32"/>
        </w:rPr>
        <w:t xml:space="preserve"> </w:t>
      </w:r>
    </w:p>
    <w:p w14:paraId="3143869D">
      <w:pPr>
        <w:pStyle w:val="25"/>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3.年初结转和结余：指以前年度尚未完成、结转到本年按有关规定继续使用的资金。</w:t>
      </w:r>
      <w:r>
        <w:rPr>
          <w:rFonts w:ascii="仿宋_GB2312" w:eastAsia="仿宋_GB2312" w:cs="仿宋_GB2312"/>
          <w:sz w:val="32"/>
          <w:szCs w:val="32"/>
        </w:rPr>
        <w:t xml:space="preserve"> </w:t>
      </w:r>
    </w:p>
    <w:p w14:paraId="551D0C53">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4.年末结转和结余：指单位按有关规定结转到下年或以后年度继续使用的资金。</w:t>
      </w:r>
      <w:r>
        <w:rPr>
          <w:rFonts w:hint="eastAsia" w:ascii="仿宋_GB2312" w:eastAsia="仿宋_GB2312"/>
          <w:color w:val="000000"/>
          <w:sz w:val="32"/>
          <w:szCs w:val="32"/>
        </w:rPr>
        <w:t>指本年度或以前年度预算安排、因客观条件发生变化无法按原计划实施，需延迟到以后年度按有关规定继续使用的资金。</w:t>
      </w:r>
    </w:p>
    <w:p w14:paraId="212829B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5.一般公共服务支出-人力资源事务-军队转业干部安置支出：指企业军转干、自主择业军转干相关支出。</w:t>
      </w:r>
    </w:p>
    <w:p w14:paraId="7E8B6CCB">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6.一般公共服务支出-人力资源事务-其他人事事务支出：指三支一扶人员工资、社会保险、公积金等方面的开支。</w:t>
      </w:r>
    </w:p>
    <w:p w14:paraId="33EC696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7.教育-职业教育-中专教育：建档立卡贫困学生补助。</w:t>
      </w:r>
    </w:p>
    <w:p w14:paraId="39D502F2">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8.社会保障和就业-人力资源和社会保障-行政运行：指单位的基本支出，主要包括有在职人员工资福利支出、奖励金支出、日常办公费用等公用支出等。</w:t>
      </w:r>
    </w:p>
    <w:p w14:paraId="6F1DE13D">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9.社会保障和就业-人力资源和社会保障-综合业务管理：指本单位的社保档案整理方面的开支。</w:t>
      </w:r>
    </w:p>
    <w:p w14:paraId="4CF0BC9C">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10.社会保障和就业-人力资源和社会保障-劳动保障监察：指开展劳动保障监察方面涉及的差旅费、工作餐等支出。</w:t>
      </w:r>
    </w:p>
    <w:p w14:paraId="21854B04">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11.社会保障和就业-人力资源和社会保障-就业管理事务：指职业技能鉴定的材料成本费。</w:t>
      </w:r>
    </w:p>
    <w:p w14:paraId="51C6419B">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12.社会保障和就业-人力资源和社会保障-社会保险业务：社会保险业务管理和基金监督方面支出。</w:t>
      </w:r>
    </w:p>
    <w:p w14:paraId="49276448">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13.社会保障和就业-人力资源和社会保障-社会保险经办机构：主要是</w:t>
      </w:r>
      <w:r>
        <w:rPr>
          <w:rFonts w:hint="eastAsia" w:ascii="仿宋_GB2312" w:eastAsia="仿宋_GB2312"/>
          <w:sz w:val="32"/>
          <w:szCs w:val="32"/>
        </w:rPr>
        <w:t>退休人员社会化管理方面的支出。</w:t>
      </w:r>
    </w:p>
    <w:p w14:paraId="78EF1AB9">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14.机构社会保障和就业-人力资源和社会保障-劳动人事争议调解仲裁：反映仲裁机构实体化建设、办案经费等方面的支出。</w:t>
      </w:r>
    </w:p>
    <w:p w14:paraId="54DA9717">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15.社会保障和就业-人力资源和社会保障-其他人力资源和社会保障管理事务支出：指本单位临聘人员劳务费、军转干稳控支出、自主择业军转干医疗保险支出等。</w:t>
      </w:r>
    </w:p>
    <w:p w14:paraId="6CE90979">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16.社会保障和就业-行政事业单位离退休-其未归口管理的行政单位离退休</w:t>
      </w:r>
    </w:p>
    <w:p w14:paraId="01BCB584">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17.社会保障和就业-行政事业单位离退休-机关事业单位基本养老保险缴费支出</w:t>
      </w:r>
    </w:p>
    <w:p w14:paraId="614DEF3E">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18.社会保障和就业-行政事业单位离退休-机关事业单位职业年金缴费支出</w:t>
      </w:r>
    </w:p>
    <w:p w14:paraId="65FF5B1F">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19.社会保障和就业-其他社会保障和就业支出-其他社会保障和就业支出：指</w:t>
      </w:r>
      <w:r>
        <w:rPr>
          <w:rFonts w:hint="eastAsia" w:ascii="仿宋_GB2312" w:eastAsia="仿宋_GB2312"/>
          <w:sz w:val="32"/>
          <w:szCs w:val="32"/>
        </w:rPr>
        <w:t>企业军转干部补助、建国前老干部补助等。</w:t>
      </w:r>
    </w:p>
    <w:p w14:paraId="40824F82">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20.医疗卫生与计划生育-医疗保障-行政单位医疗：指单位职工社会保险缴费机离休人员医疗费。</w:t>
      </w:r>
    </w:p>
    <w:p w14:paraId="156D618F">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21.医疗卫生与计划生育-医疗保障-公务员医疗补助:指公务员医疗门诊补助。</w:t>
      </w:r>
    </w:p>
    <w:p w14:paraId="29EE08E5">
      <w:pPr>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22.医疗卫生与计划生育-医疗保障-其他医疗保障支出：全市城乡居民补充医疗保险缴费及在编人员生育保险缴费。</w:t>
      </w:r>
    </w:p>
    <w:p w14:paraId="460D62F1">
      <w:pPr>
        <w:spacing w:line="60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23.住房保障支出-住房改革支出-住房公积金：指单位全年住房公积金支出。</w:t>
      </w:r>
    </w:p>
    <w:p w14:paraId="5D96DC86">
      <w:pPr>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4</w:t>
      </w:r>
      <w:r>
        <w:rPr>
          <w:rFonts w:ascii="仿宋_GB2312" w:eastAsia="仿宋_GB2312" w:cs="仿宋_GB2312"/>
          <w:color w:val="000000"/>
          <w:sz w:val="32"/>
          <w:szCs w:val="32"/>
        </w:rPr>
        <w:t>.</w:t>
      </w:r>
      <w:r>
        <w:rPr>
          <w:rFonts w:hint="eastAsia" w:ascii="仿宋_GB2312" w:eastAsia="仿宋_GB2312" w:cs="仿宋_GB2312"/>
          <w:color w:val="000000"/>
          <w:sz w:val="32"/>
          <w:szCs w:val="32"/>
        </w:rPr>
        <w:t>基本支出：指为保障机构正常运转、完成日常工作任务而发生的人员支出和公用支出。</w:t>
      </w:r>
    </w:p>
    <w:p w14:paraId="20AE0140">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5</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14:paraId="0C1D8467">
      <w:pPr>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6</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14:paraId="43F5B954">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27</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638B6AB">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28</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2C3F9B">
      <w:pPr>
        <w:pStyle w:val="25"/>
        <w:spacing w:line="560" w:lineRule="exact"/>
        <w:ind w:firstLine="640" w:firstLineChars="200"/>
        <w:rPr>
          <w:rFonts w:ascii="仿宋_GB2312" w:eastAsia="仿宋_GB2312" w:cs="Times New Roman"/>
          <w:sz w:val="32"/>
          <w:szCs w:val="32"/>
        </w:rPr>
      </w:pPr>
    </w:p>
    <w:p w14:paraId="5258D774">
      <w:pPr>
        <w:spacing w:line="600" w:lineRule="exact"/>
        <w:outlineLvl w:val="0"/>
        <w:rPr>
          <w:rStyle w:val="16"/>
          <w:rFonts w:ascii="黑体" w:hAnsi="黑体" w:eastAsia="黑体"/>
          <w:b w:val="0"/>
          <w:bCs w:val="0"/>
        </w:rPr>
      </w:pPr>
      <w:bookmarkStart w:id="57" w:name="_Toc15377226"/>
      <w:r>
        <w:rPr>
          <w:rFonts w:ascii="宋体"/>
          <w:b/>
          <w:bCs/>
          <w:color w:val="000000"/>
          <w:sz w:val="44"/>
          <w:szCs w:val="44"/>
        </w:rPr>
        <w:br w:type="page"/>
      </w:r>
      <w:bookmarkStart w:id="58"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8"/>
    </w:p>
    <w:p w14:paraId="6E610937">
      <w:pPr>
        <w:spacing w:line="600" w:lineRule="exact"/>
        <w:jc w:val="center"/>
        <w:outlineLvl w:val="0"/>
        <w:rPr>
          <w:rStyle w:val="16"/>
        </w:rPr>
      </w:pPr>
    </w:p>
    <w:p w14:paraId="3565B75B">
      <w:pPr>
        <w:pStyle w:val="3"/>
        <w:rPr>
          <w:rStyle w:val="16"/>
          <w:rFonts w:ascii="仿宋" w:hAnsi="仿宋" w:eastAsia="仿宋"/>
          <w:b w:val="0"/>
          <w:bCs w:val="0"/>
          <w:sz w:val="32"/>
          <w:szCs w:val="32"/>
        </w:rPr>
      </w:pPr>
      <w:bookmarkStart w:id="59" w:name="_Toc15396615"/>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bookmarkEnd w:id="59"/>
    </w:p>
    <w:p w14:paraId="5C14B495">
      <w:pPr>
        <w:spacing w:line="600" w:lineRule="exact"/>
        <w:jc w:val="center"/>
        <w:outlineLvl w:val="0"/>
        <w:rPr>
          <w:rFonts w:ascii="黑体" w:hAnsi="黑体" w:eastAsia="黑体" w:cs="黑体"/>
          <w:sz w:val="36"/>
          <w:szCs w:val="36"/>
        </w:rPr>
      </w:pPr>
      <w:bookmarkStart w:id="60" w:name="_Toc15396616"/>
      <w:r>
        <w:rPr>
          <w:rFonts w:hint="eastAsia" w:ascii="黑体" w:hAnsi="黑体" w:eastAsia="黑体" w:cs="黑体"/>
          <w:sz w:val="36"/>
          <w:szCs w:val="36"/>
        </w:rPr>
        <w:t>广汉市人力资源和社会保障局</w:t>
      </w:r>
    </w:p>
    <w:p w14:paraId="1EFEB1B4">
      <w:pPr>
        <w:spacing w:line="600" w:lineRule="exact"/>
        <w:jc w:val="center"/>
        <w:outlineLvl w:val="0"/>
        <w:rPr>
          <w:rFonts w:ascii="黑体" w:hAnsi="黑体" w:eastAsia="黑体"/>
          <w:sz w:val="36"/>
          <w:szCs w:val="36"/>
        </w:rPr>
      </w:pPr>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60"/>
    </w:p>
    <w:p w14:paraId="4BEE9ABD">
      <w:pPr>
        <w:spacing w:line="580" w:lineRule="exact"/>
        <w:ind w:firstLine="640" w:firstLineChars="200"/>
        <w:rPr>
          <w:rFonts w:ascii="黑体" w:hAnsi="黑体" w:eastAsia="黑体"/>
          <w:sz w:val="32"/>
          <w:szCs w:val="32"/>
        </w:rPr>
      </w:pPr>
    </w:p>
    <w:p w14:paraId="50AE5112">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1530AE74">
      <w:pPr>
        <w:widowControl/>
        <w:adjustRightInd w:val="0"/>
        <w:snapToGrid w:val="0"/>
        <w:spacing w:line="54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（一）机构组成。</w:t>
      </w:r>
    </w:p>
    <w:p w14:paraId="75213B1E">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广汉市人力资源和社会保障局设行政机关、参照公务员管理事业单位和事业机构，其中人社局机关设置10个内设机构：办公室、政策法规股（挂信访办公室牌子）、财务和基金监督股、军队转业干部安置办公室、事业人员和职业技能技术管理股（广汉市职称改革领导小组办公室、广汉市引进国外智力办公室）、工资福利股、公务员管理股、社会保险股、劳动保障监察大队、行政审批股；参照公务员管理事业单位的设置：广汉市社会保险事业管理局、广汉市就业服务管理局；事业单位机构的设置：广汉市医疗保障局、广汉市城乡居民养老保险局、广汉市人力资源服务中心、广汉市人事档案馆、广汉市人力资源信息网络中心、广汉市劳动人事争议调解仲裁院。</w:t>
      </w:r>
    </w:p>
    <w:p w14:paraId="74D11AD5">
      <w:pPr>
        <w:widowControl/>
        <w:adjustRightInd w:val="0"/>
        <w:snapToGrid w:val="0"/>
        <w:spacing w:line="54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（二）机构职能。</w:t>
      </w:r>
    </w:p>
    <w:p w14:paraId="64994064">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（1）贯彻执行国家、省和德阳市有关人力资源和社会保障工作的法律、法规、规章和政策。</w:t>
      </w:r>
    </w:p>
    <w:p w14:paraId="3F86F7C7">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（2）负责人力资源市场的综合管理工作。</w:t>
      </w:r>
    </w:p>
    <w:p w14:paraId="51B2E683">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（3）负责全市促进就业工作。</w:t>
      </w:r>
    </w:p>
    <w:p w14:paraId="04EEBE12">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（4）组织实施城乡社会保险及其补充保险政策和标准，贯彻落实全国统一的社会保险关系转续办法。</w:t>
      </w:r>
    </w:p>
    <w:p w14:paraId="11DD15F9">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（5）负责就业失业和本市统筹的社会保险基金预测预警和信息引导，拟订应对预案，实施预防、调节和控制，保持就业形势稳定和社会保险基金总体收支平衡。</w:t>
      </w:r>
    </w:p>
    <w:p w14:paraId="6DB6BB78">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（6）会同有关部门拟订机关、事业单位人员工资收入分配实施办法和企业职工工资收入分配调控政策，建立机关企事业单位人员工资正常增长和支付保障机制，贯彻落实机关企事业单位人员福利和离退休政策。</w:t>
      </w:r>
    </w:p>
    <w:p w14:paraId="2B4CCB59">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7）会同有关部门指导事业单位人事制度改革，拟订事业单位人员和机关工勤人员管理政策、中长期人员发展规划和年度工作计划并组织实施，负责全市事业单位和机关工勤人员的考试、聘用、考核、培训、奖励、惩戒等工作。</w:t>
      </w:r>
    </w:p>
    <w:p w14:paraId="7B6908EB">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（8）会同有关部门拟订军队转业干部安置政策和安置计划，负责军队转业干部教育培训工作，组织拟订部分企业军队转业干部解困和稳定政策，负责自主择业军队转业干部管理服务工作。</w:t>
      </w:r>
    </w:p>
    <w:p w14:paraId="0D1CD96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（9）综合管理全市国家公务员，拟定全市国家公务员队伍建设、中长期发展规划和年度工作计划，组织实施全市公务员考试录用、考核、培训、奖励、惩戒、申诉控告、辞职辞退等。</w:t>
      </w:r>
    </w:p>
    <w:p w14:paraId="1B52063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（10）</w:t>
      </w:r>
      <w:r>
        <w:rPr>
          <w:rFonts w:ascii="仿宋_GB2312" w:hAnsi="宋体" w:eastAsia="仿宋_GB2312" w:cs="宋体"/>
          <w:color w:val="000000"/>
          <w:kern w:val="0"/>
          <w:sz w:val="32"/>
          <w:szCs w:val="32"/>
          <w:shd w:val="clear" w:color="auto" w:fill="FFFFFF"/>
        </w:rPr>
        <w:t>负责协调和综合管理农民工工作。</w:t>
      </w:r>
    </w:p>
    <w:p w14:paraId="6360D4D8">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（11）</w:t>
      </w:r>
      <w:r>
        <w:rPr>
          <w:rFonts w:ascii="仿宋_GB2312" w:hAnsi="宋体" w:eastAsia="仿宋_GB2312" w:cs="宋体"/>
          <w:color w:val="000000"/>
          <w:kern w:val="0"/>
          <w:sz w:val="32"/>
          <w:szCs w:val="32"/>
          <w:shd w:val="clear" w:color="auto" w:fill="FFFFFF"/>
        </w:rPr>
        <w:t>负责劳动、人事争议调解仲裁工作。</w:t>
      </w:r>
    </w:p>
    <w:p w14:paraId="4E5E177F">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12</w:t>
      </w:r>
      <w:r>
        <w:rPr>
          <w:rFonts w:ascii="仿宋_GB2312" w:hAnsi="宋体" w:eastAsia="仿宋_GB2312" w:cs="宋体"/>
          <w:color w:val="000000"/>
          <w:kern w:val="0"/>
          <w:sz w:val="32"/>
          <w:szCs w:val="32"/>
          <w:shd w:val="clear" w:color="auto" w:fill="FFFFFF"/>
        </w:rPr>
        <w:t>）负责劳动关系行政管理工作。</w:t>
      </w:r>
    </w:p>
    <w:p w14:paraId="74711330">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13</w:t>
      </w:r>
      <w:r>
        <w:rPr>
          <w:rFonts w:ascii="仿宋_GB2312" w:hAnsi="宋体" w:eastAsia="仿宋_GB2312" w:cs="宋体"/>
          <w:color w:val="000000"/>
          <w:kern w:val="0"/>
          <w:sz w:val="32"/>
          <w:szCs w:val="32"/>
          <w:shd w:val="clear" w:color="auto" w:fill="FFFFFF"/>
        </w:rPr>
        <w:t>）负责监督检查用人单位依法用工。</w:t>
      </w:r>
    </w:p>
    <w:p w14:paraId="66ECB02D">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（14）负责全市人力资源和社会保障系统信息化网络建设。</w:t>
      </w:r>
    </w:p>
    <w:p w14:paraId="112748BE">
      <w:pPr>
        <w:widowControl/>
        <w:adjustRightInd w:val="0"/>
        <w:snapToGrid w:val="0"/>
        <w:spacing w:line="54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（三）人员概况。</w:t>
      </w:r>
    </w:p>
    <w:p w14:paraId="359A3E4C">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截止201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年底，广汉市人力资源和社会保障局现有编制数</w:t>
      </w:r>
      <w:r>
        <w:rPr>
          <w:rFonts w:hint="eastAsia" w:ascii="仿宋_GB2312" w:hAnsi="宋体" w:eastAsia="仿宋_GB2312" w:cs="宋体"/>
          <w:color w:val="000000"/>
          <w:kern w:val="0"/>
          <w:sz w:val="32"/>
          <w:szCs w:val="32"/>
          <w:shd w:val="clear" w:color="auto" w:fill="FFFFFF"/>
        </w:rPr>
        <w:t>132</w:t>
      </w:r>
      <w:r>
        <w:rPr>
          <w:rFonts w:hint="eastAsia" w:ascii="仿宋_GB2312" w:hAnsi="宋体" w:eastAsia="仿宋_GB2312" w:cs="宋体"/>
          <w:color w:val="000000"/>
          <w:kern w:val="0"/>
          <w:sz w:val="32"/>
          <w:szCs w:val="32"/>
          <w:shd w:val="clear" w:color="auto" w:fill="FFFFFF"/>
          <w:lang w:val="zh-CN"/>
        </w:rPr>
        <w:t>人，其中行政编制25人（机关人员22人，工勤人员3人）。事业编制107人（参照公务员法管理人员41人，一般事业人员66人）。在职人员总数119人，其中行政人员18人，机关工勤人员1人，参照公务员法管理事业人员38人，一般事业人员62人。</w:t>
      </w:r>
    </w:p>
    <w:p w14:paraId="1CF68978">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581556FC">
      <w:pPr>
        <w:widowControl/>
        <w:adjustRightInd w:val="0"/>
        <w:snapToGrid w:val="0"/>
        <w:spacing w:line="54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（一）部门财政资金收入情况。</w:t>
      </w:r>
    </w:p>
    <w:p w14:paraId="2FEA4B30">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2018年度，广汉市财政拨款收入4285.57万元（包括基本支出3672.81万元，项目支出613.76万元）；上年财政拨款结余168.29万元。</w:t>
      </w:r>
    </w:p>
    <w:p w14:paraId="18D289D9">
      <w:pPr>
        <w:widowControl/>
        <w:adjustRightInd w:val="0"/>
        <w:snapToGrid w:val="0"/>
        <w:spacing w:line="54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（二）部门财政资金支出情况。</w:t>
      </w:r>
    </w:p>
    <w:p w14:paraId="7397854E">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2018年度，财政总支出4188.36万元，1、财政拨款基本支出3567.81万元。其中：一般公共服务支出310.58万元，教育支出0.45万元，社会保障和就业支出2552.8万元，医疗卫生于计划生育支出577.33万元，住房保障支出126.65万元。2、财政拨款项目支出620.55，全部为社会保障和就业支出。</w:t>
      </w:r>
    </w:p>
    <w:p w14:paraId="435A9B6B">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2018年财政拨款结转结余265.51万元，其中基本支出结转223.17万元，项目支出结转和结余42.34万元。</w:t>
      </w:r>
    </w:p>
    <w:p w14:paraId="5C7A2D6B">
      <w:pPr>
        <w:widowControl/>
        <w:adjustRightInd w:val="0"/>
        <w:snapToGrid w:val="0"/>
        <w:spacing w:line="5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三、部门财政支出管理情况</w:t>
      </w:r>
    </w:p>
    <w:p w14:paraId="0E7149B0">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（一）预算编制情况。</w:t>
      </w:r>
    </w:p>
    <w:p w14:paraId="31C779EB">
      <w:pPr>
        <w:widowControl/>
        <w:adjustRightInd w:val="0"/>
        <w:snapToGrid w:val="0"/>
        <w:spacing w:line="50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广汉市人社局</w:t>
      </w:r>
      <w:r>
        <w:rPr>
          <w:rFonts w:ascii="仿宋_GB2312" w:hAnsi="宋体" w:eastAsia="仿宋_GB2312" w:cs="宋体"/>
          <w:color w:val="000000"/>
          <w:kern w:val="0"/>
          <w:sz w:val="32"/>
          <w:szCs w:val="32"/>
          <w:shd w:val="clear" w:color="auto" w:fill="FFFFFF"/>
        </w:rPr>
        <w:t>201</w:t>
      </w:r>
      <w:r>
        <w:rPr>
          <w:rFonts w:hint="eastAsia" w:ascii="仿宋_GB2312" w:hAnsi="宋体" w:eastAsia="仿宋_GB2312" w:cs="宋体"/>
          <w:color w:val="000000"/>
          <w:kern w:val="0"/>
          <w:sz w:val="32"/>
          <w:szCs w:val="32"/>
          <w:shd w:val="clear" w:color="auto" w:fill="FFFFFF"/>
        </w:rPr>
        <w:t>8</w:t>
      </w:r>
      <w:r>
        <w:rPr>
          <w:rFonts w:ascii="仿宋_GB2312" w:hAnsi="宋体" w:eastAsia="仿宋_GB2312" w:cs="宋体"/>
          <w:color w:val="000000"/>
          <w:kern w:val="0"/>
          <w:sz w:val="32"/>
          <w:szCs w:val="32"/>
          <w:shd w:val="clear" w:color="auto" w:fill="FFFFFF"/>
        </w:rPr>
        <w:t>年预算收入</w:t>
      </w:r>
      <w:r>
        <w:rPr>
          <w:rFonts w:hint="eastAsia" w:ascii="仿宋_GB2312" w:hAnsi="宋体" w:eastAsia="仿宋_GB2312" w:cs="宋体"/>
          <w:color w:val="000000"/>
          <w:kern w:val="0"/>
          <w:sz w:val="32"/>
          <w:szCs w:val="32"/>
          <w:shd w:val="clear" w:color="auto" w:fill="FFFFFF"/>
        </w:rPr>
        <w:t>4285.57</w:t>
      </w:r>
      <w:r>
        <w:rPr>
          <w:rFonts w:ascii="仿宋_GB2312" w:hAnsi="宋体" w:eastAsia="仿宋_GB2312" w:cs="宋体"/>
          <w:color w:val="000000"/>
          <w:kern w:val="0"/>
          <w:sz w:val="32"/>
          <w:szCs w:val="32"/>
          <w:shd w:val="clear" w:color="auto" w:fill="FFFFFF"/>
        </w:rPr>
        <w:t>万元，支出</w:t>
      </w:r>
      <w:r>
        <w:rPr>
          <w:rFonts w:hint="eastAsia" w:ascii="仿宋_GB2312" w:hAnsi="仿宋" w:eastAsia="仿宋_GB2312"/>
          <w:color w:val="000000"/>
          <w:sz w:val="32"/>
          <w:szCs w:val="32"/>
        </w:rPr>
        <w:t>4188.36</w:t>
      </w:r>
      <w:r>
        <w:rPr>
          <w:rFonts w:ascii="仿宋_GB2312" w:hAnsi="宋体" w:eastAsia="仿宋_GB2312" w:cs="宋体"/>
          <w:color w:val="000000"/>
          <w:kern w:val="0"/>
          <w:sz w:val="32"/>
          <w:szCs w:val="32"/>
          <w:shd w:val="clear" w:color="auto" w:fill="FFFFFF"/>
        </w:rPr>
        <w:t>万元，</w:t>
      </w:r>
      <w:r>
        <w:rPr>
          <w:rFonts w:hint="eastAsia" w:ascii="仿宋_GB2312" w:hAnsi="宋体" w:eastAsia="仿宋_GB2312" w:cs="宋体"/>
          <w:color w:val="000000"/>
          <w:kern w:val="0"/>
          <w:sz w:val="32"/>
          <w:szCs w:val="32"/>
          <w:shd w:val="clear" w:color="auto" w:fill="FFFFFF"/>
        </w:rPr>
        <w:t>年初结余169.29万元，2018年底滚存</w:t>
      </w:r>
      <w:r>
        <w:rPr>
          <w:rFonts w:ascii="仿宋_GB2312" w:hAnsi="宋体" w:eastAsia="仿宋_GB2312" w:cs="宋体"/>
          <w:color w:val="000000"/>
          <w:kern w:val="0"/>
          <w:sz w:val="32"/>
          <w:szCs w:val="32"/>
          <w:shd w:val="clear" w:color="auto" w:fill="FFFFFF"/>
        </w:rPr>
        <w:t>结余</w:t>
      </w:r>
      <w:r>
        <w:rPr>
          <w:rFonts w:hint="eastAsia" w:ascii="仿宋_GB2312" w:hAnsi="宋体" w:eastAsia="仿宋_GB2312" w:cs="宋体"/>
          <w:color w:val="000000"/>
          <w:kern w:val="0"/>
          <w:sz w:val="32"/>
          <w:szCs w:val="32"/>
          <w:shd w:val="clear" w:color="auto" w:fill="FFFFFF"/>
        </w:rPr>
        <w:t>265.51</w:t>
      </w:r>
      <w:r>
        <w:rPr>
          <w:rFonts w:ascii="仿宋_GB2312" w:hAnsi="宋体" w:eastAsia="仿宋_GB2312" w:cs="宋体"/>
          <w:color w:val="000000"/>
          <w:kern w:val="0"/>
          <w:sz w:val="32"/>
          <w:szCs w:val="32"/>
          <w:shd w:val="clear" w:color="auto" w:fill="FFFFFF"/>
        </w:rPr>
        <w:t>万元</w:t>
      </w:r>
      <w:r>
        <w:rPr>
          <w:rFonts w:hint="eastAsia" w:ascii="仿宋_GB2312" w:hAnsi="宋体" w:eastAsia="仿宋_GB2312" w:cs="宋体"/>
          <w:color w:val="000000"/>
          <w:kern w:val="0"/>
          <w:sz w:val="32"/>
          <w:szCs w:val="32"/>
          <w:shd w:val="clear" w:color="auto" w:fill="FFFFFF"/>
        </w:rPr>
        <w:t>。</w:t>
      </w:r>
      <w:r>
        <w:rPr>
          <w:rFonts w:ascii="仿宋_GB2312" w:hAnsi="宋体" w:eastAsia="仿宋_GB2312" w:cs="宋体"/>
          <w:color w:val="000000"/>
          <w:kern w:val="0"/>
          <w:sz w:val="32"/>
          <w:szCs w:val="32"/>
          <w:shd w:val="clear" w:color="auto" w:fill="FFFFFF"/>
        </w:rPr>
        <w:t>对本年度相应用款进行及时清理和处理，做到账账相符、账实相符、账证相符,先有预算再有支出的原则，及时处理相关事务；对</w:t>
      </w:r>
      <w:r>
        <w:rPr>
          <w:rFonts w:hint="eastAsia" w:ascii="仿宋_GB2312" w:hAnsi="宋体" w:eastAsia="仿宋_GB2312" w:cs="宋体"/>
          <w:color w:val="000000"/>
          <w:kern w:val="0"/>
          <w:sz w:val="32"/>
          <w:szCs w:val="32"/>
          <w:shd w:val="clear" w:color="auto" w:fill="FFFFFF"/>
        </w:rPr>
        <w:t>单位涉及的经常性项目、一次性项目和基建项目等的</w:t>
      </w:r>
      <w:r>
        <w:rPr>
          <w:rFonts w:ascii="仿宋_GB2312" w:hAnsi="宋体" w:eastAsia="仿宋_GB2312" w:cs="宋体"/>
          <w:color w:val="000000"/>
          <w:kern w:val="0"/>
          <w:sz w:val="32"/>
          <w:szCs w:val="32"/>
          <w:shd w:val="clear" w:color="auto" w:fill="FFFFFF"/>
        </w:rPr>
        <w:t>绩效目标进行梳理和分析，及时上报相关报表</w:t>
      </w:r>
      <w:r>
        <w:rPr>
          <w:rFonts w:hint="eastAsia" w:ascii="仿宋_GB2312" w:hAnsi="宋体" w:eastAsia="仿宋_GB2312" w:cs="宋体"/>
          <w:color w:val="000000"/>
          <w:kern w:val="0"/>
          <w:sz w:val="32"/>
          <w:szCs w:val="32"/>
          <w:shd w:val="clear" w:color="auto" w:fill="FFFFFF"/>
        </w:rPr>
        <w:t>；</w:t>
      </w:r>
      <w:r>
        <w:rPr>
          <w:rFonts w:ascii="仿宋_GB2312" w:hAnsi="宋体" w:eastAsia="仿宋_GB2312" w:cs="宋体"/>
          <w:color w:val="000000"/>
          <w:kern w:val="0"/>
          <w:sz w:val="32"/>
          <w:szCs w:val="32"/>
          <w:shd w:val="clear" w:color="auto" w:fill="FFFFFF"/>
        </w:rPr>
        <w:t>对</w:t>
      </w:r>
      <w:r>
        <w:rPr>
          <w:rFonts w:hint="eastAsia" w:ascii="仿宋_GB2312" w:hAnsi="宋体" w:eastAsia="仿宋_GB2312" w:cs="宋体"/>
          <w:color w:val="000000"/>
          <w:kern w:val="0"/>
          <w:sz w:val="32"/>
          <w:szCs w:val="32"/>
          <w:shd w:val="clear" w:color="auto" w:fill="FFFFFF"/>
        </w:rPr>
        <w:t>三支一扶人员生活补助、退休人员社会化管理和企业军转干等年支出超过100万的</w:t>
      </w:r>
      <w:r>
        <w:rPr>
          <w:rFonts w:ascii="仿宋_GB2312" w:hAnsi="宋体" w:eastAsia="仿宋_GB2312" w:cs="宋体"/>
          <w:color w:val="000000"/>
          <w:kern w:val="0"/>
          <w:sz w:val="32"/>
          <w:szCs w:val="32"/>
          <w:shd w:val="clear" w:color="auto" w:fill="FFFFFF"/>
        </w:rPr>
        <w:t>专项预算提前细化，分科目上报，做到收支平衡</w:t>
      </w:r>
      <w:r>
        <w:rPr>
          <w:rFonts w:hint="eastAsia" w:ascii="仿宋_GB2312" w:hAnsi="宋体" w:eastAsia="仿宋_GB2312" w:cs="宋体"/>
          <w:color w:val="000000"/>
          <w:kern w:val="0"/>
          <w:sz w:val="32"/>
          <w:szCs w:val="32"/>
          <w:shd w:val="clear" w:color="auto" w:fill="FFFFFF"/>
        </w:rPr>
        <w:t>。</w:t>
      </w:r>
    </w:p>
    <w:p w14:paraId="3FC14E00">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（二）执行管理情况。</w:t>
      </w:r>
    </w:p>
    <w:p w14:paraId="37C231CA">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广汉市人社局</w:t>
      </w:r>
      <w:r>
        <w:rPr>
          <w:rFonts w:ascii="仿宋_GB2312" w:hAnsi="宋体" w:eastAsia="仿宋_GB2312" w:cs="宋体"/>
          <w:color w:val="000000"/>
          <w:kern w:val="0"/>
          <w:sz w:val="32"/>
          <w:szCs w:val="32"/>
          <w:shd w:val="clear" w:color="auto" w:fill="FFFFFF"/>
        </w:rPr>
        <w:t>按照</w:t>
      </w:r>
      <w:r>
        <w:rPr>
          <w:rFonts w:hint="eastAsia" w:ascii="仿宋_GB2312" w:hAnsi="宋体" w:eastAsia="仿宋_GB2312" w:cs="宋体"/>
          <w:color w:val="000000"/>
          <w:kern w:val="0"/>
          <w:sz w:val="32"/>
          <w:szCs w:val="32"/>
          <w:shd w:val="clear" w:color="auto" w:fill="FFFFFF"/>
        </w:rPr>
        <w:t>市</w:t>
      </w:r>
      <w:r>
        <w:rPr>
          <w:rFonts w:ascii="仿宋_GB2312" w:hAnsi="宋体" w:eastAsia="仿宋_GB2312" w:cs="宋体"/>
          <w:color w:val="000000"/>
          <w:kern w:val="0"/>
          <w:sz w:val="32"/>
          <w:szCs w:val="32"/>
          <w:shd w:val="clear" w:color="auto" w:fill="FFFFFF"/>
        </w:rPr>
        <w:t>财政的要求，认真总结经验，及时上报相关的用款计划，分月、分季度上报相应计划，待财政审核通过后，严格按计划执行，各季度执行情况良好。</w:t>
      </w:r>
    </w:p>
    <w:p w14:paraId="0E5761CC">
      <w:pPr>
        <w:widowControl/>
        <w:adjustRightInd w:val="0"/>
        <w:snapToGrid w:val="0"/>
        <w:spacing w:line="540" w:lineRule="exact"/>
        <w:ind w:firstLine="72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1、机关厉行节约。</w:t>
      </w:r>
    </w:p>
    <w:p w14:paraId="00B1D633">
      <w:pPr>
        <w:widowControl/>
        <w:adjustRightInd w:val="0"/>
        <w:snapToGrid w:val="0"/>
        <w:spacing w:line="540" w:lineRule="exact"/>
        <w:ind w:firstLine="72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201</w:t>
      </w:r>
      <w:r>
        <w:rPr>
          <w:rFonts w:hint="eastAsia" w:ascii="仿宋_GB2312" w:hAnsi="宋体" w:eastAsia="仿宋_GB2312" w:cs="宋体"/>
          <w:kern w:val="0"/>
          <w:sz w:val="32"/>
          <w:szCs w:val="32"/>
          <w:shd w:val="clear" w:color="auto" w:fill="FFFFFF"/>
        </w:rPr>
        <w:t>8</w:t>
      </w:r>
      <w:r>
        <w:rPr>
          <w:rFonts w:hint="eastAsia" w:ascii="仿宋_GB2312" w:hAnsi="宋体" w:eastAsia="仿宋_GB2312" w:cs="宋体"/>
          <w:kern w:val="0"/>
          <w:sz w:val="32"/>
          <w:szCs w:val="32"/>
          <w:shd w:val="clear" w:color="auto" w:fill="FFFFFF"/>
          <w:lang w:val="zh-CN"/>
        </w:rPr>
        <w:t>年广汉市人力资源和社会保障局无机关人员因公出国计划，没有购置公务用车。车辆运行维护费支出6.4万元，用于单位工作人员到市委、市府、市局，开会、汇报工作、办理业务，到村组、企业，开会、指导、督促检查工作等所需的公务用车燃料费、维修费、过路过桥费、保险费支出。公务接待费2.04万元，主要用于接待其他县市相关部门到广汉市人社局指导检查工作等发生的费用。</w:t>
      </w:r>
    </w:p>
    <w:p w14:paraId="0C37315C">
      <w:pPr>
        <w:widowControl/>
        <w:adjustRightInd w:val="0"/>
        <w:snapToGrid w:val="0"/>
        <w:spacing w:line="540" w:lineRule="exact"/>
        <w:ind w:firstLine="72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2、机关节能降耗。</w:t>
      </w:r>
    </w:p>
    <w:p w14:paraId="024F8CBF">
      <w:pPr>
        <w:widowControl/>
        <w:adjustRightInd w:val="0"/>
        <w:snapToGrid w:val="0"/>
        <w:spacing w:line="540" w:lineRule="exact"/>
        <w:ind w:firstLine="72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广汉市人社局机关严格按照勤俭节约的原则，水、电、气、燃油节能降耗情况均处于下降趋势等。</w:t>
      </w:r>
    </w:p>
    <w:p w14:paraId="022F457B">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（三）综合管理情况。</w:t>
      </w:r>
    </w:p>
    <w:p w14:paraId="433C1003">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1、广汉市人社局无政府性债务。</w:t>
      </w:r>
    </w:p>
    <w:p w14:paraId="44FEF1CA">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2、201</w:t>
      </w:r>
      <w:r>
        <w:rPr>
          <w:rFonts w:hint="eastAsia" w:ascii="仿宋_GB2312" w:hAnsi="宋体" w:eastAsia="仿宋_GB2312" w:cs="宋体"/>
          <w:color w:val="000000"/>
          <w:kern w:val="0"/>
          <w:sz w:val="32"/>
          <w:szCs w:val="32"/>
          <w:shd w:val="clear" w:color="auto" w:fill="FFFFFF"/>
        </w:rPr>
        <w:t>8</w:t>
      </w:r>
      <w:r>
        <w:rPr>
          <w:rFonts w:hint="eastAsia" w:ascii="仿宋_GB2312" w:hAnsi="宋体" w:eastAsia="仿宋_GB2312" w:cs="宋体"/>
          <w:color w:val="000000"/>
          <w:kern w:val="0"/>
          <w:sz w:val="32"/>
          <w:szCs w:val="32"/>
          <w:shd w:val="clear" w:color="auto" w:fill="FFFFFF"/>
          <w:lang w:val="zh-CN"/>
        </w:rPr>
        <w:t>年全年非税收入执收739031.48元（其中，职业技能鉴定收费83285元，干部面试费9120元，利息收入16626.48元。，罚没收入10000元，预算内其他收入620000元（为上交的原老劳动局资金）。</w:t>
      </w:r>
    </w:p>
    <w:p w14:paraId="618486B9">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3、2018年全年政府采购预算324.85万元，全年实际采购金额316.75元（其中货物类162.22元，服务154.53元）；所有采购项目均严格按照政府采购制度实施并备案，依法公开公示并接受群众监督。</w:t>
      </w:r>
    </w:p>
    <w:p w14:paraId="75EE750E">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4、资产管理方面。由办公室和局财务室合作牵头，各行政股室和经办机构确定资产管理员，成立一支相对稳定的国有资产管理队伍，落实责任、层层压实，以加强对国有资产的动态管理。</w:t>
      </w:r>
    </w:p>
    <w:p w14:paraId="5E56F77C">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5、内部控制管理方面。一是我局成立了以局长为组长、分管副局长为副组长、其他班子领导为成员的内部控制领导小组。由局政策法规股牵头协调内部控制的建立和实施工作，各股室、各直属局为内控制度的具体执行机构，积极配合相关工作；二是目前本单位梳理有</w:t>
      </w:r>
      <w:r>
        <w:rPr>
          <w:rFonts w:hint="eastAsia" w:ascii="仿宋_GB2312" w:hAnsi="宋体" w:eastAsia="仿宋_GB2312" w:cs="宋体"/>
          <w:color w:val="000000"/>
          <w:kern w:val="0"/>
          <w:sz w:val="32"/>
          <w:szCs w:val="32"/>
          <w:shd w:val="clear" w:color="auto" w:fill="FFFFFF"/>
        </w:rPr>
        <w:t>主要经济业务管理制度及流程，并针对预（决）算管理、经费收支管理、政府采购管理、合同管理以及资产管理等</w:t>
      </w:r>
      <w:r>
        <w:rPr>
          <w:rFonts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rPr>
        <w:t>个业务模块做了具体的要求；三是加强宣传、培训、学习，共同参与，提升职工内控意识和执行力；四是注重内控制度的更新完善。</w:t>
      </w:r>
    </w:p>
    <w:p w14:paraId="211DAB26">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6</w:t>
      </w:r>
      <w:r>
        <w:rPr>
          <w:rFonts w:hint="eastAsia" w:ascii="仿宋_GB2312" w:hAnsi="宋体" w:eastAsia="仿宋_GB2312" w:cs="宋体"/>
          <w:color w:val="000000"/>
          <w:kern w:val="0"/>
          <w:sz w:val="32"/>
          <w:szCs w:val="32"/>
          <w:shd w:val="clear" w:color="auto" w:fill="FFFFFF"/>
          <w:lang w:val="zh-CN"/>
        </w:rPr>
        <w:t>、严格执行机关财务管理规章制度，实行会计核算和账务管理制度上墙；并积极配合各级监督检查和审计。</w:t>
      </w:r>
    </w:p>
    <w:p w14:paraId="542DC8CA">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（四）整体绩效。</w:t>
      </w:r>
    </w:p>
    <w:p w14:paraId="1F211FB5">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1、部门支出绩效。</w:t>
      </w:r>
    </w:p>
    <w:p w14:paraId="13D217A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（1）行政运转保障。</w:t>
      </w:r>
    </w:p>
    <w:p w14:paraId="570DEA3D">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广汉市人力资源和社会保障局财政拨款支出主要用于保障本单位部门机构正常运转、完成日常工作任务以及承担社会保险等民生事业发展相关工作。  </w:t>
      </w:r>
    </w:p>
    <w:p w14:paraId="3CF69212">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1）按支出性质来分，分为基本支出和项目支出</w:t>
      </w:r>
    </w:p>
    <w:p w14:paraId="4420AD37">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t>基本支出方面3567.81万元，主要用于保障人社局机关、下属事业单位等机构正常运转的人员经费支出和日常公用经费支出。主要包括在职人员相关开支（工资、对个人和家庭的补助、公积金、机关养老保险年金支出等）、离退休人员离退休费、三支一扶人员相关生活补助以及办公费、差旅费、水电费、交通费、通讯费、办公设备购置等日常公用经费支出。</w:t>
      </w:r>
    </w:p>
    <w:p w14:paraId="6F3968B5">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项目支出620.55万元，</w:t>
      </w:r>
      <w:r>
        <w:rPr>
          <w:rFonts w:hint="eastAsia" w:ascii="仿宋_GB2312" w:hAnsi="宋体" w:eastAsia="仿宋_GB2312" w:cs="宋体"/>
          <w:color w:val="000000"/>
          <w:kern w:val="0"/>
          <w:sz w:val="32"/>
          <w:szCs w:val="32"/>
          <w:shd w:val="clear" w:color="auto" w:fill="FFFFFF"/>
          <w:lang w:val="zh-CN"/>
        </w:rPr>
        <w:t>用于保障政府机关、事业单位等机构为完成特定的行政工作任务或事业发展目标，用于专项业务</w:t>
      </w:r>
      <w:r>
        <w:rPr>
          <w:rFonts w:hint="eastAsia" w:ascii="仿宋_GB2312" w:hAnsi="宋体" w:eastAsia="仿宋_GB2312" w:cs="宋体"/>
          <w:color w:val="000000"/>
          <w:kern w:val="0"/>
          <w:sz w:val="32"/>
          <w:szCs w:val="32"/>
          <w:shd w:val="clear" w:color="auto" w:fill="FFFFFF"/>
        </w:rPr>
        <w:t>包括社保经办机构专项支出、企业军转干生活补助、建国前老干部生活补助等特定</w:t>
      </w:r>
      <w:r>
        <w:rPr>
          <w:rFonts w:hint="eastAsia" w:ascii="仿宋_GB2312" w:hAnsi="宋体" w:eastAsia="仿宋_GB2312" w:cs="宋体"/>
          <w:color w:val="000000"/>
          <w:kern w:val="0"/>
          <w:sz w:val="32"/>
          <w:szCs w:val="32"/>
          <w:shd w:val="clear" w:color="auto" w:fill="FFFFFF"/>
          <w:lang w:val="zh-CN"/>
        </w:rPr>
        <w:t>的经费支出。</w:t>
      </w:r>
    </w:p>
    <w:p w14:paraId="13E4730D">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 按支出的经济分类来分：</w:t>
      </w:r>
    </w:p>
    <w:p w14:paraId="479CA84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用于工资福利支出1471.18万元，用于商品和服务支出840.38万元，用于对个人和家庭的补助支出1854.77万元，基本建设支出17.7万元，其他资本性支出4.33万元。</w:t>
      </w:r>
    </w:p>
    <w:p w14:paraId="4B25F97A">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3) 按支出功能分类来分： </w:t>
      </w:r>
    </w:p>
    <w:p w14:paraId="5B5A9134">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fldChar w:fldCharType="begin"/>
      </w:r>
      <w:r>
        <w:rPr>
          <w:rFonts w:ascii="仿宋_GB2312" w:hAnsi="宋体" w:eastAsia="仿宋_GB2312" w:cs="宋体"/>
          <w:color w:val="000000"/>
          <w:kern w:val="0"/>
          <w:sz w:val="32"/>
          <w:szCs w:val="32"/>
          <w:shd w:val="clear" w:color="auto" w:fill="FFFFFF"/>
        </w:rPr>
        <w:instrText xml:space="preserve"> </w:instrText>
      </w:r>
      <w:r>
        <w:rPr>
          <w:rFonts w:hint="eastAsia" w:ascii="仿宋_GB2312" w:hAnsi="宋体" w:eastAsia="仿宋_GB2312" w:cs="宋体"/>
          <w:color w:val="000000"/>
          <w:kern w:val="0"/>
          <w:sz w:val="32"/>
          <w:szCs w:val="32"/>
          <w:shd w:val="clear" w:color="auto" w:fill="FFFFFF"/>
        </w:rPr>
        <w:instrText xml:space="preserve">eq \o\ac(</w:instrText>
      </w:r>
      <w:r>
        <w:rPr>
          <w:rFonts w:hint="eastAsia" w:ascii="仿宋_GB2312" w:hAnsi="宋体" w:eastAsia="仿宋_GB2312" w:cs="宋体"/>
          <w:color w:val="000000"/>
          <w:kern w:val="0"/>
          <w:position w:val="-6"/>
          <w:sz w:val="48"/>
          <w:szCs w:val="32"/>
          <w:shd w:val="clear" w:color="auto" w:fill="FFFFFF"/>
        </w:rPr>
        <w:instrText xml:space="preserve">○</w:instrText>
      </w:r>
      <w:r>
        <w:rPr>
          <w:rFonts w:hint="eastAsia" w:ascii="仿宋_GB2312" w:hAnsi="宋体" w:eastAsia="仿宋_GB2312" w:cs="宋体"/>
          <w:color w:val="000000"/>
          <w:kern w:val="0"/>
          <w:sz w:val="32"/>
          <w:szCs w:val="32"/>
          <w:shd w:val="clear" w:color="auto" w:fill="FFFFFF"/>
        </w:rPr>
        <w:instrText xml:space="preserve">,1)</w:instrText>
      </w:r>
      <w:r>
        <w:rPr>
          <w:rFonts w:ascii="仿宋_GB2312" w:hAnsi="宋体" w:eastAsia="仿宋_GB2312" w:cs="宋体"/>
          <w:color w:val="000000"/>
          <w:kern w:val="0"/>
          <w:sz w:val="32"/>
          <w:szCs w:val="32"/>
          <w:shd w:val="clear" w:color="auto" w:fill="FFFFFF"/>
        </w:rPr>
        <w:fldChar w:fldCharType="end"/>
      </w:r>
      <w:r>
        <w:rPr>
          <w:rFonts w:hint="eastAsia" w:ascii="仿宋_GB2312" w:hAnsi="宋体" w:eastAsia="仿宋_GB2312" w:cs="宋体"/>
          <w:color w:val="000000"/>
          <w:kern w:val="0"/>
          <w:sz w:val="32"/>
          <w:szCs w:val="32"/>
          <w:shd w:val="clear" w:color="auto" w:fill="FFFFFF"/>
        </w:rPr>
        <w:t>一般公共服务支出526.14万元，用于三支一扶人员年度项目支出，主要包括三支一扶人员工资、公积金、社保缴费以及绩效等支出。</w:t>
      </w:r>
    </w:p>
    <w:p w14:paraId="67798E9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fldChar w:fldCharType="begin"/>
      </w:r>
      <w:r>
        <w:rPr>
          <w:rFonts w:ascii="仿宋_GB2312" w:hAnsi="宋体" w:eastAsia="仿宋_GB2312" w:cs="宋体"/>
          <w:color w:val="000000"/>
          <w:kern w:val="0"/>
          <w:sz w:val="32"/>
          <w:szCs w:val="32"/>
          <w:shd w:val="clear" w:color="auto" w:fill="FFFFFF"/>
        </w:rPr>
        <w:instrText xml:space="preserve"> </w:instrText>
      </w:r>
      <w:r>
        <w:rPr>
          <w:rFonts w:hint="eastAsia" w:ascii="仿宋_GB2312" w:hAnsi="宋体" w:eastAsia="仿宋_GB2312" w:cs="宋体"/>
          <w:color w:val="000000"/>
          <w:kern w:val="0"/>
          <w:sz w:val="32"/>
          <w:szCs w:val="32"/>
          <w:shd w:val="clear" w:color="auto" w:fill="FFFFFF"/>
        </w:rPr>
        <w:instrText xml:space="preserve">eq \o\ac(</w:instrText>
      </w:r>
      <w:r>
        <w:rPr>
          <w:rFonts w:hint="eastAsia" w:ascii="仿宋_GB2312" w:hAnsi="宋体" w:eastAsia="仿宋_GB2312" w:cs="宋体"/>
          <w:color w:val="000000"/>
          <w:kern w:val="0"/>
          <w:position w:val="-6"/>
          <w:sz w:val="48"/>
          <w:szCs w:val="32"/>
          <w:shd w:val="clear" w:color="auto" w:fill="FFFFFF"/>
        </w:rPr>
        <w:instrText xml:space="preserve">○</w:instrText>
      </w:r>
      <w:r>
        <w:rPr>
          <w:rFonts w:hint="eastAsia" w:ascii="仿宋_GB2312" w:hAnsi="宋体" w:eastAsia="仿宋_GB2312" w:cs="宋体"/>
          <w:color w:val="000000"/>
          <w:kern w:val="0"/>
          <w:sz w:val="32"/>
          <w:szCs w:val="32"/>
          <w:shd w:val="clear" w:color="auto" w:fill="FFFFFF"/>
        </w:rPr>
        <w:instrText xml:space="preserve">,2)</w:instrText>
      </w:r>
      <w:r>
        <w:rPr>
          <w:rFonts w:ascii="仿宋_GB2312" w:hAnsi="宋体" w:eastAsia="仿宋_GB2312" w:cs="宋体"/>
          <w:color w:val="000000"/>
          <w:kern w:val="0"/>
          <w:sz w:val="32"/>
          <w:szCs w:val="32"/>
          <w:shd w:val="clear" w:color="auto" w:fill="FFFFFF"/>
        </w:rPr>
        <w:fldChar w:fldCharType="end"/>
      </w:r>
      <w:r>
        <w:rPr>
          <w:rFonts w:hint="eastAsia" w:ascii="仿宋_GB2312" w:hAnsi="宋体" w:eastAsia="仿宋_GB2312" w:cs="宋体"/>
          <w:color w:val="000000"/>
          <w:kern w:val="0"/>
          <w:sz w:val="32"/>
          <w:szCs w:val="32"/>
          <w:shd w:val="clear" w:color="auto" w:fill="FFFFFF"/>
        </w:rPr>
        <w:t>教育支出0.45万元，主要为两位建档立卡贫困学生补助。</w:t>
      </w:r>
    </w:p>
    <w:p w14:paraId="542FA8BF">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fldChar w:fldCharType="begin"/>
      </w:r>
      <w:r>
        <w:rPr>
          <w:rFonts w:ascii="仿宋_GB2312" w:hAnsi="宋体" w:eastAsia="仿宋_GB2312" w:cs="宋体"/>
          <w:color w:val="000000"/>
          <w:kern w:val="0"/>
          <w:sz w:val="32"/>
          <w:szCs w:val="32"/>
          <w:shd w:val="clear" w:color="auto" w:fill="FFFFFF"/>
        </w:rPr>
        <w:instrText xml:space="preserve"> </w:instrText>
      </w:r>
      <w:r>
        <w:rPr>
          <w:rFonts w:hint="eastAsia" w:ascii="仿宋_GB2312" w:hAnsi="宋体" w:eastAsia="仿宋_GB2312" w:cs="宋体"/>
          <w:color w:val="000000"/>
          <w:kern w:val="0"/>
          <w:sz w:val="32"/>
          <w:szCs w:val="32"/>
          <w:shd w:val="clear" w:color="auto" w:fill="FFFFFF"/>
        </w:rPr>
        <w:instrText xml:space="preserve">eq \o\ac(</w:instrText>
      </w:r>
      <w:r>
        <w:rPr>
          <w:rFonts w:hint="eastAsia" w:ascii="仿宋_GB2312" w:hAnsi="宋体" w:eastAsia="仿宋_GB2312" w:cs="宋体"/>
          <w:color w:val="000000"/>
          <w:kern w:val="0"/>
          <w:position w:val="-6"/>
          <w:sz w:val="48"/>
          <w:szCs w:val="32"/>
          <w:shd w:val="clear" w:color="auto" w:fill="FFFFFF"/>
        </w:rPr>
        <w:instrText xml:space="preserve">○</w:instrText>
      </w:r>
      <w:r>
        <w:rPr>
          <w:rFonts w:hint="eastAsia" w:ascii="仿宋_GB2312" w:hAnsi="宋体" w:eastAsia="仿宋_GB2312" w:cs="宋体"/>
          <w:color w:val="000000"/>
          <w:kern w:val="0"/>
          <w:sz w:val="32"/>
          <w:szCs w:val="32"/>
          <w:shd w:val="clear" w:color="auto" w:fill="FFFFFF"/>
        </w:rPr>
        <w:instrText xml:space="preserve">,3)</w:instrText>
      </w:r>
      <w:r>
        <w:rPr>
          <w:rFonts w:ascii="仿宋_GB2312" w:hAnsi="宋体" w:eastAsia="仿宋_GB2312" w:cs="宋体"/>
          <w:color w:val="000000"/>
          <w:kern w:val="0"/>
          <w:sz w:val="32"/>
          <w:szCs w:val="32"/>
          <w:shd w:val="clear" w:color="auto" w:fill="FFFFFF"/>
        </w:rPr>
        <w:fldChar w:fldCharType="end"/>
      </w:r>
      <w:r>
        <w:rPr>
          <w:rFonts w:hint="eastAsia" w:ascii="仿宋_GB2312" w:hAnsi="宋体" w:eastAsia="仿宋_GB2312" w:cs="宋体"/>
          <w:color w:val="000000"/>
          <w:kern w:val="0"/>
          <w:sz w:val="32"/>
          <w:szCs w:val="32"/>
          <w:shd w:val="clear" w:color="auto" w:fill="FFFFFF"/>
        </w:rPr>
        <w:t>社会保障和就业支出2957.79万元，主要用于机关在职人员支出、离退休人员支出、社保经办机构支出以及办公费、差旅费、水电费、交通费、通讯费、办公设备购置、基本建设等日常公用经费支出。</w:t>
      </w:r>
    </w:p>
    <w:p w14:paraId="286F9A4E">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fldChar w:fldCharType="begin"/>
      </w:r>
      <w:r>
        <w:rPr>
          <w:rFonts w:ascii="仿宋_GB2312" w:hAnsi="宋体" w:eastAsia="仿宋_GB2312" w:cs="宋体"/>
          <w:color w:val="000000"/>
          <w:kern w:val="0"/>
          <w:sz w:val="32"/>
          <w:szCs w:val="32"/>
          <w:shd w:val="clear" w:color="auto" w:fill="FFFFFF"/>
        </w:rPr>
        <w:instrText xml:space="preserve"> </w:instrText>
      </w:r>
      <w:r>
        <w:rPr>
          <w:rFonts w:hint="eastAsia" w:ascii="仿宋_GB2312" w:hAnsi="宋体" w:eastAsia="仿宋_GB2312" w:cs="宋体"/>
          <w:color w:val="000000"/>
          <w:kern w:val="0"/>
          <w:sz w:val="32"/>
          <w:szCs w:val="32"/>
          <w:shd w:val="clear" w:color="auto" w:fill="FFFFFF"/>
        </w:rPr>
        <w:instrText xml:space="preserve">eq \o\ac(</w:instrText>
      </w:r>
      <w:r>
        <w:rPr>
          <w:rFonts w:hint="eastAsia" w:ascii="仿宋_GB2312" w:hAnsi="宋体" w:eastAsia="仿宋_GB2312" w:cs="宋体"/>
          <w:color w:val="000000"/>
          <w:kern w:val="0"/>
          <w:position w:val="-6"/>
          <w:sz w:val="48"/>
          <w:szCs w:val="32"/>
          <w:shd w:val="clear" w:color="auto" w:fill="FFFFFF"/>
        </w:rPr>
        <w:instrText xml:space="preserve">○</w:instrText>
      </w:r>
      <w:r>
        <w:rPr>
          <w:rFonts w:hint="eastAsia" w:ascii="仿宋_GB2312" w:hAnsi="宋体" w:eastAsia="仿宋_GB2312" w:cs="宋体"/>
          <w:color w:val="000000"/>
          <w:kern w:val="0"/>
          <w:sz w:val="32"/>
          <w:szCs w:val="32"/>
          <w:shd w:val="clear" w:color="auto" w:fill="FFFFFF"/>
        </w:rPr>
        <w:instrText xml:space="preserve">,4)</w:instrText>
      </w:r>
      <w:r>
        <w:rPr>
          <w:rFonts w:ascii="仿宋_GB2312" w:hAnsi="宋体" w:eastAsia="仿宋_GB2312" w:cs="宋体"/>
          <w:color w:val="000000"/>
          <w:kern w:val="0"/>
          <w:sz w:val="32"/>
          <w:szCs w:val="32"/>
          <w:shd w:val="clear" w:color="auto" w:fill="FFFFFF"/>
        </w:rPr>
        <w:fldChar w:fldCharType="end"/>
      </w:r>
      <w:r>
        <w:rPr>
          <w:rFonts w:hint="eastAsia" w:ascii="仿宋_GB2312" w:hAnsi="宋体" w:eastAsia="仿宋_GB2312" w:cs="宋体"/>
          <w:color w:val="000000"/>
          <w:kern w:val="0"/>
          <w:sz w:val="32"/>
          <w:szCs w:val="32"/>
          <w:shd w:val="clear" w:color="auto" w:fill="FFFFFF"/>
        </w:rPr>
        <w:t>医疗卫生与计划生育支出577.33万元，主要为在职人员的医疗保险、生育保险、工伤保险支出、城镇职工补充医疗保险以及全市离休人员医疗补助等。</w:t>
      </w:r>
    </w:p>
    <w:p w14:paraId="4DA0979B">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fldChar w:fldCharType="begin"/>
      </w:r>
      <w:r>
        <w:rPr>
          <w:rFonts w:ascii="仿宋_GB2312" w:hAnsi="宋体" w:eastAsia="仿宋_GB2312" w:cs="宋体"/>
          <w:color w:val="000000"/>
          <w:kern w:val="0"/>
          <w:sz w:val="32"/>
          <w:szCs w:val="32"/>
          <w:shd w:val="clear" w:color="auto" w:fill="FFFFFF"/>
        </w:rPr>
        <w:instrText xml:space="preserve"> </w:instrText>
      </w:r>
      <w:r>
        <w:rPr>
          <w:rFonts w:hint="eastAsia" w:ascii="仿宋_GB2312" w:hAnsi="宋体" w:eastAsia="仿宋_GB2312" w:cs="宋体"/>
          <w:color w:val="000000"/>
          <w:kern w:val="0"/>
          <w:sz w:val="32"/>
          <w:szCs w:val="32"/>
          <w:shd w:val="clear" w:color="auto" w:fill="FFFFFF"/>
        </w:rPr>
        <w:instrText xml:space="preserve">eq \o\ac(</w:instrText>
      </w:r>
      <w:r>
        <w:rPr>
          <w:rFonts w:hint="eastAsia" w:ascii="仿宋_GB2312" w:hAnsi="宋体" w:eastAsia="仿宋_GB2312" w:cs="宋体"/>
          <w:color w:val="000000"/>
          <w:kern w:val="0"/>
          <w:position w:val="-6"/>
          <w:sz w:val="48"/>
          <w:szCs w:val="32"/>
          <w:shd w:val="clear" w:color="auto" w:fill="FFFFFF"/>
        </w:rPr>
        <w:instrText xml:space="preserve">○</w:instrText>
      </w:r>
      <w:r>
        <w:rPr>
          <w:rFonts w:hint="eastAsia" w:ascii="仿宋_GB2312" w:hAnsi="宋体" w:eastAsia="仿宋_GB2312" w:cs="宋体"/>
          <w:color w:val="000000"/>
          <w:kern w:val="0"/>
          <w:sz w:val="32"/>
          <w:szCs w:val="32"/>
          <w:shd w:val="clear" w:color="auto" w:fill="FFFFFF"/>
        </w:rPr>
        <w:instrText xml:space="preserve">,5)</w:instrText>
      </w:r>
      <w:r>
        <w:rPr>
          <w:rFonts w:ascii="仿宋_GB2312" w:hAnsi="宋体" w:eastAsia="仿宋_GB2312" w:cs="宋体"/>
          <w:color w:val="000000"/>
          <w:kern w:val="0"/>
          <w:sz w:val="32"/>
          <w:szCs w:val="32"/>
          <w:shd w:val="clear" w:color="auto" w:fill="FFFFFF"/>
        </w:rPr>
        <w:fldChar w:fldCharType="end"/>
      </w:r>
      <w:r>
        <w:rPr>
          <w:rFonts w:hint="eastAsia" w:ascii="仿宋_GB2312" w:hAnsi="宋体" w:eastAsia="仿宋_GB2312" w:cs="宋体"/>
          <w:color w:val="000000"/>
          <w:kern w:val="0"/>
          <w:sz w:val="32"/>
          <w:szCs w:val="32"/>
          <w:shd w:val="clear" w:color="auto" w:fill="FFFFFF"/>
        </w:rPr>
        <w:t>住房保障支出126.65万元，用于机关及下属事业单位按照规定标准为职工缴纳住房公积金支出。</w:t>
      </w:r>
    </w:p>
    <w:p w14:paraId="71BE6622">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2、专项预算项目支出绩效。</w:t>
      </w:r>
    </w:p>
    <w:p w14:paraId="2DD97297">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（1）项目申报情况</w:t>
      </w:r>
    </w:p>
    <w:p w14:paraId="6BCC112D">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t>项目申报严格按照上级要求，明确绩效目标，控制支出成本，提高项目发挥作用。三支一扶人员补助项目：主要用于全市三支一扶人员的支出，包括项目的绩效目标、资金来源、实施方案细化等方面的情况。退休人员社会化管理项目：主要用于本单位退休人员社会化管理人员的工资、退休人员的资格认证；退休人员的文体活动；退休人员的生病住院探望；80岁以上老人的生日祝贺；困难退休人员的慰问及空巢老人的帮扶等经费开支。企业军转干项目：主要用于全市企业军转干人员生活补助支出、春节慰问、八一慰问以及军转干社会保险等方面。</w:t>
      </w:r>
    </w:p>
    <w:p w14:paraId="1E6A12A8">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（2）项目组织实施情况。</w:t>
      </w:r>
    </w:p>
    <w:p w14:paraId="532DDC21">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市成立了广汉市“三支一扶”协调办公室，设在市人社局事业人员和职业技能技术管理股，同时安排专人负责“三支一扶”日常工作和招募工作。广汉市社会保险事业管理局退管股负责全市退休人员社会化管理相关工作。广汉市</w:t>
      </w:r>
      <w:r>
        <w:rPr>
          <w:rFonts w:hint="eastAsia" w:ascii="仿宋_GB2312" w:hAnsi="宋体" w:eastAsia="仿宋_GB2312" w:cs="宋体"/>
          <w:color w:val="000000"/>
          <w:kern w:val="0"/>
          <w:sz w:val="32"/>
          <w:szCs w:val="32"/>
          <w:shd w:val="clear" w:color="auto" w:fill="FFFFFF"/>
        </w:rPr>
        <w:t>军队转业干部安置办公室负责企业军转干管理相关工作。</w:t>
      </w:r>
    </w:p>
    <w:p w14:paraId="047D15FC">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（3）项目资金管理情况。</w:t>
      </w:r>
    </w:p>
    <w:p w14:paraId="624A12CA">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本单位的项目资金日常支出严格按照用款计划，分季度执行，并严格按照对应的制度项目资金管理办法执行。</w:t>
      </w:r>
    </w:p>
    <w:p w14:paraId="5C8A36D5">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cs="宋体"/>
          <w:color w:val="000000"/>
          <w:kern w:val="0"/>
          <w:sz w:val="32"/>
          <w:szCs w:val="32"/>
          <w:shd w:val="clear" w:color="auto" w:fill="FFFFFF"/>
          <w:lang w:val="zh-CN"/>
        </w:rPr>
        <w:t>三支一扶人员补助，</w:t>
      </w:r>
      <w:r>
        <w:rPr>
          <w:rFonts w:hint="eastAsia" w:ascii="仿宋_GB2312" w:hAnsi="宋体" w:eastAsia="仿宋_GB2312"/>
          <w:sz w:val="32"/>
          <w:szCs w:val="32"/>
          <w:lang w:val="zh-CN"/>
        </w:rPr>
        <w:t>按照四川省财政厅、四川省人社厅《四川省高校毕业生“三支一扶”计划专项资金管理办法》（川财经〔</w:t>
      </w:r>
      <w:r>
        <w:rPr>
          <w:rFonts w:ascii="仿宋_GB2312" w:hAnsi="宋体" w:eastAsia="仿宋_GB2312"/>
          <w:sz w:val="32"/>
          <w:szCs w:val="32"/>
          <w:lang w:val="zh-CN"/>
        </w:rPr>
        <w:t>2017</w:t>
      </w:r>
      <w:r>
        <w:rPr>
          <w:rFonts w:hint="eastAsia" w:ascii="仿宋_GB2312" w:hAnsi="宋体" w:eastAsia="仿宋_GB2312"/>
          <w:sz w:val="32"/>
          <w:szCs w:val="32"/>
          <w:lang w:val="zh-CN"/>
        </w:rPr>
        <w:t>〕</w:t>
      </w:r>
      <w:r>
        <w:rPr>
          <w:rFonts w:ascii="仿宋_GB2312" w:hAnsi="宋体" w:eastAsia="仿宋_GB2312"/>
          <w:sz w:val="32"/>
          <w:szCs w:val="32"/>
          <w:lang w:val="zh-CN"/>
        </w:rPr>
        <w:t>1</w:t>
      </w:r>
      <w:r>
        <w:rPr>
          <w:rFonts w:hint="eastAsia" w:ascii="仿宋_GB2312" w:hAnsi="宋体" w:eastAsia="仿宋_GB2312"/>
          <w:sz w:val="32"/>
          <w:szCs w:val="32"/>
          <w:lang w:val="zh-CN"/>
        </w:rPr>
        <w:t>号）文件要求，坚持“统一管理、科学分配、规范使用”的原则，管理好专项资金，建立专户，规范使用。</w:t>
      </w:r>
    </w:p>
    <w:p w14:paraId="375284B0">
      <w:pPr>
        <w:widowControl/>
        <w:adjustRightInd w:val="0"/>
        <w:snapToGrid w:val="0"/>
        <w:spacing w:line="58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退休人员社会化管理工作，2011年7月，我局依据《德阳市本级企业退休人员社会化管理服务补助经费管理服务工作补助经费管理暂行办法的通知》，制定了《广汉市企业退休人员社会化管理服务工作补助经费管理办法》，对社会化管理服务专项资金的用途，社会化管理服务报账流程都做了明确的规定。为我市社会化管理服务工作的落实提供了强有力的保障。资金使用流程为：乡镇、社区先垫付一定的金额，等开展完社会化管理服务工作后，凭发票、活动凭证、公示照片等到社保局退休管理科审核，审核后退休管理科再上报财务基金科，再由财务基金科转账给乡镇，社区。</w:t>
      </w:r>
    </w:p>
    <w:p w14:paraId="4AE13674">
      <w:pPr>
        <w:widowControl/>
        <w:adjustRightInd w:val="0"/>
        <w:snapToGrid w:val="0"/>
        <w:spacing w:line="58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企业军转干补助，按项目资金使用规定和申请流程，按月发放全市企业军转干生活补助和特殊困难救助、据实缴纳社会保险以及节日慰问等。</w:t>
      </w:r>
    </w:p>
    <w:p w14:paraId="108A1997">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（4）绩效目标完成情况。</w:t>
      </w:r>
    </w:p>
    <w:p w14:paraId="64308101">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项目实施完成后使经济更稳定、社会更和谐，三支一扶人员管理、退休人员社会化管理、企业军转干管理达到预期经济、社会目标。</w:t>
      </w:r>
    </w:p>
    <w:p w14:paraId="355DF4F9">
      <w:pPr>
        <w:widowControl/>
        <w:adjustRightInd w:val="0"/>
        <w:snapToGrid w:val="0"/>
        <w:spacing w:line="5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6B6A28F6">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（一）评价结论。</w:t>
      </w:r>
    </w:p>
    <w:p w14:paraId="3ACCEA5D">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广汉市人社局</w:t>
      </w:r>
      <w:r>
        <w:rPr>
          <w:rFonts w:ascii="仿宋_GB2312" w:hAnsi="宋体" w:eastAsia="仿宋_GB2312" w:cs="宋体"/>
          <w:color w:val="000000"/>
          <w:kern w:val="0"/>
          <w:sz w:val="32"/>
          <w:szCs w:val="32"/>
          <w:shd w:val="clear" w:color="auto" w:fill="FFFFFF"/>
        </w:rPr>
        <w:t>部门预算执行情况良好，无不良记录及违规违纪行为，预算支出和决算支出情况相符。</w:t>
      </w:r>
    </w:p>
    <w:p w14:paraId="5109CDD8">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（二）存在问题。</w:t>
      </w:r>
    </w:p>
    <w:p w14:paraId="36ED9101">
      <w:pPr>
        <w:widowControl/>
        <w:adjustRightInd w:val="0"/>
        <w:snapToGrid w:val="0"/>
        <w:spacing w:line="500" w:lineRule="exact"/>
        <w:ind w:firstLine="640" w:firstLineChars="20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w:t>
      </w:r>
      <w:r>
        <w:rPr>
          <w:rFonts w:ascii="仿宋_GB2312" w:hAnsi="宋体" w:eastAsia="仿宋_GB2312" w:cs="宋体"/>
          <w:color w:val="000000"/>
          <w:kern w:val="0"/>
          <w:sz w:val="32"/>
          <w:szCs w:val="32"/>
          <w:shd w:val="clear" w:color="auto" w:fill="FFFFFF"/>
        </w:rPr>
        <w:t>部门决算上报处理效率还待提升。</w:t>
      </w:r>
    </w:p>
    <w:p w14:paraId="40E74CA1">
      <w:pPr>
        <w:adjustRightInd w:val="0"/>
        <w:snapToGrid w:val="0"/>
        <w:spacing w:line="580" w:lineRule="exact"/>
        <w:ind w:firstLine="640" w:firstLineChars="200"/>
        <w:rPr>
          <w:rFonts w:ascii="楷体_GB2312" w:hAnsi="宋体" w:eastAsia="楷体_GB2312"/>
          <w:b/>
          <w:sz w:val="32"/>
          <w:szCs w:val="32"/>
          <w:lang w:val="zh-CN"/>
        </w:rPr>
      </w:pPr>
      <w:r>
        <w:rPr>
          <w:rFonts w:hint="eastAsia" w:ascii="仿宋_GB2312" w:eastAsia="仿宋_GB2312"/>
          <w:sz w:val="32"/>
          <w:szCs w:val="32"/>
        </w:rPr>
        <w:t>2、“三支一扶”大学生服务期满去向问题。服务人员就业意向首选机关事业单位，目前期满流向主要是考入机关事业单位。针对这种形势，应加强“三支一扶”就业培训，开阔就业意识、增强就业技能、拓宽就业去向。</w:t>
      </w:r>
    </w:p>
    <w:p w14:paraId="1D16DA39">
      <w:pPr>
        <w:widowControl/>
        <w:adjustRightInd w:val="0"/>
        <w:snapToGrid w:val="0"/>
        <w:spacing w:line="500" w:lineRule="exact"/>
        <w:ind w:firstLine="720"/>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zh-CN"/>
        </w:rPr>
        <w:t>3、</w:t>
      </w:r>
      <w:r>
        <w:rPr>
          <w:rFonts w:hint="eastAsia" w:ascii="仿宋_GB2312" w:hAnsi="宋体" w:eastAsia="仿宋_GB2312" w:cs="宋体"/>
          <w:color w:val="000000"/>
          <w:kern w:val="0"/>
          <w:sz w:val="32"/>
          <w:szCs w:val="32"/>
          <w:shd w:val="clear" w:color="auto" w:fill="FFFFFF"/>
        </w:rPr>
        <w:t>社会化管理经费严重不足。近年来，离退休人员大幅度增加，而社会化管理服务专项资金却没有增加，造成资金缺口严重加剧。</w:t>
      </w:r>
    </w:p>
    <w:p w14:paraId="17F86647">
      <w:pPr>
        <w:widowControl/>
        <w:adjustRightInd w:val="0"/>
        <w:snapToGrid w:val="0"/>
        <w:spacing w:line="5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（三）改进建议。</w:t>
      </w:r>
    </w:p>
    <w:p w14:paraId="60260B66">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进一步完善相应制度建设和规范账务管理。</w:t>
      </w:r>
    </w:p>
    <w:p w14:paraId="09E6D96F">
      <w:pPr>
        <w:spacing w:line="580" w:lineRule="exact"/>
        <w:ind w:firstLine="640" w:firstLineChars="200"/>
        <w:rPr>
          <w:rFonts w:ascii="仿宋_GB2312" w:hAnsi="仿宋_GB2312" w:eastAsia="仿宋_GB2312"/>
          <w:sz w:val="32"/>
          <w:szCs w:val="32"/>
        </w:rPr>
      </w:pPr>
    </w:p>
    <w:p w14:paraId="5C263EEF">
      <w:pPr>
        <w:widowControl/>
        <w:jc w:val="left"/>
        <w:rPr>
          <w:rFonts w:ascii="仿宋_GB2312" w:hAnsi="仿宋_GB2312" w:eastAsia="仿宋_GB2312"/>
          <w:sz w:val="32"/>
          <w:szCs w:val="32"/>
        </w:rPr>
      </w:pPr>
    </w:p>
    <w:p w14:paraId="5C7F168A">
      <w:pPr>
        <w:pStyle w:val="3"/>
        <w:rPr>
          <w:rStyle w:val="16"/>
          <w:rFonts w:ascii="仿宋" w:hAnsi="仿宋" w:eastAsia="仿宋" w:cs="仿宋"/>
          <w:b w:val="0"/>
          <w:bCs w:val="0"/>
          <w:sz w:val="32"/>
          <w:szCs w:val="32"/>
        </w:rPr>
      </w:pPr>
      <w:bookmarkStart w:id="61" w:name="_Toc15396617"/>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2</w:t>
      </w:r>
      <w:bookmarkEnd w:id="61"/>
    </w:p>
    <w:p w14:paraId="44813A5D">
      <w:pPr>
        <w:spacing w:line="580" w:lineRule="exact"/>
        <w:jc w:val="center"/>
        <w:rPr>
          <w:rFonts w:ascii="黑体" w:hAnsi="黑体" w:eastAsia="黑体" w:cs="黑体"/>
          <w:sz w:val="44"/>
          <w:szCs w:val="44"/>
        </w:rPr>
      </w:pPr>
      <w:r>
        <w:rPr>
          <w:rFonts w:ascii="黑体" w:hAnsi="黑体" w:eastAsia="黑体" w:cs="黑体"/>
          <w:sz w:val="44"/>
          <w:szCs w:val="44"/>
        </w:rPr>
        <w:t>2018</w:t>
      </w:r>
      <w:r>
        <w:rPr>
          <w:rFonts w:hint="eastAsia" w:ascii="黑体" w:hAnsi="黑体" w:eastAsia="黑体" w:cs="黑体"/>
          <w:sz w:val="44"/>
          <w:szCs w:val="44"/>
        </w:rPr>
        <w:t>年高校毕业生</w:t>
      </w:r>
    </w:p>
    <w:p w14:paraId="50CDEDAE">
      <w:pPr>
        <w:spacing w:line="580" w:lineRule="exact"/>
        <w:jc w:val="center"/>
        <w:rPr>
          <w:rFonts w:ascii="黑体" w:hAnsi="黑体" w:eastAsia="黑体"/>
          <w:sz w:val="44"/>
          <w:szCs w:val="44"/>
        </w:rPr>
      </w:pPr>
      <w:r>
        <w:rPr>
          <w:rFonts w:hint="eastAsia" w:ascii="黑体" w:hAnsi="黑体" w:eastAsia="黑体" w:cs="黑体"/>
          <w:sz w:val="44"/>
          <w:szCs w:val="44"/>
        </w:rPr>
        <w:t>“三支一扶”项目支出绩效评价报告</w:t>
      </w:r>
    </w:p>
    <w:p w14:paraId="1B216B5B">
      <w:pPr>
        <w:adjustRightInd w:val="0"/>
        <w:snapToGrid w:val="0"/>
        <w:spacing w:line="560" w:lineRule="exact"/>
        <w:ind w:firstLine="720"/>
        <w:rPr>
          <w:rFonts w:ascii="黑体" w:hAnsi="宋体" w:eastAsia="黑体"/>
          <w:sz w:val="32"/>
          <w:szCs w:val="32"/>
          <w:lang w:val="zh-CN"/>
        </w:rPr>
      </w:pPr>
      <w:bookmarkStart w:id="62" w:name="_Toc15396618"/>
      <w:r>
        <w:rPr>
          <w:rFonts w:hint="eastAsia" w:ascii="黑体" w:hAnsi="宋体" w:eastAsia="黑体"/>
          <w:sz w:val="32"/>
          <w:szCs w:val="32"/>
        </w:rPr>
        <w:t>一、</w:t>
      </w:r>
      <w:r>
        <w:rPr>
          <w:rFonts w:hint="eastAsia" w:ascii="黑体" w:hAnsi="宋体" w:eastAsia="黑体"/>
          <w:sz w:val="32"/>
          <w:szCs w:val="32"/>
          <w:lang w:val="zh-CN"/>
        </w:rPr>
        <w:t>项目概况</w:t>
      </w:r>
    </w:p>
    <w:p w14:paraId="27B9CEE6">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按照国家人事部</w:t>
      </w:r>
      <w:r>
        <w:rPr>
          <w:rFonts w:ascii="仿宋_GB2312" w:hAnsi="宋体" w:eastAsia="仿宋_GB2312"/>
          <w:sz w:val="32"/>
          <w:szCs w:val="32"/>
          <w:lang w:val="zh-CN"/>
        </w:rPr>
        <w:t>2006</w:t>
      </w:r>
      <w:r>
        <w:rPr>
          <w:rFonts w:hint="eastAsia" w:ascii="仿宋_GB2312" w:hAnsi="宋体" w:eastAsia="仿宋_GB2312"/>
          <w:sz w:val="32"/>
          <w:szCs w:val="32"/>
          <w:lang w:val="zh-CN"/>
        </w:rPr>
        <w:t>年颁布的第</w:t>
      </w:r>
      <w:r>
        <w:rPr>
          <w:rFonts w:ascii="仿宋_GB2312" w:hAnsi="宋体" w:eastAsia="仿宋_GB2312"/>
          <w:sz w:val="32"/>
          <w:szCs w:val="32"/>
          <w:lang w:val="zh-CN"/>
        </w:rPr>
        <w:t>16</w:t>
      </w:r>
      <w:r>
        <w:rPr>
          <w:rFonts w:hint="eastAsia" w:ascii="仿宋_GB2312" w:hAnsi="宋体" w:eastAsia="仿宋_GB2312"/>
          <w:sz w:val="32"/>
          <w:szCs w:val="32"/>
          <w:lang w:val="zh-CN"/>
        </w:rPr>
        <w:t>号文件《关于组织开展高校毕业生到农村基层从事支教、支农、支医和扶贫工作的通知》通过高校毕业生“三支一扶”计划，招募大学生在毕业后到农村基层从事</w:t>
      </w:r>
      <w:r>
        <w:fldChar w:fldCharType="begin"/>
      </w:r>
      <w:r>
        <w:instrText xml:space="preserve"> HYPERLINK "http://baike.baidu.com/item/%E6%94%AF%E5%86%9C/43950" \t "_blank" </w:instrText>
      </w:r>
      <w:r>
        <w:fldChar w:fldCharType="separate"/>
      </w:r>
      <w:r>
        <w:rPr>
          <w:rFonts w:hint="eastAsia" w:ascii="仿宋_GB2312" w:hAnsi="宋体" w:eastAsia="仿宋_GB2312"/>
          <w:sz w:val="32"/>
          <w:szCs w:val="32"/>
          <w:lang w:val="zh-CN"/>
        </w:rPr>
        <w:t>支农</w:t>
      </w:r>
      <w:r>
        <w:rPr>
          <w:rFonts w:hint="eastAsia" w:ascii="仿宋_GB2312" w:hAnsi="宋体" w:eastAsia="仿宋_GB2312"/>
          <w:sz w:val="32"/>
          <w:szCs w:val="32"/>
          <w:lang w:val="zh-CN"/>
        </w:rPr>
        <w:fldChar w:fldCharType="end"/>
      </w:r>
      <w:r>
        <w:rPr>
          <w:rFonts w:hint="eastAsia" w:ascii="仿宋_GB2312" w:hAnsi="宋体" w:eastAsia="仿宋_GB2312"/>
          <w:sz w:val="32"/>
          <w:szCs w:val="32"/>
          <w:lang w:val="zh-CN"/>
        </w:rPr>
        <w:t>、</w:t>
      </w:r>
      <w:r>
        <w:fldChar w:fldCharType="begin"/>
      </w:r>
      <w:r>
        <w:instrText xml:space="preserve"> HYPERLINK "http://baike.baidu.com/item/%E6%94%AF%E6%95%99" \t "_blank" </w:instrText>
      </w:r>
      <w:r>
        <w:fldChar w:fldCharType="separate"/>
      </w:r>
      <w:r>
        <w:rPr>
          <w:rFonts w:hint="eastAsia" w:ascii="仿宋_GB2312" w:hAnsi="宋体" w:eastAsia="仿宋_GB2312"/>
          <w:sz w:val="32"/>
          <w:szCs w:val="32"/>
          <w:lang w:val="zh-CN"/>
        </w:rPr>
        <w:t>支教</w:t>
      </w:r>
      <w:r>
        <w:rPr>
          <w:rFonts w:hint="eastAsia" w:ascii="仿宋_GB2312" w:hAnsi="宋体" w:eastAsia="仿宋_GB2312"/>
          <w:sz w:val="32"/>
          <w:szCs w:val="32"/>
          <w:lang w:val="zh-CN"/>
        </w:rPr>
        <w:fldChar w:fldCharType="end"/>
      </w:r>
      <w:r>
        <w:rPr>
          <w:rFonts w:hint="eastAsia" w:ascii="仿宋_GB2312" w:hAnsi="宋体" w:eastAsia="仿宋_GB2312"/>
          <w:sz w:val="32"/>
          <w:szCs w:val="32"/>
          <w:lang w:val="zh-CN"/>
        </w:rPr>
        <w:t>、支医和</w:t>
      </w:r>
      <w:r>
        <w:fldChar w:fldCharType="begin"/>
      </w:r>
      <w:r>
        <w:instrText xml:space="preserve"> HYPERLINK "http://baike.baidu.com/item/%E6%89%B6%E8%B4%AB" \t "_blank" </w:instrText>
      </w:r>
      <w:r>
        <w:fldChar w:fldCharType="separate"/>
      </w:r>
      <w:r>
        <w:rPr>
          <w:rFonts w:hint="eastAsia" w:ascii="仿宋_GB2312" w:hAnsi="宋体" w:eastAsia="仿宋_GB2312"/>
          <w:sz w:val="32"/>
          <w:szCs w:val="32"/>
          <w:lang w:val="zh-CN"/>
        </w:rPr>
        <w:t>扶贫</w:t>
      </w:r>
      <w:r>
        <w:rPr>
          <w:rFonts w:hint="eastAsia" w:ascii="仿宋_GB2312" w:hAnsi="宋体" w:eastAsia="仿宋_GB2312"/>
          <w:sz w:val="32"/>
          <w:szCs w:val="32"/>
          <w:lang w:val="zh-CN"/>
        </w:rPr>
        <w:fldChar w:fldCharType="end"/>
      </w:r>
      <w:r>
        <w:rPr>
          <w:rFonts w:hint="eastAsia" w:ascii="仿宋_GB2312" w:hAnsi="宋体" w:eastAsia="仿宋_GB2312"/>
          <w:sz w:val="32"/>
          <w:szCs w:val="32"/>
          <w:lang w:val="zh-CN"/>
        </w:rPr>
        <w:t>工作。</w:t>
      </w:r>
    </w:p>
    <w:p w14:paraId="26A68A15">
      <w:pPr>
        <w:numPr>
          <w:ilvl w:val="0"/>
          <w:numId w:val="7"/>
        </w:numPr>
        <w:adjustRightInd w:val="0"/>
        <w:snapToGrid w:val="0"/>
        <w:spacing w:line="560" w:lineRule="exact"/>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058EDD07">
      <w:pPr>
        <w:adjustRightInd w:val="0"/>
        <w:snapToGrid w:val="0"/>
        <w:spacing w:line="560" w:lineRule="exact"/>
        <w:rPr>
          <w:rFonts w:ascii="楷体_GB2312" w:hAnsi="宋体" w:eastAsia="楷体_GB2312"/>
          <w:b/>
          <w:sz w:val="32"/>
          <w:szCs w:val="32"/>
          <w:lang w:val="zh-CN"/>
        </w:rPr>
      </w:pPr>
      <w:r>
        <w:rPr>
          <w:rFonts w:hint="eastAsia" w:ascii="仿宋_GB2312" w:hAnsi="宋体" w:eastAsia="仿宋_GB2312"/>
          <w:sz w:val="32"/>
          <w:szCs w:val="32"/>
          <w:lang w:val="zh-CN"/>
        </w:rPr>
        <w:t xml:space="preserve">    按统一要求，对“三支一扶”计划</w:t>
      </w:r>
      <w:r>
        <w:rPr>
          <w:rFonts w:ascii="仿宋_GB2312" w:hAnsi="宋体" w:eastAsia="仿宋_GB2312"/>
          <w:sz w:val="32"/>
          <w:szCs w:val="32"/>
          <w:lang w:val="zh-CN"/>
        </w:rPr>
        <w:t>201</w:t>
      </w:r>
      <w:r>
        <w:rPr>
          <w:rFonts w:hint="eastAsia" w:ascii="仿宋_GB2312" w:hAnsi="宋体" w:eastAsia="仿宋_GB2312"/>
          <w:sz w:val="32"/>
          <w:szCs w:val="32"/>
          <w:lang w:val="zh-CN"/>
        </w:rPr>
        <w:t>8年所需资金，结合在岗人员情况和当年新招募计划情况，对三支一扶在岗期间各项支出进行预算，主要包括生活补贴、社会保险、公积金、一次性安家费等进行预算。</w:t>
      </w:r>
    </w:p>
    <w:p w14:paraId="66B37722">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3FD880C6">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保证“三支一扶”计划</w:t>
      </w:r>
      <w:r>
        <w:rPr>
          <w:rFonts w:ascii="仿宋_GB2312" w:hAnsi="宋体" w:eastAsia="仿宋_GB2312"/>
          <w:sz w:val="32"/>
          <w:szCs w:val="32"/>
          <w:lang w:val="zh-CN"/>
        </w:rPr>
        <w:t>201</w:t>
      </w:r>
      <w:r>
        <w:rPr>
          <w:rFonts w:hint="eastAsia" w:ascii="仿宋_GB2312" w:hAnsi="宋体" w:eastAsia="仿宋_GB2312"/>
          <w:sz w:val="32"/>
          <w:szCs w:val="32"/>
          <w:lang w:val="zh-CN"/>
        </w:rPr>
        <w:t>8年所需资金充足，按月发放“三支一扶”大学生工作生活补贴，按时交纳社会保险和住房公积金，规范使用专项资金。</w:t>
      </w:r>
    </w:p>
    <w:p w14:paraId="2ACDA4A8">
      <w:pPr>
        <w:numPr>
          <w:ilvl w:val="0"/>
          <w:numId w:val="7"/>
        </w:numPr>
        <w:adjustRightInd w:val="0"/>
        <w:snapToGrid w:val="0"/>
        <w:spacing w:line="580" w:lineRule="exact"/>
        <w:rPr>
          <w:rFonts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14:paraId="2ED1458A">
      <w:pPr>
        <w:adjustRightInd w:val="0"/>
        <w:snapToGrid w:val="0"/>
        <w:spacing w:line="580" w:lineRule="exact"/>
        <w:rPr>
          <w:rFonts w:ascii="仿宋_GB2312" w:hAnsi="宋体" w:eastAsia="仿宋_GB2312"/>
          <w:sz w:val="32"/>
          <w:szCs w:val="32"/>
          <w:lang w:val="zh-CN"/>
        </w:rPr>
      </w:pPr>
      <w:r>
        <w:rPr>
          <w:rFonts w:hint="eastAsia" w:ascii="楷体_GB2312" w:hAnsi="宋体" w:eastAsia="楷体_GB2312"/>
          <w:b/>
          <w:sz w:val="32"/>
          <w:szCs w:val="32"/>
          <w:lang w:val="zh-CN"/>
        </w:rPr>
        <w:t xml:space="preserve">    </w:t>
      </w:r>
      <w:r>
        <w:rPr>
          <w:rFonts w:hint="eastAsia" w:ascii="仿宋_GB2312" w:hAnsi="宋体" w:eastAsia="仿宋_GB2312"/>
          <w:sz w:val="32"/>
          <w:szCs w:val="32"/>
          <w:lang w:val="zh-CN"/>
        </w:rPr>
        <w:t>按照四川省财政厅、四川省人社厅《四川省高校毕业生“三支一扶”计划专项资金管理办法》（川财经〔</w:t>
      </w:r>
      <w:r>
        <w:rPr>
          <w:rFonts w:ascii="仿宋_GB2312" w:hAnsi="宋体" w:eastAsia="仿宋_GB2312"/>
          <w:sz w:val="32"/>
          <w:szCs w:val="32"/>
          <w:lang w:val="zh-CN"/>
        </w:rPr>
        <w:t>2017</w:t>
      </w:r>
      <w:r>
        <w:rPr>
          <w:rFonts w:hint="eastAsia" w:ascii="仿宋_GB2312" w:hAnsi="宋体" w:eastAsia="仿宋_GB2312"/>
          <w:sz w:val="32"/>
          <w:szCs w:val="32"/>
          <w:lang w:val="zh-CN"/>
        </w:rPr>
        <w:t>〕</w:t>
      </w:r>
      <w:r>
        <w:rPr>
          <w:rFonts w:ascii="仿宋_GB2312" w:hAnsi="宋体" w:eastAsia="仿宋_GB2312"/>
          <w:sz w:val="32"/>
          <w:szCs w:val="32"/>
          <w:lang w:val="zh-CN"/>
        </w:rPr>
        <w:t>1</w:t>
      </w:r>
      <w:r>
        <w:rPr>
          <w:rFonts w:hint="eastAsia" w:ascii="仿宋_GB2312" w:hAnsi="宋体" w:eastAsia="仿宋_GB2312"/>
          <w:sz w:val="32"/>
          <w:szCs w:val="32"/>
          <w:lang w:val="zh-CN"/>
        </w:rPr>
        <w:t>号）文件要求，结合“三支一扶”计划在岗人员和</w:t>
      </w:r>
      <w:r>
        <w:rPr>
          <w:rFonts w:ascii="仿宋_GB2312" w:hAnsi="宋体" w:eastAsia="仿宋_GB2312"/>
          <w:sz w:val="32"/>
          <w:szCs w:val="32"/>
          <w:lang w:val="zh-CN"/>
        </w:rPr>
        <w:t>201</w:t>
      </w:r>
      <w:r>
        <w:rPr>
          <w:rFonts w:hint="eastAsia" w:ascii="仿宋_GB2312" w:hAnsi="宋体" w:eastAsia="仿宋_GB2312"/>
          <w:sz w:val="32"/>
          <w:szCs w:val="32"/>
          <w:lang w:val="zh-CN"/>
        </w:rPr>
        <w:t>8年拟招募人员数量，预算项目主要包括“三支一扶”大学生工作生活补贴、社会保险、住房公积金、一次性安家费和年度考核优秀奖励金，符合相关文件规定。</w:t>
      </w:r>
    </w:p>
    <w:p w14:paraId="1C911FD2">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14:paraId="7F83B8D2">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1A0BF72C">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14:paraId="58AC1649">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中央财政、省级财政补贴一般待新招募工作完成后，经核查后下拨资助资金。我市承担部分按统一要求进行预算。</w:t>
      </w:r>
    </w:p>
    <w:p w14:paraId="2F430A6C">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14:paraId="0ADA0CCF">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要求中央财政、省级财政对基层实施“三支一扶”进行补贴，各市（州）、县（市、区）中央和省级财政补助后不足部分由市、县负担，各级专项资金用于支付“三支一扶”人员的工作生活补贴、社会保险、一次性安家费、体检费、培训费等。实施“三支一扶”计划以来，我局严格资金使用规范，按月发放“三支一扶”生活补贴，缴纳社会保险,提前离职的按规定次月停发生活补贴，停止缴纳五险一金。</w:t>
      </w:r>
    </w:p>
    <w:p w14:paraId="2619146C">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0831F85D">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按照四川省财政厅、四川省人社厅《四川省高校毕业生“三支一扶”计划专项资金管理办法》（川财经〔</w:t>
      </w:r>
      <w:r>
        <w:rPr>
          <w:rFonts w:ascii="仿宋_GB2312" w:hAnsi="宋体" w:eastAsia="仿宋_GB2312"/>
          <w:sz w:val="32"/>
          <w:szCs w:val="32"/>
          <w:lang w:val="zh-CN"/>
        </w:rPr>
        <w:t>2017</w:t>
      </w:r>
      <w:r>
        <w:rPr>
          <w:rFonts w:hint="eastAsia" w:ascii="仿宋_GB2312" w:hAnsi="宋体" w:eastAsia="仿宋_GB2312"/>
          <w:sz w:val="32"/>
          <w:szCs w:val="32"/>
          <w:lang w:val="zh-CN"/>
        </w:rPr>
        <w:t>〕</w:t>
      </w:r>
      <w:r>
        <w:rPr>
          <w:rFonts w:ascii="仿宋_GB2312" w:hAnsi="宋体" w:eastAsia="仿宋_GB2312"/>
          <w:sz w:val="32"/>
          <w:szCs w:val="32"/>
          <w:lang w:val="zh-CN"/>
        </w:rPr>
        <w:t>1</w:t>
      </w:r>
      <w:r>
        <w:rPr>
          <w:rFonts w:hint="eastAsia" w:ascii="仿宋_GB2312" w:hAnsi="宋体" w:eastAsia="仿宋_GB2312"/>
          <w:sz w:val="32"/>
          <w:szCs w:val="32"/>
          <w:lang w:val="zh-CN"/>
        </w:rPr>
        <w:t>号）文件要求，坚持“统一管理、科学分配、规范使用”的原则，管理好专项资金，建立专户，规范使用。</w:t>
      </w:r>
    </w:p>
    <w:p w14:paraId="232C2B94">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245610B0">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按照要求，我市成立了广汉市“三支一扶”协调办公室，设在市人社局事业人员和职业技能技术管理股，同时安排专人负责“三支一扶”日常工作和招募工作。</w:t>
      </w:r>
    </w:p>
    <w:p w14:paraId="420D79C2">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7CF1B560">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6EC1BA67">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截止2018年12月31日，我市 “三支一扶”大学生在岗39人，支农33人、扶贫2人、支医4人；本科34人、专科5人；其中</w:t>
      </w:r>
      <w:r>
        <w:rPr>
          <w:rFonts w:ascii="仿宋_GB2312" w:hAnsi="宋体" w:eastAsia="仿宋_GB2312"/>
          <w:sz w:val="32"/>
          <w:szCs w:val="32"/>
          <w:lang w:val="zh-CN"/>
        </w:rPr>
        <w:t>201</w:t>
      </w:r>
      <w:r>
        <w:rPr>
          <w:rFonts w:hint="eastAsia" w:ascii="仿宋_GB2312" w:hAnsi="宋体" w:eastAsia="仿宋_GB2312"/>
          <w:sz w:val="32"/>
          <w:szCs w:val="32"/>
          <w:lang w:val="zh-CN"/>
        </w:rPr>
        <w:t>8年新招募“三支一扶”大学生7人，支农5人、扶贫2人。全年按时发放三支一扶生活补贴，并足额缴纳社会保险，并按社保局统一要求，调整缴费工资。</w:t>
      </w:r>
    </w:p>
    <w:p w14:paraId="2DF4EF77">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1A7FA6BA">
      <w:pPr>
        <w:adjustRightInd w:val="0"/>
        <w:snapToGrid w:val="0"/>
        <w:spacing w:line="580" w:lineRule="exact"/>
        <w:ind w:firstLine="720"/>
        <w:rPr>
          <w:rFonts w:ascii="仿宋_GB2312" w:eastAsia="仿宋_GB2312"/>
          <w:sz w:val="32"/>
          <w:szCs w:val="32"/>
        </w:rPr>
      </w:pPr>
      <w:r>
        <w:rPr>
          <w:rFonts w:hint="eastAsia" w:ascii="仿宋_GB2312" w:hAnsi="宋体" w:eastAsia="仿宋_GB2312"/>
          <w:sz w:val="32"/>
          <w:szCs w:val="32"/>
          <w:lang w:val="zh-CN"/>
        </w:rPr>
        <w:t>截止2018年12月31日，我市自</w:t>
      </w:r>
      <w:r>
        <w:rPr>
          <w:rFonts w:ascii="仿宋_GB2312" w:hAnsi="宋体" w:eastAsia="仿宋_GB2312"/>
          <w:sz w:val="32"/>
          <w:szCs w:val="32"/>
          <w:lang w:val="zh-CN"/>
        </w:rPr>
        <w:t>2006</w:t>
      </w:r>
      <w:r>
        <w:rPr>
          <w:rFonts w:hint="eastAsia" w:ascii="仿宋_GB2312" w:hAnsi="宋体" w:eastAsia="仿宋_GB2312"/>
          <w:sz w:val="32"/>
          <w:szCs w:val="32"/>
          <w:lang w:val="zh-CN"/>
        </w:rPr>
        <w:t>年高校毕业生“三支一扶”计划实施以来，共计招募、续期187人高校毕业生从事“三支一扶”志愿服务工作，其中支教</w:t>
      </w:r>
      <w:r>
        <w:rPr>
          <w:rFonts w:ascii="仿宋_GB2312" w:hAnsi="宋体" w:eastAsia="仿宋_GB2312"/>
          <w:sz w:val="32"/>
          <w:szCs w:val="32"/>
          <w:lang w:val="zh-CN"/>
        </w:rPr>
        <w:t>8</w:t>
      </w:r>
      <w:r>
        <w:rPr>
          <w:rFonts w:hint="eastAsia" w:ascii="仿宋_GB2312" w:hAnsi="宋体" w:eastAsia="仿宋_GB2312"/>
          <w:sz w:val="32"/>
          <w:szCs w:val="32"/>
          <w:lang w:val="zh-CN"/>
        </w:rPr>
        <w:t>人、支农</w:t>
      </w:r>
      <w:r>
        <w:rPr>
          <w:rFonts w:ascii="仿宋_GB2312" w:hAnsi="宋体" w:eastAsia="仿宋_GB2312"/>
          <w:sz w:val="32"/>
          <w:szCs w:val="32"/>
          <w:lang w:val="zh-CN"/>
        </w:rPr>
        <w:t>1</w:t>
      </w:r>
      <w:r>
        <w:rPr>
          <w:rFonts w:hint="eastAsia" w:ascii="仿宋_GB2312" w:hAnsi="宋体" w:eastAsia="仿宋_GB2312"/>
          <w:sz w:val="32"/>
          <w:szCs w:val="32"/>
          <w:lang w:val="zh-CN"/>
        </w:rPr>
        <w:t>55人、扶贫2人、支医22人，硕士研究生</w:t>
      </w:r>
      <w:r>
        <w:rPr>
          <w:rFonts w:ascii="仿宋_GB2312" w:hAnsi="宋体" w:eastAsia="仿宋_GB2312"/>
          <w:sz w:val="32"/>
          <w:szCs w:val="32"/>
          <w:lang w:val="zh-CN"/>
        </w:rPr>
        <w:t>1</w:t>
      </w:r>
      <w:r>
        <w:rPr>
          <w:rFonts w:hint="eastAsia" w:ascii="仿宋_GB2312" w:hAnsi="宋体" w:eastAsia="仿宋_GB2312"/>
          <w:sz w:val="32"/>
          <w:szCs w:val="32"/>
          <w:lang w:val="zh-CN"/>
        </w:rPr>
        <w:t>人、本科</w:t>
      </w:r>
      <w:r>
        <w:rPr>
          <w:rFonts w:ascii="仿宋_GB2312" w:hAnsi="宋体" w:eastAsia="仿宋_GB2312"/>
          <w:sz w:val="32"/>
          <w:szCs w:val="32"/>
          <w:lang w:val="zh-CN"/>
        </w:rPr>
        <w:t>1</w:t>
      </w:r>
      <w:r>
        <w:rPr>
          <w:rFonts w:hint="eastAsia" w:ascii="仿宋_GB2312" w:hAnsi="宋体" w:eastAsia="仿宋_GB2312"/>
          <w:sz w:val="32"/>
          <w:szCs w:val="32"/>
          <w:lang w:val="zh-CN"/>
        </w:rPr>
        <w:t>38人、专科</w:t>
      </w:r>
      <w:r>
        <w:rPr>
          <w:rFonts w:ascii="仿宋_GB2312" w:hAnsi="宋体" w:eastAsia="仿宋_GB2312"/>
          <w:sz w:val="32"/>
          <w:szCs w:val="32"/>
          <w:lang w:val="zh-CN"/>
        </w:rPr>
        <w:t>4</w:t>
      </w:r>
      <w:r>
        <w:rPr>
          <w:rFonts w:hint="eastAsia" w:ascii="仿宋_GB2312" w:hAnsi="宋体" w:eastAsia="仿宋_GB2312"/>
          <w:sz w:val="32"/>
          <w:szCs w:val="32"/>
          <w:lang w:val="zh-CN"/>
        </w:rPr>
        <w:t>8人，</w:t>
      </w:r>
      <w:r>
        <w:rPr>
          <w:rFonts w:hint="eastAsia" w:ascii="仿宋_GB2312" w:eastAsia="仿宋_GB2312"/>
          <w:sz w:val="32"/>
          <w:szCs w:val="32"/>
        </w:rPr>
        <w:t>为我市基层教育、农业、卫生补充了新鲜血液，充实了基层队伍，为基层各项事业发展做出了贡献，得到了群众和党员干部的广泛认可。</w:t>
      </w:r>
    </w:p>
    <w:p w14:paraId="7BD27248">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14:paraId="713D0A9D">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5391CA1E">
      <w:pPr>
        <w:adjustRightInd w:val="0"/>
        <w:snapToGrid w:val="0"/>
        <w:spacing w:line="580" w:lineRule="exact"/>
        <w:ind w:firstLine="480" w:firstLineChars="150"/>
        <w:rPr>
          <w:rFonts w:ascii="楷体_GB2312" w:hAnsi="宋体" w:eastAsia="楷体_GB2312"/>
          <w:b/>
          <w:sz w:val="32"/>
          <w:szCs w:val="32"/>
          <w:lang w:val="zh-CN"/>
        </w:rPr>
      </w:pPr>
      <w:r>
        <w:rPr>
          <w:rFonts w:hint="eastAsia" w:ascii="仿宋_GB2312" w:eastAsia="仿宋_GB2312"/>
          <w:sz w:val="32"/>
          <w:szCs w:val="32"/>
        </w:rPr>
        <w:t>“三支一扶”大学生服务期满去向问题。服务人员就业意向首选机关事业单位，目前期满流向主要是考入机关事业单位。针对这种形势，应加强“三支一扶”就业培训，开阔就业意识、增强就业技能、拓宽就业去向。</w:t>
      </w:r>
    </w:p>
    <w:p w14:paraId="1073969C">
      <w:pPr>
        <w:numPr>
          <w:ilvl w:val="0"/>
          <w:numId w:val="7"/>
        </w:numPr>
        <w:adjustRightInd w:val="0"/>
        <w:snapToGrid w:val="0"/>
        <w:spacing w:line="580" w:lineRule="exact"/>
        <w:rPr>
          <w:rFonts w:ascii="楷体_GB2312" w:hAnsi="宋体" w:eastAsia="楷体_GB2312"/>
          <w:b/>
          <w:sz w:val="32"/>
          <w:szCs w:val="32"/>
          <w:lang w:val="zh-CN"/>
        </w:rPr>
      </w:pPr>
      <w:r>
        <w:rPr>
          <w:rFonts w:hint="eastAsia" w:ascii="楷体_GB2312" w:hAnsi="宋体" w:eastAsia="楷体_GB2312"/>
          <w:b/>
          <w:sz w:val="32"/>
          <w:szCs w:val="32"/>
          <w:lang w:val="zh-CN"/>
        </w:rPr>
        <w:t>相关建议。</w:t>
      </w:r>
    </w:p>
    <w:p w14:paraId="784A916F">
      <w:pPr>
        <w:adjustRightInd w:val="0"/>
        <w:snapToGrid w:val="0"/>
        <w:spacing w:line="58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 xml:space="preserve"> </w:t>
      </w:r>
      <w:r>
        <w:rPr>
          <w:rFonts w:hint="eastAsia" w:ascii="仿宋_GB2312" w:hAnsi="宋体" w:eastAsia="仿宋_GB2312"/>
          <w:sz w:val="32"/>
          <w:szCs w:val="32"/>
          <w:lang w:val="zh-CN"/>
        </w:rPr>
        <w:t>进一步完善“三支一扶”考核制度，真正做到</w:t>
      </w:r>
      <w:r>
        <w:rPr>
          <w:rFonts w:hint="eastAsia" w:ascii="仿宋_GB2312" w:hAnsi="宋体" w:eastAsia="仿宋_GB2312" w:cs="宋体"/>
          <w:color w:val="000000"/>
          <w:kern w:val="0"/>
          <w:sz w:val="32"/>
          <w:szCs w:val="32"/>
        </w:rPr>
        <w:t>准确、客观评价“三支一扶”大学生在岗服务期间德才表现和工作业绩，充分发挥“年度考核”激励先进作用。</w:t>
      </w:r>
    </w:p>
    <w:p w14:paraId="1A05599B">
      <w:pPr>
        <w:spacing w:line="580" w:lineRule="exact"/>
        <w:jc w:val="center"/>
        <w:rPr>
          <w:rFonts w:ascii="黑体" w:hAnsi="黑体" w:eastAsia="黑体" w:cs="黑体"/>
          <w:sz w:val="44"/>
          <w:szCs w:val="44"/>
        </w:rPr>
      </w:pPr>
      <w:r>
        <w:rPr>
          <w:rFonts w:hint="eastAsia" w:ascii="黑体" w:hAnsi="黑体" w:eastAsia="黑体" w:cs="黑体"/>
          <w:sz w:val="44"/>
          <w:szCs w:val="44"/>
        </w:rPr>
        <w:t>广汉市企业离（退）休人员</w:t>
      </w:r>
    </w:p>
    <w:p w14:paraId="022C674B">
      <w:pPr>
        <w:spacing w:line="580" w:lineRule="exact"/>
        <w:jc w:val="center"/>
        <w:rPr>
          <w:rFonts w:ascii="黑体" w:hAnsi="黑体" w:eastAsia="黑体" w:cs="黑体"/>
          <w:sz w:val="44"/>
          <w:szCs w:val="44"/>
        </w:rPr>
      </w:pPr>
      <w:r>
        <w:rPr>
          <w:rFonts w:hint="eastAsia" w:ascii="黑体" w:hAnsi="黑体" w:eastAsia="黑体" w:cs="黑体"/>
          <w:sz w:val="44"/>
          <w:szCs w:val="44"/>
        </w:rPr>
        <w:t>社会化管理服务绩效自评报告</w:t>
      </w:r>
    </w:p>
    <w:p w14:paraId="4BA2EE4D">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一、项目概况</w:t>
      </w:r>
    </w:p>
    <w:p w14:paraId="3326B1DA">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sz w:val="32"/>
          <w:szCs w:val="32"/>
          <w:lang w:val="zh-CN"/>
        </w:rPr>
        <w:t>企业离退休人员社会化管理服务工作是进一步保障离退休人员晚年生活和提高生活质</w:t>
      </w:r>
      <w:r>
        <w:rPr>
          <w:rFonts w:hint="eastAsia" w:ascii="仿宋_GB2312" w:hAnsi="宋体" w:eastAsia="仿宋_GB2312" w:cs="宋体"/>
          <w:color w:val="000000"/>
          <w:kern w:val="0"/>
          <w:sz w:val="32"/>
          <w:szCs w:val="32"/>
        </w:rPr>
        <w:t>量的重要举措，是完善社会保障体系的重要内容。近年来，我市企业退休人员日益增多，已由2006年的3万余猛增到近10万人，加强和完善企业离退休人员社会化管理工作已迫在眉睫。</w:t>
      </w:r>
      <w:r>
        <w:rPr>
          <w:rFonts w:ascii="仿宋_GB2312" w:hAnsi="宋体" w:eastAsia="仿宋_GB2312" w:cs="宋体"/>
          <w:color w:val="000000"/>
          <w:kern w:val="0"/>
          <w:sz w:val="32"/>
          <w:szCs w:val="32"/>
        </w:rPr>
        <w:t>我市按照党中央、国务院关于逐步建立和完善独立于企事业单位之外的社会保障体系的工作要求，不断加大工作力度，为深化企业退休人员社会化管理服务做了大量基础工作</w:t>
      </w:r>
      <w:r>
        <w:rPr>
          <w:rFonts w:hint="eastAsia" w:ascii="仿宋_GB2312" w:hAnsi="宋体" w:eastAsia="仿宋_GB2312" w:cs="宋体"/>
          <w:color w:val="000000"/>
          <w:kern w:val="0"/>
          <w:sz w:val="32"/>
          <w:szCs w:val="32"/>
        </w:rPr>
        <w:t>。</w:t>
      </w:r>
    </w:p>
    <w:p w14:paraId="4275B61B">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了便于社会化管理服务工作的开展，我局设立了企业离退休人员设立了社会化管理服务专项资金。资金来源主要是上级部门划拨的社会化管理专项资金及市财政根据年初预算划拨的专项资金。为了管好用好社会化管理服务专项资金，我局专会讨论了该项资金的用法，主要用于：退休人员的资格认证；退休人员的文体活动；退休人员的生病住院探望；80岁以上老人的生日祝贺；困难退休人员的慰问及空巢老人的帮扶等经费开支。力求使广大离退休人员感受到党和政府的关怀</w:t>
      </w:r>
    </w:p>
    <w:p w14:paraId="1E56B3D7">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14:paraId="51D1F0FD">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进一步做好社会化管理服务工作，我局积极探索、创新社会化管理模式。2011年7月，我局依据《德阳市本级企业退休人员社会化管理服务补助经费管理服务工作补助经费管理暂行办法的通知》，制定了《广汉市企业退休人员社会化管理服务工作补助经费管理办法》，对社会化管理服务专项资金的用途，社会化管理服务报账流程都做了明确的规定。为我市社会化管理服务工作的落实提供了强有力的保障。资金使用流程为：乡镇、社区先垫付一定的金额，等开展完社会化管理服务工作后，凭发票、活动凭证、公示照片等到社保局退休管理科审核，审核后退休管理科再上报财务基金科，再由财务基金科转账给乡镇，社区。</w:t>
      </w:r>
    </w:p>
    <w:p w14:paraId="0825E182">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三、项目绩效情况</w:t>
      </w:r>
      <w:r>
        <w:rPr>
          <w:rFonts w:hint="eastAsia" w:ascii="黑体" w:hAnsi="宋体" w:eastAsia="黑体"/>
          <w:sz w:val="32"/>
          <w:szCs w:val="32"/>
        </w:rPr>
        <w:tab/>
      </w:r>
    </w:p>
    <w:p w14:paraId="13A10A08">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随着社会化管理服务各项工作的不断深入，近年来，我市每年的企业离退休人员资格认证工作顺利有序开展，杜绝了冒领养老金的现象。同时，为8000名左右退休人员送上生日的祝福；为200名左右的生病住院人员进行了慰问，为400名左右的困难退休人员送上了20万左右的慰问品及慰问金，为30名空巢老人建立了一对一帮扶。为了丰富退休人员的文体生活，每年组织乡镇、社区开展40场左右的文体活动，把党和政府对广大退休人员的关怀传递到千家万户。受到了广大退休人员的一致好评。</w:t>
      </w:r>
    </w:p>
    <w:p w14:paraId="638599EB">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14:paraId="5AE4DE41">
      <w:pPr>
        <w:adjustRightInd w:val="0"/>
        <w:snapToGrid w:val="0"/>
        <w:spacing w:line="560" w:lineRule="exact"/>
        <w:ind w:firstLine="72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（一）存在的问题。</w:t>
      </w:r>
    </w:p>
    <w:p w14:paraId="022916FB">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人员力量薄弱。离退休人员社会化管理服务工作落脚点在乡、镇（社区）劳动就业和社会保障服务平台。大部分乡、镇（社区）退管服务工作没有专职管理人员，这些工作人员身上还兼有社保、就业、民政等其他工作，工作量大，事务繁杂，导致无暇专注于该项工作，加之缺乏专业知识和技能培训，服务意识不强，业务素质不高，服务水平跟不上，与离退休人员社会化管理服务要求极不相称。</w:t>
      </w:r>
    </w:p>
    <w:p w14:paraId="4552BD08">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基层平台硬件设施与社区工作量不相适应。社区办公活动场所匮乏，很多社区只拥有几间简单的办公室，但每个社区老年服务对象少则几十人，多则成百上千人，导致退休人员开展经常性文体活动的场所紧张，同时与之相配套的生活休闲服务设施匮乏，这在硬件设施方面给退管工作有序开展造成阻碍。</w:t>
      </w:r>
    </w:p>
    <w:p w14:paraId="1F52C68E">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3、文体活动开展不够，形式单一。</w:t>
      </w:r>
    </w:p>
    <w:p w14:paraId="175547D2">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快乐生活,健康长寿,是退休职工共同追求的目标,他们参与快乐、寻找快乐、创造快乐的主动性、积极性是很高的。喜欢参加的兴趣爱好活动有书法、绘画、唱歌、跳舞、下棋、打牌、摄影等传统的娱乐项目方面,但由于缺乏活动场所和活动器材,退休职工很多空闲时间,主要靠看电视打发。加之大多数老年人由于受传统家庭养老观念的影响,社区大家庭的观念尚未形成,仍然局限在家庭、亲友这一狭窄的社交圈之内,不愿意走出家门参加社会活动。还有老年人能参与的活动开展较少,无法满足新时期企退人员多样化、复杂化、个性化的需求。</w:t>
      </w:r>
    </w:p>
    <w:p w14:paraId="79F64272">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4、社会化管理经费严重不足。</w:t>
      </w:r>
    </w:p>
    <w:p w14:paraId="2517F0F7">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近年来，离退休人员大幅度增加，而社会华管理服务专项资金却没有增加，造成资金缺口严重加剧</w:t>
      </w:r>
    </w:p>
    <w:p w14:paraId="6F8CBFC9">
      <w:pPr>
        <w:adjustRightInd w:val="0"/>
        <w:snapToGrid w:val="0"/>
        <w:spacing w:line="560" w:lineRule="exact"/>
        <w:ind w:firstLine="72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（二）相关建议。</w:t>
      </w:r>
    </w:p>
    <w:p w14:paraId="7D9B1E04">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1、加强队伍建设，实现管理服务专业化。数量上，现有退管工作人员</w:t>
      </w:r>
      <w:r>
        <w:rPr>
          <w:rFonts w:ascii="仿宋_GB2312" w:hAnsi="宋体" w:eastAsia="仿宋_GB2312" w:cs="宋体"/>
          <w:color w:val="000000"/>
          <w:kern w:val="0"/>
          <w:sz w:val="32"/>
          <w:szCs w:val="32"/>
        </w:rPr>
        <w:t>要适当增加</w:t>
      </w:r>
      <w:r>
        <w:rPr>
          <w:rFonts w:hint="eastAsia" w:ascii="仿宋_GB2312" w:hAnsi="宋体" w:eastAsia="仿宋_GB2312" w:cs="宋体"/>
          <w:color w:val="000000"/>
          <w:kern w:val="0"/>
          <w:sz w:val="32"/>
          <w:szCs w:val="32"/>
        </w:rPr>
        <w:t>。质量上，加强对工作人员的培训，培训主要分为两个层次：（1）</w:t>
      </w:r>
      <w:r>
        <w:rPr>
          <w:rFonts w:ascii="仿宋_GB2312" w:hAnsi="宋体" w:eastAsia="仿宋_GB2312" w:cs="宋体"/>
          <w:color w:val="000000"/>
          <w:kern w:val="0"/>
          <w:sz w:val="32"/>
          <w:szCs w:val="32"/>
        </w:rPr>
        <w:t>采取各种形式，举办短中期的专业和综合类学习班</w:t>
      </w:r>
      <w:r>
        <w:rPr>
          <w:rFonts w:hint="eastAsia" w:ascii="仿宋_GB2312" w:hAnsi="宋体" w:eastAsia="仿宋_GB2312" w:cs="宋体"/>
          <w:color w:val="000000"/>
          <w:kern w:val="0"/>
          <w:sz w:val="32"/>
          <w:szCs w:val="32"/>
        </w:rPr>
        <w:t>，进行常规的业务培训；（2）</w:t>
      </w:r>
      <w:r>
        <w:rPr>
          <w:rFonts w:ascii="仿宋_GB2312" w:hAnsi="宋体" w:eastAsia="仿宋_GB2312" w:cs="宋体"/>
          <w:color w:val="000000"/>
          <w:kern w:val="0"/>
          <w:sz w:val="32"/>
          <w:szCs w:val="32"/>
        </w:rPr>
        <w:t>为适应时代的发展和部分离退休人员的高层次需要，还要着手培养高级养老服务与管理专业的人才队伍</w:t>
      </w:r>
      <w:r>
        <w:rPr>
          <w:rFonts w:hint="eastAsia" w:ascii="仿宋_GB2312" w:hAnsi="宋体" w:eastAsia="仿宋_GB2312" w:cs="宋体"/>
          <w:color w:val="000000"/>
          <w:kern w:val="0"/>
          <w:sz w:val="32"/>
          <w:szCs w:val="32"/>
        </w:rPr>
        <w:t>，例如：</w:t>
      </w:r>
      <w:r>
        <w:rPr>
          <w:rFonts w:ascii="仿宋_GB2312" w:hAnsi="宋体" w:eastAsia="仿宋_GB2312" w:cs="宋体"/>
          <w:color w:val="000000"/>
          <w:kern w:val="0"/>
          <w:sz w:val="32"/>
          <w:szCs w:val="32"/>
        </w:rPr>
        <w:t>培养有关生活护理、心理护理、医学护理的高级护理员，培养具有对老年休闲活动进行策划、管理及老龄产业开发能力的技术管理人才。</w:t>
      </w:r>
    </w:p>
    <w:p w14:paraId="5FB02722">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2、完善社区硬件设施，为退管工作提供硬件保障。</w:t>
      </w:r>
      <w:r>
        <w:rPr>
          <w:rFonts w:hint="eastAsia" w:ascii="仿宋_GB2312" w:hAnsi="宋体" w:eastAsia="仿宋_GB2312" w:cs="宋体"/>
          <w:kern w:val="0"/>
          <w:sz w:val="32"/>
          <w:szCs w:val="32"/>
        </w:rPr>
        <w:t>（1）落实活动场地，通过划拨土地新建、原社区服务场所改扩建、租用企事业单位原非营利性生活娱乐场所等方式，切实解决退休人员活动场地过小的问题。（2）完善文体活</w:t>
      </w:r>
      <w:r>
        <w:rPr>
          <w:rFonts w:hint="eastAsia" w:ascii="仿宋_GB2312" w:hAnsi="宋体" w:eastAsia="仿宋_GB2312" w:cs="宋体"/>
          <w:color w:val="000000"/>
          <w:kern w:val="0"/>
          <w:sz w:val="32"/>
          <w:szCs w:val="32"/>
        </w:rPr>
        <w:t>动设施，根据</w:t>
      </w:r>
      <w:r>
        <w:rPr>
          <w:rFonts w:ascii="仿宋_GB2312" w:hAnsi="宋体" w:eastAsia="仿宋_GB2312" w:cs="宋体"/>
          <w:color w:val="000000"/>
          <w:kern w:val="0"/>
          <w:sz w:val="32"/>
          <w:szCs w:val="32"/>
        </w:rPr>
        <w:t>开展</w:t>
      </w:r>
      <w:r>
        <w:rPr>
          <w:rFonts w:hint="eastAsia" w:ascii="仿宋_GB2312" w:hAnsi="宋体" w:eastAsia="仿宋_GB2312" w:cs="宋体"/>
          <w:color w:val="000000"/>
          <w:kern w:val="0"/>
          <w:sz w:val="32"/>
          <w:szCs w:val="32"/>
        </w:rPr>
        <w:t>各社区所需开展的</w:t>
      </w:r>
      <w:r>
        <w:rPr>
          <w:rFonts w:ascii="仿宋_GB2312" w:hAnsi="宋体" w:eastAsia="仿宋_GB2312" w:cs="宋体"/>
          <w:color w:val="000000"/>
          <w:kern w:val="0"/>
          <w:sz w:val="32"/>
          <w:szCs w:val="32"/>
        </w:rPr>
        <w:t>科教、文体、法律、卫生活动</w:t>
      </w:r>
      <w:r>
        <w:rPr>
          <w:rFonts w:hint="eastAsia" w:ascii="仿宋_GB2312" w:hAnsi="宋体" w:eastAsia="仿宋_GB2312" w:cs="宋体"/>
          <w:color w:val="000000"/>
          <w:kern w:val="0"/>
          <w:sz w:val="32"/>
          <w:szCs w:val="32"/>
        </w:rPr>
        <w:t>的实际情况</w:t>
      </w:r>
      <w:r>
        <w:rPr>
          <w:rFonts w:ascii="仿宋_GB2312" w:hAnsi="宋体" w:eastAsia="仿宋_GB2312" w:cs="宋体"/>
          <w:color w:val="000000"/>
          <w:kern w:val="0"/>
          <w:sz w:val="32"/>
          <w:szCs w:val="32"/>
        </w:rPr>
        <w:t>，配置</w:t>
      </w:r>
      <w:r>
        <w:rPr>
          <w:rFonts w:hint="eastAsia" w:ascii="仿宋_GB2312" w:hAnsi="宋体" w:eastAsia="仿宋_GB2312" w:cs="宋体"/>
          <w:color w:val="000000"/>
          <w:kern w:val="0"/>
          <w:sz w:val="32"/>
          <w:szCs w:val="32"/>
        </w:rPr>
        <w:t>与之相适应</w:t>
      </w:r>
      <w:r>
        <w:rPr>
          <w:rFonts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rPr>
        <w:t>活动设施、</w:t>
      </w:r>
      <w:r>
        <w:rPr>
          <w:rFonts w:ascii="仿宋_GB2312" w:hAnsi="宋体" w:eastAsia="仿宋_GB2312" w:cs="宋体"/>
          <w:color w:val="000000"/>
          <w:kern w:val="0"/>
          <w:sz w:val="32"/>
          <w:szCs w:val="32"/>
        </w:rPr>
        <w:t>健身器材</w:t>
      </w:r>
      <w:r>
        <w:rPr>
          <w:rFonts w:hint="eastAsia" w:ascii="仿宋_GB2312" w:hAnsi="宋体" w:eastAsia="仿宋_GB2312" w:cs="宋体"/>
          <w:color w:val="000000"/>
          <w:kern w:val="0"/>
          <w:sz w:val="32"/>
          <w:szCs w:val="32"/>
        </w:rPr>
        <w:t>等，以满足退休人员参加社区活动的需求。（3）以基层平台标准化、规范化、网络化建设为契机，给社区配置电脑、打印机、传真机、文件柜等办公</w:t>
      </w:r>
      <w:r>
        <w:rPr>
          <w:rFonts w:ascii="仿宋_GB2312" w:hAnsi="宋体" w:eastAsia="仿宋_GB2312" w:cs="宋体"/>
          <w:color w:val="000000"/>
          <w:kern w:val="0"/>
          <w:sz w:val="32"/>
          <w:szCs w:val="32"/>
        </w:rPr>
        <w:t>设施</w:t>
      </w:r>
      <w:r>
        <w:rPr>
          <w:rFonts w:hint="eastAsia" w:ascii="仿宋_GB2312" w:hAnsi="宋体" w:eastAsia="仿宋_GB2312" w:cs="宋体"/>
          <w:color w:val="000000"/>
          <w:kern w:val="0"/>
          <w:sz w:val="32"/>
          <w:szCs w:val="32"/>
        </w:rPr>
        <w:t>，以便捷社区工作，提供优质服务。</w:t>
      </w:r>
    </w:p>
    <w:p w14:paraId="38A5EB78">
      <w:p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 丰富退休人员社区服务内容。</w:t>
      </w:r>
      <w:r>
        <w:rPr>
          <w:rFonts w:ascii="仿宋_GB2312" w:hAnsi="宋体" w:eastAsia="仿宋_GB2312" w:cs="宋体"/>
          <w:color w:val="000000"/>
          <w:kern w:val="0"/>
          <w:sz w:val="32"/>
          <w:szCs w:val="32"/>
        </w:rPr>
        <w:t>创新</w:t>
      </w:r>
      <w:r>
        <w:rPr>
          <w:rFonts w:hint="eastAsia" w:ascii="仿宋_GB2312" w:hAnsi="宋体" w:eastAsia="仿宋_GB2312" w:cs="宋体"/>
          <w:color w:val="000000"/>
          <w:kern w:val="0"/>
          <w:sz w:val="32"/>
          <w:szCs w:val="32"/>
        </w:rPr>
        <w:t>退管</w:t>
      </w:r>
      <w:r>
        <w:rPr>
          <w:rFonts w:ascii="仿宋_GB2312" w:hAnsi="宋体" w:eastAsia="仿宋_GB2312" w:cs="宋体"/>
          <w:color w:val="000000"/>
          <w:kern w:val="0"/>
          <w:sz w:val="32"/>
          <w:szCs w:val="32"/>
        </w:rPr>
        <w:t>活动形式,丰富活动内容,提高活动对退休职工的吸引力</w:t>
      </w:r>
      <w:r>
        <w:rPr>
          <w:rFonts w:hint="eastAsia" w:ascii="仿宋_GB2312" w:hAnsi="宋体" w:eastAsia="仿宋_GB2312" w:cs="宋体"/>
          <w:color w:val="000000"/>
          <w:kern w:val="0"/>
          <w:sz w:val="32"/>
          <w:szCs w:val="32"/>
        </w:rPr>
        <w:t>,调动退休人员参与活动的积极性,让其真正融入社区大家庭。（1）生活上，关心退休人员。</w:t>
      </w:r>
      <w:r>
        <w:rPr>
          <w:rFonts w:ascii="仿宋_GB2312" w:hAnsi="宋体" w:eastAsia="仿宋_GB2312" w:cs="宋体"/>
          <w:color w:val="000000"/>
          <w:kern w:val="0"/>
          <w:sz w:val="32"/>
          <w:szCs w:val="32"/>
        </w:rPr>
        <w:t>应该从日常生活到节假生日，从衣食住行到保健养生、生老病死</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进行全方位的服务。为退休职工配备齐全的健身活动设施，</w:t>
      </w:r>
      <w:r>
        <w:rPr>
          <w:rFonts w:hint="eastAsia" w:ascii="仿宋_GB2312" w:hAnsi="宋体" w:eastAsia="仿宋_GB2312" w:cs="宋体"/>
          <w:color w:val="000000"/>
          <w:kern w:val="0"/>
          <w:sz w:val="32"/>
          <w:szCs w:val="32"/>
        </w:rPr>
        <w:t>定期开展退休人员的交流会、针对退休人员的健康体检工作，</w:t>
      </w:r>
      <w:r>
        <w:rPr>
          <w:rFonts w:ascii="仿宋_GB2312" w:hAnsi="宋体" w:eastAsia="仿宋_GB2312" w:cs="宋体"/>
          <w:color w:val="000000"/>
          <w:kern w:val="0"/>
          <w:sz w:val="32"/>
          <w:szCs w:val="32"/>
        </w:rPr>
        <w:t>使退休职工</w:t>
      </w:r>
      <w:r>
        <w:rPr>
          <w:rFonts w:hint="eastAsia" w:ascii="仿宋_GB2312" w:hAnsi="宋体" w:eastAsia="仿宋_GB2312" w:cs="宋体"/>
          <w:color w:val="000000"/>
          <w:kern w:val="0"/>
          <w:sz w:val="32"/>
          <w:szCs w:val="32"/>
        </w:rPr>
        <w:t>拥有健康的体魄和积极</w:t>
      </w:r>
      <w:r>
        <w:rPr>
          <w:rFonts w:ascii="仿宋_GB2312" w:hAnsi="宋体" w:eastAsia="仿宋_GB2312" w:cs="宋体"/>
          <w:color w:val="000000"/>
          <w:kern w:val="0"/>
          <w:sz w:val="32"/>
          <w:szCs w:val="32"/>
        </w:rPr>
        <w:t>的生活态度</w:t>
      </w:r>
      <w:r>
        <w:rPr>
          <w:rFonts w:hint="eastAsia" w:ascii="仿宋_GB2312" w:hAnsi="宋体" w:eastAsia="仿宋_GB2312" w:cs="宋体"/>
          <w:color w:val="000000"/>
          <w:kern w:val="0"/>
          <w:sz w:val="32"/>
          <w:szCs w:val="32"/>
        </w:rPr>
        <w:t>。（2）丰富精神文化活动。根据已有的退休人员基础信息，按照</w:t>
      </w:r>
      <w:r>
        <w:rPr>
          <w:rFonts w:ascii="仿宋_GB2312" w:hAnsi="宋体" w:eastAsia="仿宋_GB2312" w:cs="宋体"/>
          <w:color w:val="000000"/>
          <w:kern w:val="0"/>
          <w:sz w:val="32"/>
          <w:szCs w:val="32"/>
        </w:rPr>
        <w:t>退休职工年龄层次、健康状况、生活阅历、知识背景及兴趣爱好等差异安排</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举办一些多样化、多层次的活动。如开展座谈会、献策会等广泛听取和搜集老年人的意见和建议；成立</w:t>
      </w:r>
      <w:r>
        <w:rPr>
          <w:rFonts w:hint="eastAsia" w:ascii="仿宋_GB2312" w:hAnsi="宋体" w:eastAsia="仿宋_GB2312" w:cs="宋体"/>
          <w:color w:val="000000"/>
          <w:kern w:val="0"/>
          <w:sz w:val="32"/>
          <w:szCs w:val="32"/>
        </w:rPr>
        <w:t>各种</w:t>
      </w:r>
      <w:r>
        <w:rPr>
          <w:rFonts w:ascii="仿宋_GB2312" w:hAnsi="宋体" w:eastAsia="仿宋_GB2312" w:cs="宋体"/>
          <w:color w:val="000000"/>
          <w:kern w:val="0"/>
          <w:sz w:val="32"/>
          <w:szCs w:val="32"/>
        </w:rPr>
        <w:t>兴趣爱好小组,</w:t>
      </w:r>
      <w:r>
        <w:rPr>
          <w:rFonts w:hint="eastAsia" w:ascii="仿宋_GB2312" w:hAnsi="宋体" w:eastAsia="仿宋_GB2312" w:cs="宋体"/>
          <w:color w:val="000000"/>
          <w:kern w:val="0"/>
          <w:sz w:val="32"/>
          <w:szCs w:val="32"/>
        </w:rPr>
        <w:t>定期</w:t>
      </w:r>
      <w:r>
        <w:rPr>
          <w:rFonts w:ascii="仿宋_GB2312" w:hAnsi="宋体" w:eastAsia="仿宋_GB2312" w:cs="宋体"/>
          <w:color w:val="000000"/>
          <w:kern w:val="0"/>
          <w:sz w:val="32"/>
          <w:szCs w:val="32"/>
        </w:rPr>
        <w:t>开展戏曲、棋牌、腰鼓、健身操、舞蹈等比赛活动,</w:t>
      </w:r>
      <w:r>
        <w:rPr>
          <w:rFonts w:hint="eastAsia" w:ascii="仿宋_GB2312" w:hAnsi="宋体" w:eastAsia="仿宋_GB2312" w:cs="宋体"/>
          <w:color w:val="000000"/>
          <w:kern w:val="0"/>
          <w:sz w:val="32"/>
          <w:szCs w:val="32"/>
        </w:rPr>
        <w:t>让广大退休职工自己动脑、动手，真正参与到活动中，既联络了感情，也调动了积极性。（3）组织开展学习。</w:t>
      </w:r>
      <w:r>
        <w:rPr>
          <w:rFonts w:ascii="仿宋_GB2312" w:hAnsi="宋体" w:eastAsia="仿宋_GB2312" w:cs="宋体"/>
          <w:color w:val="000000"/>
          <w:kern w:val="0"/>
          <w:sz w:val="32"/>
          <w:szCs w:val="32"/>
        </w:rPr>
        <w:t>通过与老年大学、老年协会等社会团体的合作,开办一些能够满足老年人不同需求、不同兴趣爱好的老年培训班。如电脑班、戏曲班、舞蹈班、书画班、外语班等,真正让老年人活到老、学到老,实现老有所学,不断陶冶他们的情操、丰富老年人的晚年生活。</w:t>
      </w:r>
      <w:r>
        <w:rPr>
          <w:rFonts w:hint="eastAsia" w:ascii="仿宋_GB2312" w:hAnsi="宋体" w:eastAsia="仿宋_GB2312" w:cs="宋体"/>
          <w:color w:val="000000"/>
          <w:kern w:val="0"/>
          <w:sz w:val="32"/>
          <w:szCs w:val="32"/>
        </w:rPr>
        <w:t>（4）发挥退休职工余热，实现老有所为。</w:t>
      </w:r>
      <w:r>
        <w:rPr>
          <w:rFonts w:ascii="仿宋_GB2312" w:hAnsi="宋体" w:eastAsia="仿宋_GB2312" w:cs="宋体"/>
          <w:color w:val="000000"/>
          <w:kern w:val="0"/>
          <w:sz w:val="32"/>
          <w:szCs w:val="32"/>
        </w:rPr>
        <w:t>发挥退休职工中积极分子与党员的作用,建立健全党组织,并选配党性强、威性高、身体状况好、热心党务工作,尤其是曾担任过企业领导的同志,任各级党组织的负责人。</w:t>
      </w:r>
      <w:r>
        <w:rPr>
          <w:rFonts w:hint="eastAsia" w:ascii="仿宋_GB2312" w:hAnsi="宋体" w:eastAsia="仿宋_GB2312" w:cs="宋体"/>
          <w:color w:val="000000"/>
          <w:kern w:val="0"/>
          <w:sz w:val="32"/>
          <w:szCs w:val="32"/>
        </w:rPr>
        <w:t>落实好相关的组织经费，</w:t>
      </w:r>
      <w:r>
        <w:rPr>
          <w:rFonts w:ascii="仿宋_GB2312" w:hAnsi="宋体" w:eastAsia="仿宋_GB2312" w:cs="宋体"/>
          <w:color w:val="000000"/>
          <w:kern w:val="0"/>
          <w:sz w:val="32"/>
          <w:szCs w:val="32"/>
        </w:rPr>
        <w:t>从而提高各级党组织开展活动的积极性,实现老有所为。创新企业退休职工社会化管理必须加强退休职工法制宣传教育,增强其依法维权的意识和能力。积极推广部分社区的先进做法,建立“夕阳红服务队”等民间组织,倡导“邻里互访、感情互动、生活互助、娱乐互享”的氛围,从而发挥老年人的余热,体现老年人的价值,共同维护社会和谐稳定。</w:t>
      </w:r>
    </w:p>
    <w:p w14:paraId="3E014F1D">
      <w:pPr>
        <w:spacing w:line="600" w:lineRule="exact"/>
        <w:jc w:val="center"/>
        <w:outlineLvl w:val="0"/>
        <w:rPr>
          <w:rStyle w:val="16"/>
          <w:rFonts w:ascii="黑体" w:hAnsi="黑体" w:eastAsia="黑体"/>
          <w:b w:val="0"/>
          <w:bCs w:val="0"/>
        </w:rPr>
      </w:pPr>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7"/>
      <w:bookmarkEnd w:id="62"/>
    </w:p>
    <w:p w14:paraId="53D53B43">
      <w:pPr>
        <w:spacing w:line="600" w:lineRule="exact"/>
        <w:jc w:val="center"/>
        <w:outlineLvl w:val="0"/>
        <w:rPr>
          <w:rFonts w:ascii="仿宋" w:hAnsi="仿宋" w:eastAsia="仿宋"/>
          <w:b/>
          <w:bCs/>
          <w:color w:val="000000"/>
          <w:sz w:val="44"/>
          <w:szCs w:val="44"/>
        </w:rPr>
      </w:pPr>
    </w:p>
    <w:p w14:paraId="48614223">
      <w:pPr>
        <w:pStyle w:val="3"/>
        <w:rPr>
          <w:rFonts w:ascii="仿宋" w:hAnsi="仿宋" w:eastAsia="仿宋" w:cs="Times New Roman"/>
          <w:color w:val="000000"/>
        </w:rPr>
      </w:pPr>
      <w:bookmarkStart w:id="63"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63"/>
    </w:p>
    <w:p w14:paraId="2226B5DC">
      <w:pPr>
        <w:pStyle w:val="3"/>
        <w:rPr>
          <w:rFonts w:ascii="仿宋" w:hAnsi="仿宋" w:eastAsia="仿宋" w:cs="Times New Roman"/>
          <w:color w:val="000000"/>
        </w:rPr>
      </w:pPr>
      <w:bookmarkStart w:id="64"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bookmarkEnd w:id="64"/>
    </w:p>
    <w:p w14:paraId="70B53530">
      <w:pPr>
        <w:pStyle w:val="3"/>
        <w:rPr>
          <w:rFonts w:ascii="仿宋" w:hAnsi="仿宋" w:eastAsia="仿宋" w:cs="Times New Roman"/>
          <w:color w:val="000000"/>
        </w:rPr>
      </w:pPr>
      <w:bookmarkStart w:id="65"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bookmarkEnd w:id="65"/>
    </w:p>
    <w:p w14:paraId="637D66C2">
      <w:pPr>
        <w:pStyle w:val="3"/>
        <w:rPr>
          <w:rFonts w:ascii="仿宋" w:hAnsi="仿宋" w:eastAsia="仿宋" w:cs="Times New Roman"/>
          <w:b w:val="0"/>
          <w:bCs w:val="0"/>
          <w:color w:val="000000"/>
        </w:rPr>
      </w:pPr>
      <w:bookmarkStart w:id="66"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6"/>
    </w:p>
    <w:p w14:paraId="42DEF5C3">
      <w:pPr>
        <w:pStyle w:val="3"/>
        <w:rPr>
          <w:rFonts w:ascii="仿宋" w:hAnsi="仿宋" w:eastAsia="仿宋" w:cs="Times New Roman"/>
          <w:color w:val="000000"/>
        </w:rPr>
      </w:pPr>
      <w:bookmarkStart w:id="67"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bookmarkEnd w:id="67"/>
    </w:p>
    <w:p w14:paraId="0FD3ED47">
      <w:pPr>
        <w:pStyle w:val="3"/>
        <w:rPr>
          <w:rFonts w:ascii="仿宋" w:hAnsi="仿宋" w:eastAsia="仿宋" w:cs="Times New Roman"/>
          <w:color w:val="000000"/>
        </w:rPr>
      </w:pPr>
      <w:bookmarkStart w:id="68" w:name="_Toc15396624"/>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8"/>
    </w:p>
    <w:p w14:paraId="64A95BE2">
      <w:pPr>
        <w:pStyle w:val="3"/>
        <w:rPr>
          <w:rFonts w:ascii="仿宋" w:hAnsi="仿宋" w:eastAsia="仿宋" w:cs="Times New Roman"/>
          <w:color w:val="000000"/>
        </w:rPr>
      </w:pPr>
      <w:bookmarkStart w:id="69"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69"/>
    </w:p>
    <w:p w14:paraId="040DC779">
      <w:pPr>
        <w:pStyle w:val="3"/>
        <w:rPr>
          <w:rFonts w:ascii="仿宋" w:hAnsi="仿宋" w:eastAsia="仿宋" w:cs="Times New Roman"/>
          <w:color w:val="000000"/>
        </w:rPr>
      </w:pPr>
      <w:bookmarkStart w:id="70"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70"/>
    </w:p>
    <w:p w14:paraId="1C9859B5">
      <w:pPr>
        <w:pStyle w:val="3"/>
        <w:rPr>
          <w:rFonts w:ascii="仿宋" w:hAnsi="仿宋" w:eastAsia="仿宋" w:cs="Times New Roman"/>
          <w:color w:val="000000"/>
        </w:rPr>
      </w:pPr>
      <w:bookmarkStart w:id="71"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71"/>
    </w:p>
    <w:p w14:paraId="3F9404D0">
      <w:pPr>
        <w:pStyle w:val="3"/>
        <w:rPr>
          <w:rFonts w:ascii="仿宋" w:hAnsi="仿宋" w:eastAsia="仿宋" w:cs="Times New Roman"/>
          <w:color w:val="000000"/>
        </w:rPr>
      </w:pPr>
      <w:bookmarkStart w:id="72"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72"/>
    </w:p>
    <w:p w14:paraId="40326767">
      <w:pPr>
        <w:pStyle w:val="3"/>
        <w:rPr>
          <w:rFonts w:ascii="仿宋" w:hAnsi="仿宋" w:eastAsia="仿宋" w:cs="Times New Roman"/>
          <w:color w:val="000000"/>
        </w:rPr>
      </w:pPr>
      <w:bookmarkStart w:id="73" w:name="_Toc15396629"/>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73"/>
    </w:p>
    <w:p w14:paraId="440CF0F1">
      <w:pPr>
        <w:pStyle w:val="3"/>
        <w:rPr>
          <w:rFonts w:ascii="仿宋" w:hAnsi="仿宋" w:eastAsia="仿宋" w:cs="Times New Roman"/>
          <w:color w:val="000000"/>
        </w:rPr>
      </w:pPr>
      <w:bookmarkStart w:id="74"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74"/>
    </w:p>
    <w:p w14:paraId="70190171">
      <w:pPr>
        <w:pStyle w:val="3"/>
        <w:rPr>
          <w:rFonts w:ascii="仿宋" w:hAnsi="仿宋" w:eastAsia="仿宋" w:cs="Times New Roman"/>
          <w:color w:val="000000"/>
        </w:rPr>
      </w:pPr>
      <w:bookmarkStart w:id="75" w:name="_Toc15396631"/>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1191">
    <w:pPr>
      <w:pStyle w:val="8"/>
      <w:jc w:val="center"/>
    </w:pPr>
    <w:r>
      <w:fldChar w:fldCharType="begin"/>
    </w:r>
    <w:r>
      <w:instrText xml:space="preserve">PAGE   \* MERGEFORMAT</w:instrText>
    </w:r>
    <w:r>
      <w:fldChar w:fldCharType="separate"/>
    </w:r>
    <w:r>
      <w:rPr>
        <w:lang w:val="zh-CN"/>
      </w:rPr>
      <w:t>22</w:t>
    </w:r>
    <w:r>
      <w:rPr>
        <w:lang w:val="zh-CN"/>
      </w:rPr>
      <w:fldChar w:fldCharType="end"/>
    </w:r>
  </w:p>
  <w:p w14:paraId="395F16F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BAE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0EC147E6"/>
    <w:multiLevelType w:val="multilevel"/>
    <w:tmpl w:val="0EC147E6"/>
    <w:lvl w:ilvl="0" w:tentative="0">
      <w:start w:val="3"/>
      <w:numFmt w:val="japaneseCounting"/>
      <w:lvlText w:val="（%1）"/>
      <w:lvlJc w:val="left"/>
      <w:pPr>
        <w:ind w:left="1720" w:hanging="1080"/>
      </w:pPr>
      <w:rPr>
        <w:rFonts w:hint="default" w:cs="仿宋"/>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40595F26"/>
    <w:multiLevelType w:val="multilevel"/>
    <w:tmpl w:val="40595F26"/>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Tg0MDQ0M2E3YjdjMWNmYzk0YmYxYmM0OTU5NjNjYmEifQ=="/>
  </w:docVars>
  <w:rsids>
    <w:rsidRoot w:val="00F1361C"/>
    <w:rsid w:val="00021D28"/>
    <w:rsid w:val="000222C6"/>
    <w:rsid w:val="0002549F"/>
    <w:rsid w:val="00047500"/>
    <w:rsid w:val="0005144E"/>
    <w:rsid w:val="00055FBF"/>
    <w:rsid w:val="00056283"/>
    <w:rsid w:val="0006487A"/>
    <w:rsid w:val="00065F8F"/>
    <w:rsid w:val="000768F2"/>
    <w:rsid w:val="000842E8"/>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6E13"/>
    <w:rsid w:val="0014729F"/>
    <w:rsid w:val="00153E15"/>
    <w:rsid w:val="00157BAB"/>
    <w:rsid w:val="00164BB7"/>
    <w:rsid w:val="001654D1"/>
    <w:rsid w:val="0018106D"/>
    <w:rsid w:val="001877A7"/>
    <w:rsid w:val="00191536"/>
    <w:rsid w:val="00196687"/>
    <w:rsid w:val="00197E20"/>
    <w:rsid w:val="001A6C22"/>
    <w:rsid w:val="001C0962"/>
    <w:rsid w:val="001D3216"/>
    <w:rsid w:val="001D7531"/>
    <w:rsid w:val="001E737D"/>
    <w:rsid w:val="001F0592"/>
    <w:rsid w:val="001F1B34"/>
    <w:rsid w:val="001F4B7F"/>
    <w:rsid w:val="001F7506"/>
    <w:rsid w:val="002006CD"/>
    <w:rsid w:val="00202B36"/>
    <w:rsid w:val="00204B7A"/>
    <w:rsid w:val="0021101A"/>
    <w:rsid w:val="00220536"/>
    <w:rsid w:val="00235629"/>
    <w:rsid w:val="00260C38"/>
    <w:rsid w:val="002616C0"/>
    <w:rsid w:val="002662AA"/>
    <w:rsid w:val="00280496"/>
    <w:rsid w:val="00295495"/>
    <w:rsid w:val="002B2613"/>
    <w:rsid w:val="002E0F9C"/>
    <w:rsid w:val="002F1818"/>
    <w:rsid w:val="002F567B"/>
    <w:rsid w:val="002F65EB"/>
    <w:rsid w:val="003007B6"/>
    <w:rsid w:val="003216A9"/>
    <w:rsid w:val="00337232"/>
    <w:rsid w:val="00364FFF"/>
    <w:rsid w:val="0037013F"/>
    <w:rsid w:val="00380C92"/>
    <w:rsid w:val="003935C3"/>
    <w:rsid w:val="003A484F"/>
    <w:rsid w:val="003A66C0"/>
    <w:rsid w:val="003B0BE0"/>
    <w:rsid w:val="003B0C1B"/>
    <w:rsid w:val="003B688C"/>
    <w:rsid w:val="003C0291"/>
    <w:rsid w:val="003C39AE"/>
    <w:rsid w:val="003C7B60"/>
    <w:rsid w:val="003D1FB2"/>
    <w:rsid w:val="003D66DA"/>
    <w:rsid w:val="003E1310"/>
    <w:rsid w:val="003E6F55"/>
    <w:rsid w:val="00406254"/>
    <w:rsid w:val="00413796"/>
    <w:rsid w:val="004223DE"/>
    <w:rsid w:val="00434489"/>
    <w:rsid w:val="00437085"/>
    <w:rsid w:val="00443880"/>
    <w:rsid w:val="004464F4"/>
    <w:rsid w:val="00471401"/>
    <w:rsid w:val="00473F31"/>
    <w:rsid w:val="00481F29"/>
    <w:rsid w:val="0048263A"/>
    <w:rsid w:val="00487E5D"/>
    <w:rsid w:val="004A711F"/>
    <w:rsid w:val="004B199D"/>
    <w:rsid w:val="004B4690"/>
    <w:rsid w:val="004E0A2D"/>
    <w:rsid w:val="004E206B"/>
    <w:rsid w:val="004E6DF7"/>
    <w:rsid w:val="004F0FBD"/>
    <w:rsid w:val="004F404E"/>
    <w:rsid w:val="00505A47"/>
    <w:rsid w:val="00512FDA"/>
    <w:rsid w:val="00520DA0"/>
    <w:rsid w:val="00555DC0"/>
    <w:rsid w:val="005664BB"/>
    <w:rsid w:val="0057481D"/>
    <w:rsid w:val="0058486E"/>
    <w:rsid w:val="005851FC"/>
    <w:rsid w:val="005C2E7A"/>
    <w:rsid w:val="005D01D7"/>
    <w:rsid w:val="005D1C8B"/>
    <w:rsid w:val="005D5CED"/>
    <w:rsid w:val="005E248E"/>
    <w:rsid w:val="005F1A4C"/>
    <w:rsid w:val="00605688"/>
    <w:rsid w:val="00606063"/>
    <w:rsid w:val="006070AF"/>
    <w:rsid w:val="00607E6C"/>
    <w:rsid w:val="006101B1"/>
    <w:rsid w:val="00610B80"/>
    <w:rsid w:val="00614E44"/>
    <w:rsid w:val="00617919"/>
    <w:rsid w:val="00622830"/>
    <w:rsid w:val="00630AEF"/>
    <w:rsid w:val="006325F8"/>
    <w:rsid w:val="00634C9A"/>
    <w:rsid w:val="00637EC8"/>
    <w:rsid w:val="006440E4"/>
    <w:rsid w:val="0066343B"/>
    <w:rsid w:val="00664777"/>
    <w:rsid w:val="006748A4"/>
    <w:rsid w:val="00683E73"/>
    <w:rsid w:val="006928AB"/>
    <w:rsid w:val="006A3141"/>
    <w:rsid w:val="006A5E34"/>
    <w:rsid w:val="006B2422"/>
    <w:rsid w:val="006B2B9A"/>
    <w:rsid w:val="006C1937"/>
    <w:rsid w:val="006D11AD"/>
    <w:rsid w:val="006D7A26"/>
    <w:rsid w:val="006F020C"/>
    <w:rsid w:val="007127B7"/>
    <w:rsid w:val="007416B6"/>
    <w:rsid w:val="00746F48"/>
    <w:rsid w:val="0075404D"/>
    <w:rsid w:val="0076182A"/>
    <w:rsid w:val="00767B7E"/>
    <w:rsid w:val="007770C3"/>
    <w:rsid w:val="00784D24"/>
    <w:rsid w:val="00785FBA"/>
    <w:rsid w:val="00786E4A"/>
    <w:rsid w:val="007875EB"/>
    <w:rsid w:val="0079426B"/>
    <w:rsid w:val="007B3B56"/>
    <w:rsid w:val="007D312A"/>
    <w:rsid w:val="007D3F19"/>
    <w:rsid w:val="007E23B0"/>
    <w:rsid w:val="007F1991"/>
    <w:rsid w:val="007F2C2F"/>
    <w:rsid w:val="007F55FC"/>
    <w:rsid w:val="007F5665"/>
    <w:rsid w:val="00800112"/>
    <w:rsid w:val="008054C6"/>
    <w:rsid w:val="008232DA"/>
    <w:rsid w:val="008253BB"/>
    <w:rsid w:val="008254F7"/>
    <w:rsid w:val="0083706E"/>
    <w:rsid w:val="008423A5"/>
    <w:rsid w:val="00850625"/>
    <w:rsid w:val="00853718"/>
    <w:rsid w:val="00855221"/>
    <w:rsid w:val="00860645"/>
    <w:rsid w:val="00871F71"/>
    <w:rsid w:val="00885AF4"/>
    <w:rsid w:val="008879D7"/>
    <w:rsid w:val="008939CD"/>
    <w:rsid w:val="008A25B5"/>
    <w:rsid w:val="008B768C"/>
    <w:rsid w:val="008C4DB1"/>
    <w:rsid w:val="008C4EAF"/>
    <w:rsid w:val="008C5176"/>
    <w:rsid w:val="008C7FD0"/>
    <w:rsid w:val="008D51F4"/>
    <w:rsid w:val="008E1DE7"/>
    <w:rsid w:val="008E707C"/>
    <w:rsid w:val="008E763B"/>
    <w:rsid w:val="00900B08"/>
    <w:rsid w:val="00902155"/>
    <w:rsid w:val="00902FA3"/>
    <w:rsid w:val="00903303"/>
    <w:rsid w:val="00923564"/>
    <w:rsid w:val="0092392E"/>
    <w:rsid w:val="009315F9"/>
    <w:rsid w:val="0093777F"/>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13C"/>
    <w:rsid w:val="009D4711"/>
    <w:rsid w:val="009E6313"/>
    <w:rsid w:val="009E6B86"/>
    <w:rsid w:val="009F1185"/>
    <w:rsid w:val="009F18CD"/>
    <w:rsid w:val="009F2A13"/>
    <w:rsid w:val="009F56D6"/>
    <w:rsid w:val="00A04EB0"/>
    <w:rsid w:val="00A13CC1"/>
    <w:rsid w:val="00A16847"/>
    <w:rsid w:val="00A20EEB"/>
    <w:rsid w:val="00A237D8"/>
    <w:rsid w:val="00A268C4"/>
    <w:rsid w:val="00A307CD"/>
    <w:rsid w:val="00A40A00"/>
    <w:rsid w:val="00A4142F"/>
    <w:rsid w:val="00A56DF2"/>
    <w:rsid w:val="00A67AB5"/>
    <w:rsid w:val="00A91760"/>
    <w:rsid w:val="00A93B00"/>
    <w:rsid w:val="00A93C21"/>
    <w:rsid w:val="00AC3C6A"/>
    <w:rsid w:val="00AD4200"/>
    <w:rsid w:val="00AD5620"/>
    <w:rsid w:val="00AD7C1B"/>
    <w:rsid w:val="00AE15D9"/>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56ADB"/>
    <w:rsid w:val="00B77EA6"/>
    <w:rsid w:val="00B81598"/>
    <w:rsid w:val="00B841F1"/>
    <w:rsid w:val="00B944D6"/>
    <w:rsid w:val="00BA7986"/>
    <w:rsid w:val="00BB4DF0"/>
    <w:rsid w:val="00BB738B"/>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3D8F"/>
    <w:rsid w:val="00C91CBB"/>
    <w:rsid w:val="00C96F29"/>
    <w:rsid w:val="00CC09B6"/>
    <w:rsid w:val="00CC666F"/>
    <w:rsid w:val="00CD1E3F"/>
    <w:rsid w:val="00CE44F6"/>
    <w:rsid w:val="00CE49DA"/>
    <w:rsid w:val="00CE7B61"/>
    <w:rsid w:val="00D00095"/>
    <w:rsid w:val="00D20620"/>
    <w:rsid w:val="00D26091"/>
    <w:rsid w:val="00D2779F"/>
    <w:rsid w:val="00D34E7C"/>
    <w:rsid w:val="00D35489"/>
    <w:rsid w:val="00D51276"/>
    <w:rsid w:val="00D7035F"/>
    <w:rsid w:val="00D74297"/>
    <w:rsid w:val="00D914F4"/>
    <w:rsid w:val="00D96D6C"/>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A010F"/>
    <w:rsid w:val="00EB1840"/>
    <w:rsid w:val="00ED1B63"/>
    <w:rsid w:val="00ED390B"/>
    <w:rsid w:val="00ED3C1F"/>
    <w:rsid w:val="00ED4085"/>
    <w:rsid w:val="00ED420E"/>
    <w:rsid w:val="00EE2F57"/>
    <w:rsid w:val="00EF4C34"/>
    <w:rsid w:val="00EF57F9"/>
    <w:rsid w:val="00EF77C6"/>
    <w:rsid w:val="00F05438"/>
    <w:rsid w:val="00F1361C"/>
    <w:rsid w:val="00F160C7"/>
    <w:rsid w:val="00F33AF6"/>
    <w:rsid w:val="00F36D8F"/>
    <w:rsid w:val="00F417B1"/>
    <w:rsid w:val="00F52B67"/>
    <w:rsid w:val="00F539F2"/>
    <w:rsid w:val="00F602DF"/>
    <w:rsid w:val="00F81FD9"/>
    <w:rsid w:val="00F841AA"/>
    <w:rsid w:val="00F962A8"/>
    <w:rsid w:val="00FA23E8"/>
    <w:rsid w:val="00FA6016"/>
    <w:rsid w:val="00FB02D9"/>
    <w:rsid w:val="00FC7F17"/>
    <w:rsid w:val="00FD3CC1"/>
    <w:rsid w:val="00FD5B8F"/>
    <w:rsid w:val="00FE3EB3"/>
    <w:rsid w:val="00FF1A74"/>
    <w:rsid w:val="00FF1E02"/>
    <w:rsid w:val="00FF30B4"/>
    <w:rsid w:val="0E517C08"/>
    <w:rsid w:val="0F970E30"/>
    <w:rsid w:val="10C055FF"/>
    <w:rsid w:val="16BB723D"/>
    <w:rsid w:val="240371BF"/>
    <w:rsid w:val="29FD04D3"/>
    <w:rsid w:val="319F7F4E"/>
    <w:rsid w:val="39BE789B"/>
    <w:rsid w:val="3FAC4B89"/>
    <w:rsid w:val="46B47D60"/>
    <w:rsid w:val="50F57D74"/>
    <w:rsid w:val="61041EDF"/>
    <w:rsid w:val="617730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8"/>
    <w:semiHidden/>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qFormat/>
    <w:uiPriority w:val="99"/>
    <w:rPr>
      <w:b/>
      <w:bCs/>
    </w:rPr>
  </w:style>
  <w:style w:type="character" w:styleId="15">
    <w:name w:val="Hyperlink"/>
    <w:uiPriority w:val="99"/>
    <w:rPr>
      <w:color w:val="0000FF"/>
      <w:u w:val="single"/>
    </w:rPr>
  </w:style>
  <w:style w:type="character" w:customStyle="1" w:styleId="16">
    <w:name w:val="标题 1 Char"/>
    <w:link w:val="2"/>
    <w:qFormat/>
    <w:locked/>
    <w:uiPriority w:val="99"/>
    <w:rPr>
      <w:rFonts w:ascii="Times New Roman" w:hAnsi="Times New Roman" w:cs="Times New Roman"/>
      <w:b/>
      <w:bCs/>
      <w:kern w:val="44"/>
      <w:sz w:val="44"/>
      <w:szCs w:val="44"/>
    </w:rPr>
  </w:style>
  <w:style w:type="character" w:customStyle="1" w:styleId="17">
    <w:name w:val="标题 2 Char"/>
    <w:link w:val="3"/>
    <w:qFormat/>
    <w:locked/>
    <w:uiPriority w:val="99"/>
    <w:rPr>
      <w:rFonts w:ascii="Cambria" w:hAnsi="Cambria" w:eastAsia="宋体" w:cs="Cambria"/>
      <w:b/>
      <w:bCs/>
      <w:kern w:val="2"/>
      <w:sz w:val="32"/>
      <w:szCs w:val="32"/>
    </w:rPr>
  </w:style>
  <w:style w:type="character" w:customStyle="1" w:styleId="18">
    <w:name w:val="标题 3 Char"/>
    <w:link w:val="4"/>
    <w:qFormat/>
    <w:locked/>
    <w:uiPriority w:val="99"/>
    <w:rPr>
      <w:rFonts w:ascii="Times New Roman" w:hAnsi="Times New Roman" w:cs="Times New Roman"/>
      <w:b/>
      <w:bCs/>
      <w:kern w:val="2"/>
      <w:sz w:val="32"/>
      <w:szCs w:val="32"/>
    </w:rPr>
  </w:style>
  <w:style w:type="character" w:customStyle="1" w:styleId="19">
    <w:name w:val="Body Text Char"/>
    <w:semiHidden/>
    <w:qFormat/>
    <w:locked/>
    <w:uiPriority w:val="99"/>
    <w:rPr>
      <w:rFonts w:ascii="Times New Roman" w:hAnsi="Times New Roman" w:cs="Times New Roman"/>
      <w:sz w:val="24"/>
      <w:szCs w:val="24"/>
    </w:rPr>
  </w:style>
  <w:style w:type="character" w:customStyle="1" w:styleId="20">
    <w:name w:val="Footer Char"/>
    <w:semiHidden/>
    <w:qFormat/>
    <w:locked/>
    <w:uiPriority w:val="99"/>
    <w:rPr>
      <w:rFonts w:ascii="Times New Roman" w:hAnsi="Times New Roman" w:cs="Times New Roman"/>
      <w:sz w:val="18"/>
      <w:szCs w:val="18"/>
    </w:rPr>
  </w:style>
  <w:style w:type="character" w:customStyle="1" w:styleId="21">
    <w:name w:val="Header Char"/>
    <w:semiHidden/>
    <w:locked/>
    <w:uiPriority w:val="99"/>
    <w:rPr>
      <w:rFonts w:ascii="Times New Roman" w:hAnsi="Times New Roman" w:cs="Times New Roman"/>
      <w:sz w:val="18"/>
      <w:szCs w:val="18"/>
    </w:rPr>
  </w:style>
  <w:style w:type="character" w:customStyle="1" w:styleId="22">
    <w:name w:val="页眉 Char"/>
    <w:link w:val="9"/>
    <w:semiHidden/>
    <w:locked/>
    <w:uiPriority w:val="99"/>
    <w:rPr>
      <w:sz w:val="18"/>
      <w:szCs w:val="18"/>
    </w:rPr>
  </w:style>
  <w:style w:type="character" w:customStyle="1" w:styleId="23">
    <w:name w:val="页脚 Char"/>
    <w:link w:val="8"/>
    <w:locked/>
    <w:uiPriority w:val="99"/>
    <w:rPr>
      <w:sz w:val="18"/>
      <w:szCs w:val="18"/>
    </w:rPr>
  </w:style>
  <w:style w:type="character" w:customStyle="1" w:styleId="24">
    <w:name w:val="正文文本 Char"/>
    <w:link w:val="5"/>
    <w:qFormat/>
    <w:locked/>
    <w:uiPriority w:val="99"/>
    <w:rPr>
      <w:rFonts w:ascii="仿宋_GB2312" w:hAnsi="Times New Roman" w:eastAsia="仿宋_GB2312" w:cs="仿宋_GB2312"/>
      <w:sz w:val="24"/>
      <w:szCs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link w:val="7"/>
    <w:semiHidden/>
    <w:locked/>
    <w:uiPriority w:val="99"/>
    <w:rPr>
      <w:rFonts w:ascii="Times New Roman" w:hAnsi="Times New Roman" w:cs="Times New Roman"/>
      <w:kern w:val="2"/>
      <w:sz w:val="18"/>
      <w:szCs w:val="18"/>
    </w:rPr>
  </w:style>
  <w:style w:type="paragraph" w:customStyle="1" w:styleId="29">
    <w:name w:val="四号正文"/>
    <w:basedOn w:val="1"/>
    <w:link w:val="30"/>
    <w:uiPriority w:val="0"/>
    <w:pPr>
      <w:spacing w:line="360" w:lineRule="auto"/>
    </w:pPr>
    <w:rPr>
      <w:rFonts w:ascii="??" w:hAnsi="??" w:cs="宋体"/>
      <w:color w:val="000000"/>
      <w:kern w:val="0"/>
      <w:sz w:val="28"/>
    </w:rPr>
  </w:style>
  <w:style w:type="character" w:customStyle="1" w:styleId="30">
    <w:name w:val="四号正文 Char"/>
    <w:link w:val="29"/>
    <w:uiPriority w:val="0"/>
    <w:rPr>
      <w:rFonts w:ascii="??" w:hAnsi="??" w:cs="宋体"/>
      <w:color w:val="00000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191017-2018&#24180;&#20915;&#31639;&#20844;&#24320;\&#22270;&#34920;-2018&#24180;&#24191;&#27721;&#24066;&#20154;&#31038;&#23616;&#20915;&#31639;&#20844;&#24320;&#25253;&#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191017-2018&#24180;&#20915;&#31639;&#20844;&#24320;\&#22270;&#34920;-2018&#24180;&#24191;&#27721;&#24066;&#20154;&#31038;&#23616;&#20915;&#31639;&#20844;&#24320;&#25253;&#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9&#24180;&#36164;&#26009;\&#36130;&#25919;&#23616;&#36164;&#26009;\20191017-2018&#24180;&#20915;&#31639;&#20844;&#24320;\&#22270;&#34920;-2018&#24180;&#24191;&#27721;&#24066;&#20154;&#31038;&#23616;&#20915;&#31639;&#20844;&#24320;&#25253;&#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9&#24180;&#36164;&#26009;\&#36130;&#25919;&#23616;&#36164;&#26009;\20191017-2018&#24180;&#20915;&#31639;&#20844;&#24320;\&#22270;&#34920;-2018&#24180;&#24191;&#27721;&#24066;&#20154;&#31038;&#23616;&#20915;&#31639;&#20844;&#24320;&#25253;&#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9&#24180;&#36164;&#26009;\&#36130;&#25919;&#23616;&#36164;&#26009;\20191017-2018&#24180;&#20915;&#31639;&#20844;&#24320;\&#22270;&#34920;-2018&#24180;&#24191;&#27721;&#24066;&#20154;&#31038;&#23616;&#20915;&#31639;&#20844;&#24320;&#25253;&#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9&#24180;&#36164;&#26009;\&#36130;&#25919;&#23616;&#36164;&#26009;\20191017-2018&#24180;&#20915;&#31639;&#20844;&#24320;\&#22270;&#34920;-2018&#24180;&#24191;&#27721;&#24066;&#20154;&#31038;&#23616;&#20915;&#31639;&#20844;&#24320;&#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b="1"/>
              <a:t>2017</a:t>
            </a:r>
            <a:r>
              <a:rPr altLang="en-US" b="1"/>
              <a:t>年</a:t>
            </a:r>
            <a:r>
              <a:rPr lang="en-US" altLang="zh-CN" b="1"/>
              <a:t>/2018</a:t>
            </a:r>
            <a:r>
              <a:rPr altLang="en-US" b="1"/>
              <a:t>年度收支决算变动情况</a:t>
            </a:r>
            <a:endParaRPr altLang="en-US" b="1"/>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delete val="1"/>
          </c:dLbls>
          <c:cat>
            <c:strRef>
              <c:f>'[图表-2018年广汉市人社局决算公开报表.xls]Z02 收入决算表(财决公开02表)'!$E$4:$H$4</c:f>
              <c:strCache>
                <c:ptCount val="4"/>
                <c:pt idx="0">
                  <c:v>2018年收入</c:v>
                </c:pt>
                <c:pt idx="1">
                  <c:v>2017年收入</c:v>
                </c:pt>
                <c:pt idx="2">
                  <c:v>2018年支出</c:v>
                </c:pt>
                <c:pt idx="3">
                  <c:v>2017年支出</c:v>
                </c:pt>
              </c:strCache>
            </c:strRef>
          </c:cat>
          <c:val>
            <c:numRef>
              <c:f>'[图表-2018年广汉市人社局决算公开报表.xls]Z02 收入决算表(财决公开02表)'!$E$5:$H$5</c:f>
              <c:numCache>
                <c:formatCode>General</c:formatCode>
                <c:ptCount val="4"/>
                <c:pt idx="0">
                  <c:v>0</c:v>
                </c:pt>
              </c:numCache>
            </c:numRef>
          </c:val>
        </c:ser>
        <c:ser>
          <c:idx val="1"/>
          <c:order val="1"/>
          <c:spPr>
            <a:solidFill>
              <a:srgbClr val="C0504D"/>
            </a:solidFill>
            <a:ln>
              <a:noFill/>
            </a:ln>
            <a:effectLst/>
          </c:spPr>
          <c:invertIfNegative val="0"/>
          <c:dLbls>
            <c:delete val="1"/>
          </c:dLbls>
          <c:cat>
            <c:strRef>
              <c:f>'[图表-2018年广汉市人社局决算公开报表.xls]Z02 收入决算表(财决公开02表)'!$E$4:$H$4</c:f>
              <c:strCache>
                <c:ptCount val="4"/>
                <c:pt idx="0">
                  <c:v>2018年收入</c:v>
                </c:pt>
                <c:pt idx="1">
                  <c:v>2017年收入</c:v>
                </c:pt>
                <c:pt idx="2">
                  <c:v>2018年支出</c:v>
                </c:pt>
                <c:pt idx="3">
                  <c:v>2017年支出</c:v>
                </c:pt>
              </c:strCache>
            </c:strRef>
          </c:cat>
          <c:val>
            <c:numRef>
              <c:f>'[图表-2018年广汉市人社局决算公开报表.xls]Z02 收入决算表(财决公开02表)'!$E$6:$H$6</c:f>
              <c:numCache>
                <c:formatCode>General</c:formatCode>
                <c:ptCount val="4"/>
                <c:pt idx="0">
                  <c:v>0</c:v>
                </c:pt>
              </c:numCache>
            </c:numRef>
          </c:val>
        </c:ser>
        <c:ser>
          <c:idx val="2"/>
          <c:order val="2"/>
          <c:spPr>
            <a:solidFill>
              <a:srgbClr val="9BBB59"/>
            </a:solidFill>
            <a:ln>
              <a:noFill/>
            </a:ln>
            <a:effectLst/>
          </c:spPr>
          <c:invertIfNegative val="0"/>
          <c:dLbls>
            <c:delete val="1"/>
          </c:dLbls>
          <c:cat>
            <c:strRef>
              <c:f>'[图表-2018年广汉市人社局决算公开报表.xls]Z02 收入决算表(财决公开02表)'!$E$4:$H$4</c:f>
              <c:strCache>
                <c:ptCount val="4"/>
                <c:pt idx="0">
                  <c:v>2018年收入</c:v>
                </c:pt>
                <c:pt idx="1">
                  <c:v>2017年收入</c:v>
                </c:pt>
                <c:pt idx="2">
                  <c:v>2018年支出</c:v>
                </c:pt>
                <c:pt idx="3">
                  <c:v>2017年支出</c:v>
                </c:pt>
              </c:strCache>
            </c:strRef>
          </c:cat>
          <c:val>
            <c:numRef>
              <c:f>'[图表-2018年广汉市人社局决算公开报表.xls]Z02 收入决算表(财决公开02表)'!$E$7:$H$7</c:f>
              <c:numCache>
                <c:formatCode>General</c:formatCode>
                <c:ptCount val="4"/>
                <c:pt idx="0">
                  <c:v>0</c:v>
                </c:pt>
              </c:numCache>
            </c:numRef>
          </c:val>
        </c:ser>
        <c:ser>
          <c:idx val="3"/>
          <c:order val="3"/>
          <c:spPr>
            <a:gradFill>
              <a:gsLst>
                <a:gs pos="0">
                  <a:srgbClr val="FE4444"/>
                </a:gs>
                <a:gs pos="100000">
                  <a:srgbClr val="832B2B"/>
                </a:gs>
              </a:gsLst>
              <a:lin ang="5400000" scaled="0"/>
            </a:gradFill>
            <a:ln>
              <a:noFill/>
            </a:ln>
            <a:effectLst/>
          </c:spPr>
          <c:invertIfNegative val="0"/>
          <c:dPt>
            <c:idx val="2"/>
            <c:invertIfNegative val="0"/>
            <c:bubble3D val="0"/>
            <c:spPr>
              <a:gradFill>
                <a:gsLst>
                  <a:gs pos="0">
                    <a:srgbClr val="007BD3"/>
                  </a:gs>
                  <a:gs pos="100000">
                    <a:srgbClr val="034373"/>
                  </a:gs>
                </a:gsLst>
                <a:lin ang="5400000" scaled="0"/>
              </a:gradFill>
              <a:ln>
                <a:noFill/>
              </a:ln>
              <a:effectLst/>
            </c:spPr>
          </c:dPt>
          <c:dPt>
            <c:idx val="3"/>
            <c:invertIfNegative val="0"/>
            <c:bubble3D val="0"/>
            <c:spPr>
              <a:gradFill>
                <a:gsLst>
                  <a:gs pos="0">
                    <a:srgbClr val="007BD3"/>
                  </a:gs>
                  <a:gs pos="100000">
                    <a:srgbClr val="034373"/>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'[图表-2018年广汉市人社局决算公开报表.xls]Z02 收入决算表(财决公开02表)'!$E$4:$H$4</c:f>
              <c:strCache>
                <c:ptCount val="4"/>
                <c:pt idx="0">
                  <c:v>2018年收入</c:v>
                </c:pt>
                <c:pt idx="1">
                  <c:v>2017年收入</c:v>
                </c:pt>
                <c:pt idx="2">
                  <c:v>2018年支出</c:v>
                </c:pt>
                <c:pt idx="3">
                  <c:v>2017年支出</c:v>
                </c:pt>
              </c:strCache>
            </c:strRef>
          </c:cat>
          <c:val>
            <c:numRef>
              <c:f>'[图表-2018年广汉市人社局决算公开报表.xls]Z02 收入决算表(财决公开02表)'!$E$9:$H$9</c:f>
              <c:numCache>
                <c:formatCode>#,##0.00</c:formatCode>
                <c:ptCount val="4"/>
                <c:pt idx="0">
                  <c:v>4287.09</c:v>
                </c:pt>
                <c:pt idx="1">
                  <c:v>3131.71</c:v>
                </c:pt>
                <c:pt idx="2" c:formatCode="General">
                  <c:v>4193.67</c:v>
                </c:pt>
                <c:pt idx="3" c:formatCode="General">
                  <c:v>3233.3</c:v>
                </c:pt>
              </c:numCache>
            </c:numRef>
          </c:val>
        </c:ser>
        <c:dLbls>
          <c:showLegendKey val="0"/>
          <c:showVal val="1"/>
          <c:showCatName val="0"/>
          <c:showSerName val="0"/>
          <c:showPercent val="0"/>
          <c:showBubbleSize val="0"/>
        </c:dLbls>
        <c:gapWidth val="219"/>
        <c:overlap val="-27"/>
        <c:axId val="144990976"/>
        <c:axId val="144992512"/>
      </c:barChart>
      <c:catAx>
        <c:axId val="14499097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44992512"/>
        <c:crosses val="autoZero"/>
        <c:auto val="1"/>
        <c:lblAlgn val="ctr"/>
        <c:lblOffset val="100"/>
        <c:noMultiLvlLbl val="0"/>
      </c:catAx>
      <c:valAx>
        <c:axId val="14499251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44990976"/>
        <c:crosses val="autoZero"/>
        <c:crossBetween val="between"/>
      </c:valAx>
      <c:spPr>
        <a:noFill/>
        <a:ln>
          <a:noFill/>
        </a:ln>
        <a:effectLst/>
      </c:spPr>
    </c:plotArea>
    <c:plotVisOnly val="1"/>
    <c:dispBlanksAs val="gap"/>
    <c:showDLblsOverMax val="0"/>
    <c:extLst>
      <c:ext uri="{0b15fc19-7d7d-44ad-8c2d-2c3a37ce22c3}">
        <chartProps xmlns="https://web.wps.cn/et/2018/main" chartId="{0dffbbef-316a-4124-aae1-9bbd32888640}"/>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mn-lt"/>
                <a:ea typeface="+mn-ea"/>
                <a:cs typeface="+mn-cs"/>
              </a:defRPr>
            </a:pPr>
            <a:r>
              <a:rPr b="1"/>
              <a:t>收入决算结构图</a:t>
            </a:r>
            <a:endParaRPr lang="en-US" altLang="zh-CN" b="1"/>
          </a:p>
        </c:rich>
      </c:tx>
      <c:layout/>
      <c:overlay val="0"/>
      <c:spPr>
        <a:noFill/>
        <a:ln>
          <a:noFill/>
        </a:ln>
        <a:effectLst/>
      </c:spPr>
    </c:title>
    <c:autoTitleDeleted val="0"/>
    <c:plotArea>
      <c:layout>
        <c:manualLayout>
          <c:layoutTarget val="inner"/>
          <c:xMode val="edge"/>
          <c:yMode val="edge"/>
          <c:x val="0.157232593397143"/>
          <c:y val="0.174964438122333"/>
          <c:w val="0.418008441456933"/>
          <c:h val="0.760739687055477"/>
        </c:manualLayout>
      </c:layout>
      <c:pieChart>
        <c:varyColors val="1"/>
        <c:ser>
          <c:idx val="0"/>
          <c:order val="0"/>
          <c:spPr>
            <a:solidFill>
              <a:srgbClr val="4F81BD"/>
            </a:solidFill>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Lbl>
              <c:idx val="1"/>
              <c:layout>
                <c:manualLayout>
                  <c:x val="-0.0977160826528692"/>
                  <c:y val="-0.009225879337683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('[图表-2018年广汉市人社局决算公开报表.xls]Z01 收入支出决算总表(财决公开1表)'!$C$7,'[图表-2018年广汉市人社局决算公开报表.xls]Z01 收入支出决算总表(财决公开1表)'!$C$14)</c:f>
              <c:strCache>
                <c:ptCount val="2"/>
                <c:pt idx="0">
                  <c:v>一般公共预算财政拨款收入</c:v>
                </c:pt>
                <c:pt idx="1">
                  <c:v>其他收入</c:v>
                </c:pt>
              </c:strCache>
            </c:strRef>
          </c:cat>
          <c:val>
            <c:numRef>
              <c:f>('[图表-2018年广汉市人社局决算公开报表.xls]Z01 收入支出决算总表(财决公开1表)'!$D$7,'[图表-2018年广汉市人社局决算公开报表.xls]Z01 收入支出决算总表(财决公开1表)'!$D$14)</c:f>
              <c:numCache>
                <c:formatCode>#,##0.00</c:formatCode>
                <c:ptCount val="2"/>
                <c:pt idx="0">
                  <c:v>4285.57</c:v>
                </c:pt>
                <c:pt idx="1">
                  <c:v>1.52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33830875584041"/>
          <c:y val="0.261280759362412"/>
          <c:w val="0.24"/>
          <c:h val="0.6506693609497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25647363-0785-483c-9d87-b536aca7df4e}"/>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1"/>
              <a:t>支出决算结构图</a:t>
            </a:r>
            <a:endParaRPr lang="zh-CN" altLang="en-US" b="1"/>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Lbls>
            <c:dLbl>
              <c:idx val="0"/>
              <c:layout>
                <c:manualLayout>
                  <c:x val="-0.143244750656168"/>
                  <c:y val="-0.27462452610090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888125546806649"/>
                  <c:y val="-0.037784339457567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('Z03 支出决算表(财决公开03表)'!$F$4:$G$7,'Z03 支出决算表(财决公开03表)'!$F$9:$G$9)</c:f>
              <c:strCache>
                <c:ptCount val="4"/>
                <c:pt idx="0">
                  <c:v>基本支出</c:v>
                </c:pt>
                <c:pt idx="1">
                  <c:v>项目支出</c:v>
                </c:pt>
                <c:pt idx="2">
                  <c:v>3,573.13</c:v>
                </c:pt>
                <c:pt idx="3">
                  <c:v>620.54</c:v>
                </c:pt>
              </c:strCache>
            </c:strRef>
          </c:cat>
          <c:val>
            <c:numRef>
              <c:f>('Z03 支出决算表(财决公开03表)'!$F$9,'Z03 支出决算表(财决公开03表)'!$G$9)</c:f>
              <c:numCache>
                <c:formatCode>#,##0.00</c:formatCode>
                <c:ptCount val="2"/>
                <c:pt idx="0">
                  <c:v>3573.13</c:v>
                </c:pt>
                <c:pt idx="1">
                  <c:v>620.54</c:v>
                </c:pt>
              </c:numCache>
            </c:numRef>
          </c:val>
        </c:ser>
        <c:dLbls>
          <c:showLegendKey val="0"/>
          <c:showVal val="0"/>
          <c:showCatName val="1"/>
          <c:showSerName val="0"/>
          <c:showPercent val="0"/>
          <c:showBubbleSize val="0"/>
        </c:dLbls>
      </c:pie3DChart>
    </c:plotArea>
    <c:plotVisOnly val="1"/>
    <c:dispBlanksAs val="zero"/>
    <c:showDLblsOverMax val="0"/>
    <c:extLst>
      <c:ext uri="{0b15fc19-7d7d-44ad-8c2d-2c3a37ce22c3}">
        <chartProps xmlns="https://web.wps.cn/et/2018/main" chartId="{5613094e-3129-4111-971d-9877a076ac1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财政拨款总收支变动情况</a:t>
            </a:r>
            <a:endParaRPr lang="zh-CN" altLang="en-US"/>
          </a:p>
        </c:rich>
      </c:tx>
      <c:layout/>
      <c:overlay val="0"/>
    </c:title>
    <c:autoTitleDeleted val="0"/>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'Z04 财政拨款收入支出决算总表(财决公开04表)'!$D$38:$D$39</c:f>
              <c:strCache>
                <c:ptCount val="2"/>
                <c:pt idx="0">
                  <c:v>2017年度</c:v>
                </c:pt>
                <c:pt idx="1">
                  <c:v>2018年度</c:v>
                </c:pt>
              </c:strCache>
            </c:strRef>
          </c:cat>
          <c:val>
            <c:numRef>
              <c:f>'Z04 财政拨款收入支出决算总表(财决公开04表)'!$F$38:$F$39</c:f>
              <c:numCache>
                <c:formatCode>General</c:formatCode>
                <c:ptCount val="2"/>
                <c:pt idx="0">
                  <c:v>3352.84</c:v>
                </c:pt>
                <c:pt idx="1">
                  <c:v>4453.86</c:v>
                </c:pt>
              </c:numCache>
            </c:numRef>
          </c:val>
        </c:ser>
        <c:dLbls>
          <c:showLegendKey val="0"/>
          <c:showVal val="1"/>
          <c:showCatName val="0"/>
          <c:showSerName val="0"/>
          <c:showPercent val="0"/>
          <c:showBubbleSize val="0"/>
        </c:dLbls>
        <c:gapWidth val="55"/>
        <c:overlap val="100"/>
        <c:axId val="145205888"/>
        <c:axId val="145219968"/>
      </c:barChart>
      <c:catAx>
        <c:axId val="1452058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219968"/>
        <c:crosses val="autoZero"/>
        <c:auto val="1"/>
        <c:lblAlgn val="ctr"/>
        <c:lblOffset val="100"/>
        <c:noMultiLvlLbl val="0"/>
      </c:catAx>
      <c:valAx>
        <c:axId val="1452199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20588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1d14c353-6a33-459a-a467-cfbf6d42bd9b}"/>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b="1"/>
              <a:t>一般公共预算财政拨款支出决算变动情况</a:t>
            </a:r>
            <a:endParaRPr lang="zh-CN" altLang="en-US" sz="1200" b="1"/>
          </a:p>
        </c:rich>
      </c:tx>
      <c:layout/>
      <c:overlay val="0"/>
    </c:title>
    <c:autoTitleDeleted val="0"/>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'Z04 财政拨款收入支出决算总表(财决公开04表)'!$D$40:$D$41</c:f>
              <c:strCache>
                <c:ptCount val="2"/>
                <c:pt idx="0">
                  <c:v>2017年度</c:v>
                </c:pt>
                <c:pt idx="1">
                  <c:v>2018年度</c:v>
                </c:pt>
              </c:strCache>
            </c:strRef>
          </c:cat>
          <c:val>
            <c:numRef>
              <c:f>'Z04 财政拨款收入支出决算总表(财决公开04表)'!$F$40:$F$41</c:f>
              <c:numCache>
                <c:formatCode>General</c:formatCode>
                <c:ptCount val="2"/>
                <c:pt idx="0">
                  <c:v>3227.55</c:v>
                </c:pt>
                <c:pt idx="1">
                  <c:v>4188.35</c:v>
                </c:pt>
              </c:numCache>
            </c:numRef>
          </c:val>
        </c:ser>
        <c:dLbls>
          <c:showLegendKey val="0"/>
          <c:showVal val="1"/>
          <c:showCatName val="0"/>
          <c:showSerName val="0"/>
          <c:showPercent val="0"/>
          <c:showBubbleSize val="0"/>
        </c:dLbls>
        <c:gapWidth val="55"/>
        <c:overlap val="100"/>
        <c:axId val="145121280"/>
        <c:axId val="145122816"/>
      </c:barChart>
      <c:catAx>
        <c:axId val="14512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22816"/>
        <c:crosses val="autoZero"/>
        <c:auto val="1"/>
        <c:lblAlgn val="ctr"/>
        <c:lblOffset val="100"/>
        <c:noMultiLvlLbl val="0"/>
      </c:catAx>
      <c:valAx>
        <c:axId val="1451228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21280"/>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2f008843-dea1-4f76-8b0c-87786ca52432}"/>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448283302111414"/>
          <c:y val="0.0865384983811332"/>
          <c:w val="0.55107939632546"/>
          <c:h val="0.828703703703704"/>
        </c:manualLayout>
      </c:layout>
      <c:pie3DChart>
        <c:varyColors val="1"/>
        <c:ser>
          <c:idx val="0"/>
          <c:order val="0"/>
          <c:explosion val="25"/>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('Z04 财政拨款收入支出决算总表(财决公开04表)'!$K$8,'Z04 财政拨款收入支出决算总表(财决公开04表)'!$K$12,'Z04 财政拨款收入支出决算总表(财决公开04表)'!$K$15,'Z04 财政拨款收入支出决算总表(财决公开04表)'!$K$16,'Z04 财政拨款收入支出决算总表(财决公开04表)'!$K$26)</c:f>
              <c:strCache>
                <c:ptCount val="5"/>
                <c:pt idx="0">
                  <c:v>一般公共服务支出</c:v>
                </c:pt>
                <c:pt idx="1">
                  <c:v>教育支出</c:v>
                </c:pt>
                <c:pt idx="2">
                  <c:v>社会保障和就业支出</c:v>
                </c:pt>
                <c:pt idx="3">
                  <c:v>医疗卫生与计划生育支出</c:v>
                </c:pt>
                <c:pt idx="4">
                  <c:v>住房保障支出</c:v>
                </c:pt>
              </c:strCache>
            </c:strRef>
          </c:cat>
          <c:val>
            <c:numRef>
              <c:f>('Z04 财政拨款收入支出决算总表(财决公开04表)'!$G$8,'Z04 财政拨款收入支出决算总表(财决公开04表)'!$G$12,'Z04 财政拨款收入支出决算总表(财决公开04表)'!$G$15,'Z04 财政拨款收入支出决算总表(财决公开04表)'!$G$16,'Z04 财政拨款收入支出决算总表(财决公开04表)'!$G$26)</c:f>
              <c:numCache>
                <c:formatCode>#,##0.00</c:formatCode>
                <c:ptCount val="5"/>
                <c:pt idx="0">
                  <c:v>526.14</c:v>
                </c:pt>
                <c:pt idx="1">
                  <c:v>0.45</c:v>
                </c:pt>
                <c:pt idx="2">
                  <c:v>2957.78</c:v>
                </c:pt>
                <c:pt idx="3">
                  <c:v>577.33</c:v>
                </c:pt>
                <c:pt idx="4">
                  <c:v>126.65</c:v>
                </c:pt>
              </c:numCache>
            </c:numRef>
          </c:val>
        </c:ser>
        <c:dLbls>
          <c:showLegendKey val="0"/>
          <c:showVal val="1"/>
          <c:showCatName val="0"/>
          <c:showSerName val="0"/>
          <c:showPercent val="0"/>
          <c:showBubbleSize val="0"/>
        </c:dLbls>
      </c:pie3DChart>
    </c:plotArea>
    <c:legend>
      <c:legendPos val="r"/>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609918416871006"/>
          <c:y val="0.150858286874725"/>
          <c:w val="0.366327540778873"/>
          <c:h val="0.698283027121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8b4fc91-aed1-4b8d-b7b6-8897d73beab1}"/>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50</Pages>
  <Words>22317</Words>
  <Characters>24242</Characters>
  <Lines>192</Lines>
  <Paragraphs>54</Paragraphs>
  <TotalTime>0</TotalTime>
  <ScaleCrop>false</ScaleCrop>
  <LinksUpToDate>false</LinksUpToDate>
  <CharactersWithSpaces>24342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不經意的一片阳光</cp:lastModifiedBy>
  <cp:lastPrinted>2019-10-23T02:33:00Z</cp:lastPrinted>
  <dcterms:modified xsi:type="dcterms:W3CDTF">2025-06-24T08:04:40Z</dcterms:modified>
  <dc:title>四川省***</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366A9948B8B74FAD9CD98013693F8EAD</vt:lpwstr>
  </property>
  <property fmtid="{D5CDD505-2E9C-101B-9397-08002B2CF9AE}" pid="4" name="KSOTemplateDocerSaveRecord">
    <vt:lpwstr>eyJoZGlkIjoiZTJiYzZhNTk3Y2FjOWIwMTg5NmZlN2Q3NDAyNjM5YzUiLCJ1c2VySWQiOiI0NDA2Mzk5NTcifQ==</vt:lpwstr>
  </property>
</Properties>
</file>