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3CDC8">
      <w:pPr>
        <w:spacing w:line="600" w:lineRule="exact"/>
        <w:jc w:val="center"/>
        <w:outlineLvl w:val="0"/>
        <w:rPr>
          <w:rFonts w:ascii="方正小标宋简体" w:hAnsi="宋体" w:eastAsia="方正小标宋简体"/>
          <w:color w:val="000000"/>
          <w:sz w:val="72"/>
          <w:szCs w:val="72"/>
        </w:rPr>
      </w:pPr>
      <w:bookmarkStart w:id="0" w:name="_Toc15306267"/>
    </w:p>
    <w:p w14:paraId="0E22411F">
      <w:pPr>
        <w:spacing w:line="600" w:lineRule="exact"/>
        <w:jc w:val="center"/>
        <w:outlineLvl w:val="0"/>
        <w:rPr>
          <w:rFonts w:ascii="方正小标宋简体" w:hAnsi="宋体" w:eastAsia="方正小标宋简体"/>
          <w:color w:val="000000"/>
          <w:sz w:val="72"/>
          <w:szCs w:val="72"/>
        </w:rPr>
      </w:pPr>
    </w:p>
    <w:p w14:paraId="70BEA588">
      <w:pPr>
        <w:spacing w:line="600" w:lineRule="exact"/>
        <w:jc w:val="center"/>
        <w:outlineLvl w:val="0"/>
        <w:rPr>
          <w:rFonts w:ascii="方正小标宋简体" w:hAnsi="宋体" w:eastAsia="方正小标宋简体"/>
          <w:color w:val="000000"/>
          <w:sz w:val="72"/>
          <w:szCs w:val="72"/>
        </w:rPr>
      </w:pPr>
    </w:p>
    <w:p w14:paraId="56D33BEE">
      <w:pPr>
        <w:spacing w:line="600" w:lineRule="exact"/>
        <w:jc w:val="center"/>
        <w:outlineLvl w:val="0"/>
        <w:rPr>
          <w:rFonts w:ascii="方正小标宋简体" w:hAnsi="宋体" w:eastAsia="方正小标宋简体"/>
          <w:color w:val="000000"/>
          <w:sz w:val="72"/>
          <w:szCs w:val="72"/>
        </w:rPr>
      </w:pPr>
    </w:p>
    <w:p w14:paraId="7D8DCB80">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5281B162">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476"/>
      <w:bookmarkStart w:id="8" w:name="_Toc15396598"/>
      <w:bookmarkStart w:id="9" w:name="_Toc15378442"/>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广汉市国有资产监督管理和金融工作局</w:t>
      </w:r>
    </w:p>
    <w:p w14:paraId="5BDF1263">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3A75B664">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1A5C0C1">
      <w:pPr>
        <w:widowControl/>
        <w:jc w:val="center"/>
        <w:rPr>
          <w:rFonts w:ascii="黑体" w:hAnsi="黑体" w:eastAsia="黑体" w:cstheme="minorBidi"/>
          <w:sz w:val="28"/>
          <w:szCs w:val="28"/>
        </w:rPr>
      </w:pPr>
    </w:p>
    <w:p w14:paraId="1FADCF91">
      <w:pPr>
        <w:pStyle w:val="11"/>
      </w:pPr>
      <w:r>
        <w:rPr>
          <w:rFonts w:hint="eastAsia"/>
        </w:rPr>
        <w:t>公开时间：2020年10月29日</w:t>
      </w:r>
    </w:p>
    <w:p w14:paraId="4D790AF5"/>
    <w:p w14:paraId="7339EBA8">
      <w:pPr>
        <w:pStyle w:val="12"/>
        <w:adjustRightInd w:val="0"/>
        <w:snapToGrid w:val="0"/>
        <w:spacing w:line="440" w:lineRule="exact"/>
        <w:ind w:left="0" w:leftChars="0"/>
        <w:jc w:val="left"/>
        <w:rPr>
          <w:b/>
          <w:sz w:val="24"/>
        </w:rPr>
      </w:pPr>
      <w:r>
        <w:rPr>
          <w:rFonts w:hint="eastAsia" w:ascii="仿宋" w:hAnsi="仿宋" w:eastAsia="仿宋"/>
          <w:b/>
          <w:sz w:val="24"/>
          <w:szCs w:val="28"/>
        </w:rPr>
        <w:t>第一部分</w:t>
      </w:r>
      <w:r>
        <w:rPr>
          <w:rFonts w:ascii="仿宋" w:hAnsi="仿宋" w:eastAsia="仿宋"/>
          <w:b/>
          <w:sz w:val="24"/>
          <w:szCs w:val="28"/>
        </w:rPr>
        <w:t xml:space="preserve"> </w:t>
      </w:r>
      <w:r>
        <w:rPr>
          <w:rFonts w:hint="eastAsia" w:ascii="仿宋" w:hAnsi="仿宋" w:eastAsia="仿宋"/>
          <w:b/>
          <w:sz w:val="24"/>
          <w:szCs w:val="28"/>
        </w:rPr>
        <w:t>部门概况</w:t>
      </w:r>
      <w:r>
        <w:rPr>
          <w:b/>
          <w:sz w:val="24"/>
        </w:rPr>
        <w:t>………………………………</w:t>
      </w:r>
      <w:r>
        <w:rPr>
          <w:rFonts w:hint="eastAsia"/>
          <w:b/>
          <w:sz w:val="24"/>
        </w:rPr>
        <w:t>................</w:t>
      </w:r>
      <w:r>
        <w:rPr>
          <w:b/>
          <w:sz w:val="24"/>
        </w:rPr>
        <w:t>………………………</w:t>
      </w:r>
      <w:r>
        <w:rPr>
          <w:rFonts w:hint="eastAsia"/>
          <w:b/>
          <w:sz w:val="24"/>
        </w:rPr>
        <w:t>.4</w:t>
      </w:r>
    </w:p>
    <w:p w14:paraId="4CAF4ADD">
      <w:pPr>
        <w:pStyle w:val="12"/>
        <w:adjustRightInd w:val="0"/>
        <w:snapToGrid w:val="0"/>
        <w:spacing w:line="440" w:lineRule="exact"/>
        <w:jc w:val="left"/>
        <w:rPr>
          <w:sz w:val="24"/>
        </w:rPr>
      </w:pPr>
      <w:r>
        <w:rPr>
          <w:rFonts w:hint="eastAsia"/>
          <w:sz w:val="24"/>
        </w:rPr>
        <w:t>一、基本职能及主要工作</w:t>
      </w:r>
      <w:r>
        <w:rPr>
          <w:sz w:val="24"/>
        </w:rPr>
        <w:t>………………………………………………………</w:t>
      </w:r>
      <w:r>
        <w:rPr>
          <w:rFonts w:hint="eastAsia"/>
          <w:sz w:val="24"/>
        </w:rPr>
        <w:t>.4</w:t>
      </w:r>
    </w:p>
    <w:p w14:paraId="6057A224">
      <w:pPr>
        <w:pStyle w:val="12"/>
        <w:adjustRightInd w:val="0"/>
        <w:snapToGrid w:val="0"/>
        <w:spacing w:line="440" w:lineRule="exact"/>
        <w:jc w:val="left"/>
        <w:rPr>
          <w:rFonts w:ascii="仿宋" w:hAnsi="仿宋" w:eastAsia="仿宋" w:cstheme="minorBidi"/>
          <w:sz w:val="24"/>
        </w:rPr>
      </w:pPr>
      <w:r>
        <w:rPr>
          <w:rFonts w:hint="eastAsia"/>
          <w:sz w:val="24"/>
        </w:rPr>
        <w:t>二、机构设置</w:t>
      </w:r>
      <w:r>
        <w:rPr>
          <w:sz w:val="24"/>
        </w:rPr>
        <w:t>……………………………………………………………………</w:t>
      </w:r>
      <w:r>
        <w:rPr>
          <w:rFonts w:hint="eastAsia"/>
          <w:sz w:val="24"/>
        </w:rPr>
        <w:t>.6</w:t>
      </w:r>
    </w:p>
    <w:p w14:paraId="4A685316">
      <w:pPr>
        <w:pStyle w:val="12"/>
        <w:adjustRightInd w:val="0"/>
        <w:snapToGrid w:val="0"/>
        <w:spacing w:line="440" w:lineRule="exact"/>
        <w:ind w:left="0" w:leftChars="0"/>
        <w:jc w:val="left"/>
        <w:rPr>
          <w:rFonts w:ascii="仿宋" w:hAnsi="仿宋" w:eastAsia="仿宋" w:cstheme="minorBidi"/>
          <w:b/>
          <w:sz w:val="24"/>
        </w:rPr>
      </w:pPr>
      <w:r>
        <w:rPr>
          <w:rFonts w:hint="eastAsia" w:ascii="仿宋" w:hAnsi="仿宋" w:eastAsia="仿宋"/>
          <w:b/>
          <w:sz w:val="24"/>
          <w:szCs w:val="28"/>
        </w:rPr>
        <w:t>第二部分 部门决算情况说明</w:t>
      </w:r>
      <w:r>
        <w:rPr>
          <w:b/>
          <w:sz w:val="24"/>
        </w:rPr>
        <w:t>………………………</w:t>
      </w:r>
      <w:r>
        <w:rPr>
          <w:rFonts w:hint="eastAsia"/>
          <w:b/>
          <w:sz w:val="24"/>
        </w:rPr>
        <w:t>.............</w:t>
      </w:r>
      <w:r>
        <w:rPr>
          <w:b/>
          <w:sz w:val="24"/>
        </w:rPr>
        <w:t>……………………</w:t>
      </w:r>
      <w:r>
        <w:rPr>
          <w:rFonts w:hint="eastAsia"/>
          <w:b/>
          <w:sz w:val="24"/>
        </w:rPr>
        <w:t>....7</w:t>
      </w:r>
    </w:p>
    <w:p w14:paraId="42974949">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sz w:val="24"/>
        </w:rPr>
        <w:t>………………………………………………</w:t>
      </w:r>
      <w:r>
        <w:rPr>
          <w:rFonts w:hint="eastAsia"/>
          <w:sz w:val="24"/>
        </w:rPr>
        <w:t>.7</w:t>
      </w:r>
    </w:p>
    <w:p w14:paraId="42AB5C6A">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sz w:val="24"/>
        </w:rPr>
        <w:t>…………………………………………………………</w:t>
      </w:r>
      <w:r>
        <w:rPr>
          <w:rFonts w:hint="eastAsia"/>
          <w:sz w:val="24"/>
        </w:rPr>
        <w:t>.7</w:t>
      </w:r>
    </w:p>
    <w:p w14:paraId="161E8C42">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sz w:val="24"/>
        </w:rPr>
        <w:t>…………………………………………………………</w:t>
      </w:r>
      <w:r>
        <w:rPr>
          <w:rFonts w:hint="eastAsia"/>
          <w:sz w:val="24"/>
        </w:rPr>
        <w:t>.7</w:t>
      </w:r>
    </w:p>
    <w:p w14:paraId="10234E82">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sz w:val="24"/>
        </w:rPr>
        <w:t>……………………………………</w:t>
      </w:r>
      <w:r>
        <w:rPr>
          <w:rFonts w:hint="eastAsia"/>
          <w:sz w:val="24"/>
        </w:rPr>
        <w:t>.7</w:t>
      </w:r>
    </w:p>
    <w:p w14:paraId="7AB0098C">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sz w:val="24"/>
        </w:rPr>
        <w:t>………………………………</w:t>
      </w:r>
      <w:r>
        <w:rPr>
          <w:rFonts w:hint="eastAsia"/>
          <w:sz w:val="24"/>
        </w:rPr>
        <w:t>.7</w:t>
      </w:r>
    </w:p>
    <w:p w14:paraId="4E39C222">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sz w:val="24"/>
        </w:rPr>
        <w:t>…………………………</w:t>
      </w:r>
      <w:r>
        <w:rPr>
          <w:rFonts w:hint="eastAsia"/>
          <w:sz w:val="24"/>
        </w:rPr>
        <w:t>.9</w:t>
      </w:r>
    </w:p>
    <w:p w14:paraId="1133830B">
      <w:pPr>
        <w:pStyle w:val="12"/>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r>
        <w:rPr>
          <w:sz w:val="24"/>
        </w:rPr>
        <w:t>………………………………</w:t>
      </w:r>
      <w:r>
        <w:rPr>
          <w:rFonts w:hint="eastAsia"/>
          <w:sz w:val="24"/>
        </w:rPr>
        <w:t>...9</w:t>
      </w:r>
    </w:p>
    <w:p w14:paraId="5D0490F3">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sz w:val="24"/>
        </w:rPr>
        <w:t>………………………………………</w:t>
      </w:r>
      <w:r>
        <w:rPr>
          <w:rFonts w:hint="eastAsia"/>
          <w:sz w:val="24"/>
        </w:rPr>
        <w:t>.9</w:t>
      </w:r>
    </w:p>
    <w:p w14:paraId="0B570E5E">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r>
        <w:rPr>
          <w:sz w:val="24"/>
        </w:rPr>
        <w:t>…………………………………</w:t>
      </w:r>
      <w:r>
        <w:rPr>
          <w:rFonts w:hint="eastAsia"/>
          <w:sz w:val="24"/>
        </w:rPr>
        <w:t>...9</w:t>
      </w:r>
    </w:p>
    <w:p w14:paraId="6130177B">
      <w:pPr>
        <w:adjustRightInd w:val="0"/>
        <w:snapToGrid w:val="0"/>
        <w:spacing w:line="440" w:lineRule="exact"/>
        <w:ind w:firstLine="480" w:firstLineChars="200"/>
        <w:jc w:val="left"/>
        <w:rPr>
          <w:rFonts w:ascii="仿宋" w:hAnsi="仿宋" w:eastAsia="仿宋" w:cstheme="minorBidi"/>
          <w:b/>
          <w:sz w:val="24"/>
        </w:rPr>
      </w:pPr>
      <w:r>
        <w:rPr>
          <w:rStyle w:val="18"/>
          <w:rFonts w:hint="eastAsia" w:ascii="仿宋" w:hAnsi="仿宋" w:eastAsia="仿宋"/>
          <w:color w:val="000000" w:themeColor="text1"/>
          <w:sz w:val="24"/>
          <w:u w:val="none"/>
        </w:rPr>
        <w:t>十、</w:t>
      </w:r>
      <w:r>
        <w:rPr>
          <w:rFonts w:hint="eastAsia"/>
          <w:sz w:val="24"/>
        </w:rPr>
        <w:t>其他重要事项的情况说明</w:t>
      </w:r>
      <w:r>
        <w:rPr>
          <w:sz w:val="24"/>
        </w:rPr>
        <w:t>………………………………………………</w:t>
      </w:r>
      <w:r>
        <w:rPr>
          <w:rFonts w:hint="eastAsia"/>
          <w:sz w:val="24"/>
        </w:rPr>
        <w:t>....9</w:t>
      </w:r>
      <w:r>
        <w:rPr>
          <w:rFonts w:hint="eastAsia" w:ascii="仿宋" w:hAnsi="仿宋" w:eastAsia="仿宋"/>
          <w:b/>
          <w:sz w:val="24"/>
          <w:szCs w:val="28"/>
        </w:rPr>
        <w:t>第三部分</w:t>
      </w:r>
      <w:r>
        <w:rPr>
          <w:rFonts w:ascii="仿宋" w:hAnsi="仿宋" w:eastAsia="仿宋"/>
          <w:b/>
          <w:sz w:val="24"/>
          <w:szCs w:val="28"/>
        </w:rPr>
        <w:t xml:space="preserve"> </w:t>
      </w:r>
      <w:r>
        <w:rPr>
          <w:rFonts w:hint="eastAsia" w:ascii="仿宋" w:hAnsi="仿宋" w:eastAsia="仿宋"/>
          <w:b/>
          <w:sz w:val="24"/>
          <w:szCs w:val="28"/>
        </w:rPr>
        <w:t>名词解释</w:t>
      </w:r>
      <w:r>
        <w:rPr>
          <w:b/>
          <w:sz w:val="24"/>
        </w:rPr>
        <w:t>………………………………………………………………</w:t>
      </w:r>
      <w:r>
        <w:rPr>
          <w:rFonts w:hint="eastAsia"/>
          <w:b/>
          <w:sz w:val="24"/>
        </w:rPr>
        <w:t>....11</w:t>
      </w:r>
    </w:p>
    <w:p w14:paraId="1ACA0D74">
      <w:pPr>
        <w:adjustRightInd w:val="0"/>
        <w:snapToGrid w:val="0"/>
        <w:spacing w:line="440" w:lineRule="exact"/>
        <w:jc w:val="left"/>
        <w:rPr>
          <w:rFonts w:ascii="仿宋" w:hAnsi="仿宋" w:eastAsia="仿宋" w:cstheme="minorBidi"/>
          <w:b/>
          <w:sz w:val="24"/>
        </w:rPr>
      </w:pPr>
      <w:r>
        <w:rPr>
          <w:rFonts w:hint="eastAsia" w:ascii="仿宋" w:hAnsi="仿宋" w:eastAsia="仿宋"/>
          <w:b/>
          <w:sz w:val="24"/>
          <w:szCs w:val="28"/>
        </w:rPr>
        <w:t>第四部分</w:t>
      </w:r>
      <w:r>
        <w:rPr>
          <w:rFonts w:ascii="仿宋" w:hAnsi="仿宋" w:eastAsia="仿宋"/>
          <w:b/>
          <w:sz w:val="24"/>
          <w:szCs w:val="28"/>
        </w:rPr>
        <w:t xml:space="preserve"> </w:t>
      </w:r>
      <w:r>
        <w:rPr>
          <w:rFonts w:hint="eastAsia" w:ascii="仿宋" w:hAnsi="仿宋" w:eastAsia="仿宋"/>
          <w:b/>
          <w:sz w:val="24"/>
          <w:szCs w:val="28"/>
        </w:rPr>
        <w:t>附件</w:t>
      </w:r>
      <w:r>
        <w:rPr>
          <w:b/>
          <w:sz w:val="24"/>
        </w:rPr>
        <w:t>………………………………………………………………</w:t>
      </w:r>
      <w:r>
        <w:rPr>
          <w:rFonts w:hint="eastAsia"/>
          <w:b/>
          <w:sz w:val="24"/>
        </w:rPr>
        <w:t>............14</w:t>
      </w:r>
    </w:p>
    <w:p w14:paraId="56B57CD1">
      <w:pPr>
        <w:adjustRightInd w:val="0"/>
        <w:snapToGrid w:val="0"/>
        <w:spacing w:line="440" w:lineRule="exact"/>
        <w:ind w:firstLine="480" w:firstLineChars="200"/>
        <w:jc w:val="left"/>
        <w:rPr>
          <w:rFonts w:ascii="仿宋" w:hAnsi="仿宋" w:eastAsia="仿宋" w:cstheme="minorBidi"/>
          <w:sz w:val="24"/>
        </w:rPr>
      </w:pPr>
      <w:r>
        <w:rPr>
          <w:rFonts w:hint="eastAsia"/>
          <w:sz w:val="24"/>
        </w:rPr>
        <w:t>附件</w:t>
      </w:r>
      <w:r>
        <w:rPr>
          <w:sz w:val="24"/>
        </w:rPr>
        <w:t>1………………………………………………………………</w:t>
      </w:r>
      <w:r>
        <w:rPr>
          <w:rFonts w:hint="eastAsia"/>
          <w:sz w:val="24"/>
        </w:rPr>
        <w:t>...................14</w:t>
      </w:r>
    </w:p>
    <w:p w14:paraId="3FD82659">
      <w:pPr>
        <w:pStyle w:val="11"/>
        <w:adjustRightInd w:val="0"/>
        <w:snapToGrid w:val="0"/>
        <w:spacing w:before="0" w:line="440" w:lineRule="exact"/>
        <w:jc w:val="left"/>
        <w:rPr>
          <w:rFonts w:ascii="Times New Roman" w:hAnsi="Times New Roman" w:eastAsia="宋体"/>
          <w:b/>
          <w:sz w:val="24"/>
          <w:szCs w:val="24"/>
        </w:rPr>
      </w:pPr>
      <w:r>
        <w:rPr>
          <w:rFonts w:hint="eastAsia"/>
          <w:b/>
          <w:sz w:val="24"/>
        </w:rPr>
        <w:t>第五部分</w:t>
      </w:r>
      <w:r>
        <w:rPr>
          <w:b/>
          <w:sz w:val="24"/>
        </w:rPr>
        <w:t xml:space="preserve"> </w:t>
      </w:r>
      <w:r>
        <w:rPr>
          <w:rFonts w:hint="eastAsia"/>
          <w:b/>
          <w:sz w:val="24"/>
        </w:rPr>
        <w:t>附表</w:t>
      </w:r>
      <w:r>
        <w:rPr>
          <w:rFonts w:hint="eastAsia" w:ascii="Times New Roman" w:hAnsi="Times New Roman" w:eastAsia="宋体"/>
          <w:b/>
          <w:sz w:val="24"/>
          <w:szCs w:val="24"/>
        </w:rPr>
        <w:t>............................................................................................................18</w:t>
      </w:r>
    </w:p>
    <w:p w14:paraId="3641A897">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14:paraId="0A530789">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14:paraId="7FB0EA24">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14:paraId="33DB6DC1">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14:paraId="42D658A4">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14:paraId="5E0D2C64">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14:paraId="7FB3C6A5">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14:paraId="040E65FC">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14:paraId="61B6FFEC">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14:paraId="5EC3CFE4">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14:paraId="5638E349">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14:paraId="1E7ABDA7">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14:paraId="5E440E62">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14:paraId="4D72AAA9">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6B91C173">
      <w:pPr>
        <w:pStyle w:val="2"/>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14:paraId="76A62572">
      <w:pPr>
        <w:widowControl/>
        <w:jc w:val="left"/>
        <w:rPr>
          <w:rFonts w:ascii="黑体" w:eastAsia="黑体"/>
          <w:color w:val="000000"/>
          <w:sz w:val="32"/>
          <w:szCs w:val="32"/>
        </w:rPr>
      </w:pPr>
    </w:p>
    <w:p w14:paraId="68B5A0A1">
      <w:pPr>
        <w:pStyle w:val="3"/>
        <w:spacing w:before="0" w:after="0" w:line="600" w:lineRule="exact"/>
        <w:ind w:firstLine="800" w:firstLineChars="250"/>
        <w:rPr>
          <w:rStyle w:val="28"/>
          <w:rFonts w:ascii="黑体" w:hAnsi="黑体" w:eastAsia="黑体"/>
          <w:b w:val="0"/>
          <w:bCs w:val="0"/>
        </w:rPr>
      </w:pPr>
      <w:bookmarkStart w:id="14" w:name="_Toc15396600"/>
      <w:bookmarkStart w:id="15" w:name="_Toc15377197"/>
      <w:r>
        <w:rPr>
          <w:rFonts w:hint="eastAsia" w:ascii="黑体" w:hAnsi="黑体" w:eastAsia="黑体"/>
          <w:b w:val="0"/>
        </w:rPr>
        <w:t>一、基</w:t>
      </w:r>
      <w:r>
        <w:rPr>
          <w:rStyle w:val="28"/>
          <w:rFonts w:hint="eastAsia" w:ascii="黑体" w:hAnsi="黑体" w:eastAsia="黑体"/>
          <w:b w:val="0"/>
          <w:bCs w:val="0"/>
        </w:rPr>
        <w:t>本职能及主要工作</w:t>
      </w:r>
      <w:bookmarkEnd w:id="14"/>
      <w:bookmarkEnd w:id="15"/>
      <w:bookmarkStart w:id="16" w:name="_Toc15377198"/>
      <w:bookmarkStart w:id="17" w:name="_Toc15378445"/>
    </w:p>
    <w:bookmarkEnd w:id="16"/>
    <w:bookmarkEnd w:id="17"/>
    <w:p w14:paraId="6780AD21">
      <w:pPr>
        <w:snapToGrid w:val="0"/>
        <w:spacing w:line="600" w:lineRule="exact"/>
        <w:ind w:firstLine="630" w:firstLineChars="196"/>
        <w:rPr>
          <w:rFonts w:ascii="楷体" w:hAnsi="楷体" w:eastAsia="楷体"/>
          <w:b/>
          <w:sz w:val="32"/>
          <w:szCs w:val="32"/>
        </w:rPr>
      </w:pPr>
      <w:r>
        <w:rPr>
          <w:rFonts w:hint="eastAsia" w:ascii="楷体" w:hAnsi="楷体" w:eastAsia="楷体"/>
          <w:b/>
          <w:sz w:val="32"/>
          <w:szCs w:val="32"/>
        </w:rPr>
        <w:t>（一）主要职能</w:t>
      </w:r>
    </w:p>
    <w:p w14:paraId="379C9378">
      <w:pPr>
        <w:pStyle w:val="13"/>
        <w:shd w:val="clear" w:color="auto" w:fill="FFFFFF"/>
        <w:spacing w:before="0" w:beforeAutospacing="0" w:after="0" w:afterAutospacing="0" w:line="600" w:lineRule="exact"/>
        <w:ind w:firstLine="800" w:firstLineChars="250"/>
        <w:rPr>
          <w:rFonts w:ascii="仿宋_GB2312" w:hAnsi="仿宋" w:eastAsia="仿宋_GB2312" w:cs="Times New Roman"/>
          <w:bCs/>
          <w:sz w:val="32"/>
          <w:szCs w:val="32"/>
        </w:rPr>
      </w:pPr>
      <w:r>
        <w:rPr>
          <w:rFonts w:hint="eastAsia" w:ascii="仿宋_GB2312" w:hAnsi="仿宋" w:eastAsia="仿宋_GB2312" w:cs="Times New Roman"/>
          <w:bCs/>
          <w:sz w:val="32"/>
          <w:szCs w:val="32"/>
        </w:rPr>
        <w:t>1、根据市政府授权，依照《中华人民共和国公司法》、《中华人民共和国企业国有资产法》等法律和行政法规，代表市政府对授权监管企业履行出资人职责，包括资产监管、班子建设和重大事项监管。</w:t>
      </w:r>
    </w:p>
    <w:p w14:paraId="1B65A1B2">
      <w:pPr>
        <w:pStyle w:val="13"/>
        <w:shd w:val="clear" w:color="auto" w:fill="FFFFFF"/>
        <w:spacing w:before="0" w:beforeAutospacing="0" w:after="0" w:afterAutospacing="0"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2、推进国有企业改革和重组，推进国有企业的现代企业制度建设，完善公司治理结构，加快国有经济布局和结构调整。</w:t>
      </w:r>
    </w:p>
    <w:p w14:paraId="2273A27E">
      <w:pPr>
        <w:pStyle w:val="13"/>
        <w:shd w:val="clear" w:color="auto" w:fill="FFFFFF"/>
        <w:spacing w:before="0" w:beforeAutospacing="0" w:after="0" w:afterAutospacing="0"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3、推动各类金融机构为全市经济社会发展服务，参与全市投融资体制改革工作。推动我市金融统计体系建设。参与研究制定引导社会融资发展的政策措施，参与研究拟订政府重大项目融资方案。引导金融机构创新服务产品，扩大服务范围，延伸服务领域，提升服务效率。</w:t>
      </w:r>
    </w:p>
    <w:p w14:paraId="04DDE7B0">
      <w:pPr>
        <w:pStyle w:val="13"/>
        <w:shd w:val="clear" w:color="auto" w:fill="FFFFFF"/>
        <w:spacing w:before="0" w:beforeAutospacing="0" w:after="0" w:afterAutospacing="0"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4、贯彻执行金融法律、法规、规章和政策,研究分析全市金融运行情况。会同有关部门拟订我市金融政策措施。拟订全市金融业发展的中长期规划并组织实施。</w:t>
      </w:r>
    </w:p>
    <w:p w14:paraId="3DEDCB19">
      <w:pPr>
        <w:pStyle w:val="13"/>
        <w:shd w:val="clear" w:color="auto" w:fill="FFFFFF"/>
        <w:spacing w:before="0" w:beforeAutospacing="0" w:after="0" w:afterAutospacing="0"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5、统筹、协调推进全市金融业服务实体经济、防控金融风险、深化金融改革。推动政府与金融机构合作。加强金融对外合作交流。</w:t>
      </w:r>
    </w:p>
    <w:p w14:paraId="1A0536A0">
      <w:pPr>
        <w:pStyle w:val="13"/>
        <w:shd w:val="clear" w:color="auto" w:fill="FFFFFF"/>
        <w:spacing w:before="0" w:beforeAutospacing="0" w:after="0" w:afterAutospacing="0" w:line="60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6、维护地方金融秩序。会同有关部门防范、化解和处置地方金融风险。负责全市打击和处置非法集资工作领导小组办公室日常工作，协调配合有关部门打击其他非法金融活动，协调推进全市地方金融风险监测预警与应急处置机制建设。</w:t>
      </w:r>
    </w:p>
    <w:p w14:paraId="20FCE5C5">
      <w:pPr>
        <w:snapToGrid w:val="0"/>
        <w:spacing w:line="560" w:lineRule="exact"/>
        <w:ind w:firstLine="630" w:firstLineChars="196"/>
        <w:rPr>
          <w:rFonts w:ascii="楷体" w:hAnsi="楷体" w:eastAsia="楷体"/>
          <w:b/>
          <w:sz w:val="32"/>
          <w:szCs w:val="32"/>
        </w:rPr>
      </w:pPr>
      <w:bookmarkStart w:id="18" w:name="_Toc15396601"/>
      <w:bookmarkStart w:id="19" w:name="_Toc15377200"/>
      <w:r>
        <w:rPr>
          <w:rFonts w:hint="eastAsia" w:ascii="楷体" w:hAnsi="楷体" w:eastAsia="楷体"/>
          <w:b/>
          <w:sz w:val="32"/>
          <w:szCs w:val="32"/>
        </w:rPr>
        <w:t>（二）2019年重点工作完成情况</w:t>
      </w:r>
    </w:p>
    <w:p w14:paraId="3039170E">
      <w:pPr>
        <w:spacing w:line="600" w:lineRule="exact"/>
        <w:ind w:firstLine="643" w:firstLineChars="200"/>
        <w:rPr>
          <w:rFonts w:hint="eastAsia" w:eastAsia="仿宋"/>
          <w:b/>
          <w:bCs/>
          <w:sz w:val="32"/>
          <w:szCs w:val="32"/>
          <w:shd w:val="clear" w:color="auto" w:fill="FFFFFF"/>
        </w:rPr>
      </w:pPr>
      <w:r>
        <w:rPr>
          <w:rFonts w:hint="eastAsia" w:eastAsia="仿宋_GB2312"/>
          <w:b/>
          <w:sz w:val="32"/>
          <w:szCs w:val="32"/>
        </w:rPr>
        <w:t>一、金融工作</w:t>
      </w:r>
    </w:p>
    <w:p w14:paraId="4FBE5D1C">
      <w:pPr>
        <w:spacing w:line="600" w:lineRule="exact"/>
        <w:ind w:firstLine="640" w:firstLineChars="200"/>
        <w:rPr>
          <w:rFonts w:eastAsia="仿宋_GB2312"/>
          <w:sz w:val="32"/>
          <w:szCs w:val="32"/>
        </w:rPr>
      </w:pPr>
      <w:r>
        <w:rPr>
          <w:rFonts w:eastAsia="仿宋_GB2312"/>
          <w:sz w:val="32"/>
          <w:szCs w:val="32"/>
        </w:rPr>
        <w:t>截至2019年11月，我市金融总体运行良好，本外币各项存款余额540.99亿元，比年初增加28.64亿元，增长  5.59% ；本外币各项贷款338.15亿元，比年初增加36.92   亿元，增长12.25%；存贷比62.50%，比年初增长3.71个百分点。存款、贷款规模位居德阳县（市、区）排名第 二 位，其中,人民币各项存款余额为537.00亿元，比年初增加  30.02亿元，增长5.92%；人民币各项贷款331.58亿元，比年初增加33.32亿元，增长11.17%；存贷比61.75%，比年初增长2.92个百分点，按服务业统计人民币存贷款余额   868.58亿元，比去年同期增长9.05%。</w:t>
      </w:r>
    </w:p>
    <w:p w14:paraId="48B19A80">
      <w:pPr>
        <w:spacing w:line="600" w:lineRule="exact"/>
        <w:ind w:firstLine="640"/>
        <w:rPr>
          <w:rFonts w:eastAsia="仿宋_GB2312"/>
          <w:b/>
          <w:sz w:val="32"/>
          <w:szCs w:val="32"/>
        </w:rPr>
      </w:pPr>
      <w:r>
        <w:rPr>
          <w:rFonts w:eastAsia="仿宋_GB2312"/>
          <w:b/>
          <w:sz w:val="32"/>
          <w:szCs w:val="32"/>
        </w:rPr>
        <w:t>（</w:t>
      </w:r>
      <w:r>
        <w:rPr>
          <w:rFonts w:hint="eastAsia" w:eastAsia="仿宋_GB2312"/>
          <w:b/>
          <w:sz w:val="32"/>
          <w:szCs w:val="32"/>
        </w:rPr>
        <w:t>一</w:t>
      </w:r>
      <w:r>
        <w:rPr>
          <w:rFonts w:eastAsia="仿宋_GB2312"/>
          <w:b/>
          <w:sz w:val="32"/>
          <w:szCs w:val="32"/>
        </w:rPr>
        <w:t>）履行依法治市职能，开展普法活动</w:t>
      </w:r>
    </w:p>
    <w:p w14:paraId="09A5E204">
      <w:pPr>
        <w:spacing w:line="600" w:lineRule="exact"/>
        <w:ind w:firstLine="640" w:firstLineChars="200"/>
        <w:rPr>
          <w:rFonts w:eastAsia="仿宋_GB2312"/>
          <w:sz w:val="32"/>
          <w:szCs w:val="32"/>
        </w:rPr>
      </w:pPr>
      <w:r>
        <w:rPr>
          <w:rFonts w:eastAsia="仿宋_GB2312"/>
          <w:sz w:val="32"/>
          <w:szCs w:val="32"/>
        </w:rPr>
        <w:t>1.制定法治宣传教育工作年度计划，面向管理和服务对象、社会公众开展普法活动，利用重要时间节点开展集中宣传，组织各乡镇、各有关部门在市区进行集中宣讲，发放严防非法集资、反金融诈骗、DM单等宣传资料近万份。</w:t>
      </w:r>
    </w:p>
    <w:p w14:paraId="515E46B5">
      <w:pPr>
        <w:spacing w:line="600" w:lineRule="exact"/>
        <w:ind w:firstLine="640" w:firstLineChars="200"/>
        <w:rPr>
          <w:rFonts w:eastAsia="仿宋_GB2312"/>
          <w:sz w:val="32"/>
          <w:szCs w:val="32"/>
        </w:rPr>
      </w:pPr>
      <w:r>
        <w:rPr>
          <w:rFonts w:eastAsia="仿宋_GB2312"/>
          <w:sz w:val="32"/>
          <w:szCs w:val="32"/>
        </w:rPr>
        <w:t>2.不断加强学习，落实中央和省、市普法工作的统一部署和要求。加强法治政府建设学习，组织我局领导干部认真学习法治政府建设文件</w:t>
      </w:r>
      <w:r>
        <w:rPr>
          <w:rFonts w:hint="eastAsia" w:eastAsia="仿宋_GB2312"/>
          <w:sz w:val="32"/>
          <w:szCs w:val="32"/>
        </w:rPr>
        <w:t>。</w:t>
      </w:r>
    </w:p>
    <w:p w14:paraId="7F5CE264">
      <w:pPr>
        <w:spacing w:line="600" w:lineRule="exact"/>
        <w:ind w:firstLine="640" w:firstLineChars="200"/>
        <w:rPr>
          <w:rFonts w:eastAsia="仿宋_GB2312"/>
          <w:sz w:val="32"/>
          <w:szCs w:val="32"/>
        </w:rPr>
      </w:pPr>
      <w:r>
        <w:rPr>
          <w:rFonts w:eastAsia="仿宋_GB2312"/>
          <w:sz w:val="32"/>
          <w:szCs w:val="32"/>
        </w:rPr>
        <w:t>3.完善非法集资线索举报制度，深入开展“防范和打击非法集资宣传月”等活动，力促形成社会共治格局。</w:t>
      </w:r>
    </w:p>
    <w:p w14:paraId="76BA258F">
      <w:pPr>
        <w:spacing w:line="600" w:lineRule="exact"/>
        <w:ind w:firstLine="643" w:firstLineChars="200"/>
        <w:rPr>
          <w:rFonts w:eastAsia="仿宋_GB2312"/>
          <w:b/>
          <w:sz w:val="32"/>
          <w:szCs w:val="32"/>
        </w:rPr>
      </w:pPr>
      <w:r>
        <w:rPr>
          <w:rFonts w:eastAsia="仿宋_GB2312"/>
          <w:b/>
          <w:sz w:val="32"/>
          <w:szCs w:val="32"/>
        </w:rPr>
        <w:t>（</w:t>
      </w:r>
      <w:r>
        <w:rPr>
          <w:rFonts w:hint="eastAsia" w:eastAsia="仿宋_GB2312"/>
          <w:b/>
          <w:sz w:val="32"/>
          <w:szCs w:val="32"/>
        </w:rPr>
        <w:t>二</w:t>
      </w:r>
      <w:r>
        <w:rPr>
          <w:rFonts w:eastAsia="仿宋_GB2312"/>
          <w:b/>
          <w:sz w:val="32"/>
          <w:szCs w:val="32"/>
        </w:rPr>
        <w:t>）加强政金企沟通，推动企业多层次融资</w:t>
      </w:r>
    </w:p>
    <w:p w14:paraId="76625647">
      <w:pPr>
        <w:spacing w:line="600" w:lineRule="exact"/>
        <w:ind w:firstLine="640" w:firstLineChars="200"/>
        <w:rPr>
          <w:rFonts w:eastAsia="仿宋_GB2312"/>
          <w:sz w:val="32"/>
          <w:szCs w:val="32"/>
        </w:rPr>
      </w:pPr>
      <w:r>
        <w:rPr>
          <w:rFonts w:eastAsia="仿宋_GB2312"/>
          <w:sz w:val="32"/>
          <w:szCs w:val="32"/>
        </w:rPr>
        <w:t>1.为积极推动政金企的合作，支持地方经济的发展，搭建多种形式的信息沟通平台。采取政金企多方协调会、人大政协提案调研、企业“春风行动”诉求事项申请等多种方式，为企业提供沟通渠道，并切实解决发展困难。</w:t>
      </w:r>
    </w:p>
    <w:p w14:paraId="726E54C0">
      <w:pPr>
        <w:spacing w:line="600" w:lineRule="exact"/>
        <w:ind w:firstLine="640" w:firstLineChars="200"/>
        <w:rPr>
          <w:rFonts w:eastAsia="仿宋_GB2312"/>
          <w:sz w:val="32"/>
          <w:szCs w:val="32"/>
        </w:rPr>
      </w:pPr>
      <w:r>
        <w:rPr>
          <w:rFonts w:eastAsia="仿宋_GB2312"/>
          <w:sz w:val="32"/>
          <w:szCs w:val="32"/>
        </w:rPr>
        <w:t>2.开展金融精准扶贫工作。推进建档立卡贫困户扶贫小额信贷发放，完成对辖内所有建档立卡贫困户的评级授信工作，累计向404户建档立卡贫困户发放扶贫小额贷款    1654万元，累放户数较年初增加16户，累计余额较年初增加102万元，贷款加权平均利率为 4.35%。</w:t>
      </w:r>
    </w:p>
    <w:p w14:paraId="1DCB4B6F">
      <w:pPr>
        <w:spacing w:line="600" w:lineRule="exact"/>
        <w:ind w:firstLine="640" w:firstLineChars="200"/>
        <w:rPr>
          <w:rFonts w:eastAsia="仿宋_GB2312"/>
          <w:sz w:val="32"/>
          <w:szCs w:val="32"/>
        </w:rPr>
      </w:pPr>
      <w:r>
        <w:rPr>
          <w:rFonts w:eastAsia="仿宋_GB2312"/>
          <w:sz w:val="32"/>
          <w:szCs w:val="32"/>
        </w:rPr>
        <w:t>3.推动企业通过中小板、创业板、全国中小企业股份转让系统和区域性股权交易中心等多层次资本市场直接融资。</w:t>
      </w:r>
    </w:p>
    <w:p w14:paraId="6F0650D4">
      <w:pPr>
        <w:spacing w:line="600" w:lineRule="exact"/>
        <w:ind w:firstLine="640"/>
        <w:rPr>
          <w:rFonts w:eastAsia="仿宋_GB2312"/>
          <w:b/>
          <w:sz w:val="32"/>
          <w:szCs w:val="32"/>
        </w:rPr>
      </w:pPr>
      <w:r>
        <w:rPr>
          <w:rFonts w:eastAsia="仿宋_GB2312"/>
          <w:b/>
          <w:sz w:val="32"/>
          <w:szCs w:val="32"/>
        </w:rPr>
        <w:t>（</w:t>
      </w:r>
      <w:r>
        <w:rPr>
          <w:rFonts w:hint="eastAsia" w:eastAsia="仿宋_GB2312"/>
          <w:b/>
          <w:sz w:val="32"/>
          <w:szCs w:val="32"/>
        </w:rPr>
        <w:t>三</w:t>
      </w:r>
      <w:r>
        <w:rPr>
          <w:rFonts w:eastAsia="仿宋_GB2312"/>
          <w:b/>
          <w:sz w:val="32"/>
          <w:szCs w:val="32"/>
        </w:rPr>
        <w:t>）维护金融环境，稳定金融秩序</w:t>
      </w:r>
    </w:p>
    <w:p w14:paraId="2452431E">
      <w:pPr>
        <w:spacing w:line="600" w:lineRule="exact"/>
        <w:ind w:firstLine="640" w:firstLineChars="200"/>
        <w:jc w:val="left"/>
        <w:rPr>
          <w:rFonts w:eastAsia="仿宋_GB2312"/>
          <w:sz w:val="32"/>
          <w:szCs w:val="32"/>
        </w:rPr>
      </w:pPr>
      <w:r>
        <w:rPr>
          <w:rFonts w:eastAsia="仿宋_GB2312"/>
          <w:sz w:val="32"/>
          <w:szCs w:val="32"/>
        </w:rPr>
        <w:t>1.深入开展互联网金融风险整治工作，切实做好涉金融领域维稳工作。对互联网金融风险专项整治，我市重点对校园网贷等P2P业务及虚拟货币进行了清理整治。5月23日在中国民用航空飞行学院开展了《2019年金融知识进校园》和《2019年“中国银行杯”征信知识辩论赛》活动。</w:t>
      </w:r>
    </w:p>
    <w:p w14:paraId="247CE1E3">
      <w:pPr>
        <w:spacing w:line="600" w:lineRule="exact"/>
        <w:ind w:firstLine="640"/>
        <w:rPr>
          <w:rFonts w:eastAsia="仿宋_GB2312"/>
          <w:sz w:val="32"/>
          <w:szCs w:val="32"/>
        </w:rPr>
      </w:pPr>
      <w:r>
        <w:rPr>
          <w:rFonts w:eastAsia="仿宋_GB2312"/>
          <w:sz w:val="32"/>
          <w:szCs w:val="32"/>
        </w:rPr>
        <w:t>2. 5月15日我市处非办会同人行、银监、公安局、各金融机构等部门集中开展防范和处置非法集资宣传活动。活动以“自觉抵制非法集资 共建平安广汉”为主题，实现了17个乡镇及雒城镇18个社区的全覆盖</w:t>
      </w:r>
      <w:r>
        <w:rPr>
          <w:rFonts w:hint="eastAsia" w:eastAsia="仿宋_GB2312"/>
          <w:sz w:val="32"/>
          <w:szCs w:val="32"/>
        </w:rPr>
        <w:t>。</w:t>
      </w:r>
    </w:p>
    <w:p w14:paraId="3D9F8E75">
      <w:pPr>
        <w:spacing w:line="600" w:lineRule="exact"/>
        <w:ind w:firstLine="640" w:firstLineChars="200"/>
        <w:rPr>
          <w:rFonts w:eastAsia="仿宋_GB2312"/>
          <w:sz w:val="32"/>
          <w:szCs w:val="32"/>
        </w:rPr>
      </w:pPr>
      <w:r>
        <w:rPr>
          <w:rFonts w:eastAsia="仿宋_GB2312"/>
          <w:sz w:val="32"/>
          <w:szCs w:val="32"/>
        </w:rPr>
        <w:t>3.加强处非工作长效机制建设。根据国家、省有关做好防范和处置非法集资工作的相关要求，结合我市实际情况，制定并印发了《广汉市非法集资举报奖励暂行办法》（广府办〔2018〕106号）。</w:t>
      </w:r>
    </w:p>
    <w:p w14:paraId="55A60854">
      <w:pPr>
        <w:spacing w:line="600" w:lineRule="exact"/>
        <w:ind w:firstLine="640"/>
        <w:rPr>
          <w:rFonts w:eastAsia="仿宋_GB2312"/>
          <w:b/>
          <w:sz w:val="32"/>
          <w:szCs w:val="32"/>
        </w:rPr>
      </w:pPr>
      <w:r>
        <w:rPr>
          <w:rFonts w:eastAsia="仿宋_GB2312"/>
          <w:b/>
          <w:sz w:val="32"/>
          <w:szCs w:val="32"/>
        </w:rPr>
        <w:t>（</w:t>
      </w:r>
      <w:r>
        <w:rPr>
          <w:rFonts w:hint="eastAsia" w:eastAsia="仿宋_GB2312"/>
          <w:b/>
          <w:sz w:val="32"/>
          <w:szCs w:val="32"/>
        </w:rPr>
        <w:t>四</w:t>
      </w:r>
      <w:r>
        <w:rPr>
          <w:rFonts w:eastAsia="仿宋_GB2312"/>
          <w:b/>
          <w:sz w:val="32"/>
          <w:szCs w:val="32"/>
        </w:rPr>
        <w:t>）提升金企监管和服务水平</w:t>
      </w:r>
    </w:p>
    <w:p w14:paraId="6081FBBA">
      <w:pPr>
        <w:spacing w:line="600" w:lineRule="exact"/>
        <w:ind w:firstLine="640" w:firstLineChars="200"/>
        <w:rPr>
          <w:rFonts w:eastAsia="仿宋_GB2312"/>
          <w:sz w:val="32"/>
          <w:szCs w:val="32"/>
        </w:rPr>
      </w:pPr>
      <w:r>
        <w:rPr>
          <w:rFonts w:eastAsia="仿宋_GB2312"/>
          <w:sz w:val="32"/>
          <w:szCs w:val="32"/>
        </w:rPr>
        <w:t>1.完善金融监管体系。市国资金融局、人行广汉支行、银监办按照职责分工、协同配合，建立完善信息交流平台和工作沟通渠道，形成金融管理与风险防范机制，坚持每季度召开一次金融联席会。</w:t>
      </w:r>
    </w:p>
    <w:p w14:paraId="6AA44C81">
      <w:pPr>
        <w:spacing w:line="600" w:lineRule="exact"/>
        <w:ind w:firstLine="640" w:firstLineChars="200"/>
        <w:rPr>
          <w:rFonts w:eastAsia="仿宋_GB2312"/>
          <w:sz w:val="32"/>
          <w:szCs w:val="32"/>
        </w:rPr>
      </w:pPr>
      <w:r>
        <w:rPr>
          <w:rFonts w:eastAsia="仿宋_GB2312"/>
          <w:sz w:val="32"/>
          <w:szCs w:val="32"/>
        </w:rPr>
        <w:t>2.加强两类公司监管。2019年对两类公司进行了多次专项现场检查和非现场检查。公司完善内部管理机制，均未参与非法集资、非法吸收公众存款活动，实现两类公司依法合规经营，为“三农”、小微企业提供优质、快捷的金融服务。</w:t>
      </w:r>
    </w:p>
    <w:p w14:paraId="06B03BD8">
      <w:pPr>
        <w:widowControl/>
        <w:spacing w:line="600" w:lineRule="exact"/>
        <w:ind w:firstLine="640" w:firstLineChars="200"/>
        <w:jc w:val="left"/>
        <w:rPr>
          <w:rFonts w:hint="eastAsia" w:eastAsia="仿宋_GB2312"/>
          <w:sz w:val="32"/>
          <w:szCs w:val="32"/>
        </w:rPr>
      </w:pPr>
      <w:r>
        <w:rPr>
          <w:rFonts w:eastAsia="仿宋_GB2312"/>
          <w:sz w:val="32"/>
          <w:szCs w:val="32"/>
        </w:rPr>
        <w:t>3.强化财政企业金融互动。2019年我市新推荐24户企业进入德阳市应急转贷专项资金支持企业名单库，1-12月，共有9户企业申请使用应急转贷专项资金4.96亿元。</w:t>
      </w:r>
    </w:p>
    <w:p w14:paraId="491B1077">
      <w:pPr>
        <w:widowControl/>
        <w:spacing w:line="600" w:lineRule="exact"/>
        <w:ind w:firstLine="643" w:firstLineChars="200"/>
        <w:jc w:val="left"/>
        <w:rPr>
          <w:rFonts w:hint="eastAsia" w:eastAsia="仿宋_GB2312"/>
          <w:b/>
          <w:sz w:val="32"/>
          <w:szCs w:val="32"/>
        </w:rPr>
      </w:pPr>
      <w:r>
        <w:rPr>
          <w:rFonts w:hint="eastAsia" w:eastAsia="仿宋_GB2312"/>
          <w:b/>
          <w:sz w:val="32"/>
          <w:szCs w:val="32"/>
        </w:rPr>
        <w:t>二、国资工作</w:t>
      </w:r>
    </w:p>
    <w:p w14:paraId="188D2182">
      <w:pPr>
        <w:widowControl/>
        <w:spacing w:line="600" w:lineRule="exact"/>
        <w:ind w:firstLine="643" w:firstLineChars="200"/>
        <w:jc w:val="left"/>
        <w:rPr>
          <w:rFonts w:eastAsia="仿宋_GB2312"/>
          <w:b/>
          <w:sz w:val="32"/>
          <w:szCs w:val="32"/>
        </w:rPr>
      </w:pPr>
      <w:r>
        <w:rPr>
          <w:rFonts w:eastAsia="仿宋_GB2312"/>
          <w:b/>
          <w:sz w:val="32"/>
          <w:szCs w:val="32"/>
        </w:rPr>
        <w:t>（</w:t>
      </w:r>
      <w:r>
        <w:rPr>
          <w:rFonts w:hint="eastAsia" w:eastAsia="仿宋_GB2312"/>
          <w:b/>
          <w:sz w:val="32"/>
          <w:szCs w:val="32"/>
        </w:rPr>
        <w:t>一</w:t>
      </w:r>
      <w:r>
        <w:rPr>
          <w:rFonts w:eastAsia="仿宋_GB2312"/>
          <w:b/>
          <w:sz w:val="32"/>
          <w:szCs w:val="32"/>
        </w:rPr>
        <w:t>）加强自身和国企组织建设，强化组织保障</w:t>
      </w:r>
    </w:p>
    <w:p w14:paraId="235DC5A3">
      <w:pPr>
        <w:spacing w:line="600" w:lineRule="exact"/>
        <w:ind w:firstLine="640" w:firstLineChars="200"/>
        <w:rPr>
          <w:rFonts w:eastAsia="仿宋_GB2312"/>
          <w:sz w:val="32"/>
          <w:szCs w:val="32"/>
        </w:rPr>
      </w:pPr>
      <w:r>
        <w:rPr>
          <w:rFonts w:eastAsia="仿宋_GB2312"/>
          <w:sz w:val="32"/>
          <w:szCs w:val="32"/>
        </w:rPr>
        <w:t>1.坚决贯彻落实党的基本组织制度，及时成立党组织。我局于5月9日正式成立局机关党支部，选举局机关党支部书记一名</w:t>
      </w:r>
      <w:r>
        <w:rPr>
          <w:rFonts w:hint="eastAsia" w:eastAsia="仿宋_GB2312"/>
          <w:sz w:val="32"/>
          <w:szCs w:val="32"/>
        </w:rPr>
        <w:t>。</w:t>
      </w:r>
      <w:r>
        <w:rPr>
          <w:rFonts w:eastAsia="仿宋_GB2312"/>
          <w:sz w:val="32"/>
          <w:szCs w:val="32"/>
        </w:rPr>
        <w:t>目前，局机关党支部共有党员3名。</w:t>
      </w:r>
    </w:p>
    <w:p w14:paraId="5C1A7DE4">
      <w:pPr>
        <w:spacing w:line="600" w:lineRule="exact"/>
        <w:ind w:firstLine="640" w:firstLineChars="200"/>
        <w:rPr>
          <w:rFonts w:eastAsia="仿宋_GB2312"/>
          <w:sz w:val="32"/>
          <w:szCs w:val="32"/>
        </w:rPr>
      </w:pPr>
      <w:r>
        <w:rPr>
          <w:rFonts w:eastAsia="仿宋_GB2312"/>
          <w:sz w:val="32"/>
          <w:szCs w:val="32"/>
        </w:rPr>
        <w:t>2.加强党的领导。持续深入贯彻落实习近平新时代中国特色社会主义思想和党的十九大精神，始终把政治建设摆在首位，严格落实党建工作责任，引导党员干部进一步增强“四个意识”、坚定“四个自信”、做到“两个维护”。健全机关党组各项制度，配齐配强班子带好队伍，确保党建工作落地落实。</w:t>
      </w:r>
    </w:p>
    <w:p w14:paraId="68BA7A69">
      <w:pPr>
        <w:spacing w:line="600" w:lineRule="exact"/>
        <w:ind w:firstLine="640" w:firstLineChars="200"/>
        <w:rPr>
          <w:rFonts w:hint="eastAsia" w:eastAsia="仿宋_GB2312"/>
          <w:sz w:val="32"/>
          <w:szCs w:val="32"/>
        </w:rPr>
      </w:pPr>
      <w:r>
        <w:rPr>
          <w:rFonts w:eastAsia="仿宋_GB2312"/>
          <w:sz w:val="32"/>
          <w:szCs w:val="32"/>
        </w:rPr>
        <w:t>3.定期开展党组会议、中心组理论学习会议，不断加强政治理论学习。国资金融局</w:t>
      </w:r>
      <w:r>
        <w:rPr>
          <w:rFonts w:hint="eastAsia" w:eastAsia="仿宋_GB2312"/>
          <w:sz w:val="32"/>
          <w:szCs w:val="32"/>
        </w:rPr>
        <w:t>自</w:t>
      </w:r>
      <w:r>
        <w:rPr>
          <w:rFonts w:eastAsia="仿宋_GB2312"/>
          <w:sz w:val="32"/>
          <w:szCs w:val="32"/>
        </w:rPr>
        <w:t>2019年3月正式组建至今，</w:t>
      </w:r>
      <w:r>
        <w:rPr>
          <w:rFonts w:hint="eastAsia" w:eastAsia="仿宋_GB2312"/>
          <w:sz w:val="32"/>
          <w:szCs w:val="32"/>
        </w:rPr>
        <w:t>通过</w:t>
      </w:r>
      <w:r>
        <w:rPr>
          <w:rFonts w:eastAsia="仿宋_GB2312"/>
          <w:sz w:val="32"/>
          <w:szCs w:val="32"/>
        </w:rPr>
        <w:t>党组会议</w:t>
      </w:r>
      <w:r>
        <w:rPr>
          <w:rFonts w:hint="eastAsia" w:eastAsia="仿宋_GB2312"/>
          <w:sz w:val="32"/>
          <w:szCs w:val="32"/>
        </w:rPr>
        <w:t>、</w:t>
      </w:r>
      <w:r>
        <w:rPr>
          <w:rFonts w:eastAsia="仿宋_GB2312"/>
          <w:sz w:val="32"/>
          <w:szCs w:val="32"/>
        </w:rPr>
        <w:t>党组中心组理论学习会议</w:t>
      </w:r>
      <w:r>
        <w:rPr>
          <w:rFonts w:hint="eastAsia" w:eastAsia="仿宋_GB2312"/>
          <w:sz w:val="32"/>
          <w:szCs w:val="32"/>
        </w:rPr>
        <w:t>，</w:t>
      </w:r>
      <w:r>
        <w:rPr>
          <w:rFonts w:eastAsia="仿宋_GB2312"/>
          <w:sz w:val="32"/>
          <w:szCs w:val="32"/>
        </w:rPr>
        <w:t>深入习近平新时代中国特色社会主义思想在内的</w:t>
      </w:r>
      <w:r>
        <w:rPr>
          <w:rFonts w:hint="eastAsia" w:eastAsia="仿宋_GB2312"/>
          <w:sz w:val="32"/>
          <w:szCs w:val="32"/>
        </w:rPr>
        <w:t>各种理论知识和中央、省、市、县各级文件精神</w:t>
      </w:r>
      <w:r>
        <w:rPr>
          <w:rFonts w:eastAsia="仿宋_GB2312"/>
          <w:sz w:val="32"/>
          <w:szCs w:val="32"/>
        </w:rPr>
        <w:t>，强化班子成员理论武装</w:t>
      </w:r>
      <w:r>
        <w:rPr>
          <w:rFonts w:hint="eastAsia" w:eastAsia="仿宋_GB2312"/>
          <w:sz w:val="32"/>
          <w:szCs w:val="32"/>
        </w:rPr>
        <w:t>。</w:t>
      </w:r>
    </w:p>
    <w:p w14:paraId="1C965A5D">
      <w:pPr>
        <w:spacing w:line="600" w:lineRule="exact"/>
        <w:ind w:firstLine="640" w:firstLineChars="200"/>
        <w:rPr>
          <w:rFonts w:hint="eastAsia" w:eastAsia="仿宋_GB2312"/>
          <w:sz w:val="32"/>
          <w:szCs w:val="32"/>
        </w:rPr>
      </w:pPr>
      <w:r>
        <w:rPr>
          <w:rFonts w:hint="eastAsia" w:eastAsia="仿宋_GB2312"/>
          <w:sz w:val="32"/>
          <w:szCs w:val="32"/>
        </w:rPr>
        <w:t>4.督促国有企业主动、积极开展党建工作。中共广汉市广鑫投资发展有限公司党委通过召开党委会，将</w:t>
      </w:r>
      <w:r>
        <w:rPr>
          <w:rFonts w:hint="eastAsia" w:eastAsia="仿宋_GB2312"/>
          <w:sz w:val="32"/>
          <w:szCs w:val="32"/>
          <w:lang w:eastAsia="zh-CN"/>
        </w:rPr>
        <w:t>“</w:t>
      </w:r>
      <w:r>
        <w:rPr>
          <w:rFonts w:hint="eastAsia" w:eastAsia="仿宋_GB2312"/>
          <w:sz w:val="32"/>
          <w:szCs w:val="32"/>
        </w:rPr>
        <w:t>三重一大</w:t>
      </w:r>
      <w:r>
        <w:rPr>
          <w:rFonts w:hint="eastAsia" w:eastAsia="仿宋_GB2312"/>
          <w:sz w:val="32"/>
          <w:szCs w:val="32"/>
          <w:lang w:eastAsia="zh-CN"/>
        </w:rPr>
        <w:t>”</w:t>
      </w:r>
      <w:bookmarkStart w:id="69" w:name="_GoBack"/>
      <w:bookmarkEnd w:id="69"/>
      <w:r>
        <w:rPr>
          <w:rFonts w:hint="eastAsia" w:eastAsia="仿宋_GB2312"/>
          <w:sz w:val="32"/>
          <w:szCs w:val="32"/>
        </w:rPr>
        <w:t>制度贯彻到其公司的人事、投资、项目投建等重大决策的方方面面；开展党委中心组学习会议，进一步加强公司领导班子思想政治建设，进一步提高班子的执政能力和领导水平。</w:t>
      </w:r>
    </w:p>
    <w:p w14:paraId="0FE5AF31">
      <w:pPr>
        <w:pStyle w:val="14"/>
        <w:spacing w:line="600" w:lineRule="exact"/>
        <w:ind w:left="0" w:leftChars="0" w:firstLine="640"/>
        <w:rPr>
          <w:rFonts w:hint="eastAsia" w:eastAsia="仿宋_GB2312"/>
          <w:sz w:val="32"/>
          <w:szCs w:val="32"/>
        </w:rPr>
      </w:pPr>
      <w:r>
        <w:rPr>
          <w:rFonts w:hint="eastAsia" w:eastAsia="仿宋_GB2312"/>
          <w:sz w:val="32"/>
          <w:szCs w:val="32"/>
        </w:rPr>
        <w:t>5.根据《 “不忘初心、牢记使命”主题教育工作方案》，认真落实。按照“坚持把深入调查研究贯穿始终”要求，我局通过在机关内部、市属国有企业基层党组织采取资料查阅、实地考察、个别访谈等方式，提升主题教育宽度、广度、力度，深入推进主题教育认识。</w:t>
      </w:r>
    </w:p>
    <w:p w14:paraId="75E19F80">
      <w:pPr>
        <w:spacing w:line="540" w:lineRule="exact"/>
        <w:ind w:firstLine="640" w:firstLineChars="200"/>
        <w:rPr>
          <w:rFonts w:ascii="方正楷体简体" w:eastAsia="方正楷体简体"/>
          <w:color w:val="000000" w:themeColor="text1"/>
          <w:sz w:val="32"/>
          <w:szCs w:val="32"/>
        </w:rPr>
      </w:pPr>
      <w:r>
        <w:rPr>
          <w:rFonts w:hint="eastAsia" w:ascii="方正楷体简体" w:eastAsia="方正楷体简体"/>
          <w:color w:val="000000" w:themeColor="text1"/>
          <w:sz w:val="32"/>
          <w:szCs w:val="32"/>
        </w:rPr>
        <w:t>（二）为社会经济发展提供有力资金保障</w:t>
      </w:r>
    </w:p>
    <w:p w14:paraId="25890FB8">
      <w:pPr>
        <w:spacing w:line="540" w:lineRule="exact"/>
        <w:ind w:firstLine="640" w:firstLineChars="200"/>
        <w:rPr>
          <w:rFonts w:eastAsia="仿宋_GB2312"/>
          <w:color w:val="000000" w:themeColor="text1"/>
          <w:sz w:val="32"/>
          <w:szCs w:val="32"/>
        </w:rPr>
      </w:pPr>
      <w:r>
        <w:rPr>
          <w:rFonts w:hint="eastAsia" w:eastAsia="仿宋_GB2312"/>
          <w:color w:val="000000" w:themeColor="text1"/>
          <w:sz w:val="32"/>
          <w:szCs w:val="32"/>
        </w:rPr>
        <w:t>2019年</w:t>
      </w:r>
      <w:r>
        <w:rPr>
          <w:rFonts w:eastAsia="仿宋_GB2312"/>
          <w:color w:val="000000" w:themeColor="text1"/>
          <w:sz w:val="32"/>
          <w:szCs w:val="32"/>
        </w:rPr>
        <w:t>，</w:t>
      </w:r>
      <w:r>
        <w:rPr>
          <w:rFonts w:hint="eastAsia" w:eastAsia="仿宋_GB2312"/>
          <w:color w:val="000000" w:themeColor="text1"/>
          <w:sz w:val="32"/>
          <w:szCs w:val="32"/>
        </w:rPr>
        <w:t>市属国有企业广汉市广鑫投资发展有限公司（简称：</w:t>
      </w:r>
      <w:r>
        <w:rPr>
          <w:rFonts w:eastAsia="仿宋_GB2312"/>
          <w:color w:val="000000" w:themeColor="text1"/>
          <w:sz w:val="32"/>
          <w:szCs w:val="32"/>
        </w:rPr>
        <w:t>广鑫发展</w:t>
      </w:r>
      <w:r>
        <w:rPr>
          <w:rFonts w:hint="eastAsia" w:eastAsia="仿宋_GB2312"/>
          <w:color w:val="000000" w:themeColor="text1"/>
          <w:sz w:val="32"/>
          <w:szCs w:val="32"/>
        </w:rPr>
        <w:t>）</w:t>
      </w:r>
      <w:r>
        <w:rPr>
          <w:rFonts w:eastAsia="仿宋_GB2312"/>
          <w:color w:val="000000" w:themeColor="text1"/>
          <w:sz w:val="32"/>
          <w:szCs w:val="32"/>
        </w:rPr>
        <w:t>在抓维护，求创新，拓渠道方面下狠功夫，高度关注政策走向，认真研究融资规则和产品，在巩固已有金融机构良好合作关系的同时积极拓展新的领域, 降低企业融资成本，提高资金使用灵活度，促使资金效益最大化。</w:t>
      </w:r>
    </w:p>
    <w:p w14:paraId="19BD9BC4">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1.融资及还本付息</w:t>
      </w:r>
      <w:r>
        <w:rPr>
          <w:rFonts w:hint="eastAsia" w:eastAsia="仿宋_GB2312"/>
          <w:color w:val="000000" w:themeColor="text1"/>
          <w:sz w:val="32"/>
          <w:szCs w:val="32"/>
        </w:rPr>
        <w:t>。</w:t>
      </w:r>
      <w:r>
        <w:rPr>
          <w:rFonts w:eastAsia="仿宋_GB2312"/>
          <w:color w:val="000000" w:themeColor="text1"/>
          <w:sz w:val="32"/>
          <w:szCs w:val="32"/>
        </w:rPr>
        <w:t>截止12月底，</w:t>
      </w:r>
      <w:r>
        <w:rPr>
          <w:rFonts w:eastAsia="仿宋_GB2312"/>
          <w:bCs/>
          <w:color w:val="000000" w:themeColor="text1"/>
          <w:sz w:val="32"/>
          <w:szCs w:val="32"/>
        </w:rPr>
        <w:t>广鑫发展</w:t>
      </w:r>
      <w:r>
        <w:rPr>
          <w:rFonts w:eastAsia="仿宋_GB2312"/>
          <w:color w:val="000000" w:themeColor="text1"/>
          <w:sz w:val="32"/>
          <w:szCs w:val="32"/>
        </w:rPr>
        <w:t>总计取得各大银行授信额度179,300万元，已提取贷款147,300万元，取得财政专项资金9,200万元；</w:t>
      </w:r>
      <w:r>
        <w:rPr>
          <w:rFonts w:eastAsia="仿宋_GB2312"/>
          <w:bCs/>
          <w:color w:val="000000" w:themeColor="text1"/>
          <w:sz w:val="32"/>
          <w:szCs w:val="32"/>
        </w:rPr>
        <w:t>还本付息共计179,122万元。</w:t>
      </w:r>
    </w:p>
    <w:p w14:paraId="5A942E37">
      <w:pPr>
        <w:spacing w:line="540" w:lineRule="exact"/>
        <w:ind w:firstLine="640" w:firstLineChars="200"/>
        <w:rPr>
          <w:rFonts w:hint="eastAsia" w:eastAsia="仿宋_GB2312"/>
          <w:bCs/>
          <w:color w:val="000000" w:themeColor="text1"/>
          <w:sz w:val="32"/>
          <w:szCs w:val="32"/>
        </w:rPr>
      </w:pPr>
      <w:r>
        <w:rPr>
          <w:rFonts w:eastAsia="仿宋_GB2312"/>
          <w:color w:val="000000" w:themeColor="text1"/>
          <w:sz w:val="32"/>
          <w:szCs w:val="32"/>
        </w:rPr>
        <w:t>2.</w:t>
      </w:r>
      <w:r>
        <w:rPr>
          <w:rFonts w:hint="eastAsia" w:eastAsia="仿宋_GB2312"/>
          <w:bCs/>
          <w:color w:val="000000" w:themeColor="text1"/>
          <w:sz w:val="32"/>
          <w:szCs w:val="32"/>
        </w:rPr>
        <w:t>公司债券</w:t>
      </w:r>
      <w:r>
        <w:rPr>
          <w:rFonts w:eastAsia="仿宋_GB2312"/>
          <w:bCs/>
          <w:color w:val="000000" w:themeColor="text1"/>
          <w:sz w:val="32"/>
          <w:szCs w:val="32"/>
        </w:rPr>
        <w:t>发行及退平台</w:t>
      </w:r>
      <w:r>
        <w:rPr>
          <w:rFonts w:hint="eastAsia" w:eastAsia="仿宋_GB2312"/>
          <w:bCs/>
          <w:color w:val="000000" w:themeColor="text1"/>
          <w:sz w:val="32"/>
          <w:szCs w:val="32"/>
        </w:rPr>
        <w:t>。</w:t>
      </w:r>
      <w:r>
        <w:rPr>
          <w:rFonts w:eastAsia="仿宋_GB2312"/>
          <w:color w:val="000000" w:themeColor="text1"/>
          <w:sz w:val="32"/>
          <w:szCs w:val="32"/>
        </w:rPr>
        <w:t>广鑫发展拟发行企业债15亿元，已进入国家发改委审查环节，</w:t>
      </w:r>
      <w:r>
        <w:rPr>
          <w:rFonts w:hint="eastAsia" w:eastAsia="仿宋_GB2312"/>
          <w:color w:val="000000" w:themeColor="text1"/>
          <w:sz w:val="32"/>
          <w:szCs w:val="32"/>
        </w:rPr>
        <w:t>同时着力</w:t>
      </w:r>
      <w:r>
        <w:rPr>
          <w:rFonts w:eastAsia="仿宋_GB2312"/>
          <w:color w:val="000000" w:themeColor="text1"/>
          <w:sz w:val="32"/>
          <w:szCs w:val="32"/>
        </w:rPr>
        <w:t>推进</w:t>
      </w:r>
      <w:r>
        <w:rPr>
          <w:rFonts w:hint="eastAsia" w:eastAsia="仿宋_GB2312"/>
          <w:color w:val="000000" w:themeColor="text1"/>
          <w:sz w:val="32"/>
          <w:szCs w:val="32"/>
        </w:rPr>
        <w:t>10亿元</w:t>
      </w:r>
      <w:r>
        <w:rPr>
          <w:rFonts w:eastAsia="仿宋_GB2312"/>
          <w:color w:val="000000" w:themeColor="text1"/>
          <w:sz w:val="32"/>
          <w:szCs w:val="32"/>
        </w:rPr>
        <w:t>公司债发行的前期工作</w:t>
      </w:r>
      <w:r>
        <w:rPr>
          <w:rFonts w:hint="eastAsia" w:eastAsia="仿宋_GB2312"/>
          <w:color w:val="000000" w:themeColor="text1"/>
          <w:sz w:val="32"/>
          <w:szCs w:val="32"/>
        </w:rPr>
        <w:t>。</w:t>
      </w:r>
    </w:p>
    <w:p w14:paraId="5381D823">
      <w:pPr>
        <w:spacing w:line="540" w:lineRule="exact"/>
        <w:ind w:firstLine="640" w:firstLineChars="200"/>
        <w:rPr>
          <w:rFonts w:eastAsia="仿宋_GB2312"/>
          <w:bCs/>
          <w:color w:val="000000" w:themeColor="text1"/>
          <w:sz w:val="32"/>
          <w:szCs w:val="32"/>
        </w:rPr>
      </w:pPr>
      <w:r>
        <w:rPr>
          <w:rFonts w:hint="eastAsia" w:eastAsia="仿宋_GB2312"/>
          <w:bCs/>
          <w:color w:val="000000" w:themeColor="text1"/>
          <w:sz w:val="32"/>
          <w:szCs w:val="32"/>
        </w:rPr>
        <w:t>3</w:t>
      </w:r>
      <w:r>
        <w:rPr>
          <w:rFonts w:eastAsia="仿宋_GB2312"/>
          <w:bCs/>
          <w:color w:val="000000" w:themeColor="text1"/>
          <w:sz w:val="32"/>
          <w:szCs w:val="32"/>
        </w:rPr>
        <w:t>.债务化解工作</w:t>
      </w:r>
      <w:r>
        <w:rPr>
          <w:rFonts w:hint="eastAsia" w:eastAsia="仿宋_GB2312"/>
          <w:bCs/>
          <w:color w:val="000000" w:themeColor="text1"/>
          <w:sz w:val="32"/>
          <w:szCs w:val="32"/>
        </w:rPr>
        <w:t>。</w:t>
      </w:r>
      <w:r>
        <w:rPr>
          <w:rFonts w:eastAsia="仿宋_GB2312"/>
          <w:color w:val="000000" w:themeColor="text1"/>
          <w:sz w:val="32"/>
          <w:szCs w:val="32"/>
        </w:rPr>
        <w:t>化解</w:t>
      </w:r>
      <w:r>
        <w:rPr>
          <w:rFonts w:hint="eastAsia" w:eastAsia="仿宋_GB2312"/>
          <w:color w:val="000000" w:themeColor="text1"/>
          <w:sz w:val="32"/>
          <w:szCs w:val="32"/>
        </w:rPr>
        <w:t>地方</w:t>
      </w:r>
      <w:r>
        <w:rPr>
          <w:rFonts w:eastAsia="仿宋_GB2312"/>
          <w:color w:val="000000" w:themeColor="text1"/>
          <w:sz w:val="32"/>
          <w:szCs w:val="32"/>
        </w:rPr>
        <w:t>金融风险。</w:t>
      </w:r>
      <w:r>
        <w:rPr>
          <w:rFonts w:eastAsia="仿宋_GB2312"/>
          <w:bCs/>
          <w:color w:val="000000" w:themeColor="text1"/>
          <w:sz w:val="32"/>
          <w:szCs w:val="32"/>
        </w:rPr>
        <w:t>经公司与长城华西银行</w:t>
      </w:r>
      <w:r>
        <w:rPr>
          <w:rFonts w:hint="eastAsia" w:eastAsia="仿宋_GB2312"/>
          <w:bCs/>
          <w:color w:val="000000" w:themeColor="text1"/>
          <w:sz w:val="32"/>
          <w:szCs w:val="32"/>
        </w:rPr>
        <w:t>、</w:t>
      </w:r>
      <w:r>
        <w:rPr>
          <w:rFonts w:eastAsia="仿宋_GB2312"/>
          <w:bCs/>
          <w:color w:val="000000" w:themeColor="text1"/>
          <w:sz w:val="32"/>
          <w:szCs w:val="32"/>
        </w:rPr>
        <w:t>金广集团等多轮磋商</w:t>
      </w:r>
      <w:r>
        <w:rPr>
          <w:rFonts w:hint="eastAsia" w:eastAsia="仿宋_GB2312"/>
          <w:bCs/>
          <w:color w:val="000000" w:themeColor="text1"/>
          <w:sz w:val="32"/>
          <w:szCs w:val="32"/>
        </w:rPr>
        <w:t>，</w:t>
      </w:r>
      <w:r>
        <w:rPr>
          <w:rFonts w:eastAsia="仿宋_GB2312"/>
          <w:bCs/>
          <w:color w:val="000000" w:themeColor="text1"/>
          <w:sz w:val="32"/>
          <w:szCs w:val="32"/>
        </w:rPr>
        <w:t>确定了通过收回贷款抵押土地</w:t>
      </w:r>
      <w:r>
        <w:rPr>
          <w:rFonts w:hint="eastAsia" w:eastAsia="仿宋_GB2312"/>
          <w:bCs/>
          <w:color w:val="000000" w:themeColor="text1"/>
          <w:sz w:val="32"/>
          <w:szCs w:val="32"/>
        </w:rPr>
        <w:t>等一揽子</w:t>
      </w:r>
      <w:r>
        <w:rPr>
          <w:rFonts w:eastAsia="仿宋_GB2312"/>
          <w:bCs/>
          <w:color w:val="000000" w:themeColor="text1"/>
          <w:sz w:val="32"/>
          <w:szCs w:val="32"/>
        </w:rPr>
        <w:t>解决方案,化解长城华西银行与金广集团的</w:t>
      </w:r>
      <w:r>
        <w:rPr>
          <w:rFonts w:hint="eastAsia" w:eastAsia="仿宋_GB2312"/>
          <w:bCs/>
          <w:color w:val="000000" w:themeColor="text1"/>
          <w:sz w:val="32"/>
          <w:szCs w:val="32"/>
        </w:rPr>
        <w:t>不良</w:t>
      </w:r>
      <w:r>
        <w:rPr>
          <w:rFonts w:eastAsia="仿宋_GB2312"/>
          <w:bCs/>
          <w:color w:val="000000" w:themeColor="text1"/>
          <w:sz w:val="32"/>
          <w:szCs w:val="32"/>
        </w:rPr>
        <w:t>债务7,100万元</w:t>
      </w:r>
      <w:r>
        <w:rPr>
          <w:rFonts w:hint="eastAsia" w:eastAsia="仿宋_GB2312"/>
          <w:bCs/>
          <w:color w:val="000000" w:themeColor="text1"/>
          <w:sz w:val="32"/>
          <w:szCs w:val="32"/>
        </w:rPr>
        <w:t>。</w:t>
      </w:r>
    </w:p>
    <w:p w14:paraId="14F35B7C">
      <w:pPr>
        <w:spacing w:line="540" w:lineRule="exact"/>
        <w:ind w:firstLine="640" w:firstLineChars="200"/>
        <w:rPr>
          <w:rFonts w:ascii="方正楷体简体" w:eastAsia="方正楷体简体"/>
          <w:color w:val="000000" w:themeColor="text1"/>
          <w:sz w:val="32"/>
          <w:szCs w:val="32"/>
        </w:rPr>
      </w:pPr>
      <w:r>
        <w:rPr>
          <w:rFonts w:hint="eastAsia" w:ascii="方正楷体简体" w:eastAsia="方正楷体简体"/>
          <w:color w:val="000000" w:themeColor="text1"/>
          <w:sz w:val="32"/>
          <w:szCs w:val="32"/>
        </w:rPr>
        <w:t>（三）突出“担当精神”，展现实干实力</w:t>
      </w:r>
    </w:p>
    <w:p w14:paraId="10D214C9">
      <w:pPr>
        <w:widowControl/>
        <w:shd w:val="clear" w:color="auto" w:fill="FFFFFF"/>
        <w:spacing w:line="540" w:lineRule="exact"/>
        <w:ind w:firstLine="640" w:firstLineChars="200"/>
        <w:jc w:val="left"/>
        <w:rPr>
          <w:rFonts w:eastAsia="仿宋_GB2312"/>
          <w:color w:val="000000" w:themeColor="text1"/>
          <w:sz w:val="32"/>
          <w:szCs w:val="32"/>
        </w:rPr>
      </w:pPr>
      <w:r>
        <w:rPr>
          <w:rFonts w:hint="eastAsia" w:eastAsia="仿宋_GB2312"/>
          <w:color w:val="000000" w:themeColor="text1"/>
          <w:sz w:val="32"/>
          <w:szCs w:val="32"/>
        </w:rPr>
        <w:t>2019年</w:t>
      </w:r>
      <w:r>
        <w:rPr>
          <w:rFonts w:eastAsia="仿宋_GB2312"/>
          <w:color w:val="000000" w:themeColor="text1"/>
          <w:sz w:val="32"/>
          <w:szCs w:val="32"/>
        </w:rPr>
        <w:t>，广鑫发展承载使命，勇于担当，积极作为，不折不扣的完成了市委、市政府交办的各项任务，为广汉城市规划发展，工业集中发展区建设提供保障。</w:t>
      </w:r>
    </w:p>
    <w:p w14:paraId="26708520">
      <w:pPr>
        <w:spacing w:line="540" w:lineRule="exact"/>
        <w:ind w:firstLine="560"/>
        <w:rPr>
          <w:rFonts w:eastAsia="仿宋_GB2312"/>
          <w:color w:val="000000" w:themeColor="text1"/>
          <w:sz w:val="32"/>
          <w:szCs w:val="32"/>
        </w:rPr>
      </w:pPr>
      <w:r>
        <w:rPr>
          <w:rFonts w:eastAsia="仿宋_GB2312"/>
          <w:color w:val="000000" w:themeColor="text1"/>
          <w:sz w:val="32"/>
          <w:szCs w:val="32"/>
        </w:rPr>
        <w:t>(</w:t>
      </w:r>
      <w:r>
        <w:rPr>
          <w:rFonts w:hint="eastAsia" w:eastAsia="仿宋_GB2312"/>
          <w:color w:val="000000" w:themeColor="text1"/>
          <w:sz w:val="32"/>
          <w:szCs w:val="32"/>
        </w:rPr>
        <w:t>1</w:t>
      </w:r>
      <w:r>
        <w:rPr>
          <w:rFonts w:eastAsia="仿宋_GB2312"/>
          <w:color w:val="000000" w:themeColor="text1"/>
          <w:sz w:val="32"/>
          <w:szCs w:val="32"/>
        </w:rPr>
        <w:t>)第二水厂项目。总投资44,252万元, 项目已取得用地许可证、规划许可证、国土证和选址意见书,正在办理施工许可。项目已取得农发行贷款</w:t>
      </w:r>
      <w:r>
        <w:rPr>
          <w:rFonts w:hint="eastAsia" w:eastAsia="仿宋_GB2312"/>
          <w:color w:val="000000" w:themeColor="text1"/>
          <w:sz w:val="32"/>
          <w:szCs w:val="32"/>
        </w:rPr>
        <w:t>20</w:t>
      </w:r>
      <w:r>
        <w:rPr>
          <w:rFonts w:eastAsia="仿宋_GB2312"/>
          <w:color w:val="000000" w:themeColor="text1"/>
          <w:sz w:val="32"/>
          <w:szCs w:val="32"/>
        </w:rPr>
        <w:t>,</w:t>
      </w:r>
      <w:r>
        <w:rPr>
          <w:rFonts w:hint="eastAsia" w:eastAsia="仿宋_GB2312"/>
          <w:color w:val="000000" w:themeColor="text1"/>
          <w:sz w:val="32"/>
          <w:szCs w:val="32"/>
        </w:rPr>
        <w:t>000万元，</w:t>
      </w:r>
      <w:r>
        <w:rPr>
          <w:rFonts w:eastAsia="仿宋_GB2312"/>
          <w:color w:val="000000" w:themeColor="text1"/>
          <w:sz w:val="32"/>
          <w:szCs w:val="32"/>
        </w:rPr>
        <w:t>省财政厅专项资金9,200万元,公司按项目施工进度已支付各类工程款</w:t>
      </w:r>
      <w:r>
        <w:rPr>
          <w:rFonts w:hint="eastAsia" w:eastAsia="仿宋_GB2312"/>
          <w:color w:val="000000" w:themeColor="text1"/>
          <w:sz w:val="32"/>
          <w:szCs w:val="32"/>
        </w:rPr>
        <w:t>17</w:t>
      </w:r>
      <w:r>
        <w:rPr>
          <w:rFonts w:eastAsia="仿宋_GB2312"/>
          <w:color w:val="000000" w:themeColor="text1"/>
          <w:sz w:val="32"/>
          <w:szCs w:val="32"/>
        </w:rPr>
        <w:t>,</w:t>
      </w:r>
      <w:r>
        <w:rPr>
          <w:rFonts w:hint="eastAsia" w:eastAsia="仿宋_GB2312"/>
          <w:color w:val="000000" w:themeColor="text1"/>
          <w:sz w:val="32"/>
          <w:szCs w:val="32"/>
        </w:rPr>
        <w:t>2</w:t>
      </w:r>
      <w:r>
        <w:rPr>
          <w:rFonts w:eastAsia="仿宋_GB2312"/>
          <w:color w:val="000000" w:themeColor="text1"/>
          <w:sz w:val="32"/>
          <w:szCs w:val="32"/>
        </w:rPr>
        <w:t>00万元,力争在2020年底完成工程建设施工。</w:t>
      </w:r>
    </w:p>
    <w:p w14:paraId="7D358986">
      <w:pPr>
        <w:spacing w:line="540" w:lineRule="exact"/>
        <w:ind w:firstLine="560"/>
        <w:rPr>
          <w:rFonts w:eastAsia="仿宋_GB2312"/>
          <w:color w:val="000000" w:themeColor="text1"/>
          <w:sz w:val="32"/>
          <w:szCs w:val="32"/>
        </w:rPr>
      </w:pPr>
      <w:r>
        <w:rPr>
          <w:rFonts w:eastAsia="仿宋_GB2312"/>
          <w:color w:val="000000" w:themeColor="text1"/>
          <w:sz w:val="32"/>
          <w:szCs w:val="32"/>
        </w:rPr>
        <w:t>(2)新建人民医院、广汉中学迁建工程、精神病医院、连山镇中心卫生院“打捆”项目。总投资228,300万元 ,预计2021年5月交付使用。</w:t>
      </w:r>
    </w:p>
    <w:p w14:paraId="411B1AB1">
      <w:pPr>
        <w:spacing w:line="540" w:lineRule="exact"/>
        <w:ind w:firstLine="560"/>
        <w:rPr>
          <w:rFonts w:eastAsia="仿宋_GB2312"/>
          <w:b/>
          <w:color w:val="000000" w:themeColor="text1"/>
          <w:sz w:val="32"/>
          <w:szCs w:val="32"/>
        </w:rPr>
      </w:pPr>
      <w:r>
        <w:rPr>
          <w:rFonts w:eastAsia="仿宋_GB2312"/>
          <w:color w:val="000000" w:themeColor="text1"/>
          <w:sz w:val="32"/>
          <w:szCs w:val="32"/>
        </w:rPr>
        <w:t>(3)扎实推动广汉工业集中发展区建设。今年新投建的园区市政工程及房建工程“打捆”项目已开工建设，包括新建市政道路、渠道、安置房、幼儿园、老场镇道路改造等园区品质提升工程，</w:t>
      </w:r>
      <w:r>
        <w:rPr>
          <w:rFonts w:hint="eastAsia" w:eastAsia="仿宋_GB2312"/>
          <w:color w:val="000000" w:themeColor="text1"/>
          <w:sz w:val="32"/>
          <w:szCs w:val="32"/>
        </w:rPr>
        <w:t>合同签订</w:t>
      </w:r>
      <w:r>
        <w:rPr>
          <w:rFonts w:eastAsia="仿宋_GB2312"/>
          <w:color w:val="000000" w:themeColor="text1"/>
          <w:sz w:val="32"/>
          <w:szCs w:val="32"/>
        </w:rPr>
        <w:t>金额</w:t>
      </w:r>
      <w:r>
        <w:rPr>
          <w:rFonts w:hint="eastAsia" w:eastAsia="仿宋_GB2312"/>
          <w:color w:val="000000" w:themeColor="text1"/>
          <w:sz w:val="32"/>
          <w:szCs w:val="32"/>
        </w:rPr>
        <w:t>140</w:t>
      </w:r>
      <w:r>
        <w:rPr>
          <w:rFonts w:eastAsia="仿宋_GB2312"/>
          <w:color w:val="000000" w:themeColor="text1"/>
          <w:sz w:val="32"/>
          <w:szCs w:val="32"/>
        </w:rPr>
        <w:t>,</w:t>
      </w:r>
      <w:r>
        <w:rPr>
          <w:rFonts w:hint="eastAsia" w:eastAsia="仿宋_GB2312"/>
          <w:color w:val="000000" w:themeColor="text1"/>
          <w:sz w:val="32"/>
          <w:szCs w:val="32"/>
        </w:rPr>
        <w:t>870</w:t>
      </w:r>
      <w:r>
        <w:rPr>
          <w:rFonts w:eastAsia="仿宋_GB2312"/>
          <w:color w:val="000000" w:themeColor="text1"/>
          <w:sz w:val="32"/>
          <w:szCs w:val="32"/>
        </w:rPr>
        <w:t>万元。</w:t>
      </w:r>
    </w:p>
    <w:p w14:paraId="78C6A0EB">
      <w:pPr>
        <w:spacing w:line="540" w:lineRule="exact"/>
        <w:ind w:firstLine="560"/>
        <w:rPr>
          <w:rFonts w:eastAsia="仿宋_GB2312"/>
          <w:bCs/>
          <w:color w:val="000000" w:themeColor="text1"/>
          <w:sz w:val="32"/>
          <w:szCs w:val="32"/>
        </w:rPr>
      </w:pPr>
      <w:r>
        <w:rPr>
          <w:rFonts w:eastAsia="仿宋_GB2312"/>
          <w:color w:val="000000" w:themeColor="text1"/>
          <w:sz w:val="32"/>
          <w:szCs w:val="32"/>
        </w:rPr>
        <w:t>(4)高新技术产业园万福片两区共建项目。</w:t>
      </w:r>
      <w:r>
        <w:rPr>
          <w:rFonts w:eastAsia="仿宋_GB2312"/>
          <w:bCs/>
          <w:color w:val="000000" w:themeColor="text1"/>
          <w:sz w:val="32"/>
          <w:szCs w:val="32"/>
        </w:rPr>
        <w:t>项目总投资344,146万元,包含市政基础设施建设</w:t>
      </w:r>
      <w:r>
        <w:rPr>
          <w:rFonts w:hint="eastAsia" w:eastAsia="仿宋_GB2312"/>
          <w:bCs/>
          <w:color w:val="000000" w:themeColor="text1"/>
          <w:sz w:val="32"/>
          <w:szCs w:val="32"/>
        </w:rPr>
        <w:t>、</w:t>
      </w:r>
      <w:r>
        <w:rPr>
          <w:rFonts w:eastAsia="仿宋_GB2312"/>
          <w:bCs/>
          <w:color w:val="000000" w:themeColor="text1"/>
          <w:sz w:val="32"/>
          <w:szCs w:val="32"/>
        </w:rPr>
        <w:t>北区和马牧河湿地景观工程、顺兴农贸市场、北区社区医院、文化体育中心设备维护等工程80个。</w:t>
      </w:r>
    </w:p>
    <w:p w14:paraId="26CEA3D5">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2. 聚焦民生助力解决突出问题</w:t>
      </w:r>
    </w:p>
    <w:p w14:paraId="642F1715">
      <w:pPr>
        <w:autoSpaceDE w:val="0"/>
        <w:spacing w:line="540" w:lineRule="exact"/>
        <w:ind w:firstLine="640" w:firstLineChars="200"/>
        <w:jc w:val="left"/>
        <w:rPr>
          <w:rFonts w:eastAsia="仿宋_GB2312"/>
          <w:color w:val="000000" w:themeColor="text1"/>
          <w:sz w:val="32"/>
          <w:szCs w:val="32"/>
        </w:rPr>
      </w:pPr>
      <w:r>
        <w:rPr>
          <w:rFonts w:eastAsia="仿宋_GB2312"/>
          <w:color w:val="000000" w:themeColor="text1"/>
          <w:sz w:val="32"/>
          <w:szCs w:val="32"/>
        </w:rPr>
        <w:t>(1)全力缓解我市“停车难”问题。中山大道地下停车场、老市委停车场和长沙路康达测绘停车场先后投入使用,北区临时停车场已开工建设；广汉市智慧停车综合管理平台建设项目已完成招标工作,北区机械停车楼机械设备采购项目进入项目可行性、经济性等论证阶段。</w:t>
      </w:r>
    </w:p>
    <w:p w14:paraId="1D2E7FED">
      <w:pPr>
        <w:autoSpaceDE w:val="0"/>
        <w:spacing w:line="540" w:lineRule="exact"/>
        <w:ind w:firstLine="640" w:firstLineChars="200"/>
        <w:jc w:val="left"/>
        <w:rPr>
          <w:rFonts w:eastAsia="仿宋_GB2312"/>
          <w:color w:val="000000" w:themeColor="text1"/>
          <w:sz w:val="32"/>
          <w:szCs w:val="32"/>
        </w:rPr>
      </w:pPr>
      <w:r>
        <w:rPr>
          <w:rFonts w:eastAsia="仿宋_GB2312"/>
          <w:color w:val="000000" w:themeColor="text1"/>
          <w:sz w:val="32"/>
          <w:szCs w:val="32"/>
        </w:rPr>
        <w:t>(2)积极应对“非洲猪瘟”。按照市政府要求,城乡公司分两批次共计储备猪肉420吨,目前首批储备猪肉已投入市场,起到了促进我市猪肉市场价格稳定的作用。</w:t>
      </w:r>
    </w:p>
    <w:p w14:paraId="6BC97D13">
      <w:pPr>
        <w:spacing w:line="540" w:lineRule="exact"/>
        <w:ind w:firstLine="640" w:firstLineChars="200"/>
        <w:rPr>
          <w:rFonts w:ascii="方正楷体简体" w:eastAsia="方正楷体简体"/>
          <w:color w:val="000000" w:themeColor="text1"/>
          <w:sz w:val="32"/>
          <w:szCs w:val="32"/>
        </w:rPr>
      </w:pPr>
      <w:r>
        <w:rPr>
          <w:rFonts w:hint="eastAsia" w:ascii="方正楷体简体" w:eastAsia="方正楷体简体"/>
          <w:color w:val="000000" w:themeColor="text1"/>
          <w:sz w:val="32"/>
          <w:szCs w:val="32"/>
        </w:rPr>
        <w:t>（四）坚持“多元发展”，产业布局提档升级</w:t>
      </w:r>
    </w:p>
    <w:p w14:paraId="52D8997B">
      <w:pPr>
        <w:spacing w:line="540" w:lineRule="exact"/>
        <w:ind w:firstLine="640" w:firstLineChars="200"/>
        <w:rPr>
          <w:rFonts w:eastAsia="仿宋_GB2312"/>
          <w:bCs/>
          <w:color w:val="000000" w:themeColor="text1"/>
          <w:sz w:val="32"/>
          <w:szCs w:val="32"/>
        </w:rPr>
      </w:pPr>
      <w:r>
        <w:rPr>
          <w:rFonts w:eastAsia="仿宋_GB2312"/>
          <w:bCs/>
          <w:color w:val="000000" w:themeColor="text1"/>
          <w:sz w:val="32"/>
          <w:szCs w:val="32"/>
        </w:rPr>
        <w:t>广鑫发展不断加快产业布局,坚持横向多元化，避免同质化，将产业链向下游延伸,下属子公司14家</w:t>
      </w:r>
      <w:r>
        <w:rPr>
          <w:rFonts w:eastAsia="仿宋_GB2312"/>
          <w:color w:val="000000" w:themeColor="text1"/>
          <w:kern w:val="0"/>
          <w:sz w:val="32"/>
          <w:szCs w:val="32"/>
        </w:rPr>
        <w:t>业务范围涉及供水及污水处理、航空和车辆服务、安全保障、多媒体运营、智联停车、清洁能源、砂石综合开发利用、农业投资、粮食储备经营等多领域</w:t>
      </w:r>
      <w:r>
        <w:rPr>
          <w:rFonts w:eastAsia="仿宋_GB2312"/>
          <w:bCs/>
          <w:color w:val="000000" w:themeColor="text1"/>
          <w:sz w:val="32"/>
          <w:szCs w:val="32"/>
        </w:rPr>
        <w:t>。</w:t>
      </w:r>
    </w:p>
    <w:p w14:paraId="48DCA472">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(1)兴鑫水务公司</w:t>
      </w:r>
      <w:r>
        <w:rPr>
          <w:rFonts w:eastAsia="仿宋_GB2312"/>
          <w:bCs/>
          <w:color w:val="000000" w:themeColor="text1"/>
          <w:sz w:val="32"/>
          <w:szCs w:val="32"/>
        </w:rPr>
        <w:t>：已按市政府安排部署,接手广汉市各乡镇污水处理厂(站),全市急需提标改造乡镇污水处理厂(站)共计23个,均已基本完工,目前兴鑫水务公司已接管乡镇污水处理厂(站)共计11个。</w:t>
      </w:r>
    </w:p>
    <w:p w14:paraId="62246D86">
      <w:pPr>
        <w:spacing w:line="540" w:lineRule="exact"/>
        <w:ind w:firstLine="640" w:firstLineChars="200"/>
        <w:rPr>
          <w:rFonts w:eastAsia="仿宋_GB2312"/>
          <w:bCs/>
          <w:color w:val="000000" w:themeColor="text1"/>
          <w:sz w:val="32"/>
          <w:szCs w:val="32"/>
        </w:rPr>
      </w:pPr>
      <w:r>
        <w:rPr>
          <w:rFonts w:eastAsia="仿宋_GB2312"/>
          <w:color w:val="000000" w:themeColor="text1"/>
          <w:sz w:val="32"/>
          <w:szCs w:val="32"/>
        </w:rPr>
        <w:t>(2)达鑫建材公司：现有砂石储量365万立方米，价值约40,000万元；今年7月</w:t>
      </w:r>
      <w:r>
        <w:rPr>
          <w:rFonts w:hint="eastAsia" w:eastAsia="仿宋_GB2312"/>
          <w:color w:val="000000" w:themeColor="text1"/>
          <w:sz w:val="32"/>
          <w:szCs w:val="32"/>
        </w:rPr>
        <w:t>全面</w:t>
      </w:r>
      <w:r>
        <w:rPr>
          <w:rFonts w:eastAsia="仿宋_GB2312"/>
          <w:color w:val="000000" w:themeColor="text1"/>
          <w:sz w:val="32"/>
          <w:szCs w:val="32"/>
        </w:rPr>
        <w:t>启动，当年实现营收</w:t>
      </w:r>
      <w:r>
        <w:rPr>
          <w:rFonts w:hint="eastAsia" w:eastAsia="仿宋_GB2312"/>
          <w:color w:val="000000" w:themeColor="text1"/>
          <w:sz w:val="32"/>
          <w:szCs w:val="32"/>
        </w:rPr>
        <w:t>3</w:t>
      </w:r>
      <w:r>
        <w:rPr>
          <w:rFonts w:eastAsia="仿宋_GB2312"/>
          <w:color w:val="000000" w:themeColor="text1"/>
          <w:sz w:val="32"/>
          <w:szCs w:val="32"/>
        </w:rPr>
        <w:t>,</w:t>
      </w:r>
      <w:r>
        <w:rPr>
          <w:rFonts w:hint="eastAsia" w:eastAsia="仿宋_GB2312"/>
          <w:color w:val="000000" w:themeColor="text1"/>
          <w:sz w:val="32"/>
          <w:szCs w:val="32"/>
        </w:rPr>
        <w:t>662</w:t>
      </w:r>
      <w:r>
        <w:rPr>
          <w:rFonts w:eastAsia="仿宋_GB2312"/>
          <w:color w:val="000000" w:themeColor="text1"/>
          <w:sz w:val="32"/>
          <w:szCs w:val="32"/>
        </w:rPr>
        <w:t>万元；同时</w:t>
      </w:r>
      <w:r>
        <w:rPr>
          <w:rFonts w:eastAsia="仿宋_GB2312"/>
          <w:bCs/>
          <w:color w:val="000000" w:themeColor="text1"/>
          <w:sz w:val="32"/>
          <w:szCs w:val="32"/>
        </w:rPr>
        <w:t>拟筹建建筑固废废物“绿色回收、绿色生产、绿色施工”生产线,实现环境保护和经济效益双丰</w:t>
      </w:r>
      <w:r>
        <w:rPr>
          <w:rFonts w:eastAsia="仿宋_GB2312"/>
          <w:color w:val="000000" w:themeColor="text1"/>
          <w:sz w:val="32"/>
          <w:szCs w:val="32"/>
        </w:rPr>
        <w:t>收。</w:t>
      </w:r>
      <w:r>
        <w:rPr>
          <w:rFonts w:eastAsia="仿宋_GB2312"/>
          <w:bCs/>
          <w:color w:val="000000" w:themeColor="text1"/>
          <w:sz w:val="32"/>
          <w:szCs w:val="32"/>
        </w:rPr>
        <w:t xml:space="preserve"> </w:t>
      </w:r>
    </w:p>
    <w:p w14:paraId="3737DDE0">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(3)广金检测公司：“三检合一”改扩建项目已通过资质评审认证，专家组正对项目进行综检、环检能力评定，综合楼预计2020年1月底竣工。</w:t>
      </w:r>
    </w:p>
    <w:p w14:paraId="55566412">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(4)保安服务公司：荣获“2019年全省十佳保安服务公司”，正在努力争创二级保安公司。</w:t>
      </w:r>
    </w:p>
    <w:p w14:paraId="651FB997">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(5)汇鑫实业公司：</w:t>
      </w:r>
      <w:r>
        <w:rPr>
          <w:rFonts w:eastAsia="仿宋_GB2312"/>
          <w:bCs/>
          <w:color w:val="000000" w:themeColor="text1"/>
          <w:sz w:val="32"/>
          <w:szCs w:val="32"/>
        </w:rPr>
        <w:t>今年正式接管国有经营性固定资产管理,共收取租金1,429万元,</w:t>
      </w:r>
      <w:r>
        <w:rPr>
          <w:rFonts w:eastAsia="仿宋_GB2312"/>
          <w:color w:val="000000" w:themeColor="text1"/>
          <w:sz w:val="32"/>
          <w:szCs w:val="32"/>
        </w:rPr>
        <w:t xml:space="preserve"> 较去年同期增长86.5%，预计在2020年4月实现主城区路边停车智能化管理全覆盖。</w:t>
      </w:r>
    </w:p>
    <w:p w14:paraId="181AE4BE">
      <w:pPr>
        <w:spacing w:line="540" w:lineRule="exact"/>
        <w:ind w:firstLine="640" w:firstLineChars="200"/>
        <w:rPr>
          <w:rFonts w:eastAsia="仿宋_GB2312"/>
          <w:color w:val="000000" w:themeColor="text1"/>
          <w:sz w:val="32"/>
          <w:szCs w:val="32"/>
        </w:rPr>
      </w:pPr>
      <w:r>
        <w:rPr>
          <w:rFonts w:eastAsia="仿宋_GB2312"/>
          <w:color w:val="000000" w:themeColor="text1"/>
          <w:sz w:val="32"/>
          <w:szCs w:val="32"/>
        </w:rPr>
        <w:t>(6)广电传媒公司：以媒体+政务、媒体+会展、媒体+私人定制的发展思路，先后策划执行了三星堆大祭祀、桃花节、广场舞大赛、“为村·最美乡音”等活动，实现全年收入1,180万元，较去年增长</w:t>
      </w:r>
      <w:r>
        <w:rPr>
          <w:rFonts w:hint="eastAsia" w:eastAsia="仿宋_GB2312"/>
          <w:color w:val="000000" w:themeColor="text1"/>
          <w:sz w:val="32"/>
          <w:szCs w:val="32"/>
        </w:rPr>
        <w:t>51.1%，</w:t>
      </w:r>
      <w:r>
        <w:rPr>
          <w:rFonts w:eastAsia="仿宋_GB2312"/>
          <w:color w:val="000000" w:themeColor="text1"/>
          <w:sz w:val="32"/>
          <w:szCs w:val="32"/>
        </w:rPr>
        <w:t>成功实现媒体经营职能转型。</w:t>
      </w:r>
    </w:p>
    <w:p w14:paraId="3F1D5105">
      <w:pPr>
        <w:spacing w:line="540" w:lineRule="exact"/>
        <w:ind w:firstLine="640" w:firstLineChars="200"/>
        <w:rPr>
          <w:rFonts w:ascii="方正楷体简体" w:eastAsia="方正楷体简体"/>
          <w:color w:val="000000" w:themeColor="text1"/>
          <w:sz w:val="32"/>
          <w:szCs w:val="32"/>
        </w:rPr>
      </w:pPr>
      <w:r>
        <w:rPr>
          <w:rFonts w:hint="eastAsia" w:ascii="方正楷体简体" w:eastAsia="方正楷体简体"/>
          <w:color w:val="000000" w:themeColor="text1"/>
          <w:sz w:val="32"/>
          <w:szCs w:val="32"/>
        </w:rPr>
        <w:t>（五）强化“战略合作”，产业发展渠道不断拓宽</w:t>
      </w:r>
    </w:p>
    <w:p w14:paraId="39B0037A">
      <w:pPr>
        <w:spacing w:line="540" w:lineRule="exact"/>
        <w:ind w:firstLine="643"/>
        <w:jc w:val="left"/>
        <w:rPr>
          <w:rFonts w:eastAsia="仿宋_GB2312"/>
          <w:bCs/>
          <w:color w:val="000000" w:themeColor="text1"/>
          <w:sz w:val="32"/>
          <w:szCs w:val="32"/>
        </w:rPr>
      </w:pPr>
      <w:r>
        <w:rPr>
          <w:rFonts w:eastAsia="仿宋_GB2312"/>
          <w:color w:val="000000" w:themeColor="text1"/>
          <w:sz w:val="32"/>
          <w:szCs w:val="32"/>
        </w:rPr>
        <w:t>广鑫发展在保证主营业务平稳发展的同时深入探索高附加值领域的发展道路,寻求通过合资、股权投资等多种方式,积极布局具有良好发展前景及盈利能力的产业,推动广鑫发展朝着“强优大”的方向奋力迈进。</w:t>
      </w:r>
    </w:p>
    <w:p w14:paraId="0F517026">
      <w:pPr>
        <w:autoSpaceDE w:val="0"/>
        <w:spacing w:line="540" w:lineRule="exact"/>
        <w:ind w:firstLine="640" w:firstLineChars="200"/>
        <w:rPr>
          <w:rFonts w:hint="eastAsia" w:eastAsia="仿宋_GB2312"/>
          <w:bCs/>
          <w:color w:val="000000" w:themeColor="text1"/>
          <w:sz w:val="32"/>
          <w:szCs w:val="32"/>
        </w:rPr>
      </w:pPr>
      <w:r>
        <w:rPr>
          <w:rFonts w:eastAsia="仿宋_GB2312"/>
          <w:color w:val="000000" w:themeColor="text1"/>
          <w:sz w:val="32"/>
          <w:szCs w:val="32"/>
        </w:rPr>
        <w:t>(1)</w:t>
      </w:r>
      <w:r>
        <w:rPr>
          <w:rFonts w:eastAsia="仿宋_GB2312"/>
          <w:bCs/>
          <w:color w:val="000000" w:themeColor="text1"/>
          <w:sz w:val="32"/>
          <w:szCs w:val="32"/>
        </w:rPr>
        <w:t>广鑫发展出资1,500万元认购国星宇航1.84%股份并成立合资公司广汉星时代宇航科技有限公司。</w:t>
      </w:r>
    </w:p>
    <w:p w14:paraId="15B6CFDA">
      <w:pPr>
        <w:autoSpaceDE w:val="0"/>
        <w:spacing w:line="540" w:lineRule="exact"/>
        <w:ind w:firstLine="640" w:firstLineChars="200"/>
        <w:rPr>
          <w:rFonts w:eastAsia="仿宋_GB2312"/>
          <w:bCs/>
          <w:color w:val="000000" w:themeColor="text1"/>
          <w:sz w:val="32"/>
          <w:szCs w:val="32"/>
        </w:rPr>
      </w:pPr>
      <w:r>
        <w:rPr>
          <w:rFonts w:eastAsia="仿宋_GB2312"/>
          <w:color w:val="000000" w:themeColor="text1"/>
          <w:sz w:val="32"/>
          <w:szCs w:val="32"/>
        </w:rPr>
        <w:t xml:space="preserve"> (2)今年12月18日，广鑫发展与中国航油四川石油集团设立的合资公司已取得中航油集团董事会批复同意</w:t>
      </w:r>
      <w:r>
        <w:rPr>
          <w:rFonts w:hint="eastAsia" w:eastAsia="仿宋_GB2312"/>
          <w:color w:val="000000" w:themeColor="text1"/>
          <w:sz w:val="32"/>
          <w:szCs w:val="32"/>
        </w:rPr>
        <w:t>，</w:t>
      </w:r>
      <w:r>
        <w:rPr>
          <w:rFonts w:eastAsia="仿宋_GB2312"/>
          <w:color w:val="000000" w:themeColor="text1"/>
          <w:sz w:val="32"/>
          <w:szCs w:val="32"/>
        </w:rPr>
        <w:t>正在办理《危化品运营许可证》，推进项目落地用地指标等事项。</w:t>
      </w:r>
    </w:p>
    <w:p w14:paraId="177A7726">
      <w:pPr>
        <w:spacing w:line="540" w:lineRule="exact"/>
        <w:ind w:firstLine="643"/>
        <w:jc w:val="left"/>
        <w:rPr>
          <w:rFonts w:eastAsia="仿宋_GB2312"/>
          <w:color w:val="000000" w:themeColor="text1"/>
          <w:sz w:val="32"/>
          <w:szCs w:val="32"/>
        </w:rPr>
      </w:pPr>
      <w:r>
        <w:rPr>
          <w:rFonts w:eastAsia="仿宋_GB2312"/>
          <w:color w:val="000000" w:themeColor="text1"/>
          <w:sz w:val="32"/>
          <w:szCs w:val="32"/>
        </w:rPr>
        <w:t>(3)今年8月起，由广鑫发展、三星堆文化传媒、德阳产投及功夫动漫联合出品的3D动画《三星堆·荣耀觉醒》陆续在央视等150余家电视台、主流视频网站上播出，并斩获同时段收视率第一。</w:t>
      </w:r>
    </w:p>
    <w:p w14:paraId="6F88DF15">
      <w:pPr>
        <w:spacing w:line="540" w:lineRule="exact"/>
        <w:ind w:firstLine="643"/>
        <w:jc w:val="left"/>
        <w:rPr>
          <w:rFonts w:eastAsia="仿宋_GB2312"/>
          <w:color w:val="000000" w:themeColor="text1"/>
          <w:sz w:val="32"/>
          <w:szCs w:val="32"/>
        </w:rPr>
      </w:pPr>
      <w:r>
        <w:rPr>
          <w:rFonts w:eastAsia="仿宋_GB2312"/>
          <w:color w:val="000000" w:themeColor="text1"/>
          <w:sz w:val="32"/>
          <w:szCs w:val="32"/>
        </w:rPr>
        <w:t xml:space="preserve">(4)今年5月，广鑫发展与成都文旅公交旅游发展有限公司共同开通成德国宝旅游专线，推动成德旅游发展，专线运行期间，共计组织游客2165人次。目前,由于成都文旅公交旅游发展有限公司单方原因导致专线停运，广鑫发展正积极酝酿重新启用该旅游专线。 </w:t>
      </w:r>
    </w:p>
    <w:p w14:paraId="47698E68">
      <w:pPr>
        <w:pStyle w:val="5"/>
        <w:adjustRightInd w:val="0"/>
        <w:snapToGrid w:val="0"/>
        <w:spacing w:before="93" w:line="600" w:lineRule="exact"/>
        <w:ind w:firstLine="640" w:firstLineChars="200"/>
        <w:outlineLvl w:val="2"/>
        <w:rPr>
          <w:rStyle w:val="28"/>
          <w:rFonts w:ascii="仿宋" w:hAnsi="仿宋" w:eastAsia="仿宋" w:cs="Times New Roman"/>
          <w:b w:val="0"/>
          <w:kern w:val="0"/>
        </w:rPr>
      </w:pPr>
      <w:r>
        <w:rPr>
          <w:rFonts w:hint="eastAsia" w:ascii="黑体" w:eastAsia="黑体"/>
          <w:sz w:val="32"/>
          <w:szCs w:val="32"/>
        </w:rPr>
        <w:t>二、</w:t>
      </w:r>
      <w:r>
        <w:rPr>
          <w:rFonts w:hint="eastAsia" w:ascii="黑体" w:hAnsi="黑体" w:eastAsia="黑体"/>
          <w:sz w:val="32"/>
          <w:szCs w:val="32"/>
        </w:rPr>
        <w:t>机</w:t>
      </w:r>
      <w:r>
        <w:rPr>
          <w:rStyle w:val="28"/>
          <w:rFonts w:hint="eastAsia" w:ascii="黑体" w:hAnsi="黑体" w:eastAsia="黑体"/>
        </w:rPr>
        <w:t>构设置</w:t>
      </w:r>
      <w:bookmarkEnd w:id="18"/>
      <w:bookmarkEnd w:id="19"/>
    </w:p>
    <w:p w14:paraId="62A29711">
      <w:pPr>
        <w:snapToGrid w:val="0"/>
        <w:spacing w:line="520"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rPr>
        <w:t>广汉市国有资产监督管理和金融工作局，局下设综合股，以及下属事业单位1个（广汉市国有资产经营中心）。</w:t>
      </w:r>
      <w:r>
        <w:rPr>
          <w:rFonts w:ascii="仿宋_GB2312" w:hAnsi="仿宋" w:eastAsia="仿宋_GB2312"/>
          <w:color w:val="FF0000"/>
          <w:sz w:val="32"/>
          <w:szCs w:val="32"/>
        </w:rPr>
        <w:br w:type="page"/>
      </w:r>
    </w:p>
    <w:p w14:paraId="4F943ABE">
      <w:pPr>
        <w:pStyle w:val="2"/>
        <w:ind w:right="440"/>
        <w:jc w:val="right"/>
        <w:rPr>
          <w:rStyle w:val="27"/>
          <w:rFonts w:ascii="黑体" w:hAnsi="黑体" w:eastAsia="黑体"/>
          <w:b w:val="0"/>
          <w:bCs w:val="0"/>
        </w:rPr>
      </w:pPr>
      <w:bookmarkStart w:id="20" w:name="_Toc15396602"/>
      <w:bookmarkStart w:id="2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2019年度部门决算情况说明</w:t>
      </w:r>
      <w:bookmarkEnd w:id="20"/>
      <w:bookmarkEnd w:id="21"/>
    </w:p>
    <w:p w14:paraId="5846799B"/>
    <w:p w14:paraId="3D660C05">
      <w:pPr>
        <w:pStyle w:val="26"/>
        <w:numPr>
          <w:ilvl w:val="0"/>
          <w:numId w:val="1"/>
        </w:numPr>
        <w:spacing w:line="600" w:lineRule="exact"/>
        <w:ind w:firstLineChars="0"/>
        <w:outlineLvl w:val="1"/>
        <w:rPr>
          <w:rStyle w:val="28"/>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2"/>
      <w:bookmarkEnd w:id="23"/>
    </w:p>
    <w:p w14:paraId="0B9D883E">
      <w:pPr>
        <w:snapToGrid w:val="0"/>
        <w:spacing w:line="520" w:lineRule="exact"/>
        <w:ind w:left="640" w:leftChars="305"/>
        <w:rPr>
          <w:rFonts w:ascii="仿宋_GB2312" w:hAnsi="仿宋" w:eastAsia="仿宋_GB2312"/>
          <w:sz w:val="32"/>
          <w:szCs w:val="32"/>
        </w:rPr>
      </w:pPr>
      <w:r>
        <w:rPr>
          <w:rFonts w:hint="eastAsia" w:ascii="仿宋_GB2312" w:hAnsi="仿宋" w:eastAsia="仿宋_GB2312"/>
          <w:sz w:val="32"/>
          <w:szCs w:val="32"/>
        </w:rPr>
        <w:t>2019年全年收入1332.45万元；2019年全年支出</w:t>
      </w:r>
    </w:p>
    <w:p w14:paraId="7AAE97D8">
      <w:pPr>
        <w:snapToGrid w:val="0"/>
        <w:spacing w:line="520" w:lineRule="exact"/>
        <w:rPr>
          <w:rFonts w:ascii="仿宋_GB2312" w:hAnsi="仿宋" w:eastAsia="仿宋_GB2312"/>
          <w:sz w:val="32"/>
          <w:szCs w:val="32"/>
        </w:rPr>
      </w:pPr>
      <w:r>
        <w:rPr>
          <w:rFonts w:hint="eastAsia" w:ascii="仿宋_GB2312" w:hAnsi="仿宋" w:eastAsia="仿宋_GB2312"/>
          <w:sz w:val="32"/>
          <w:szCs w:val="32"/>
        </w:rPr>
        <w:t>1332.45万元。2019年新成立单位，无2018年数据。</w:t>
      </w:r>
    </w:p>
    <w:p w14:paraId="4E623C64">
      <w:pPr>
        <w:pStyle w:val="26"/>
        <w:numPr>
          <w:ilvl w:val="0"/>
          <w:numId w:val="1"/>
        </w:numPr>
        <w:spacing w:line="600" w:lineRule="exact"/>
        <w:ind w:firstLineChars="0"/>
        <w:outlineLvl w:val="1"/>
        <w:rPr>
          <w:rStyle w:val="28"/>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28"/>
          <w:rFonts w:hint="eastAsia" w:ascii="黑体" w:hAnsi="黑体" w:eastAsia="黑体"/>
          <w:b w:val="0"/>
        </w:rPr>
        <w:t>入决算情况说明</w:t>
      </w:r>
      <w:bookmarkEnd w:id="24"/>
      <w:bookmarkEnd w:id="25"/>
    </w:p>
    <w:p w14:paraId="4BC606D6">
      <w:pPr>
        <w:spacing w:line="600" w:lineRule="exact"/>
        <w:ind w:firstLine="640" w:firstLineChars="200"/>
        <w:outlineLvl w:val="1"/>
        <w:rPr>
          <w:rFonts w:ascii="仿宋_GB2312" w:hAnsi="仿宋" w:eastAsia="仿宋_GB2312"/>
          <w:color w:val="000000"/>
          <w:sz w:val="32"/>
          <w:szCs w:val="32"/>
        </w:rPr>
      </w:pPr>
      <w:r>
        <w:rPr>
          <w:rFonts w:hint="eastAsia" w:ascii="仿宋_GB2312" w:hAnsi="仿宋" w:eastAsia="仿宋_GB2312"/>
          <w:color w:val="000000"/>
          <w:sz w:val="32"/>
          <w:szCs w:val="32"/>
        </w:rPr>
        <w:t>2019年本年收入合计</w:t>
      </w:r>
      <w:r>
        <w:rPr>
          <w:rFonts w:hint="eastAsia" w:ascii="仿宋_GB2312" w:hAnsi="仿宋" w:eastAsia="仿宋_GB2312"/>
          <w:sz w:val="32"/>
          <w:szCs w:val="32"/>
        </w:rPr>
        <w:t>1332.45</w:t>
      </w:r>
      <w:r>
        <w:rPr>
          <w:rFonts w:hint="eastAsia" w:ascii="仿宋_GB2312" w:hAnsi="仿宋" w:eastAsia="仿宋_GB2312"/>
          <w:color w:val="000000"/>
          <w:sz w:val="32"/>
          <w:szCs w:val="32"/>
        </w:rPr>
        <w:t>万元，</w:t>
      </w:r>
      <w:r>
        <w:rPr>
          <w:rFonts w:hint="eastAsia" w:ascii="仿宋_GB2312" w:hAnsi="仿宋" w:eastAsia="仿宋_GB2312"/>
          <w:sz w:val="32"/>
          <w:szCs w:val="32"/>
        </w:rPr>
        <w:t>全部为一般公共预算财政拨款收入。</w:t>
      </w:r>
    </w:p>
    <w:p w14:paraId="66FA1217">
      <w:pPr>
        <w:pStyle w:val="26"/>
        <w:numPr>
          <w:ilvl w:val="0"/>
          <w:numId w:val="1"/>
        </w:numPr>
        <w:spacing w:line="600" w:lineRule="exact"/>
        <w:ind w:firstLineChars="0"/>
        <w:outlineLvl w:val="1"/>
        <w:rPr>
          <w:rStyle w:val="28"/>
          <w:rFonts w:ascii="黑体" w:hAnsi="黑体" w:eastAsia="黑体"/>
          <w:b w:val="0"/>
        </w:rPr>
      </w:pPr>
      <w:bookmarkStart w:id="26" w:name="_Toc15396605"/>
      <w:bookmarkStart w:id="27" w:name="_Toc15377207"/>
      <w:r>
        <w:rPr>
          <w:rFonts w:hint="eastAsia" w:ascii="黑体" w:hAnsi="黑体" w:eastAsia="黑体"/>
          <w:color w:val="000000"/>
          <w:sz w:val="32"/>
          <w:szCs w:val="32"/>
        </w:rPr>
        <w:t>支</w:t>
      </w:r>
      <w:r>
        <w:rPr>
          <w:rStyle w:val="28"/>
          <w:rFonts w:hint="eastAsia" w:ascii="黑体" w:hAnsi="黑体" w:eastAsia="黑体"/>
          <w:b w:val="0"/>
        </w:rPr>
        <w:t>出决算情况说明</w:t>
      </w:r>
      <w:bookmarkEnd w:id="26"/>
      <w:bookmarkEnd w:id="27"/>
    </w:p>
    <w:p w14:paraId="11645147">
      <w:pPr>
        <w:spacing w:line="600" w:lineRule="exact"/>
        <w:ind w:firstLine="640" w:firstLineChars="200"/>
        <w:outlineLvl w:val="1"/>
        <w:rPr>
          <w:rFonts w:ascii="仿宋_GB2312" w:hAnsi="仿宋" w:eastAsia="仿宋_GB2312"/>
          <w:color w:val="000000" w:themeColor="text1"/>
          <w:sz w:val="32"/>
          <w:szCs w:val="32"/>
        </w:rPr>
      </w:pPr>
      <w:r>
        <w:rPr>
          <w:rFonts w:hint="eastAsia" w:ascii="仿宋_GB2312" w:hAnsi="仿宋" w:eastAsia="仿宋_GB2312"/>
          <w:color w:val="000000"/>
          <w:sz w:val="32"/>
          <w:szCs w:val="32"/>
        </w:rPr>
        <w:t>2019年本年支出合计</w:t>
      </w:r>
      <w:r>
        <w:rPr>
          <w:rFonts w:hint="eastAsia" w:ascii="仿宋_GB2312" w:hAnsi="仿宋" w:eastAsia="仿宋_GB2312"/>
          <w:sz w:val="32"/>
          <w:szCs w:val="32"/>
        </w:rPr>
        <w:t>1332.45</w:t>
      </w:r>
      <w:r>
        <w:rPr>
          <w:rFonts w:hint="eastAsia" w:ascii="仿宋_GB2312" w:hAnsi="仿宋" w:eastAsia="仿宋_GB2312"/>
          <w:color w:val="000000"/>
          <w:sz w:val="32"/>
          <w:szCs w:val="32"/>
        </w:rPr>
        <w:t>万元，</w:t>
      </w:r>
      <w:r>
        <w:rPr>
          <w:rFonts w:hint="eastAsia" w:ascii="仿宋_GB2312" w:hAnsi="仿宋" w:eastAsia="仿宋_GB2312"/>
          <w:sz w:val="32"/>
          <w:szCs w:val="32"/>
        </w:rPr>
        <w:t>其中，基本支出41.37万元，占比3.1%，项目支出1291.08万元，占比96.9%。</w:t>
      </w:r>
    </w:p>
    <w:p w14:paraId="57698F40">
      <w:pPr>
        <w:spacing w:line="600" w:lineRule="exact"/>
        <w:ind w:firstLine="640" w:firstLineChars="200"/>
        <w:outlineLvl w:val="1"/>
        <w:rPr>
          <w:rStyle w:val="28"/>
          <w:rFonts w:ascii="黑体" w:hAnsi="黑体" w:eastAsia="黑体"/>
          <w:b w:val="0"/>
        </w:rPr>
      </w:pPr>
      <w:bookmarkStart w:id="28" w:name="_Toc15377208"/>
      <w:bookmarkStart w:id="29" w:name="_Toc15396606"/>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28"/>
      <w:bookmarkEnd w:id="29"/>
    </w:p>
    <w:p w14:paraId="71A73E59">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2019年全年财政拨款收入1332.45万元；财政拨款支出1332.45万元。2019年新成立单位，无2018年数据。</w:t>
      </w:r>
    </w:p>
    <w:p w14:paraId="2738A585">
      <w:pPr>
        <w:spacing w:line="600" w:lineRule="exact"/>
        <w:ind w:firstLine="640" w:firstLineChars="200"/>
        <w:outlineLvl w:val="1"/>
        <w:rPr>
          <w:rStyle w:val="28"/>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0"/>
      <w:bookmarkEnd w:id="31"/>
    </w:p>
    <w:p w14:paraId="60A0417E">
      <w:pPr>
        <w:autoSpaceDE w:val="0"/>
        <w:autoSpaceDN w:val="0"/>
        <w:adjustRightInd w:val="0"/>
        <w:spacing w:line="560" w:lineRule="exact"/>
        <w:ind w:firstLine="480" w:firstLineChars="150"/>
        <w:jc w:val="left"/>
        <w:rPr>
          <w:rFonts w:ascii="楷体" w:hAnsi="楷体" w:eastAsia="楷体"/>
          <w:sz w:val="32"/>
          <w:szCs w:val="32"/>
        </w:rPr>
      </w:pPr>
      <w:bookmarkStart w:id="32" w:name="_Toc15377210"/>
      <w:r>
        <w:rPr>
          <w:rFonts w:hint="eastAsia" w:ascii="楷体" w:hAnsi="楷体" w:eastAsia="楷体"/>
          <w:kern w:val="0"/>
          <w:sz w:val="32"/>
          <w:szCs w:val="32"/>
        </w:rPr>
        <w:t>（一）一般公共预算财政拨款支出决算总体情况</w:t>
      </w:r>
    </w:p>
    <w:bookmarkEnd w:id="32"/>
    <w:p w14:paraId="6F23877E">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2019年一般公共预算财政拨款</w:t>
      </w:r>
      <w:r>
        <w:rPr>
          <w:rFonts w:hint="eastAsia" w:ascii="仿宋_GB2312" w:hAnsi="仿宋" w:eastAsia="仿宋_GB2312"/>
          <w:color w:val="000000" w:themeColor="text1"/>
          <w:sz w:val="32"/>
          <w:szCs w:val="32"/>
        </w:rPr>
        <w:t>支出1332.45万元</w:t>
      </w:r>
      <w:r>
        <w:rPr>
          <w:rFonts w:hint="eastAsia" w:ascii="仿宋_GB2312" w:hAnsi="仿宋" w:eastAsia="仿宋_GB2312"/>
          <w:color w:val="000000"/>
          <w:sz w:val="32"/>
          <w:szCs w:val="32"/>
        </w:rPr>
        <w:t>，占本年支出的100%。</w:t>
      </w:r>
      <w:r>
        <w:rPr>
          <w:rFonts w:hint="eastAsia" w:ascii="仿宋_GB2312" w:hAnsi="仿宋" w:eastAsia="仿宋_GB2312"/>
          <w:sz w:val="32"/>
          <w:szCs w:val="32"/>
        </w:rPr>
        <w:t>2019年新成立单位，无2018年数据。</w:t>
      </w:r>
    </w:p>
    <w:p w14:paraId="3B257A1D">
      <w:pPr>
        <w:autoSpaceDE w:val="0"/>
        <w:autoSpaceDN w:val="0"/>
        <w:adjustRightInd w:val="0"/>
        <w:spacing w:line="560" w:lineRule="exact"/>
        <w:ind w:firstLine="480" w:firstLineChars="150"/>
        <w:jc w:val="left"/>
        <w:rPr>
          <w:rFonts w:ascii="楷体" w:hAnsi="楷体" w:eastAsia="楷体"/>
          <w:sz w:val="32"/>
          <w:szCs w:val="32"/>
        </w:rPr>
      </w:pPr>
      <w:r>
        <w:rPr>
          <w:rFonts w:hint="eastAsia" w:ascii="楷体" w:hAnsi="楷体" w:eastAsia="楷体"/>
          <w:kern w:val="0"/>
          <w:sz w:val="32"/>
          <w:szCs w:val="32"/>
        </w:rPr>
        <w:t>（二）一般公共预算财政拨款支出决算机构情况</w:t>
      </w:r>
    </w:p>
    <w:p w14:paraId="0B8C33CB">
      <w:pPr>
        <w:spacing w:line="600" w:lineRule="exact"/>
        <w:ind w:firstLine="640"/>
        <w:rPr>
          <w:rFonts w:ascii="仿宋_GB2312" w:hAnsi="仿宋" w:eastAsia="仿宋_GB2312"/>
          <w:color w:val="000000" w:themeColor="text1"/>
          <w:sz w:val="32"/>
          <w:szCs w:val="32"/>
        </w:rPr>
      </w:pPr>
      <w:r>
        <w:rPr>
          <w:rFonts w:hint="eastAsia" w:ascii="仿宋_GB2312" w:hAnsi="仿宋" w:eastAsia="仿宋_GB2312"/>
          <w:color w:val="000000"/>
          <w:sz w:val="32"/>
          <w:szCs w:val="32"/>
        </w:rPr>
        <w:t>2019年一般公共预算财</w:t>
      </w:r>
      <w:r>
        <w:rPr>
          <w:rFonts w:hint="eastAsia" w:ascii="仿宋_GB2312" w:hAnsi="仿宋" w:eastAsia="仿宋_GB2312"/>
          <w:color w:val="000000" w:themeColor="text1"/>
          <w:sz w:val="32"/>
          <w:szCs w:val="32"/>
        </w:rPr>
        <w:t>政拨款支出1332.45万元，主要用于以下方面:其他城乡社区支出1266.30万元，占95.04%；国有资产监督支出57.32万元，占4.30%；社会保障和就业（类）支出4.26万元，占0.32%；</w:t>
      </w:r>
      <w:r>
        <w:rPr>
          <w:rFonts w:hint="eastAsia" w:ascii="仿宋_GB2312" w:hAnsi="仿宋" w:eastAsia="仿宋_GB2312"/>
          <w:bCs/>
          <w:color w:val="000000" w:themeColor="text1"/>
          <w:sz w:val="32"/>
          <w:szCs w:val="32"/>
        </w:rPr>
        <w:t>卫生健康支出</w:t>
      </w:r>
      <w:r>
        <w:rPr>
          <w:rFonts w:hint="eastAsia" w:ascii="仿宋_GB2312" w:hAnsi="仿宋" w:eastAsia="仿宋_GB2312"/>
          <w:color w:val="000000" w:themeColor="text1"/>
          <w:sz w:val="32"/>
          <w:szCs w:val="32"/>
        </w:rPr>
        <w:t>1.28万元，占0.1%；住房保障支出3.29万元，占0.24%。</w:t>
      </w:r>
    </w:p>
    <w:p w14:paraId="618748EC">
      <w:pPr>
        <w:autoSpaceDE w:val="0"/>
        <w:autoSpaceDN w:val="0"/>
        <w:adjustRightInd w:val="0"/>
        <w:spacing w:line="560" w:lineRule="exact"/>
        <w:ind w:firstLine="480" w:firstLineChars="150"/>
        <w:jc w:val="left"/>
        <w:rPr>
          <w:rFonts w:ascii="楷体" w:hAnsi="楷体" w:eastAsia="楷体"/>
          <w:sz w:val="32"/>
          <w:szCs w:val="32"/>
        </w:rPr>
      </w:pPr>
      <w:bookmarkStart w:id="33" w:name="_Toc15378460"/>
      <w:bookmarkStart w:id="34" w:name="_Toc15377213"/>
      <w:bookmarkStart w:id="35" w:name="_Toc15377444"/>
      <w:r>
        <w:rPr>
          <w:rFonts w:hint="eastAsia" w:ascii="楷体" w:hAnsi="楷体" w:eastAsia="楷体"/>
          <w:kern w:val="0"/>
          <w:sz w:val="32"/>
          <w:szCs w:val="32"/>
        </w:rPr>
        <w:t>（三）一般公共预算财政拨款支出决算具体情况</w:t>
      </w:r>
    </w:p>
    <w:p w14:paraId="00863B59">
      <w:pPr>
        <w:spacing w:line="600" w:lineRule="exact"/>
        <w:ind w:firstLine="640" w:firstLineChars="200"/>
        <w:outlineLvl w:val="2"/>
        <w:rPr>
          <w:rFonts w:ascii="仿宋_GB2312" w:hAnsi="仿宋" w:eastAsia="仿宋_GB2312"/>
          <w:color w:val="FF0000"/>
          <w:sz w:val="32"/>
          <w:szCs w:val="32"/>
        </w:rPr>
      </w:pPr>
      <w:r>
        <w:rPr>
          <w:rFonts w:hint="eastAsia" w:ascii="仿宋_GB2312" w:hAnsi="仿宋" w:eastAsia="仿宋_GB2312"/>
          <w:color w:val="000000" w:themeColor="text1"/>
          <w:sz w:val="32"/>
          <w:szCs w:val="32"/>
        </w:rPr>
        <w:t>2019年般公共预算支出决算数为1332.45万元，</w:t>
      </w:r>
      <w:r>
        <w:rPr>
          <w:rStyle w:val="17"/>
          <w:rFonts w:hint="eastAsia" w:ascii="仿宋_GB2312" w:hAnsi="仿宋" w:eastAsia="仿宋_GB2312"/>
          <w:b w:val="0"/>
          <w:bCs/>
          <w:color w:val="000000" w:themeColor="text1"/>
          <w:sz w:val="32"/>
          <w:szCs w:val="32"/>
        </w:rPr>
        <w:t>完成</w:t>
      </w:r>
      <w:r>
        <w:rPr>
          <w:rStyle w:val="17"/>
          <w:rFonts w:hint="eastAsia" w:ascii="仿宋_GB2312" w:hAnsi="仿宋" w:eastAsia="仿宋_GB2312"/>
          <w:b w:val="0"/>
          <w:bCs/>
          <w:color w:val="000000"/>
          <w:sz w:val="32"/>
          <w:szCs w:val="32"/>
        </w:rPr>
        <w:t>预算100%。其中：</w:t>
      </w:r>
      <w:bookmarkEnd w:id="33"/>
      <w:bookmarkEnd w:id="34"/>
      <w:bookmarkEnd w:id="35"/>
    </w:p>
    <w:p w14:paraId="40E12722">
      <w:pPr>
        <w:spacing w:line="600" w:lineRule="exact"/>
        <w:ind w:firstLine="640" w:firstLineChars="200"/>
        <w:rPr>
          <w:rFonts w:ascii="仿宋_GB2312" w:hAnsi="仿宋" w:eastAsia="仿宋_GB2312"/>
          <w:color w:val="000000"/>
          <w:sz w:val="32"/>
          <w:szCs w:val="32"/>
        </w:rPr>
      </w:pPr>
      <w:r>
        <w:rPr>
          <w:rStyle w:val="17"/>
          <w:rFonts w:hint="eastAsia" w:ascii="仿宋_GB2312" w:hAnsi="仿宋" w:eastAsia="仿宋_GB2312"/>
          <w:b w:val="0"/>
          <w:bCs/>
          <w:color w:val="000000"/>
          <w:sz w:val="32"/>
          <w:szCs w:val="32"/>
        </w:rPr>
        <w:t>1.</w:t>
      </w:r>
      <w:r>
        <w:rPr>
          <w:rFonts w:hint="eastAsia" w:ascii="仿宋_GB2312" w:eastAsia="仿宋_GB2312"/>
          <w:color w:val="000000"/>
          <w:sz w:val="32"/>
          <w:szCs w:val="32"/>
        </w:rPr>
        <w:t>城乡社区（类）其他城乡社区支出（款）其他城乡社区支出（项）</w:t>
      </w:r>
      <w:r>
        <w:rPr>
          <w:rStyle w:val="17"/>
          <w:rFonts w:hint="eastAsia" w:ascii="仿宋_GB2312" w:hAnsi="仿宋" w:eastAsia="仿宋_GB2312"/>
          <w:b w:val="0"/>
          <w:bCs/>
          <w:color w:val="000000"/>
          <w:sz w:val="32"/>
          <w:szCs w:val="32"/>
        </w:rPr>
        <w:t>: 其他城乡社区支出决算数为1266.30万元，完成预算100%。</w:t>
      </w:r>
    </w:p>
    <w:p w14:paraId="53915EB3">
      <w:pPr>
        <w:spacing w:line="600" w:lineRule="exact"/>
        <w:ind w:firstLine="640" w:firstLineChars="200"/>
        <w:rPr>
          <w:rStyle w:val="17"/>
          <w:rFonts w:ascii="仿宋_GB2312" w:hAnsi="仿宋" w:eastAsia="仿宋_GB2312"/>
          <w:b w:val="0"/>
          <w:bCs/>
          <w:color w:val="000000"/>
          <w:sz w:val="32"/>
          <w:szCs w:val="32"/>
        </w:rPr>
      </w:pPr>
      <w:r>
        <w:rPr>
          <w:rStyle w:val="17"/>
          <w:rFonts w:hint="eastAsia" w:ascii="仿宋_GB2312" w:hAnsi="仿宋" w:eastAsia="仿宋_GB2312"/>
          <w:b w:val="0"/>
          <w:bCs/>
          <w:color w:val="000000"/>
          <w:sz w:val="32"/>
          <w:szCs w:val="32"/>
        </w:rPr>
        <w:t>2.</w:t>
      </w:r>
      <w:r>
        <w:rPr>
          <w:rFonts w:hint="eastAsia" w:ascii="仿宋_GB2312" w:eastAsia="仿宋_GB2312"/>
          <w:color w:val="000000"/>
          <w:sz w:val="32"/>
          <w:szCs w:val="32"/>
        </w:rPr>
        <w:t>资源勘探信息等（类）国有资产监管（款）行政运行（项）</w:t>
      </w:r>
      <w:r>
        <w:rPr>
          <w:rStyle w:val="17"/>
          <w:rFonts w:hint="eastAsia" w:ascii="仿宋_GB2312" w:hAnsi="仿宋" w:eastAsia="仿宋_GB2312"/>
          <w:b w:val="0"/>
          <w:bCs/>
          <w:color w:val="000000"/>
          <w:sz w:val="32"/>
          <w:szCs w:val="32"/>
        </w:rPr>
        <w:t>: 国有资产监管行政运行支出决算数为32.54万元，完成预算100%。</w:t>
      </w:r>
    </w:p>
    <w:p w14:paraId="0DC16EB3">
      <w:pPr>
        <w:spacing w:line="600" w:lineRule="exact"/>
        <w:ind w:firstLine="640" w:firstLineChars="200"/>
        <w:rPr>
          <w:rStyle w:val="17"/>
          <w:rFonts w:ascii="仿宋_GB2312" w:hAnsi="仿宋" w:eastAsia="仿宋_GB2312"/>
          <w:b w:val="0"/>
          <w:bCs/>
          <w:color w:val="000000"/>
          <w:sz w:val="32"/>
          <w:szCs w:val="32"/>
        </w:rPr>
      </w:pPr>
      <w:r>
        <w:rPr>
          <w:rFonts w:hint="eastAsia" w:ascii="仿宋_GB2312" w:eastAsia="仿宋_GB2312"/>
          <w:color w:val="000000"/>
          <w:sz w:val="32"/>
          <w:szCs w:val="32"/>
        </w:rPr>
        <w:t>3.资源勘探信息等（类）国有资产监管（款）其他国有资产监管支出（项）：</w:t>
      </w:r>
      <w:r>
        <w:rPr>
          <w:rStyle w:val="17"/>
          <w:rFonts w:hint="eastAsia" w:ascii="仿宋_GB2312" w:hAnsi="仿宋" w:eastAsia="仿宋_GB2312"/>
          <w:b w:val="0"/>
          <w:bCs/>
          <w:color w:val="000000"/>
          <w:sz w:val="32"/>
          <w:szCs w:val="32"/>
        </w:rPr>
        <w:t>其他国有资产监管支出决算数为24.78万元，完成预算100%。</w:t>
      </w:r>
    </w:p>
    <w:p w14:paraId="441D701C">
      <w:pPr>
        <w:spacing w:line="600" w:lineRule="exact"/>
        <w:ind w:firstLine="640" w:firstLineChars="200"/>
        <w:rPr>
          <w:rFonts w:ascii="仿宋_GB2312" w:hAnsi="仿宋" w:eastAsia="仿宋_GB2312"/>
          <w:bCs/>
          <w:color w:val="000000"/>
          <w:sz w:val="32"/>
          <w:szCs w:val="32"/>
        </w:rPr>
      </w:pPr>
      <w:r>
        <w:rPr>
          <w:rFonts w:hint="eastAsia" w:ascii="仿宋_GB2312" w:eastAsia="仿宋_GB2312"/>
          <w:color w:val="000000"/>
          <w:sz w:val="32"/>
          <w:szCs w:val="32"/>
        </w:rPr>
        <w:t>4.住房保障（类）住房改革支出（款）住房公积金（项）：</w:t>
      </w:r>
      <w:r>
        <w:rPr>
          <w:rStyle w:val="17"/>
          <w:rFonts w:hint="eastAsia" w:ascii="仿宋_GB2312" w:hAnsi="仿宋" w:eastAsia="仿宋_GB2312"/>
          <w:b w:val="0"/>
          <w:bCs/>
          <w:color w:val="000000"/>
          <w:sz w:val="32"/>
          <w:szCs w:val="32"/>
        </w:rPr>
        <w:t>住房公积金支出决算数为3.29万元，完成预算100%。</w:t>
      </w:r>
    </w:p>
    <w:p w14:paraId="4B5580AE">
      <w:pPr>
        <w:ind w:firstLine="640" w:firstLineChars="200"/>
        <w:rPr>
          <w:rFonts w:ascii="仿宋_GB2312" w:eastAsia="仿宋_GB2312"/>
        </w:rPr>
      </w:pPr>
      <w:r>
        <w:rPr>
          <w:rFonts w:hint="eastAsia" w:ascii="仿宋_GB2312" w:eastAsia="仿宋_GB2312"/>
          <w:color w:val="000000"/>
          <w:sz w:val="32"/>
          <w:szCs w:val="32"/>
        </w:rPr>
        <w:t>5.社会保障和就业（类）政事业单位离退休（款）机关事业单位基本养老保险缴费支出（项）：</w:t>
      </w:r>
      <w:r>
        <w:rPr>
          <w:rStyle w:val="17"/>
          <w:rFonts w:hint="eastAsia" w:ascii="仿宋_GB2312" w:hAnsi="仿宋" w:eastAsia="仿宋_GB2312"/>
          <w:b w:val="0"/>
          <w:bCs/>
          <w:color w:val="000000"/>
          <w:sz w:val="32"/>
          <w:szCs w:val="32"/>
        </w:rPr>
        <w:t>机关事业单位基本养老保险缴费支出决算数为2.72万元，完成预算100%，</w:t>
      </w:r>
    </w:p>
    <w:p w14:paraId="486E5735">
      <w:pPr>
        <w:spacing w:line="600" w:lineRule="exact"/>
        <w:ind w:firstLine="640" w:firstLineChars="200"/>
        <w:rPr>
          <w:rStyle w:val="17"/>
          <w:rFonts w:ascii="仿宋_GB2312" w:hAnsi="仿宋" w:eastAsia="仿宋_GB2312"/>
          <w:b w:val="0"/>
          <w:bCs/>
          <w:color w:val="000000"/>
          <w:sz w:val="32"/>
          <w:szCs w:val="32"/>
        </w:rPr>
      </w:pPr>
      <w:r>
        <w:rPr>
          <w:rFonts w:hint="eastAsia" w:ascii="仿宋_GB2312" w:eastAsia="仿宋_GB2312"/>
          <w:color w:val="000000"/>
          <w:sz w:val="32"/>
          <w:szCs w:val="32"/>
        </w:rPr>
        <w:t>6.社会保障和就业（类）行政事业单位离退休（款）机关事业单位职业年金缴费支出（项）：</w:t>
      </w:r>
      <w:r>
        <w:rPr>
          <w:rStyle w:val="17"/>
          <w:rFonts w:hint="eastAsia" w:ascii="仿宋_GB2312" w:hAnsi="仿宋" w:eastAsia="仿宋_GB2312"/>
          <w:b w:val="0"/>
          <w:bCs/>
          <w:color w:val="000000"/>
          <w:sz w:val="32"/>
          <w:szCs w:val="32"/>
        </w:rPr>
        <w:t>机关事业单位职业年金缴费支出决算数为1.54万元，完成预算100%。</w:t>
      </w:r>
    </w:p>
    <w:p w14:paraId="4F9CC080">
      <w:pPr>
        <w:spacing w:line="600" w:lineRule="exact"/>
        <w:ind w:firstLine="640" w:firstLineChars="200"/>
        <w:rPr>
          <w:rStyle w:val="17"/>
          <w:rFonts w:ascii="仿宋_GB2312" w:hAnsi="仿宋" w:eastAsia="仿宋_GB2312"/>
          <w:b w:val="0"/>
          <w:bCs/>
          <w:color w:val="000000"/>
          <w:sz w:val="32"/>
          <w:szCs w:val="32"/>
        </w:rPr>
      </w:pPr>
      <w:r>
        <w:rPr>
          <w:rFonts w:hint="eastAsia" w:ascii="仿宋_GB2312" w:eastAsia="仿宋_GB2312"/>
          <w:color w:val="000000"/>
          <w:sz w:val="32"/>
          <w:szCs w:val="32"/>
        </w:rPr>
        <w:t>7.医疗卫生与计划生育（类）行政事业单位医疗（款）行政单位医疗（项）：</w:t>
      </w:r>
      <w:r>
        <w:rPr>
          <w:rStyle w:val="17"/>
          <w:rFonts w:hint="eastAsia" w:ascii="仿宋_GB2312" w:hAnsi="仿宋" w:eastAsia="仿宋_GB2312"/>
          <w:b w:val="0"/>
          <w:bCs/>
          <w:color w:val="000000"/>
          <w:sz w:val="32"/>
          <w:szCs w:val="32"/>
        </w:rPr>
        <w:t>行政单位医疗支出决算数为1.2万元，完成预算100%。</w:t>
      </w:r>
    </w:p>
    <w:p w14:paraId="20ADAA25">
      <w:pPr>
        <w:spacing w:line="600" w:lineRule="exact"/>
        <w:ind w:firstLine="640" w:firstLineChars="200"/>
        <w:rPr>
          <w:rStyle w:val="17"/>
          <w:rFonts w:ascii="仿宋_GB2312" w:hAnsi="仿宋" w:eastAsia="仿宋_GB2312"/>
          <w:b w:val="0"/>
          <w:color w:val="000000"/>
          <w:sz w:val="32"/>
          <w:szCs w:val="32"/>
        </w:rPr>
      </w:pPr>
      <w:r>
        <w:rPr>
          <w:rFonts w:hint="eastAsia" w:ascii="仿宋_GB2312" w:eastAsia="仿宋_GB2312"/>
          <w:color w:val="000000"/>
          <w:sz w:val="32"/>
          <w:szCs w:val="32"/>
        </w:rPr>
        <w:t>8.医疗卫生与计划生育（类）行政事业单位医疗（款）</w:t>
      </w:r>
      <w:r>
        <w:rPr>
          <w:rStyle w:val="17"/>
          <w:rFonts w:hint="eastAsia" w:ascii="仿宋_GB2312" w:hAnsi="仿宋" w:eastAsia="仿宋_GB2312"/>
          <w:b w:val="0"/>
          <w:bCs/>
          <w:color w:val="000000"/>
          <w:sz w:val="32"/>
          <w:szCs w:val="32"/>
        </w:rPr>
        <w:t>其他卫生健康支出</w:t>
      </w:r>
      <w:r>
        <w:rPr>
          <w:rFonts w:hint="eastAsia" w:ascii="仿宋_GB2312" w:eastAsia="仿宋_GB2312"/>
          <w:color w:val="000000"/>
          <w:sz w:val="32"/>
          <w:szCs w:val="32"/>
        </w:rPr>
        <w:t>（项）：</w:t>
      </w:r>
      <w:r>
        <w:rPr>
          <w:rStyle w:val="17"/>
          <w:rFonts w:hint="eastAsia" w:ascii="仿宋_GB2312" w:hAnsi="仿宋" w:eastAsia="仿宋_GB2312"/>
          <w:b w:val="0"/>
          <w:bCs/>
          <w:color w:val="000000"/>
          <w:sz w:val="32"/>
          <w:szCs w:val="32"/>
        </w:rPr>
        <w:t>其他卫生健康支出决算数为0.08万，完成预算100%。</w:t>
      </w:r>
    </w:p>
    <w:p w14:paraId="137A0999">
      <w:pPr>
        <w:tabs>
          <w:tab w:val="right" w:pos="8306"/>
        </w:tabs>
        <w:spacing w:line="600" w:lineRule="exact"/>
        <w:ind w:firstLine="640"/>
        <w:outlineLvl w:val="1"/>
        <w:rPr>
          <w:rStyle w:val="28"/>
        </w:rPr>
      </w:pPr>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36"/>
      <w:bookmarkEnd w:id="37"/>
      <w:r>
        <w:rPr>
          <w:rStyle w:val="28"/>
          <w:rFonts w:ascii="黑体" w:hAnsi="黑体" w:eastAsia="黑体"/>
          <w:b w:val="0"/>
        </w:rPr>
        <w:tab/>
      </w:r>
    </w:p>
    <w:p w14:paraId="7AE68478">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2019年一般公共预算财政拨款基本支出41.37万元，其中：</w:t>
      </w:r>
    </w:p>
    <w:p w14:paraId="72EFE39E">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人员经费36.15万元，主要包括：基本工资、津贴补贴、奖金、奖金、机关事业单位基本养老保险缴费、职业年金缴费、其他社会保障缴费、住房公积金等。</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日常公用经费5.22万元，主要包括：办公费、印刷费、电费、维修（护）费、会议费、其他交通费等。</w:t>
      </w:r>
    </w:p>
    <w:p w14:paraId="6FEF0B45">
      <w:pPr>
        <w:spacing w:line="600" w:lineRule="exact"/>
        <w:ind w:firstLine="640"/>
        <w:outlineLvl w:val="1"/>
        <w:rPr>
          <w:rStyle w:val="28"/>
          <w:rFonts w:ascii="黑体" w:hAnsi="黑体" w:eastAsia="黑体"/>
          <w:b w:val="0"/>
        </w:rPr>
      </w:pPr>
      <w:bookmarkStart w:id="38" w:name="_Toc15377215"/>
      <w:bookmarkStart w:id="39"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38"/>
      <w:bookmarkEnd w:id="39"/>
      <w:bookmarkStart w:id="40" w:name="_Toc15377216"/>
    </w:p>
    <w:p w14:paraId="212B23A8">
      <w:pPr>
        <w:spacing w:line="600" w:lineRule="exact"/>
        <w:ind w:firstLine="480" w:firstLineChars="150"/>
        <w:outlineLvl w:val="1"/>
        <w:rPr>
          <w:rFonts w:ascii="楷体" w:hAnsi="楷体" w:eastAsia="楷体" w:cstheme="majorBidi"/>
          <w:bCs/>
          <w:sz w:val="32"/>
          <w:szCs w:val="32"/>
        </w:rPr>
      </w:pPr>
      <w:r>
        <w:rPr>
          <w:rFonts w:hint="eastAsia" w:ascii="楷体" w:hAnsi="楷体" w:eastAsia="楷体"/>
          <w:color w:val="000000"/>
          <w:sz w:val="32"/>
          <w:szCs w:val="32"/>
        </w:rPr>
        <w:t>（一）“三公”经费财政拨款支出决算总体情况说明</w:t>
      </w:r>
      <w:bookmarkEnd w:id="40"/>
    </w:p>
    <w:p w14:paraId="27331368">
      <w:pPr>
        <w:spacing w:line="600" w:lineRule="exact"/>
        <w:ind w:firstLine="640" w:firstLineChars="200"/>
        <w:rPr>
          <w:rFonts w:ascii="仿宋_GB2312" w:hAnsi="仿宋" w:eastAsia="仿宋_GB2312"/>
          <w:b/>
          <w:color w:val="FF0000"/>
          <w:sz w:val="32"/>
          <w:szCs w:val="32"/>
        </w:rPr>
      </w:pPr>
      <w:r>
        <w:rPr>
          <w:rFonts w:hint="eastAsia" w:ascii="仿宋_GB2312" w:hAnsi="仿宋" w:eastAsia="仿宋_GB2312"/>
          <w:color w:val="000000"/>
          <w:sz w:val="32"/>
          <w:szCs w:val="32"/>
        </w:rPr>
        <w:t>我单位为2019年新成立单位，暂无因公出国（境）费、公务用车运行维护费、公务接待费支出。</w:t>
      </w:r>
    </w:p>
    <w:p w14:paraId="46E49C56">
      <w:pPr>
        <w:spacing w:line="600" w:lineRule="exact"/>
        <w:ind w:firstLine="470" w:firstLineChars="147"/>
        <w:outlineLvl w:val="2"/>
        <w:rPr>
          <w:rFonts w:ascii="楷体" w:hAnsi="楷体" w:eastAsia="楷体"/>
          <w:color w:val="000000"/>
          <w:sz w:val="32"/>
          <w:szCs w:val="32"/>
        </w:rPr>
      </w:pPr>
      <w:bookmarkStart w:id="41" w:name="_Toc15377217"/>
      <w:r>
        <w:rPr>
          <w:rFonts w:hint="eastAsia" w:ascii="楷体" w:hAnsi="楷体" w:eastAsia="楷体"/>
          <w:color w:val="000000"/>
          <w:sz w:val="32"/>
          <w:szCs w:val="32"/>
        </w:rPr>
        <w:t>（二）“三公”经费财政拨款支出决算具体情况说明</w:t>
      </w:r>
      <w:bookmarkEnd w:id="41"/>
    </w:p>
    <w:p w14:paraId="4FFCE4C5">
      <w:pPr>
        <w:spacing w:line="600" w:lineRule="exact"/>
        <w:ind w:firstLine="640"/>
        <w:outlineLvl w:val="2"/>
        <w:rPr>
          <w:rFonts w:ascii="仿宋_GB2312" w:hAnsi="仿宋" w:eastAsia="仿宋_GB2312"/>
          <w:color w:val="000000"/>
          <w:sz w:val="32"/>
          <w:szCs w:val="32"/>
        </w:rPr>
      </w:pPr>
      <w:r>
        <w:rPr>
          <w:rFonts w:hint="eastAsia" w:ascii="仿宋_GB2312" w:hAnsi="仿宋" w:eastAsia="仿宋_GB2312"/>
          <w:color w:val="000000"/>
          <w:sz w:val="32"/>
          <w:szCs w:val="32"/>
        </w:rPr>
        <w:t>暂无。</w:t>
      </w:r>
    </w:p>
    <w:p w14:paraId="73BF4E58">
      <w:pPr>
        <w:spacing w:line="600" w:lineRule="exact"/>
        <w:ind w:firstLine="640"/>
        <w:outlineLvl w:val="1"/>
        <w:rPr>
          <w:rStyle w:val="28"/>
          <w:rFonts w:ascii="黑体" w:hAnsi="黑体" w:eastAsia="黑体"/>
        </w:rPr>
      </w:pPr>
      <w:bookmarkStart w:id="42" w:name="_Toc15377218"/>
      <w:bookmarkStart w:id="43" w:name="_Toc15396610"/>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2"/>
      <w:bookmarkEnd w:id="43"/>
    </w:p>
    <w:p w14:paraId="2B9F0A5E">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14:paraId="16A25F83">
      <w:pPr>
        <w:numPr>
          <w:ilvl w:val="0"/>
          <w:numId w:val="2"/>
        </w:numPr>
        <w:spacing w:line="600" w:lineRule="exact"/>
        <w:ind w:firstLine="640"/>
        <w:outlineLvl w:val="1"/>
        <w:rPr>
          <w:rStyle w:val="28"/>
          <w:rFonts w:ascii="黑体" w:hAnsi="黑体" w:eastAsia="黑体"/>
          <w:b w:val="0"/>
        </w:rPr>
      </w:pPr>
      <w:bookmarkStart w:id="44" w:name="_Toc15396611"/>
      <w:bookmarkStart w:id="45" w:name="_Toc15377219"/>
      <w:r>
        <w:rPr>
          <w:rStyle w:val="28"/>
          <w:rFonts w:hint="eastAsia" w:ascii="黑体" w:hAnsi="黑体" w:eastAsia="黑体"/>
          <w:b w:val="0"/>
        </w:rPr>
        <w:t>国有资本经营预算支出决算情况说明</w:t>
      </w:r>
      <w:bookmarkEnd w:id="44"/>
      <w:bookmarkEnd w:id="45"/>
    </w:p>
    <w:p w14:paraId="5A7BF062">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14:paraId="5715C434">
      <w:pPr>
        <w:spacing w:line="600" w:lineRule="exact"/>
        <w:ind w:firstLine="640" w:firstLineChars="200"/>
        <w:outlineLvl w:val="1"/>
        <w:rPr>
          <w:rStyle w:val="28"/>
          <w:rFonts w:ascii="黑体" w:hAnsi="黑体" w:eastAsia="黑体"/>
        </w:rPr>
      </w:pPr>
      <w:bookmarkStart w:id="46" w:name="_Toc15396612"/>
      <w:bookmarkStart w:id="47" w:name="_Toc15377221"/>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46"/>
      <w:bookmarkEnd w:id="47"/>
    </w:p>
    <w:p w14:paraId="164CE628">
      <w:pPr>
        <w:spacing w:line="600" w:lineRule="exact"/>
        <w:ind w:firstLine="470" w:firstLineChars="147"/>
        <w:outlineLvl w:val="2"/>
        <w:rPr>
          <w:rFonts w:ascii="楷体" w:hAnsi="楷体" w:eastAsia="楷体"/>
          <w:color w:val="000000"/>
          <w:sz w:val="32"/>
          <w:szCs w:val="32"/>
        </w:rPr>
      </w:pPr>
      <w:bookmarkStart w:id="48" w:name="_Toc15377222"/>
      <w:r>
        <w:rPr>
          <w:rFonts w:hint="eastAsia" w:ascii="楷体" w:hAnsi="楷体" w:eastAsia="楷体"/>
          <w:color w:val="000000"/>
          <w:sz w:val="32"/>
          <w:szCs w:val="32"/>
        </w:rPr>
        <w:t>（一）机关运行经费支出情况</w:t>
      </w:r>
      <w:bookmarkEnd w:id="48"/>
    </w:p>
    <w:p w14:paraId="1F5A8AED">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9年，广汉市国有资产监督管理和金融工作局机关运行经费支出5.22万元。</w:t>
      </w:r>
    </w:p>
    <w:p w14:paraId="434096EF">
      <w:pPr>
        <w:autoSpaceDE w:val="0"/>
        <w:autoSpaceDN w:val="0"/>
        <w:adjustRightInd w:val="0"/>
        <w:spacing w:line="600" w:lineRule="exact"/>
        <w:ind w:firstLine="470" w:firstLineChars="147"/>
        <w:jc w:val="left"/>
        <w:outlineLvl w:val="2"/>
        <w:rPr>
          <w:rFonts w:ascii="楷体" w:hAnsi="楷体" w:eastAsia="楷体"/>
          <w:color w:val="000000"/>
          <w:sz w:val="32"/>
          <w:szCs w:val="32"/>
        </w:rPr>
      </w:pPr>
      <w:bookmarkStart w:id="49" w:name="_Toc15377223"/>
      <w:r>
        <w:rPr>
          <w:rFonts w:hint="eastAsia" w:ascii="楷体" w:hAnsi="楷体" w:eastAsia="楷体"/>
          <w:color w:val="000000"/>
          <w:sz w:val="32"/>
          <w:szCs w:val="32"/>
        </w:rPr>
        <w:t>（二）政府采购支出情况</w:t>
      </w:r>
      <w:bookmarkEnd w:id="49"/>
    </w:p>
    <w:p w14:paraId="50298BE2">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9年，广汉市国有资产监督管理和金融工作局政府采购支出总额7.99万元，其中：政府采购货物支出7.99万元，主要用于购买办公家具、电脑、打印机等。授予中小企业合同金额7.99万元，占政府采购支出总额的100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w:t>
      </w:r>
    </w:p>
    <w:p w14:paraId="2F8F3DB9">
      <w:pPr>
        <w:autoSpaceDE w:val="0"/>
        <w:autoSpaceDN w:val="0"/>
        <w:adjustRightInd w:val="0"/>
        <w:spacing w:line="600" w:lineRule="exact"/>
        <w:ind w:firstLine="470" w:firstLineChars="147"/>
        <w:jc w:val="left"/>
        <w:outlineLvl w:val="2"/>
        <w:rPr>
          <w:rFonts w:ascii="楷体" w:hAnsi="楷体" w:eastAsia="楷体"/>
          <w:color w:val="000000"/>
          <w:sz w:val="32"/>
          <w:szCs w:val="32"/>
        </w:rPr>
      </w:pPr>
      <w:bookmarkStart w:id="50" w:name="_Toc15377224"/>
      <w:r>
        <w:rPr>
          <w:rFonts w:hint="eastAsia" w:ascii="楷体" w:hAnsi="楷体" w:eastAsia="楷体"/>
          <w:color w:val="000000"/>
          <w:sz w:val="32"/>
          <w:szCs w:val="32"/>
        </w:rPr>
        <w:t>（三）国有资产占有使用情况</w:t>
      </w:r>
      <w:bookmarkEnd w:id="50"/>
    </w:p>
    <w:p w14:paraId="771CF3A7">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日，广汉市国有资产监督管理和金融工作局共有车辆0辆。</w:t>
      </w:r>
    </w:p>
    <w:p w14:paraId="226B89BD">
      <w:pPr>
        <w:autoSpaceDE w:val="0"/>
        <w:autoSpaceDN w:val="0"/>
        <w:adjustRightInd w:val="0"/>
        <w:spacing w:line="600" w:lineRule="exact"/>
        <w:ind w:firstLine="470" w:firstLineChars="147"/>
        <w:jc w:val="left"/>
        <w:outlineLvl w:val="2"/>
        <w:rPr>
          <w:rFonts w:ascii="楷体" w:hAnsi="楷体" w:eastAsia="楷体"/>
          <w:color w:val="000000"/>
          <w:sz w:val="32"/>
          <w:szCs w:val="32"/>
        </w:rPr>
      </w:pPr>
      <w:r>
        <w:rPr>
          <w:rFonts w:hint="eastAsia" w:ascii="楷体" w:hAnsi="楷体" w:eastAsia="楷体"/>
          <w:color w:val="000000"/>
          <w:sz w:val="32"/>
          <w:szCs w:val="32"/>
        </w:rPr>
        <w:t>（四）预算绩效管理情况</w:t>
      </w:r>
    </w:p>
    <w:p w14:paraId="39AAE71F">
      <w:pPr>
        <w:spacing w:line="580" w:lineRule="exact"/>
        <w:ind w:firstLine="640" w:firstLineChars="200"/>
        <w:rPr>
          <w:rFonts w:ascii="仿宋_GB2312" w:eastAsia="仿宋_GB2312"/>
          <w:kern w:val="0"/>
          <w:sz w:val="32"/>
          <w:szCs w:val="32"/>
        </w:rPr>
      </w:pPr>
      <w:r>
        <w:rPr>
          <w:rFonts w:hint="eastAsia" w:ascii="仿宋_GB2312" w:hAnsi="仿宋_GB2312" w:eastAsia="仿宋_GB2312" w:cs="仿宋_GB2312"/>
          <w:sz w:val="32"/>
          <w:szCs w:val="32"/>
        </w:rPr>
        <w:t>我局按要求对2019年部门整体支出开展绩效自评，从评价情况来看预算</w:t>
      </w:r>
      <w:r>
        <w:rPr>
          <w:rFonts w:hint="eastAsia" w:ascii="仿宋_GB2312" w:eastAsia="仿宋_GB2312"/>
          <w:kern w:val="0"/>
          <w:sz w:val="32"/>
          <w:szCs w:val="32"/>
        </w:rPr>
        <w:t>绩效管理情况较为理想，所有资金使用严格按照审批程序办理，操作规范，会计核算结果真实、准确，各项支出严格按照各项制度执行。</w:t>
      </w:r>
      <w:r>
        <w:rPr>
          <w:rFonts w:hint="eastAsia" w:ascii="仿宋_GB2312" w:hAnsi="仿宋_GB2312" w:eastAsia="仿宋_GB2312" w:cs="仿宋_GB2312"/>
          <w:sz w:val="32"/>
          <w:szCs w:val="32"/>
        </w:rPr>
        <w:t>《广汉市国有资产监督管理和金融工作局2019年部门整体支出绩效评价报告》见附件（附件1）。</w:t>
      </w:r>
    </w:p>
    <w:p w14:paraId="35567231">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0A854836">
      <w:pPr>
        <w:numPr>
          <w:ilvl w:val="0"/>
          <w:numId w:val="3"/>
        </w:numPr>
        <w:spacing w:line="600" w:lineRule="exact"/>
        <w:ind w:firstLine="660" w:firstLineChars="150"/>
        <w:jc w:val="center"/>
        <w:outlineLvl w:val="0"/>
        <w:rPr>
          <w:rStyle w:val="27"/>
          <w:rFonts w:ascii="黑体" w:hAnsi="黑体" w:eastAsia="黑体"/>
          <w:b w:val="0"/>
        </w:rPr>
      </w:pPr>
      <w:bookmarkStart w:id="51" w:name="_Toc15396613"/>
      <w:bookmarkStart w:id="52" w:name="_Toc15377225"/>
      <w:r>
        <w:rPr>
          <w:rFonts w:hint="eastAsia" w:ascii="黑体" w:hAnsi="黑体" w:eastAsia="黑体"/>
          <w:color w:val="000000"/>
          <w:sz w:val="44"/>
          <w:szCs w:val="44"/>
        </w:rPr>
        <w:t>名</w:t>
      </w:r>
      <w:r>
        <w:rPr>
          <w:rStyle w:val="27"/>
          <w:rFonts w:hint="eastAsia" w:ascii="黑体" w:hAnsi="黑体" w:eastAsia="黑体"/>
          <w:b w:val="0"/>
        </w:rPr>
        <w:t>词解释</w:t>
      </w:r>
      <w:bookmarkEnd w:id="51"/>
      <w:bookmarkEnd w:id="52"/>
    </w:p>
    <w:p w14:paraId="7BBE416A">
      <w:pPr>
        <w:spacing w:line="600" w:lineRule="exact"/>
        <w:jc w:val="left"/>
        <w:rPr>
          <w:rFonts w:ascii="宋体"/>
          <w:b/>
          <w:color w:val="000000"/>
          <w:sz w:val="44"/>
          <w:szCs w:val="44"/>
        </w:rPr>
      </w:pPr>
    </w:p>
    <w:p w14:paraId="61C7444C">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3F4BADB6">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4AB83B11">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60B3DF98">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7B434F42">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0F806FA5">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0703DF43">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7.年末结转和结余：指单位按有关规定结转到下年或以后年度继续使用的资金。</w:t>
      </w:r>
    </w:p>
    <w:p w14:paraId="2A48828B">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47C93C77">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5D4C52D7">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3132678">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936FC9">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社会保障和就业（类）行政事业单位离退休（款）机关事业单位基本养老保险缴费支出（项）：指机关和参公事业单位为职工缴纳的基本养老保险缴费。</w:t>
      </w:r>
    </w:p>
    <w:p w14:paraId="6263F4B8">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社会保障和就业（类）行政事业单位离退休（款）机关事业单位职业年金缴费支出（项）：指机关和参公事业单位为职工缴纳的职业年金。</w:t>
      </w:r>
    </w:p>
    <w:p w14:paraId="6B277F26">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医疗卫生与计划生育（类）行政事业单位医疗（款）行政单位医疗（项）：指单位为职工缴纳的基本医疗保险费</w:t>
      </w:r>
    </w:p>
    <w:p w14:paraId="1039069B">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住房保障（类）住房改革支出（款）住房公积金（项）：指单位按规定为职工缴纳的住房公积金。</w:t>
      </w:r>
    </w:p>
    <w:p w14:paraId="2F8B7276">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城乡社区（类）其他城乡社区支出（款）其他城乡社区支出（项）：指反映上述项目以外其他用于城乡社区方面的支出。</w:t>
      </w:r>
    </w:p>
    <w:p w14:paraId="62CBC191">
      <w:pPr>
        <w:ind w:firstLine="640" w:firstLineChars="200"/>
        <w:rPr>
          <w:rFonts w:ascii="仿宋_GB2312" w:eastAsia="仿宋_GB2312"/>
          <w:color w:val="000000"/>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color w:val="000000"/>
          <w:sz w:val="32"/>
          <w:szCs w:val="32"/>
        </w:rPr>
        <w:t>资源勘探信息等（类）国有资产监管（款）行政运行（项）：指行政单位（包括实行公务员管理的事业单位）的基本支出。</w:t>
      </w:r>
    </w:p>
    <w:p w14:paraId="1CA625FF">
      <w:pPr>
        <w:ind w:firstLine="640" w:firstLineChars="200"/>
        <w:rPr>
          <w:rFonts w:ascii="仿宋_GB2312" w:eastAsia="仿宋_GB2312"/>
          <w:color w:val="000000"/>
          <w:sz w:val="32"/>
          <w:szCs w:val="32"/>
        </w:rPr>
      </w:pPr>
      <w:bookmarkStart w:id="53" w:name="_Toc15396614"/>
      <w:bookmarkStart w:id="54" w:name="_Toc15377226"/>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资源勘探信息等（类）国有资产监管（款）其他国有资产监管支出（项）：除上述项目以外其他用于国有资产监管方面的支出。</w:t>
      </w:r>
    </w:p>
    <w:p w14:paraId="6484A760">
      <w:pPr>
        <w:spacing w:line="600" w:lineRule="exact"/>
        <w:jc w:val="center"/>
        <w:outlineLvl w:val="0"/>
        <w:rPr>
          <w:rFonts w:ascii="仿宋" w:hAnsi="仿宋" w:eastAsia="仿宋"/>
          <w:b/>
          <w:color w:val="000000"/>
          <w:sz w:val="32"/>
          <w:szCs w:val="32"/>
        </w:rPr>
      </w:pPr>
    </w:p>
    <w:p w14:paraId="29CEDD78">
      <w:pPr>
        <w:spacing w:line="600" w:lineRule="exact"/>
        <w:jc w:val="center"/>
        <w:outlineLvl w:val="0"/>
        <w:rPr>
          <w:rFonts w:ascii="仿宋" w:hAnsi="仿宋" w:eastAsia="仿宋"/>
          <w:b/>
          <w:color w:val="000000"/>
          <w:sz w:val="32"/>
          <w:szCs w:val="32"/>
        </w:rPr>
      </w:pPr>
    </w:p>
    <w:p w14:paraId="0494FA77">
      <w:pPr>
        <w:spacing w:line="600" w:lineRule="exact"/>
        <w:jc w:val="center"/>
        <w:outlineLvl w:val="0"/>
        <w:rPr>
          <w:rFonts w:ascii="仿宋" w:hAnsi="仿宋" w:eastAsia="仿宋"/>
          <w:b/>
          <w:color w:val="000000"/>
          <w:sz w:val="32"/>
          <w:szCs w:val="32"/>
        </w:rPr>
      </w:pPr>
    </w:p>
    <w:p w14:paraId="7402A6CA">
      <w:pPr>
        <w:spacing w:line="600" w:lineRule="exact"/>
        <w:jc w:val="center"/>
        <w:outlineLvl w:val="0"/>
        <w:rPr>
          <w:rFonts w:ascii="仿宋" w:hAnsi="仿宋" w:eastAsia="仿宋"/>
          <w:b/>
          <w:color w:val="000000"/>
          <w:sz w:val="32"/>
          <w:szCs w:val="32"/>
        </w:rPr>
      </w:pPr>
    </w:p>
    <w:p w14:paraId="27CE93AB">
      <w:pPr>
        <w:spacing w:line="600" w:lineRule="exact"/>
        <w:jc w:val="center"/>
        <w:outlineLvl w:val="0"/>
        <w:rPr>
          <w:rFonts w:ascii="仿宋" w:hAnsi="仿宋" w:eastAsia="仿宋"/>
          <w:b/>
          <w:color w:val="000000"/>
          <w:sz w:val="32"/>
          <w:szCs w:val="32"/>
        </w:rPr>
      </w:pPr>
    </w:p>
    <w:p w14:paraId="1A446695">
      <w:pPr>
        <w:spacing w:line="600" w:lineRule="exact"/>
        <w:jc w:val="center"/>
        <w:outlineLvl w:val="0"/>
        <w:rPr>
          <w:rFonts w:ascii="仿宋" w:hAnsi="仿宋" w:eastAsia="仿宋"/>
          <w:b/>
          <w:color w:val="000000"/>
          <w:sz w:val="32"/>
          <w:szCs w:val="32"/>
        </w:rPr>
      </w:pPr>
    </w:p>
    <w:p w14:paraId="14CBD864">
      <w:pPr>
        <w:spacing w:line="600" w:lineRule="exact"/>
        <w:jc w:val="center"/>
        <w:outlineLvl w:val="0"/>
        <w:rPr>
          <w:rFonts w:ascii="仿宋" w:hAnsi="仿宋" w:eastAsia="仿宋"/>
          <w:b/>
          <w:color w:val="000000"/>
          <w:sz w:val="32"/>
          <w:szCs w:val="32"/>
        </w:rPr>
      </w:pPr>
    </w:p>
    <w:p w14:paraId="68731996">
      <w:pPr>
        <w:spacing w:line="600" w:lineRule="exact"/>
        <w:jc w:val="center"/>
        <w:outlineLvl w:val="0"/>
        <w:rPr>
          <w:rFonts w:ascii="仿宋" w:hAnsi="仿宋" w:eastAsia="仿宋"/>
          <w:b/>
          <w:color w:val="000000"/>
          <w:sz w:val="32"/>
          <w:szCs w:val="32"/>
        </w:rPr>
      </w:pPr>
    </w:p>
    <w:p w14:paraId="7593B472">
      <w:pPr>
        <w:spacing w:line="600" w:lineRule="exact"/>
        <w:jc w:val="center"/>
        <w:outlineLvl w:val="0"/>
        <w:rPr>
          <w:rFonts w:ascii="仿宋" w:hAnsi="仿宋" w:eastAsia="仿宋"/>
          <w:b/>
          <w:color w:val="000000"/>
          <w:sz w:val="32"/>
          <w:szCs w:val="32"/>
        </w:rPr>
      </w:pPr>
    </w:p>
    <w:p w14:paraId="1F37A279">
      <w:pPr>
        <w:spacing w:line="600" w:lineRule="exact"/>
        <w:jc w:val="center"/>
        <w:outlineLvl w:val="0"/>
        <w:rPr>
          <w:rFonts w:ascii="仿宋" w:hAnsi="仿宋" w:eastAsia="仿宋"/>
          <w:b/>
          <w:color w:val="000000"/>
          <w:sz w:val="32"/>
          <w:szCs w:val="32"/>
        </w:rPr>
      </w:pPr>
    </w:p>
    <w:p w14:paraId="5853D1F1">
      <w:pPr>
        <w:spacing w:line="600" w:lineRule="exact"/>
        <w:jc w:val="center"/>
        <w:outlineLvl w:val="0"/>
        <w:rPr>
          <w:rFonts w:ascii="仿宋" w:hAnsi="仿宋" w:eastAsia="仿宋"/>
          <w:b/>
          <w:color w:val="000000"/>
          <w:sz w:val="32"/>
          <w:szCs w:val="32"/>
        </w:rPr>
      </w:pPr>
    </w:p>
    <w:p w14:paraId="1693B5F2">
      <w:pPr>
        <w:spacing w:line="600" w:lineRule="exact"/>
        <w:jc w:val="center"/>
        <w:outlineLvl w:val="0"/>
        <w:rPr>
          <w:rFonts w:ascii="仿宋" w:hAnsi="仿宋" w:eastAsia="仿宋"/>
          <w:b/>
          <w:color w:val="000000"/>
          <w:sz w:val="32"/>
          <w:szCs w:val="32"/>
        </w:rPr>
      </w:pPr>
    </w:p>
    <w:p w14:paraId="047BEB10">
      <w:pPr>
        <w:spacing w:line="600" w:lineRule="exact"/>
        <w:jc w:val="center"/>
        <w:outlineLvl w:val="0"/>
        <w:rPr>
          <w:rFonts w:ascii="仿宋" w:hAnsi="仿宋" w:eastAsia="仿宋"/>
          <w:b/>
          <w:color w:val="000000"/>
          <w:sz w:val="32"/>
          <w:szCs w:val="32"/>
        </w:rPr>
      </w:pPr>
    </w:p>
    <w:p w14:paraId="3E06EC5C">
      <w:pPr>
        <w:spacing w:line="600" w:lineRule="exact"/>
        <w:jc w:val="center"/>
        <w:outlineLvl w:val="0"/>
        <w:rPr>
          <w:rFonts w:ascii="仿宋" w:hAnsi="仿宋" w:eastAsia="仿宋"/>
          <w:b/>
          <w:color w:val="000000"/>
          <w:sz w:val="32"/>
          <w:szCs w:val="32"/>
        </w:rPr>
      </w:pPr>
    </w:p>
    <w:p w14:paraId="6FF4E414">
      <w:pPr>
        <w:spacing w:line="600" w:lineRule="exact"/>
        <w:jc w:val="center"/>
        <w:outlineLvl w:val="0"/>
        <w:rPr>
          <w:rFonts w:ascii="仿宋" w:hAnsi="仿宋" w:eastAsia="仿宋"/>
          <w:b/>
          <w:color w:val="000000"/>
          <w:sz w:val="32"/>
          <w:szCs w:val="32"/>
        </w:rPr>
      </w:pPr>
    </w:p>
    <w:p w14:paraId="32CD9365">
      <w:pPr>
        <w:spacing w:line="600" w:lineRule="exact"/>
        <w:jc w:val="center"/>
        <w:outlineLvl w:val="0"/>
        <w:rPr>
          <w:rFonts w:ascii="仿宋" w:hAnsi="仿宋" w:eastAsia="仿宋"/>
          <w:b/>
          <w:color w:val="000000"/>
          <w:sz w:val="32"/>
          <w:szCs w:val="32"/>
        </w:rPr>
      </w:pPr>
    </w:p>
    <w:p w14:paraId="045D2429">
      <w:pPr>
        <w:spacing w:line="600" w:lineRule="exact"/>
        <w:jc w:val="center"/>
        <w:outlineLvl w:val="0"/>
        <w:rPr>
          <w:rFonts w:ascii="仿宋" w:hAnsi="仿宋" w:eastAsia="仿宋"/>
          <w:b/>
          <w:color w:val="000000"/>
          <w:sz w:val="32"/>
          <w:szCs w:val="32"/>
        </w:rPr>
      </w:pPr>
    </w:p>
    <w:p w14:paraId="484F8619">
      <w:pPr>
        <w:spacing w:line="600" w:lineRule="exact"/>
        <w:outlineLvl w:val="0"/>
        <w:rPr>
          <w:rFonts w:ascii="仿宋" w:hAnsi="仿宋" w:eastAsia="仿宋"/>
          <w:b/>
          <w:color w:val="000000"/>
          <w:sz w:val="32"/>
          <w:szCs w:val="32"/>
        </w:rPr>
      </w:pPr>
    </w:p>
    <w:p w14:paraId="217AC037">
      <w:pPr>
        <w:spacing w:line="600" w:lineRule="exact"/>
        <w:jc w:val="center"/>
        <w:outlineLvl w:val="0"/>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四部分 附件</w:t>
      </w:r>
      <w:bookmarkEnd w:id="53"/>
    </w:p>
    <w:p w14:paraId="3AA67FCD">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50CD4DCC">
      <w:pPr>
        <w:spacing w:line="580" w:lineRule="exact"/>
        <w:jc w:val="center"/>
        <w:rPr>
          <w:rFonts w:ascii="方正小标宋简体" w:hAnsi="方正小标宋简体" w:eastAsia="方正小标宋简体" w:cs="方正小标宋简体"/>
          <w:sz w:val="44"/>
          <w:szCs w:val="44"/>
        </w:rPr>
      </w:pPr>
    </w:p>
    <w:p w14:paraId="29D222E4">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广汉市国有资产监督管理和金融工作局</w:t>
      </w:r>
    </w:p>
    <w:p w14:paraId="39338161">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14:paraId="5753DB32">
      <w:pPr>
        <w:spacing w:line="600" w:lineRule="exact"/>
        <w:jc w:val="center"/>
        <w:rPr>
          <w:rFonts w:ascii="方正小标宋简体" w:hAnsi="宋体" w:eastAsia="方正小标宋简体"/>
          <w:color w:val="000000"/>
          <w:kern w:val="0"/>
          <w:sz w:val="40"/>
          <w:szCs w:val="44"/>
          <w:lang w:val="zh-CN"/>
        </w:rPr>
      </w:pPr>
    </w:p>
    <w:p w14:paraId="2B596C73">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14:paraId="4CD07DA7">
      <w:pPr>
        <w:autoSpaceDE w:val="0"/>
        <w:autoSpaceDN w:val="0"/>
        <w:adjustRightInd w:val="0"/>
        <w:spacing w:line="560" w:lineRule="exact"/>
        <w:ind w:firstLine="480" w:firstLineChars="150"/>
        <w:jc w:val="left"/>
        <w:rPr>
          <w:rFonts w:ascii="仿宋_GB2312" w:hAnsi="仿宋" w:eastAsia="仿宋_GB2312"/>
          <w:sz w:val="32"/>
          <w:szCs w:val="32"/>
        </w:rPr>
      </w:pPr>
      <w:r>
        <w:rPr>
          <w:rFonts w:hint="eastAsia" w:ascii="楷体_GB2312" w:eastAsia="楷体_GB2312"/>
          <w:kern w:val="0"/>
          <w:sz w:val="32"/>
          <w:szCs w:val="32"/>
        </w:rPr>
        <w:t>（一）机构组成</w:t>
      </w:r>
    </w:p>
    <w:p w14:paraId="24A6F867">
      <w:pPr>
        <w:autoSpaceDE w:val="0"/>
        <w:autoSpaceDN w:val="0"/>
        <w:adjustRightInd w:val="0"/>
        <w:spacing w:line="560" w:lineRule="exact"/>
        <w:ind w:firstLine="640" w:firstLineChars="200"/>
        <w:jc w:val="left"/>
        <w:rPr>
          <w:rFonts w:ascii="楷体_GB2312" w:eastAsia="楷体_GB2312"/>
          <w:kern w:val="0"/>
          <w:sz w:val="32"/>
          <w:szCs w:val="32"/>
        </w:rPr>
      </w:pPr>
      <w:r>
        <w:rPr>
          <w:rFonts w:hint="eastAsia" w:ascii="仿宋_GB2312" w:hAnsi="仿宋" w:eastAsia="仿宋_GB2312"/>
          <w:color w:val="000000"/>
          <w:sz w:val="32"/>
          <w:szCs w:val="32"/>
        </w:rPr>
        <w:t>广汉市国有资产监督管理和金融工作局（简称市国资金融局）是广汉市人民政府工作部门，为正科级，含下属事业单位1个（广汉市国有资产经营中心）。</w:t>
      </w:r>
    </w:p>
    <w:p w14:paraId="31556F54">
      <w:pPr>
        <w:pStyle w:val="13"/>
        <w:shd w:val="clear" w:color="auto" w:fill="FFFFFF"/>
        <w:spacing w:before="93" w:beforeAutospacing="0" w:after="0" w:afterAutospacing="0" w:line="560" w:lineRule="exact"/>
        <w:ind w:firstLine="480" w:firstLineChars="150"/>
        <w:rPr>
          <w:rFonts w:ascii="楷体_GB2312" w:eastAsia="楷体_GB2312"/>
          <w:sz w:val="32"/>
          <w:szCs w:val="32"/>
        </w:rPr>
      </w:pPr>
      <w:r>
        <w:rPr>
          <w:rFonts w:hint="eastAsia" w:ascii="楷体_GB2312" w:eastAsia="楷体_GB2312"/>
          <w:sz w:val="32"/>
          <w:szCs w:val="32"/>
        </w:rPr>
        <w:t>（二）机构职能（部分职能）</w:t>
      </w:r>
    </w:p>
    <w:p w14:paraId="4BE617D5">
      <w:pPr>
        <w:pStyle w:val="13"/>
        <w:shd w:val="clear" w:color="auto" w:fill="FFFFFF"/>
        <w:spacing w:before="93"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1、根据市政府授权，依照《中华人民共和国公司法》、《中华人民共和国企业国有资产法》等法律和行政法规，代表市政府对授权监管企业履行出资人职责，包括资产监管、班子建设和重大事项监管。</w:t>
      </w:r>
    </w:p>
    <w:p w14:paraId="2EC1A72D">
      <w:pPr>
        <w:pStyle w:val="13"/>
        <w:shd w:val="clear" w:color="auto" w:fill="FFFFFF"/>
        <w:spacing w:before="0"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2、推进国有企业改革和重组，推进国有企业的现代企业制度建设，完善公司治理结构，加快国有经济布局和结构调整。</w:t>
      </w:r>
    </w:p>
    <w:p w14:paraId="5A39F216">
      <w:pPr>
        <w:pStyle w:val="13"/>
        <w:shd w:val="clear" w:color="auto" w:fill="FFFFFF"/>
        <w:spacing w:before="0"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3、推动各类金融机构为全市经济社会发展服务，参与全市投融资体制改革工作。推动我市金融统计体系建设。参与研究制定引导社会融资发展的政策措施，参与研究拟订政府重大项目融资方案。引导金融机构创新服务产品，扩大服务范围，延伸服务领域，提升服务效率。</w:t>
      </w:r>
    </w:p>
    <w:p w14:paraId="33099140">
      <w:pPr>
        <w:pStyle w:val="13"/>
        <w:shd w:val="clear" w:color="auto" w:fill="FFFFFF"/>
        <w:spacing w:before="0"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4、贯彻执行金融法律、法规、规章和政策,研究分析全市金融运行情况。会同有关部门拟订我市金融政策措施。拟订全市金融业发展的中长期规划并组织实施。</w:t>
      </w:r>
    </w:p>
    <w:p w14:paraId="7478A843">
      <w:pPr>
        <w:pStyle w:val="13"/>
        <w:shd w:val="clear" w:color="auto" w:fill="FFFFFF"/>
        <w:spacing w:before="0"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5、统筹、协调推进全市金融业服务实体经济、防控金融风险、深化金融改革。推动政府与金融机构合作。加强金融对外合作交流。</w:t>
      </w:r>
    </w:p>
    <w:p w14:paraId="239CF13C">
      <w:pPr>
        <w:pStyle w:val="13"/>
        <w:shd w:val="clear" w:color="auto" w:fill="FFFFFF"/>
        <w:spacing w:before="93" w:beforeAutospacing="0" w:after="0" w:afterAutospacing="0"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6、维护地方金融秩序。会同有关部门防范、化解和处置地方金融风险。负责全市打击和处置非法集资工作领导小组办公室日常工作，协调配合有关部门打击其他非法金融活动，协调推进全市地方金融风险监测预警与应急处置机制建设。</w:t>
      </w:r>
    </w:p>
    <w:p w14:paraId="6670DA17">
      <w:pPr>
        <w:pStyle w:val="13"/>
        <w:shd w:val="clear" w:color="auto" w:fill="FFFFFF"/>
        <w:spacing w:before="93" w:beforeAutospacing="0" w:after="0" w:afterAutospacing="0" w:line="560" w:lineRule="exact"/>
        <w:ind w:firstLine="480" w:firstLineChars="150"/>
        <w:rPr>
          <w:rFonts w:ascii="仿宋_GB2312" w:hAnsi="仿宋" w:eastAsia="仿宋_GB2312" w:cs="Times New Roman"/>
          <w:bCs/>
          <w:sz w:val="32"/>
          <w:szCs w:val="32"/>
        </w:rPr>
      </w:pPr>
      <w:r>
        <w:rPr>
          <w:rFonts w:hint="eastAsia" w:ascii="楷体_GB2312" w:eastAsia="楷体_GB2312"/>
          <w:sz w:val="32"/>
          <w:szCs w:val="32"/>
        </w:rPr>
        <w:t>（三）人员概况</w:t>
      </w:r>
      <w:r>
        <w:rPr>
          <w:rFonts w:hint="eastAsia" w:ascii="仿宋_GB2312" w:hAnsi="仿宋" w:eastAsia="仿宋_GB2312"/>
          <w:sz w:val="32"/>
          <w:szCs w:val="32"/>
        </w:rPr>
        <w:t>：广汉市国有资产监督管理和金融工作局在编行政人员为4人。</w:t>
      </w:r>
    </w:p>
    <w:p w14:paraId="749018AC">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4064C8B7">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广汉市国有资产监督管理和金融工作局为新成立单位，未编制2019年预算，预算资金由市财政局和市金融办划转。2019年预算收入总额为1332.45万元，全部来源于一般公共预算财政拨款收入；相应安排预算支出1332.45万元，其中，基本支出41.37万元，占比3.1%，项目支出1291.08万元，占比96.9%。</w:t>
      </w:r>
    </w:p>
    <w:p w14:paraId="4647A454">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74133548">
      <w:pPr>
        <w:snapToGrid w:val="0"/>
        <w:spacing w:line="560" w:lineRule="exact"/>
        <w:ind w:firstLine="470" w:firstLineChars="147"/>
        <w:rPr>
          <w:rFonts w:ascii="楷体_GB2312" w:eastAsia="楷体_GB2312"/>
          <w:sz w:val="32"/>
          <w:szCs w:val="32"/>
        </w:rPr>
      </w:pPr>
      <w:r>
        <w:rPr>
          <w:rFonts w:hint="eastAsia" w:ascii="楷体_GB2312" w:eastAsia="楷体_GB2312"/>
          <w:sz w:val="32"/>
          <w:szCs w:val="32"/>
        </w:rPr>
        <w:t>（一）部门预算管理</w:t>
      </w:r>
    </w:p>
    <w:p w14:paraId="525C9AED">
      <w:pPr>
        <w:snapToGrid w:val="0"/>
        <w:spacing w:line="560" w:lineRule="exact"/>
        <w:ind w:firstLine="640" w:firstLineChars="200"/>
        <w:rPr>
          <w:rFonts w:eastAsia="仿宋_GB2312"/>
          <w:kern w:val="0"/>
          <w:sz w:val="32"/>
          <w:szCs w:val="32"/>
        </w:rPr>
      </w:pPr>
      <w:r>
        <w:rPr>
          <w:rFonts w:hint="eastAsia" w:eastAsia="仿宋_GB2312"/>
          <w:kern w:val="0"/>
          <w:sz w:val="32"/>
          <w:szCs w:val="32"/>
        </w:rPr>
        <w:t>我局严格按照预算安排，规范使用预算资金，严格执行“收支两条线”管理制度，按规定使用非税票据直接缴入国库。在支出管理中，认真执行国库集中支付、政府采购、重点工作和大额支付上会等相关财务管理制度。认真做好每月与银行、财政国库的对账工作，加强动态监控，保障部门各项工作顺利开展。</w:t>
      </w:r>
    </w:p>
    <w:p w14:paraId="46AC8387">
      <w:pPr>
        <w:snapToGrid w:val="0"/>
        <w:spacing w:line="560" w:lineRule="exact"/>
        <w:ind w:firstLine="640" w:firstLineChars="200"/>
        <w:rPr>
          <w:rFonts w:ascii="仿宋_GB2312" w:eastAsia="仿宋_GB2312"/>
          <w:sz w:val="32"/>
          <w:szCs w:val="32"/>
        </w:rPr>
      </w:pPr>
      <w:r>
        <w:rPr>
          <w:rFonts w:hint="eastAsia" w:ascii="仿宋_GB2312" w:eastAsia="仿宋_GB2312"/>
          <w:kern w:val="0"/>
          <w:sz w:val="32"/>
          <w:szCs w:val="32"/>
        </w:rPr>
        <w:t>1、</w:t>
      </w:r>
      <w:r>
        <w:rPr>
          <w:rFonts w:hint="eastAsia" w:ascii="仿宋_GB2312" w:eastAsia="仿宋_GB2312"/>
          <w:sz w:val="32"/>
          <w:szCs w:val="32"/>
        </w:rPr>
        <w:t>2019年预算总收入1332.45万元，预算总支出1332.45万元，其中，基本支出41.37万元，项目支出1291.08万元，预算支出完成率100%。</w:t>
      </w:r>
    </w:p>
    <w:p w14:paraId="54830899">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基本支出：2019年部门基本支出41.37万元。其中，人员经费支出36.15万元，主要用于单位职工工资、社会保障缴费、住房公积金等开支；日常公用经费支出5.22万元，主要用于保障我局日常工作开展办公经费等。2019年我局暂无“三公”经费支出。</w:t>
      </w:r>
    </w:p>
    <w:p w14:paraId="7134BBFE">
      <w:p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3、项目支出：2019年部门项目支出1291.08万元。其中，商品服务支出24.78万元，主要用于开展国有资产监管、金融监管工作，购置办公家具、电脑、打印机等。商品服务支出1266.30万元，主要用于国资公司注资。</w:t>
      </w:r>
    </w:p>
    <w:p w14:paraId="79404331">
      <w:pPr>
        <w:snapToGrid w:val="0"/>
        <w:spacing w:line="560" w:lineRule="exact"/>
        <w:ind w:firstLine="470" w:firstLineChars="147"/>
        <w:rPr>
          <w:rFonts w:ascii="楷体_GB2312" w:eastAsia="楷体_GB2312"/>
          <w:sz w:val="32"/>
          <w:szCs w:val="32"/>
        </w:rPr>
      </w:pPr>
      <w:r>
        <w:rPr>
          <w:rFonts w:hint="eastAsia" w:ascii="楷体_GB2312" w:eastAsia="楷体_GB2312"/>
          <w:sz w:val="32"/>
          <w:szCs w:val="32"/>
        </w:rPr>
        <w:t>（二）结果应用情况</w:t>
      </w:r>
    </w:p>
    <w:p w14:paraId="47F05D12">
      <w:pPr>
        <w:widowControl/>
        <w:adjustRightInd w:val="0"/>
        <w:snapToGrid w:val="0"/>
        <w:spacing w:line="580"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广汉市国有资产监督管理和金融工作局为新成立单位，未编制2019年预算，预算资金由市财政局和市金融办划转。下一步将严格按照相关要求编制预算，申报绩效目标，有效促进内部控制管理，提高资金使用效率。</w:t>
      </w:r>
    </w:p>
    <w:p w14:paraId="4D4C6A9D">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1DAA4CBA">
      <w:pPr>
        <w:spacing w:line="560" w:lineRule="exact"/>
        <w:ind w:firstLine="480" w:firstLineChars="150"/>
        <w:rPr>
          <w:rFonts w:ascii="楷体_GB2312" w:eastAsia="楷体_GB2312"/>
          <w:kern w:val="0"/>
          <w:sz w:val="32"/>
          <w:szCs w:val="32"/>
        </w:rPr>
      </w:pPr>
      <w:r>
        <w:rPr>
          <w:rFonts w:hint="eastAsia" w:ascii="楷体_GB2312" w:eastAsia="楷体_GB2312"/>
          <w:kern w:val="0"/>
          <w:sz w:val="32"/>
          <w:szCs w:val="32"/>
        </w:rPr>
        <w:t>（一）评价结论</w:t>
      </w:r>
    </w:p>
    <w:p w14:paraId="04BF5D35">
      <w:pPr>
        <w:spacing w:line="560" w:lineRule="exact"/>
        <w:ind w:firstLine="640" w:firstLineChars="200"/>
        <w:rPr>
          <w:rFonts w:ascii="仿宋_GB2312" w:eastAsia="仿宋_GB2312"/>
          <w:kern w:val="0"/>
          <w:sz w:val="32"/>
          <w:szCs w:val="32"/>
        </w:rPr>
      </w:pPr>
      <w:r>
        <w:rPr>
          <w:rFonts w:hint="eastAsia" w:eastAsia="仿宋_GB2312"/>
          <w:kern w:val="0"/>
          <w:sz w:val="32"/>
          <w:szCs w:val="32"/>
        </w:rPr>
        <w:t>广汉市国有资产监督管理和金融工作局为2019年3月新成立单位，未编制2019年预算、部门整体及项目绩效目标，经费由市财政局和市金融办划转</w:t>
      </w:r>
      <w:r>
        <w:rPr>
          <w:rFonts w:hint="eastAsia" w:eastAsia="仿宋_GB2312"/>
          <w:b/>
          <w:kern w:val="0"/>
          <w:sz w:val="32"/>
          <w:szCs w:val="32"/>
        </w:rPr>
        <w:t>。</w:t>
      </w:r>
      <w:r>
        <w:rPr>
          <w:rFonts w:hint="eastAsia" w:ascii="仿宋_GB2312" w:eastAsia="仿宋_GB2312"/>
          <w:kern w:val="0"/>
          <w:sz w:val="32"/>
          <w:szCs w:val="32"/>
        </w:rPr>
        <w:t>我局严格执行财经纪律相关规定，做到收支安排使用符合相关要求，确保了单位正常运行和项目按期推进，较好地完成了2019年各项工作，预算执行情况较好。</w:t>
      </w:r>
    </w:p>
    <w:p w14:paraId="30A99844">
      <w:pPr>
        <w:spacing w:line="560" w:lineRule="exact"/>
        <w:ind w:firstLine="480" w:firstLineChars="150"/>
        <w:rPr>
          <w:rFonts w:ascii="楷体_GB2312" w:eastAsia="楷体_GB2312"/>
          <w:kern w:val="0"/>
          <w:sz w:val="32"/>
          <w:szCs w:val="32"/>
        </w:rPr>
      </w:pPr>
      <w:r>
        <w:rPr>
          <w:rFonts w:hint="eastAsia" w:ascii="楷体_GB2312" w:eastAsia="楷体_GB2312"/>
          <w:kern w:val="0"/>
          <w:sz w:val="32"/>
          <w:szCs w:val="32"/>
        </w:rPr>
        <w:t>（二）存在问题</w:t>
      </w:r>
    </w:p>
    <w:p w14:paraId="4ECA6835">
      <w:pPr>
        <w:spacing w:line="560" w:lineRule="exact"/>
        <w:ind w:firstLine="640" w:firstLineChars="200"/>
        <w:rPr>
          <w:rFonts w:eastAsia="仿宋_GB2312"/>
          <w:kern w:val="0"/>
          <w:sz w:val="32"/>
          <w:szCs w:val="32"/>
        </w:rPr>
      </w:pPr>
      <w:r>
        <w:rPr>
          <w:rFonts w:hint="eastAsia" w:eastAsia="仿宋_GB2312"/>
          <w:kern w:val="0"/>
          <w:sz w:val="32"/>
          <w:szCs w:val="32"/>
        </w:rPr>
        <w:t>广汉市国有资产监督管理和金融工作局为新成立单位，未编制2019年预算、绩效目标，经费由市财政局和市金融办划转。预算编制将根据单位实际情况按要求进行细化，进一步加强执行力度，做好绩效管理工作。</w:t>
      </w:r>
    </w:p>
    <w:p w14:paraId="37C540B5">
      <w:pPr>
        <w:spacing w:line="560" w:lineRule="exact"/>
        <w:ind w:firstLine="480" w:firstLineChars="150"/>
        <w:rPr>
          <w:rFonts w:ascii="楷体_GB2312" w:eastAsia="楷体_GB2312"/>
          <w:kern w:val="0"/>
          <w:sz w:val="32"/>
          <w:szCs w:val="32"/>
        </w:rPr>
      </w:pPr>
      <w:r>
        <w:rPr>
          <w:rFonts w:hint="eastAsia" w:ascii="楷体_GB2312" w:eastAsia="楷体_GB2312"/>
          <w:kern w:val="0"/>
          <w:sz w:val="32"/>
          <w:szCs w:val="32"/>
        </w:rPr>
        <w:t>（三）改进措施</w:t>
      </w:r>
    </w:p>
    <w:p w14:paraId="6D976BEA">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在今后的工作中将严格按照相关要求，不断提升预算编制的科学性、合理性，让预算编制更贴合工作实际，进一步做好项目支出绩效目标及各项绩效指标的细化工作，使其与工作结合更加紧密。加强预算绩效管理，实施绩效问责制度，提高预算资金使用效益和使用效率。不断完善内部管理制度，提升管理效能，更好地履行部门职能。</w:t>
      </w:r>
    </w:p>
    <w:p w14:paraId="53DAC8C3">
      <w:pPr>
        <w:spacing w:line="600" w:lineRule="exact"/>
        <w:outlineLvl w:val="0"/>
        <w:rPr>
          <w:rFonts w:ascii="黑体" w:hAnsi="黑体" w:eastAsia="黑体"/>
          <w:color w:val="000000"/>
          <w:sz w:val="44"/>
          <w:szCs w:val="44"/>
        </w:rPr>
      </w:pPr>
      <w:bookmarkStart w:id="55" w:name="_Toc15396618"/>
    </w:p>
    <w:p w14:paraId="0BA3FC33">
      <w:pPr>
        <w:spacing w:line="600" w:lineRule="exact"/>
        <w:jc w:val="center"/>
        <w:outlineLvl w:val="0"/>
        <w:rPr>
          <w:rFonts w:ascii="黑体" w:hAnsi="黑体" w:eastAsia="黑体"/>
          <w:color w:val="000000"/>
          <w:sz w:val="44"/>
          <w:szCs w:val="44"/>
        </w:rPr>
      </w:pPr>
    </w:p>
    <w:p w14:paraId="5FD478C1">
      <w:pPr>
        <w:spacing w:line="600" w:lineRule="exact"/>
        <w:jc w:val="center"/>
        <w:outlineLvl w:val="0"/>
        <w:rPr>
          <w:rFonts w:ascii="黑体" w:hAnsi="黑体" w:eastAsia="黑体"/>
          <w:color w:val="000000"/>
          <w:sz w:val="44"/>
          <w:szCs w:val="44"/>
        </w:rPr>
      </w:pPr>
    </w:p>
    <w:p w14:paraId="42CB2B94">
      <w:pPr>
        <w:spacing w:line="600" w:lineRule="exact"/>
        <w:jc w:val="center"/>
        <w:outlineLvl w:val="0"/>
        <w:rPr>
          <w:rFonts w:ascii="黑体" w:hAnsi="黑体" w:eastAsia="黑体"/>
          <w:color w:val="000000"/>
          <w:sz w:val="44"/>
          <w:szCs w:val="44"/>
        </w:rPr>
      </w:pPr>
    </w:p>
    <w:p w14:paraId="28BFE320">
      <w:pPr>
        <w:spacing w:line="600" w:lineRule="exact"/>
        <w:jc w:val="center"/>
        <w:outlineLvl w:val="0"/>
        <w:rPr>
          <w:rFonts w:ascii="黑体" w:hAnsi="黑体" w:eastAsia="黑体"/>
          <w:color w:val="000000"/>
          <w:sz w:val="44"/>
          <w:szCs w:val="44"/>
        </w:rPr>
      </w:pPr>
    </w:p>
    <w:p w14:paraId="6083924C">
      <w:pPr>
        <w:spacing w:line="600" w:lineRule="exact"/>
        <w:jc w:val="center"/>
        <w:outlineLvl w:val="0"/>
        <w:rPr>
          <w:rFonts w:ascii="黑体" w:hAnsi="黑体" w:eastAsia="黑体"/>
          <w:color w:val="000000"/>
          <w:sz w:val="44"/>
          <w:szCs w:val="44"/>
        </w:rPr>
      </w:pPr>
    </w:p>
    <w:p w14:paraId="3AEF37D9">
      <w:pPr>
        <w:spacing w:line="600" w:lineRule="exact"/>
        <w:jc w:val="center"/>
        <w:outlineLvl w:val="0"/>
        <w:rPr>
          <w:rFonts w:ascii="黑体" w:hAnsi="黑体" w:eastAsia="黑体"/>
          <w:color w:val="000000"/>
          <w:sz w:val="44"/>
          <w:szCs w:val="44"/>
        </w:rPr>
      </w:pPr>
    </w:p>
    <w:p w14:paraId="77F7E321">
      <w:pPr>
        <w:spacing w:line="600" w:lineRule="exact"/>
        <w:jc w:val="center"/>
        <w:outlineLvl w:val="0"/>
        <w:rPr>
          <w:rStyle w:val="27"/>
          <w:rFonts w:ascii="黑体" w:hAnsi="黑体" w:eastAsia="黑体"/>
          <w:b w:val="0"/>
        </w:rPr>
      </w:pPr>
      <w:r>
        <w:rPr>
          <w:rFonts w:hint="eastAsia" w:ascii="黑体" w:hAnsi="黑体" w:eastAsia="黑体"/>
          <w:color w:val="000000"/>
          <w:sz w:val="44"/>
          <w:szCs w:val="44"/>
        </w:rPr>
        <w:t>第</w:t>
      </w:r>
      <w:r>
        <w:rPr>
          <w:rStyle w:val="27"/>
          <w:rFonts w:hint="eastAsia" w:ascii="黑体" w:hAnsi="黑体" w:eastAsia="黑体"/>
          <w:b w:val="0"/>
        </w:rPr>
        <w:t>五部分 附表</w:t>
      </w:r>
      <w:bookmarkEnd w:id="54"/>
      <w:bookmarkEnd w:id="55"/>
    </w:p>
    <w:p w14:paraId="2886A119">
      <w:pPr>
        <w:spacing w:line="600" w:lineRule="exact"/>
        <w:jc w:val="center"/>
        <w:outlineLvl w:val="0"/>
        <w:rPr>
          <w:rFonts w:ascii="仿宋" w:hAnsi="仿宋" w:eastAsia="仿宋"/>
          <w:b/>
          <w:color w:val="000000"/>
          <w:sz w:val="44"/>
          <w:szCs w:val="44"/>
        </w:rPr>
      </w:pPr>
    </w:p>
    <w:p w14:paraId="177AD573">
      <w:pPr>
        <w:pStyle w:val="3"/>
        <w:rPr>
          <w:rFonts w:ascii="仿宋_GB2312" w:hAnsi="仿宋" w:eastAsia="仿宋_GB2312"/>
        </w:rPr>
      </w:pPr>
      <w:bookmarkStart w:id="56" w:name="_Toc15396619"/>
      <w:r>
        <w:rPr>
          <w:rFonts w:hint="eastAsia" w:ascii="仿宋_GB2312" w:hAnsi="仿宋" w:eastAsia="仿宋_GB2312"/>
          <w:b w:val="0"/>
        </w:rPr>
        <w:t>一、收</w:t>
      </w:r>
      <w:r>
        <w:rPr>
          <w:rStyle w:val="28"/>
          <w:rFonts w:hint="eastAsia" w:ascii="仿宋_GB2312" w:hAnsi="仿宋" w:eastAsia="仿宋_GB2312"/>
          <w:b w:val="0"/>
          <w:bCs w:val="0"/>
        </w:rPr>
        <w:t>入支出决算总表</w:t>
      </w:r>
      <w:bookmarkEnd w:id="56"/>
    </w:p>
    <w:p w14:paraId="1FA3C369">
      <w:pPr>
        <w:pStyle w:val="3"/>
        <w:rPr>
          <w:rFonts w:ascii="仿宋_GB2312" w:hAnsi="仿宋" w:eastAsia="仿宋_GB2312"/>
        </w:rPr>
      </w:pPr>
      <w:bookmarkStart w:id="57" w:name="_Toc15396620"/>
      <w:r>
        <w:rPr>
          <w:rFonts w:hint="eastAsia" w:ascii="仿宋_GB2312" w:hAnsi="仿宋" w:eastAsia="仿宋_GB2312"/>
          <w:b w:val="0"/>
        </w:rPr>
        <w:t>二、收</w:t>
      </w:r>
      <w:r>
        <w:rPr>
          <w:rStyle w:val="28"/>
          <w:rFonts w:hint="eastAsia" w:ascii="仿宋_GB2312" w:hAnsi="仿宋" w:eastAsia="仿宋_GB2312"/>
          <w:b w:val="0"/>
          <w:bCs w:val="0"/>
        </w:rPr>
        <w:t>入决算表</w:t>
      </w:r>
      <w:bookmarkEnd w:id="57"/>
    </w:p>
    <w:p w14:paraId="2D659D2F">
      <w:pPr>
        <w:pStyle w:val="3"/>
        <w:rPr>
          <w:rFonts w:ascii="仿宋_GB2312" w:hAnsi="仿宋" w:eastAsia="仿宋_GB2312"/>
        </w:rPr>
      </w:pPr>
      <w:bookmarkStart w:id="58" w:name="_Toc15396621"/>
      <w:r>
        <w:rPr>
          <w:rStyle w:val="28"/>
          <w:rFonts w:hint="eastAsia" w:ascii="仿宋_GB2312" w:hAnsi="仿宋" w:eastAsia="仿宋_GB2312"/>
          <w:b w:val="0"/>
          <w:bCs w:val="0"/>
        </w:rPr>
        <w:t>三、</w:t>
      </w:r>
      <w:r>
        <w:rPr>
          <w:rFonts w:hint="eastAsia" w:ascii="仿宋_GB2312" w:hAnsi="仿宋" w:eastAsia="仿宋_GB2312"/>
          <w:b w:val="0"/>
        </w:rPr>
        <w:t>支</w:t>
      </w:r>
      <w:r>
        <w:rPr>
          <w:rStyle w:val="28"/>
          <w:rFonts w:hint="eastAsia" w:ascii="仿宋_GB2312" w:hAnsi="仿宋" w:eastAsia="仿宋_GB2312"/>
          <w:b w:val="0"/>
          <w:bCs w:val="0"/>
        </w:rPr>
        <w:t>出决算表</w:t>
      </w:r>
      <w:bookmarkEnd w:id="58"/>
    </w:p>
    <w:p w14:paraId="08EAB661">
      <w:pPr>
        <w:pStyle w:val="3"/>
        <w:rPr>
          <w:rFonts w:ascii="仿宋_GB2312" w:hAnsi="仿宋" w:eastAsia="仿宋_GB2312"/>
          <w:b w:val="0"/>
        </w:rPr>
      </w:pPr>
      <w:bookmarkStart w:id="59" w:name="_Toc15396622"/>
      <w:r>
        <w:rPr>
          <w:rStyle w:val="28"/>
          <w:rFonts w:hint="eastAsia" w:ascii="仿宋_GB2312" w:hAnsi="仿宋" w:eastAsia="仿宋_GB2312"/>
          <w:b w:val="0"/>
          <w:bCs w:val="0"/>
        </w:rPr>
        <w:t>四、</w:t>
      </w:r>
      <w:r>
        <w:rPr>
          <w:rFonts w:hint="eastAsia" w:ascii="仿宋_GB2312" w:hAnsi="仿宋" w:eastAsia="仿宋_GB2312"/>
          <w:b w:val="0"/>
        </w:rPr>
        <w:t>财</w:t>
      </w:r>
      <w:r>
        <w:rPr>
          <w:rStyle w:val="28"/>
          <w:rFonts w:hint="eastAsia" w:ascii="仿宋_GB2312" w:hAnsi="仿宋" w:eastAsia="仿宋_GB2312"/>
          <w:b w:val="0"/>
          <w:bCs w:val="0"/>
        </w:rPr>
        <w:t>政拨款收入支出决算总表</w:t>
      </w:r>
      <w:bookmarkEnd w:id="59"/>
    </w:p>
    <w:p w14:paraId="24A80EC1">
      <w:pPr>
        <w:pStyle w:val="3"/>
        <w:rPr>
          <w:rStyle w:val="28"/>
          <w:rFonts w:ascii="仿宋_GB2312" w:hAnsi="仿宋" w:eastAsia="仿宋_GB2312"/>
          <w:b w:val="0"/>
          <w:bCs w:val="0"/>
        </w:rPr>
      </w:pPr>
      <w:bookmarkStart w:id="60" w:name="_Toc15396623"/>
      <w:r>
        <w:rPr>
          <w:rStyle w:val="28"/>
          <w:rFonts w:hint="eastAsia" w:ascii="仿宋_GB2312" w:hAnsi="仿宋" w:eastAsia="仿宋_GB2312"/>
          <w:b w:val="0"/>
          <w:bCs w:val="0"/>
        </w:rPr>
        <w:t>五、</w:t>
      </w:r>
      <w:r>
        <w:rPr>
          <w:rFonts w:hint="eastAsia" w:ascii="仿宋_GB2312" w:hAnsi="仿宋" w:eastAsia="仿宋_GB2312"/>
          <w:b w:val="0"/>
          <w:color w:val="000000"/>
        </w:rPr>
        <w:t>财</w:t>
      </w:r>
      <w:r>
        <w:rPr>
          <w:rStyle w:val="28"/>
          <w:rFonts w:hint="eastAsia" w:ascii="仿宋_GB2312" w:hAnsi="仿宋" w:eastAsia="仿宋_GB2312"/>
          <w:b w:val="0"/>
          <w:bCs w:val="0"/>
        </w:rPr>
        <w:t>政拨款支出决算明细表</w:t>
      </w:r>
      <w:bookmarkEnd w:id="60"/>
      <w:bookmarkStart w:id="61" w:name="_Toc15396624"/>
    </w:p>
    <w:p w14:paraId="7D980FC4">
      <w:pPr>
        <w:pStyle w:val="3"/>
        <w:rPr>
          <w:rFonts w:ascii="仿宋_GB2312" w:hAnsi="仿宋" w:eastAsia="仿宋_GB2312"/>
          <w:color w:val="000000"/>
        </w:rPr>
      </w:pPr>
      <w:r>
        <w:rPr>
          <w:rStyle w:val="28"/>
          <w:rFonts w:hint="eastAsia" w:ascii="仿宋_GB2312" w:hAnsi="仿宋" w:eastAsia="仿宋_GB2312"/>
          <w:b w:val="0"/>
          <w:bCs w:val="0"/>
        </w:rPr>
        <w:t>六、</w:t>
      </w:r>
      <w:r>
        <w:rPr>
          <w:rFonts w:hint="eastAsia" w:ascii="仿宋_GB2312" w:hAnsi="仿宋" w:eastAsia="仿宋_GB2312"/>
          <w:b w:val="0"/>
          <w:color w:val="000000"/>
        </w:rPr>
        <w:t>一</w:t>
      </w:r>
      <w:r>
        <w:rPr>
          <w:rStyle w:val="28"/>
          <w:rFonts w:hint="eastAsia" w:ascii="仿宋_GB2312" w:hAnsi="仿宋" w:eastAsia="仿宋_GB2312"/>
          <w:b w:val="0"/>
          <w:bCs w:val="0"/>
        </w:rPr>
        <w:t>般公共预算财政拨款支出决算表</w:t>
      </w:r>
      <w:bookmarkEnd w:id="61"/>
    </w:p>
    <w:p w14:paraId="3587607B">
      <w:pPr>
        <w:pStyle w:val="3"/>
        <w:rPr>
          <w:rFonts w:ascii="仿宋_GB2312" w:hAnsi="仿宋" w:eastAsia="仿宋_GB2312"/>
          <w:color w:val="000000"/>
        </w:rPr>
      </w:pPr>
      <w:bookmarkStart w:id="62" w:name="_Toc15396625"/>
      <w:r>
        <w:rPr>
          <w:rStyle w:val="28"/>
          <w:rFonts w:hint="eastAsia" w:ascii="仿宋_GB2312" w:hAnsi="仿宋" w:eastAsia="仿宋_GB2312"/>
          <w:b w:val="0"/>
          <w:bCs w:val="0"/>
        </w:rPr>
        <w:t>七、</w:t>
      </w:r>
      <w:r>
        <w:rPr>
          <w:rFonts w:hint="eastAsia" w:ascii="仿宋_GB2312" w:hAnsi="仿宋" w:eastAsia="仿宋_GB2312"/>
          <w:b w:val="0"/>
          <w:color w:val="000000"/>
        </w:rPr>
        <w:t>一</w:t>
      </w:r>
      <w:r>
        <w:rPr>
          <w:rStyle w:val="28"/>
          <w:rFonts w:hint="eastAsia" w:ascii="仿宋_GB2312" w:hAnsi="仿宋" w:eastAsia="仿宋_GB2312"/>
          <w:b w:val="0"/>
          <w:bCs w:val="0"/>
        </w:rPr>
        <w:t>般公共预算财政拨款支出决算明细表</w:t>
      </w:r>
      <w:bookmarkEnd w:id="62"/>
    </w:p>
    <w:p w14:paraId="5D916CA5">
      <w:pPr>
        <w:pStyle w:val="3"/>
        <w:rPr>
          <w:rFonts w:ascii="仿宋_GB2312" w:hAnsi="仿宋" w:eastAsia="仿宋_GB2312"/>
          <w:color w:val="000000"/>
        </w:rPr>
      </w:pPr>
      <w:bookmarkStart w:id="63" w:name="_Toc15396626"/>
      <w:r>
        <w:rPr>
          <w:rStyle w:val="28"/>
          <w:rFonts w:hint="eastAsia" w:ascii="仿宋_GB2312" w:hAnsi="仿宋" w:eastAsia="仿宋_GB2312"/>
          <w:b w:val="0"/>
          <w:bCs w:val="0"/>
        </w:rPr>
        <w:t>八、</w:t>
      </w:r>
      <w:r>
        <w:rPr>
          <w:rFonts w:hint="eastAsia" w:ascii="仿宋_GB2312" w:hAnsi="仿宋" w:eastAsia="仿宋_GB2312"/>
          <w:b w:val="0"/>
          <w:color w:val="000000"/>
        </w:rPr>
        <w:t>一</w:t>
      </w:r>
      <w:r>
        <w:rPr>
          <w:rStyle w:val="28"/>
          <w:rFonts w:hint="eastAsia" w:ascii="仿宋_GB2312" w:hAnsi="仿宋" w:eastAsia="仿宋_GB2312"/>
          <w:b w:val="0"/>
          <w:bCs w:val="0"/>
        </w:rPr>
        <w:t>般公共预算财政拨款基本支出决算表</w:t>
      </w:r>
      <w:bookmarkEnd w:id="63"/>
    </w:p>
    <w:p w14:paraId="451499F4">
      <w:pPr>
        <w:pStyle w:val="3"/>
        <w:rPr>
          <w:rFonts w:ascii="仿宋_GB2312" w:hAnsi="仿宋" w:eastAsia="仿宋_GB2312"/>
          <w:color w:val="000000"/>
        </w:rPr>
      </w:pPr>
      <w:bookmarkStart w:id="64" w:name="_Toc15396627"/>
      <w:r>
        <w:rPr>
          <w:rStyle w:val="28"/>
          <w:rFonts w:hint="eastAsia" w:ascii="仿宋_GB2312" w:hAnsi="仿宋" w:eastAsia="仿宋_GB2312"/>
          <w:b w:val="0"/>
          <w:bCs w:val="0"/>
        </w:rPr>
        <w:t>九、</w:t>
      </w:r>
      <w:r>
        <w:rPr>
          <w:rFonts w:hint="eastAsia" w:ascii="仿宋_GB2312" w:hAnsi="仿宋" w:eastAsia="仿宋_GB2312"/>
          <w:b w:val="0"/>
          <w:color w:val="000000"/>
        </w:rPr>
        <w:t>一</w:t>
      </w:r>
      <w:r>
        <w:rPr>
          <w:rStyle w:val="28"/>
          <w:rFonts w:hint="eastAsia" w:ascii="仿宋_GB2312" w:hAnsi="仿宋" w:eastAsia="仿宋_GB2312"/>
          <w:b w:val="0"/>
          <w:bCs w:val="0"/>
        </w:rPr>
        <w:t>般公共预算财政拨款项目支出决算表</w:t>
      </w:r>
      <w:bookmarkEnd w:id="64"/>
    </w:p>
    <w:p w14:paraId="0F3793C8">
      <w:pPr>
        <w:pStyle w:val="3"/>
        <w:rPr>
          <w:rFonts w:ascii="仿宋_GB2312" w:hAnsi="仿宋" w:eastAsia="仿宋_GB2312"/>
          <w:color w:val="000000"/>
        </w:rPr>
      </w:pPr>
      <w:bookmarkStart w:id="65" w:name="_Toc15396628"/>
      <w:r>
        <w:rPr>
          <w:rStyle w:val="28"/>
          <w:rFonts w:hint="eastAsia" w:ascii="仿宋_GB2312" w:hAnsi="仿宋" w:eastAsia="仿宋_GB2312"/>
          <w:b w:val="0"/>
          <w:bCs w:val="0"/>
        </w:rPr>
        <w:t>十、</w:t>
      </w:r>
      <w:r>
        <w:rPr>
          <w:rFonts w:hint="eastAsia" w:ascii="仿宋_GB2312" w:hAnsi="仿宋" w:eastAsia="仿宋_GB2312"/>
          <w:b w:val="0"/>
          <w:color w:val="000000"/>
        </w:rPr>
        <w:t>一</w:t>
      </w:r>
      <w:r>
        <w:rPr>
          <w:rStyle w:val="28"/>
          <w:rFonts w:hint="eastAsia" w:ascii="仿宋_GB2312" w:hAnsi="仿宋" w:eastAsia="仿宋_GB2312"/>
          <w:b w:val="0"/>
          <w:bCs w:val="0"/>
        </w:rPr>
        <w:t>般公共预算财政拨款“三公”经费支出决算表</w:t>
      </w:r>
      <w:bookmarkEnd w:id="65"/>
    </w:p>
    <w:p w14:paraId="0738A55F">
      <w:pPr>
        <w:pStyle w:val="3"/>
        <w:rPr>
          <w:rFonts w:ascii="仿宋_GB2312" w:hAnsi="仿宋" w:eastAsia="仿宋_GB2312"/>
          <w:color w:val="000000"/>
        </w:rPr>
      </w:pPr>
      <w:bookmarkStart w:id="66" w:name="_Toc15396629"/>
      <w:r>
        <w:rPr>
          <w:rStyle w:val="28"/>
          <w:rFonts w:hint="eastAsia" w:ascii="仿宋_GB2312" w:hAnsi="仿宋" w:eastAsia="仿宋_GB2312"/>
          <w:b w:val="0"/>
          <w:bCs w:val="0"/>
        </w:rPr>
        <w:t>十一、</w:t>
      </w:r>
      <w:r>
        <w:rPr>
          <w:rFonts w:hint="eastAsia" w:ascii="仿宋_GB2312" w:hAnsi="仿宋" w:eastAsia="仿宋_GB2312"/>
          <w:b w:val="0"/>
          <w:color w:val="000000"/>
        </w:rPr>
        <w:t>政</w:t>
      </w:r>
      <w:r>
        <w:rPr>
          <w:rStyle w:val="28"/>
          <w:rFonts w:hint="eastAsia" w:ascii="仿宋_GB2312" w:hAnsi="仿宋" w:eastAsia="仿宋_GB2312"/>
          <w:b w:val="0"/>
          <w:bCs w:val="0"/>
        </w:rPr>
        <w:t>府性基金预算财政拨款收入支出决算表</w:t>
      </w:r>
      <w:bookmarkEnd w:id="66"/>
    </w:p>
    <w:p w14:paraId="1B19EF9E">
      <w:pPr>
        <w:pStyle w:val="3"/>
        <w:rPr>
          <w:rFonts w:ascii="仿宋_GB2312" w:hAnsi="仿宋" w:eastAsia="仿宋_GB2312"/>
          <w:color w:val="000000"/>
        </w:rPr>
      </w:pPr>
      <w:bookmarkStart w:id="67" w:name="_Toc15396630"/>
      <w:r>
        <w:rPr>
          <w:rStyle w:val="28"/>
          <w:rFonts w:hint="eastAsia" w:ascii="仿宋_GB2312" w:hAnsi="仿宋" w:eastAsia="仿宋_GB2312"/>
          <w:b w:val="0"/>
          <w:bCs w:val="0"/>
        </w:rPr>
        <w:t>十二、</w:t>
      </w:r>
      <w:r>
        <w:rPr>
          <w:rFonts w:hint="eastAsia" w:ascii="仿宋_GB2312" w:hAnsi="仿宋" w:eastAsia="仿宋_GB2312"/>
          <w:b w:val="0"/>
          <w:color w:val="000000"/>
        </w:rPr>
        <w:t>政</w:t>
      </w:r>
      <w:r>
        <w:rPr>
          <w:rStyle w:val="28"/>
          <w:rFonts w:hint="eastAsia" w:ascii="仿宋_GB2312" w:hAnsi="仿宋" w:eastAsia="仿宋_GB2312"/>
          <w:b w:val="0"/>
          <w:bCs w:val="0"/>
        </w:rPr>
        <w:t>府性基金预算财政拨款“三公”经费支出决算表</w:t>
      </w:r>
      <w:bookmarkEnd w:id="67"/>
    </w:p>
    <w:p w14:paraId="3569424D">
      <w:pPr>
        <w:pStyle w:val="3"/>
        <w:rPr>
          <w:rFonts w:ascii="仿宋_GB2312" w:hAnsi="仿宋" w:eastAsia="仿宋_GB2312"/>
          <w:color w:val="000000" w:themeColor="text1"/>
        </w:rPr>
      </w:pPr>
      <w:bookmarkStart w:id="68" w:name="_Toc15396631"/>
      <w:r>
        <w:rPr>
          <w:rStyle w:val="28"/>
          <w:rFonts w:hint="eastAsia" w:ascii="仿宋_GB2312" w:hAnsi="仿宋" w:eastAsia="仿宋_GB2312"/>
          <w:b w:val="0"/>
          <w:bCs w:val="0"/>
        </w:rPr>
        <w:t>十三、</w:t>
      </w:r>
      <w:r>
        <w:rPr>
          <w:rFonts w:hint="eastAsia" w:ascii="仿宋_GB2312" w:hAnsi="仿宋" w:eastAsia="仿宋_GB2312"/>
          <w:b w:val="0"/>
          <w:color w:val="000000"/>
        </w:rPr>
        <w:t>国</w:t>
      </w:r>
      <w:r>
        <w:rPr>
          <w:rStyle w:val="28"/>
          <w:rFonts w:hint="eastAsia" w:ascii="仿宋_GB2312" w:hAnsi="仿宋" w:eastAsia="仿宋_GB2312"/>
          <w:b w:val="0"/>
          <w:bCs w:val="0"/>
        </w:rPr>
        <w:t>有资本经营预算支出决算表</w:t>
      </w:r>
      <w:bookmarkEnd w:id="6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95642FB">
        <w:pPr>
          <w:pStyle w:val="9"/>
          <w:jc w:val="center"/>
        </w:pPr>
        <w:r>
          <w:fldChar w:fldCharType="begin"/>
        </w:r>
        <w:r>
          <w:instrText xml:space="preserve">PAGE   \* MERGEFORMAT</w:instrText>
        </w:r>
        <w:r>
          <w:fldChar w:fldCharType="separate"/>
        </w:r>
        <w:r>
          <w:rPr>
            <w:lang w:val="zh-CN"/>
          </w:rPr>
          <w:t>12</w:t>
        </w:r>
        <w:r>
          <w:rPr>
            <w:lang w:val="zh-CN"/>
          </w:rPr>
          <w:fldChar w:fldCharType="end"/>
        </w:r>
      </w:p>
    </w:sdtContent>
  </w:sdt>
  <w:p w14:paraId="076E02D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09C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91E"/>
    <w:rsid w:val="00001516"/>
    <w:rsid w:val="00015A62"/>
    <w:rsid w:val="000222C6"/>
    <w:rsid w:val="0002549F"/>
    <w:rsid w:val="000468DB"/>
    <w:rsid w:val="0006487A"/>
    <w:rsid w:val="00065F8F"/>
    <w:rsid w:val="00070A43"/>
    <w:rsid w:val="00072EE1"/>
    <w:rsid w:val="000747C6"/>
    <w:rsid w:val="00075FBC"/>
    <w:rsid w:val="000768F2"/>
    <w:rsid w:val="0009184B"/>
    <w:rsid w:val="00094236"/>
    <w:rsid w:val="0009593C"/>
    <w:rsid w:val="00097322"/>
    <w:rsid w:val="000A5D4C"/>
    <w:rsid w:val="000A6A92"/>
    <w:rsid w:val="000B047F"/>
    <w:rsid w:val="000B3637"/>
    <w:rsid w:val="000B5070"/>
    <w:rsid w:val="000B5923"/>
    <w:rsid w:val="000B5A48"/>
    <w:rsid w:val="000B6FF3"/>
    <w:rsid w:val="000C1953"/>
    <w:rsid w:val="000C3467"/>
    <w:rsid w:val="000C3CA6"/>
    <w:rsid w:val="000D1267"/>
    <w:rsid w:val="000D1D50"/>
    <w:rsid w:val="000D5782"/>
    <w:rsid w:val="000E2719"/>
    <w:rsid w:val="000E59F7"/>
    <w:rsid w:val="000E6613"/>
    <w:rsid w:val="000E7119"/>
    <w:rsid w:val="000F7B39"/>
    <w:rsid w:val="00111C37"/>
    <w:rsid w:val="00114E9B"/>
    <w:rsid w:val="00133909"/>
    <w:rsid w:val="00134D19"/>
    <w:rsid w:val="00142216"/>
    <w:rsid w:val="00144D6A"/>
    <w:rsid w:val="0014729F"/>
    <w:rsid w:val="00157BAB"/>
    <w:rsid w:val="001654D1"/>
    <w:rsid w:val="00171A53"/>
    <w:rsid w:val="00174518"/>
    <w:rsid w:val="0018106D"/>
    <w:rsid w:val="001877A7"/>
    <w:rsid w:val="00191459"/>
    <w:rsid w:val="00191536"/>
    <w:rsid w:val="00196687"/>
    <w:rsid w:val="0019712E"/>
    <w:rsid w:val="001B72D8"/>
    <w:rsid w:val="001C0962"/>
    <w:rsid w:val="001C7F64"/>
    <w:rsid w:val="001D7531"/>
    <w:rsid w:val="001E310B"/>
    <w:rsid w:val="001E4210"/>
    <w:rsid w:val="001E51D0"/>
    <w:rsid w:val="001E737D"/>
    <w:rsid w:val="001F0592"/>
    <w:rsid w:val="001F7506"/>
    <w:rsid w:val="002006CD"/>
    <w:rsid w:val="002011CF"/>
    <w:rsid w:val="00202B36"/>
    <w:rsid w:val="00204B7A"/>
    <w:rsid w:val="00204CDE"/>
    <w:rsid w:val="0021101A"/>
    <w:rsid w:val="00220536"/>
    <w:rsid w:val="002208D7"/>
    <w:rsid w:val="00235629"/>
    <w:rsid w:val="00253C04"/>
    <w:rsid w:val="0025718B"/>
    <w:rsid w:val="00260C38"/>
    <w:rsid w:val="002616C0"/>
    <w:rsid w:val="00265372"/>
    <w:rsid w:val="00265FF9"/>
    <w:rsid w:val="002662AA"/>
    <w:rsid w:val="00273EE8"/>
    <w:rsid w:val="00275906"/>
    <w:rsid w:val="00280496"/>
    <w:rsid w:val="0028154D"/>
    <w:rsid w:val="00294DC9"/>
    <w:rsid w:val="00295495"/>
    <w:rsid w:val="002971D3"/>
    <w:rsid w:val="002A31DE"/>
    <w:rsid w:val="002B2613"/>
    <w:rsid w:val="002C138D"/>
    <w:rsid w:val="002D19B0"/>
    <w:rsid w:val="002D1E8D"/>
    <w:rsid w:val="002D5A71"/>
    <w:rsid w:val="002D6D05"/>
    <w:rsid w:val="002F0E47"/>
    <w:rsid w:val="002F1818"/>
    <w:rsid w:val="002F567B"/>
    <w:rsid w:val="00317238"/>
    <w:rsid w:val="003216A9"/>
    <w:rsid w:val="00321D0F"/>
    <w:rsid w:val="00335A74"/>
    <w:rsid w:val="0036561B"/>
    <w:rsid w:val="0037013F"/>
    <w:rsid w:val="00380C92"/>
    <w:rsid w:val="003A484F"/>
    <w:rsid w:val="003A4883"/>
    <w:rsid w:val="003B0BE0"/>
    <w:rsid w:val="003B0C1B"/>
    <w:rsid w:val="003B4975"/>
    <w:rsid w:val="003B688C"/>
    <w:rsid w:val="003C0291"/>
    <w:rsid w:val="003C0BE4"/>
    <w:rsid w:val="003C39AE"/>
    <w:rsid w:val="003C7B60"/>
    <w:rsid w:val="003D0C0F"/>
    <w:rsid w:val="003D1FB2"/>
    <w:rsid w:val="003D4ED8"/>
    <w:rsid w:val="003D66DA"/>
    <w:rsid w:val="003E08FF"/>
    <w:rsid w:val="003E1310"/>
    <w:rsid w:val="003E6F55"/>
    <w:rsid w:val="003F1468"/>
    <w:rsid w:val="003F5DB2"/>
    <w:rsid w:val="00406254"/>
    <w:rsid w:val="00410C6C"/>
    <w:rsid w:val="004111A7"/>
    <w:rsid w:val="0041131B"/>
    <w:rsid w:val="00416CD4"/>
    <w:rsid w:val="00417E36"/>
    <w:rsid w:val="004223DE"/>
    <w:rsid w:val="00434489"/>
    <w:rsid w:val="00437085"/>
    <w:rsid w:val="00441419"/>
    <w:rsid w:val="00443880"/>
    <w:rsid w:val="004438C7"/>
    <w:rsid w:val="004464F4"/>
    <w:rsid w:val="00463CB1"/>
    <w:rsid w:val="00471401"/>
    <w:rsid w:val="00473F31"/>
    <w:rsid w:val="0048263A"/>
    <w:rsid w:val="0048601C"/>
    <w:rsid w:val="00487E5D"/>
    <w:rsid w:val="004A711F"/>
    <w:rsid w:val="004B199D"/>
    <w:rsid w:val="004B45EA"/>
    <w:rsid w:val="004B4690"/>
    <w:rsid w:val="004B792F"/>
    <w:rsid w:val="004E0A2D"/>
    <w:rsid w:val="004E206B"/>
    <w:rsid w:val="004E300D"/>
    <w:rsid w:val="004E31DB"/>
    <w:rsid w:val="004E5070"/>
    <w:rsid w:val="004E6DF7"/>
    <w:rsid w:val="004F0FBD"/>
    <w:rsid w:val="004F403E"/>
    <w:rsid w:val="004F417C"/>
    <w:rsid w:val="00505A47"/>
    <w:rsid w:val="00506954"/>
    <w:rsid w:val="005117A6"/>
    <w:rsid w:val="00512FDA"/>
    <w:rsid w:val="00514E3B"/>
    <w:rsid w:val="00520DA0"/>
    <w:rsid w:val="005301E5"/>
    <w:rsid w:val="00544311"/>
    <w:rsid w:val="00545CC0"/>
    <w:rsid w:val="00550794"/>
    <w:rsid w:val="005536A6"/>
    <w:rsid w:val="00557881"/>
    <w:rsid w:val="005664BB"/>
    <w:rsid w:val="00566FFA"/>
    <w:rsid w:val="0057481D"/>
    <w:rsid w:val="00575F0B"/>
    <w:rsid w:val="0058486E"/>
    <w:rsid w:val="00585B33"/>
    <w:rsid w:val="0059014D"/>
    <w:rsid w:val="005A54DC"/>
    <w:rsid w:val="005A5A41"/>
    <w:rsid w:val="005B29A2"/>
    <w:rsid w:val="005B5C64"/>
    <w:rsid w:val="005C6BD0"/>
    <w:rsid w:val="005C6C4C"/>
    <w:rsid w:val="005D1C8B"/>
    <w:rsid w:val="005D468D"/>
    <w:rsid w:val="005D5CED"/>
    <w:rsid w:val="005D6142"/>
    <w:rsid w:val="005F1A4C"/>
    <w:rsid w:val="005F70B2"/>
    <w:rsid w:val="00605688"/>
    <w:rsid w:val="006070AF"/>
    <w:rsid w:val="00607E6C"/>
    <w:rsid w:val="006101B1"/>
    <w:rsid w:val="00614E44"/>
    <w:rsid w:val="0062270A"/>
    <w:rsid w:val="00622830"/>
    <w:rsid w:val="00623DA0"/>
    <w:rsid w:val="006300A8"/>
    <w:rsid w:val="00630AEF"/>
    <w:rsid w:val="006325F8"/>
    <w:rsid w:val="00633463"/>
    <w:rsid w:val="00634C9A"/>
    <w:rsid w:val="006440E4"/>
    <w:rsid w:val="00644389"/>
    <w:rsid w:val="0065338E"/>
    <w:rsid w:val="0066343B"/>
    <w:rsid w:val="00664777"/>
    <w:rsid w:val="006651CB"/>
    <w:rsid w:val="006748A4"/>
    <w:rsid w:val="00681712"/>
    <w:rsid w:val="00681A31"/>
    <w:rsid w:val="00683E73"/>
    <w:rsid w:val="00685060"/>
    <w:rsid w:val="006A3141"/>
    <w:rsid w:val="006A4AF5"/>
    <w:rsid w:val="006A5E34"/>
    <w:rsid w:val="006B2422"/>
    <w:rsid w:val="006B2B9A"/>
    <w:rsid w:val="006C1937"/>
    <w:rsid w:val="006C272C"/>
    <w:rsid w:val="006C5C2A"/>
    <w:rsid w:val="006D1652"/>
    <w:rsid w:val="006E07D6"/>
    <w:rsid w:val="006F020C"/>
    <w:rsid w:val="006F05AE"/>
    <w:rsid w:val="006F0BFB"/>
    <w:rsid w:val="006F1540"/>
    <w:rsid w:val="00703425"/>
    <w:rsid w:val="007127B7"/>
    <w:rsid w:val="00716D38"/>
    <w:rsid w:val="0071798E"/>
    <w:rsid w:val="007216F8"/>
    <w:rsid w:val="00727533"/>
    <w:rsid w:val="007416B6"/>
    <w:rsid w:val="00741D0B"/>
    <w:rsid w:val="00746F48"/>
    <w:rsid w:val="0075404D"/>
    <w:rsid w:val="00760A2D"/>
    <w:rsid w:val="0076182A"/>
    <w:rsid w:val="00767B7E"/>
    <w:rsid w:val="00767D14"/>
    <w:rsid w:val="007770C3"/>
    <w:rsid w:val="00784D24"/>
    <w:rsid w:val="00785FBA"/>
    <w:rsid w:val="00786E4A"/>
    <w:rsid w:val="007875EB"/>
    <w:rsid w:val="0079426B"/>
    <w:rsid w:val="007B545F"/>
    <w:rsid w:val="007D1682"/>
    <w:rsid w:val="007D312A"/>
    <w:rsid w:val="007D3F19"/>
    <w:rsid w:val="007E1008"/>
    <w:rsid w:val="007E23B0"/>
    <w:rsid w:val="007E3A8E"/>
    <w:rsid w:val="007F1991"/>
    <w:rsid w:val="007F2C2F"/>
    <w:rsid w:val="007F55FC"/>
    <w:rsid w:val="007F5665"/>
    <w:rsid w:val="00800112"/>
    <w:rsid w:val="00801348"/>
    <w:rsid w:val="00806BF6"/>
    <w:rsid w:val="00812D41"/>
    <w:rsid w:val="00813348"/>
    <w:rsid w:val="00813567"/>
    <w:rsid w:val="00820358"/>
    <w:rsid w:val="0082448A"/>
    <w:rsid w:val="008253BB"/>
    <w:rsid w:val="00833962"/>
    <w:rsid w:val="00836889"/>
    <w:rsid w:val="0083706E"/>
    <w:rsid w:val="0083798D"/>
    <w:rsid w:val="008408F6"/>
    <w:rsid w:val="008423A5"/>
    <w:rsid w:val="00850625"/>
    <w:rsid w:val="00853718"/>
    <w:rsid w:val="00855221"/>
    <w:rsid w:val="00860645"/>
    <w:rsid w:val="0086339C"/>
    <w:rsid w:val="00871F71"/>
    <w:rsid w:val="00872FD8"/>
    <w:rsid w:val="00885AF4"/>
    <w:rsid w:val="008939CD"/>
    <w:rsid w:val="008A0B6D"/>
    <w:rsid w:val="008B3CF6"/>
    <w:rsid w:val="008B768C"/>
    <w:rsid w:val="008C4DB1"/>
    <w:rsid w:val="008C4EAF"/>
    <w:rsid w:val="008C5176"/>
    <w:rsid w:val="008C7FD0"/>
    <w:rsid w:val="008D0C8B"/>
    <w:rsid w:val="008E1DE7"/>
    <w:rsid w:val="008E4880"/>
    <w:rsid w:val="008E707C"/>
    <w:rsid w:val="008F15A7"/>
    <w:rsid w:val="00900B08"/>
    <w:rsid w:val="00902155"/>
    <w:rsid w:val="00902FA3"/>
    <w:rsid w:val="00903B3A"/>
    <w:rsid w:val="00904F95"/>
    <w:rsid w:val="009056B8"/>
    <w:rsid w:val="00923564"/>
    <w:rsid w:val="0092392E"/>
    <w:rsid w:val="009315F9"/>
    <w:rsid w:val="00933499"/>
    <w:rsid w:val="00935C98"/>
    <w:rsid w:val="00944E70"/>
    <w:rsid w:val="00946945"/>
    <w:rsid w:val="00951248"/>
    <w:rsid w:val="0095152F"/>
    <w:rsid w:val="00954C49"/>
    <w:rsid w:val="00955E37"/>
    <w:rsid w:val="009608AF"/>
    <w:rsid w:val="00970286"/>
    <w:rsid w:val="0097099F"/>
    <w:rsid w:val="00970A5E"/>
    <w:rsid w:val="00971997"/>
    <w:rsid w:val="00971FFC"/>
    <w:rsid w:val="00972C5E"/>
    <w:rsid w:val="0097473F"/>
    <w:rsid w:val="0098660A"/>
    <w:rsid w:val="00986F82"/>
    <w:rsid w:val="009931C3"/>
    <w:rsid w:val="00995F36"/>
    <w:rsid w:val="009B2C43"/>
    <w:rsid w:val="009B4EAE"/>
    <w:rsid w:val="009B7573"/>
    <w:rsid w:val="009C22F4"/>
    <w:rsid w:val="009C2E98"/>
    <w:rsid w:val="009C37FB"/>
    <w:rsid w:val="009C3B90"/>
    <w:rsid w:val="009D3447"/>
    <w:rsid w:val="009D4711"/>
    <w:rsid w:val="009F1185"/>
    <w:rsid w:val="009F18CD"/>
    <w:rsid w:val="009F2A13"/>
    <w:rsid w:val="009F2BFD"/>
    <w:rsid w:val="009F7527"/>
    <w:rsid w:val="00A039ED"/>
    <w:rsid w:val="00A04EB0"/>
    <w:rsid w:val="00A0551E"/>
    <w:rsid w:val="00A13CC1"/>
    <w:rsid w:val="00A14EE9"/>
    <w:rsid w:val="00A16847"/>
    <w:rsid w:val="00A237D8"/>
    <w:rsid w:val="00A23F12"/>
    <w:rsid w:val="00A268C4"/>
    <w:rsid w:val="00A307CD"/>
    <w:rsid w:val="00A331C8"/>
    <w:rsid w:val="00A35117"/>
    <w:rsid w:val="00A40A00"/>
    <w:rsid w:val="00A4142F"/>
    <w:rsid w:val="00A422EB"/>
    <w:rsid w:val="00A45BB7"/>
    <w:rsid w:val="00A54237"/>
    <w:rsid w:val="00A56ADC"/>
    <w:rsid w:val="00A56DF2"/>
    <w:rsid w:val="00A56E6E"/>
    <w:rsid w:val="00A60C7F"/>
    <w:rsid w:val="00A63B1D"/>
    <w:rsid w:val="00A67AB5"/>
    <w:rsid w:val="00A709E6"/>
    <w:rsid w:val="00A733B2"/>
    <w:rsid w:val="00A741C2"/>
    <w:rsid w:val="00A91760"/>
    <w:rsid w:val="00A93B00"/>
    <w:rsid w:val="00A93C21"/>
    <w:rsid w:val="00AB34F3"/>
    <w:rsid w:val="00AB64C9"/>
    <w:rsid w:val="00AB72B3"/>
    <w:rsid w:val="00AC3C6A"/>
    <w:rsid w:val="00AD0F83"/>
    <w:rsid w:val="00AD5620"/>
    <w:rsid w:val="00AD656B"/>
    <w:rsid w:val="00AD77DE"/>
    <w:rsid w:val="00AD7C1B"/>
    <w:rsid w:val="00AE16BA"/>
    <w:rsid w:val="00AE1EBE"/>
    <w:rsid w:val="00AF0EFC"/>
    <w:rsid w:val="00B039E1"/>
    <w:rsid w:val="00B03C9D"/>
    <w:rsid w:val="00B060AE"/>
    <w:rsid w:val="00B06832"/>
    <w:rsid w:val="00B10517"/>
    <w:rsid w:val="00B14E76"/>
    <w:rsid w:val="00B161B8"/>
    <w:rsid w:val="00B2048C"/>
    <w:rsid w:val="00B27D41"/>
    <w:rsid w:val="00B310B9"/>
    <w:rsid w:val="00B35F3F"/>
    <w:rsid w:val="00B36CBB"/>
    <w:rsid w:val="00B425E0"/>
    <w:rsid w:val="00B440AA"/>
    <w:rsid w:val="00B44B70"/>
    <w:rsid w:val="00B53C56"/>
    <w:rsid w:val="00B57DAF"/>
    <w:rsid w:val="00B615A9"/>
    <w:rsid w:val="00B77EA6"/>
    <w:rsid w:val="00B81598"/>
    <w:rsid w:val="00B841F1"/>
    <w:rsid w:val="00B93977"/>
    <w:rsid w:val="00B944D6"/>
    <w:rsid w:val="00B9706C"/>
    <w:rsid w:val="00BA2B61"/>
    <w:rsid w:val="00BB4DF0"/>
    <w:rsid w:val="00BC19B5"/>
    <w:rsid w:val="00BC2514"/>
    <w:rsid w:val="00BC289F"/>
    <w:rsid w:val="00BC2D50"/>
    <w:rsid w:val="00BC5361"/>
    <w:rsid w:val="00BC5460"/>
    <w:rsid w:val="00BC6B50"/>
    <w:rsid w:val="00BD0E25"/>
    <w:rsid w:val="00BD1FD2"/>
    <w:rsid w:val="00BF4662"/>
    <w:rsid w:val="00BF5BD6"/>
    <w:rsid w:val="00C03E31"/>
    <w:rsid w:val="00C04B5E"/>
    <w:rsid w:val="00C143A2"/>
    <w:rsid w:val="00C169D9"/>
    <w:rsid w:val="00C30E69"/>
    <w:rsid w:val="00C33E72"/>
    <w:rsid w:val="00C354B2"/>
    <w:rsid w:val="00C35554"/>
    <w:rsid w:val="00C42709"/>
    <w:rsid w:val="00C43787"/>
    <w:rsid w:val="00C4674D"/>
    <w:rsid w:val="00C533CC"/>
    <w:rsid w:val="00C5751C"/>
    <w:rsid w:val="00C61BFC"/>
    <w:rsid w:val="00C62B85"/>
    <w:rsid w:val="00C65438"/>
    <w:rsid w:val="00C6571C"/>
    <w:rsid w:val="00C812B6"/>
    <w:rsid w:val="00C83B4E"/>
    <w:rsid w:val="00C91CBB"/>
    <w:rsid w:val="00C92E93"/>
    <w:rsid w:val="00CB4E70"/>
    <w:rsid w:val="00CC09B6"/>
    <w:rsid w:val="00CC666F"/>
    <w:rsid w:val="00CD1E3F"/>
    <w:rsid w:val="00CE224B"/>
    <w:rsid w:val="00CE44F6"/>
    <w:rsid w:val="00CE49DA"/>
    <w:rsid w:val="00CE7B61"/>
    <w:rsid w:val="00CF7769"/>
    <w:rsid w:val="00D00095"/>
    <w:rsid w:val="00D114F0"/>
    <w:rsid w:val="00D20620"/>
    <w:rsid w:val="00D25297"/>
    <w:rsid w:val="00D254F7"/>
    <w:rsid w:val="00D26091"/>
    <w:rsid w:val="00D2685C"/>
    <w:rsid w:val="00D34E7C"/>
    <w:rsid w:val="00D35489"/>
    <w:rsid w:val="00D36AFE"/>
    <w:rsid w:val="00D45BFD"/>
    <w:rsid w:val="00D51276"/>
    <w:rsid w:val="00D613EE"/>
    <w:rsid w:val="00D7035F"/>
    <w:rsid w:val="00D94930"/>
    <w:rsid w:val="00DA634F"/>
    <w:rsid w:val="00DA65AC"/>
    <w:rsid w:val="00DA696C"/>
    <w:rsid w:val="00DB1913"/>
    <w:rsid w:val="00DB2AA0"/>
    <w:rsid w:val="00DC13D8"/>
    <w:rsid w:val="00DC17B4"/>
    <w:rsid w:val="00DC410D"/>
    <w:rsid w:val="00DC5A81"/>
    <w:rsid w:val="00DC68CA"/>
    <w:rsid w:val="00DC7CBA"/>
    <w:rsid w:val="00DD73B7"/>
    <w:rsid w:val="00DF28BC"/>
    <w:rsid w:val="00DF2B08"/>
    <w:rsid w:val="00DF34B9"/>
    <w:rsid w:val="00E01053"/>
    <w:rsid w:val="00E07ACF"/>
    <w:rsid w:val="00E21B14"/>
    <w:rsid w:val="00E331A1"/>
    <w:rsid w:val="00E33202"/>
    <w:rsid w:val="00E336A9"/>
    <w:rsid w:val="00E45684"/>
    <w:rsid w:val="00E472B1"/>
    <w:rsid w:val="00E50624"/>
    <w:rsid w:val="00E568DF"/>
    <w:rsid w:val="00E64269"/>
    <w:rsid w:val="00E66797"/>
    <w:rsid w:val="00E729E4"/>
    <w:rsid w:val="00E72B17"/>
    <w:rsid w:val="00E813DB"/>
    <w:rsid w:val="00E82267"/>
    <w:rsid w:val="00E84AE5"/>
    <w:rsid w:val="00E853CE"/>
    <w:rsid w:val="00E867B6"/>
    <w:rsid w:val="00E87F08"/>
    <w:rsid w:val="00E937A4"/>
    <w:rsid w:val="00E973AB"/>
    <w:rsid w:val="00EA010F"/>
    <w:rsid w:val="00EA23EF"/>
    <w:rsid w:val="00EB04EB"/>
    <w:rsid w:val="00EB2E88"/>
    <w:rsid w:val="00ED152F"/>
    <w:rsid w:val="00ED1B63"/>
    <w:rsid w:val="00ED3C1F"/>
    <w:rsid w:val="00ED4085"/>
    <w:rsid w:val="00ED420E"/>
    <w:rsid w:val="00ED631C"/>
    <w:rsid w:val="00ED6FBE"/>
    <w:rsid w:val="00EE2F57"/>
    <w:rsid w:val="00EF4C34"/>
    <w:rsid w:val="00EF721E"/>
    <w:rsid w:val="00EF77C6"/>
    <w:rsid w:val="00F01F29"/>
    <w:rsid w:val="00F05438"/>
    <w:rsid w:val="00F07EBC"/>
    <w:rsid w:val="00F1346F"/>
    <w:rsid w:val="00F1361C"/>
    <w:rsid w:val="00F156F0"/>
    <w:rsid w:val="00F160C7"/>
    <w:rsid w:val="00F16986"/>
    <w:rsid w:val="00F2408F"/>
    <w:rsid w:val="00F240E9"/>
    <w:rsid w:val="00F36D8F"/>
    <w:rsid w:val="00F417B1"/>
    <w:rsid w:val="00F45853"/>
    <w:rsid w:val="00F602DF"/>
    <w:rsid w:val="00F67B14"/>
    <w:rsid w:val="00F754A1"/>
    <w:rsid w:val="00F81FD9"/>
    <w:rsid w:val="00F841AA"/>
    <w:rsid w:val="00F84A94"/>
    <w:rsid w:val="00F8622A"/>
    <w:rsid w:val="00F87E96"/>
    <w:rsid w:val="00F91008"/>
    <w:rsid w:val="00FA23E8"/>
    <w:rsid w:val="00FB0988"/>
    <w:rsid w:val="00FD3CC1"/>
    <w:rsid w:val="00FE2EEE"/>
    <w:rsid w:val="00FF1E02"/>
    <w:rsid w:val="00FF30B4"/>
    <w:rsid w:val="00FF4C6D"/>
    <w:rsid w:val="10C055FF"/>
    <w:rsid w:val="16BB723D"/>
    <w:rsid w:val="240371BF"/>
    <w:rsid w:val="29FD04D3"/>
    <w:rsid w:val="319F7F4E"/>
    <w:rsid w:val="4ECE2238"/>
    <w:rsid w:val="65D770AF"/>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uiPriority w:val="99"/>
    <w:pPr>
      <w:spacing w:beforeLines="30"/>
    </w:pPr>
    <w:rPr>
      <w:rFonts w:ascii="仿宋_GB2312" w:eastAsia="仿宋_GB2312"/>
      <w:kern w:val="0"/>
      <w:sz w:val="30"/>
    </w:rPr>
  </w:style>
  <w:style w:type="paragraph" w:styleId="6">
    <w:name w:val="Body Text Indent"/>
    <w:basedOn w:val="1"/>
    <w:link w:val="33"/>
    <w:semiHidden/>
    <w:unhideWhenUsed/>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6"/>
    <w:link w:val="34"/>
    <w:semiHidden/>
    <w:unhideWhenUsed/>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2"/>
    <w:qFormat/>
    <w:uiPriority w:val="9"/>
    <w:rPr>
      <w:rFonts w:ascii="Times New Roman" w:hAnsi="Times New Roman"/>
      <w:b/>
      <w:bCs/>
      <w:kern w:val="44"/>
      <w:sz w:val="44"/>
      <w:szCs w:val="44"/>
    </w:rPr>
  </w:style>
  <w:style w:type="character" w:customStyle="1" w:styleId="28">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8"/>
    <w:semiHidden/>
    <w:qFormat/>
    <w:uiPriority w:val="99"/>
    <w:rPr>
      <w:rFonts w:ascii="Times New Roman" w:hAnsi="Times New Roman"/>
      <w:kern w:val="2"/>
      <w:sz w:val="18"/>
      <w:szCs w:val="18"/>
    </w:rPr>
  </w:style>
  <w:style w:type="character" w:customStyle="1" w:styleId="31">
    <w:name w:val="标题 3 Char"/>
    <w:basedOn w:val="16"/>
    <w:link w:val="4"/>
    <w:qFormat/>
    <w:uiPriority w:val="9"/>
    <w:rPr>
      <w:rFonts w:ascii="Times New Roman" w:hAnsi="Times New Roman"/>
      <w:b/>
      <w:bCs/>
      <w:kern w:val="2"/>
      <w:sz w:val="32"/>
      <w:szCs w:val="32"/>
    </w:rPr>
  </w:style>
  <w:style w:type="paragraph" w:customStyle="1" w:styleId="3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正文文本缩进 Char"/>
    <w:basedOn w:val="16"/>
    <w:link w:val="6"/>
    <w:semiHidden/>
    <w:uiPriority w:val="99"/>
    <w:rPr>
      <w:rFonts w:ascii="Times New Roman" w:hAnsi="Times New Roman"/>
      <w:kern w:val="2"/>
      <w:sz w:val="21"/>
      <w:szCs w:val="24"/>
    </w:rPr>
  </w:style>
  <w:style w:type="character" w:customStyle="1" w:styleId="34">
    <w:name w:val="正文首行缩进 2 Char"/>
    <w:basedOn w:val="33"/>
    <w:link w:val="14"/>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Props1.xml><?xml version="1.0" encoding="utf-8"?>
<ds:datastoreItem xmlns:ds="http://schemas.openxmlformats.org/officeDocument/2006/customXml" ds:itemID="{7FBCE438-D2BA-44E0-99AE-0750FF4CEC36}">
  <ds:schemaRefs/>
</ds:datastoreItem>
</file>

<file path=customXml/itemProps2.xml><?xml version="1.0" encoding="utf-8"?>
<ds:datastoreItem xmlns:ds="http://schemas.openxmlformats.org/officeDocument/2006/customXml" ds:itemID="{45687C4F-3435-42CD-9A04-1C6721579FFE}">
  <ds:schemaRefs/>
</ds:datastoreItem>
</file>

<file path=customXml/itemProps3.xml><?xml version="1.0" encoding="utf-8"?>
<ds:datastoreItem xmlns:ds="http://schemas.openxmlformats.org/officeDocument/2006/customXml" ds:itemID="{F7D93741-9008-4382-8449-86DDE85E1CD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9494</Words>
  <Characters>10753</Characters>
  <Lines>78</Lines>
  <Paragraphs>22</Paragraphs>
  <TotalTime>0</TotalTime>
  <ScaleCrop>false</ScaleCrop>
  <LinksUpToDate>false</LinksUpToDate>
  <CharactersWithSpaces>10799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不經意的一片阳光</cp:lastModifiedBy>
  <cp:lastPrinted>2020-07-23T02:58:00Z</cp:lastPrinted>
  <dcterms:modified xsi:type="dcterms:W3CDTF">2025-06-24T08:19:36Z</dcterms:modified>
  <dc:title>四川省***</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eyJoZGlkIjoiZTJiYzZhNTk3Y2FjOWIwMTg5NmZlN2Q3NDAyNjM5YzUiLCJ1c2VySWQiOiI0NDA2Mzk5NTcifQ==</vt:lpwstr>
  </property>
  <property fmtid="{D5CDD505-2E9C-101B-9397-08002B2CF9AE}" pid="4" name="ICV">
    <vt:lpwstr>0D06DC5F584F4C1282459DD4277E5429_12</vt:lpwstr>
  </property>
</Properties>
</file>