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47B1E">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14:paraId="5A5D000F">
      <w:pPr>
        <w:spacing w:line="600" w:lineRule="exact"/>
        <w:jc w:val="center"/>
        <w:outlineLvl w:val="0"/>
        <w:rPr>
          <w:rFonts w:ascii="方正小标宋简体" w:hAnsi="宋体" w:eastAsia="方正小标宋简体"/>
          <w:color w:val="auto"/>
          <w:sz w:val="72"/>
          <w:szCs w:val="72"/>
          <w:highlight w:val="none"/>
        </w:rPr>
      </w:pPr>
    </w:p>
    <w:p w14:paraId="10A3C74B">
      <w:pPr>
        <w:spacing w:line="600" w:lineRule="exact"/>
        <w:jc w:val="center"/>
        <w:outlineLvl w:val="0"/>
        <w:rPr>
          <w:rFonts w:ascii="方正小标宋简体" w:hAnsi="宋体" w:eastAsia="方正小标宋简体"/>
          <w:color w:val="auto"/>
          <w:sz w:val="72"/>
          <w:szCs w:val="72"/>
          <w:highlight w:val="none"/>
        </w:rPr>
      </w:pPr>
    </w:p>
    <w:p w14:paraId="768B938A">
      <w:pPr>
        <w:spacing w:line="600" w:lineRule="exact"/>
        <w:jc w:val="center"/>
        <w:outlineLvl w:val="0"/>
        <w:rPr>
          <w:rFonts w:ascii="方正小标宋简体" w:hAnsi="宋体" w:eastAsia="方正小标宋简体"/>
          <w:color w:val="auto"/>
          <w:sz w:val="72"/>
          <w:szCs w:val="72"/>
          <w:highlight w:val="none"/>
        </w:rPr>
      </w:pPr>
    </w:p>
    <w:p w14:paraId="2D96DA25">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425"/>
      <w:bookmarkStart w:id="2" w:name="_Toc15378441"/>
      <w:bookmarkStart w:id="3" w:name="_Toc15396597"/>
      <w:bookmarkStart w:id="4" w:name="_Toc15396475"/>
      <w:bookmarkStart w:id="5" w:name="_Toc15377193"/>
      <w:r>
        <w:rPr>
          <w:rFonts w:hint="eastAsia" w:ascii="方正小标宋简体" w:hAnsi="方正小标宋简体" w:eastAsia="方正小标宋简体" w:cs="方正小标宋简体"/>
          <w:color w:val="auto"/>
          <w:sz w:val="72"/>
          <w:szCs w:val="72"/>
          <w:highlight w:val="none"/>
          <w:lang w:val="en-US" w:eastAsia="zh-CN"/>
        </w:rPr>
        <w:t xml:space="preserve"> </w:t>
      </w: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Start w:id="6" w:name="_Toc15396476"/>
      <w:bookmarkStart w:id="7" w:name="_Toc15377426"/>
      <w:bookmarkStart w:id="8" w:name="_Toc15378442"/>
      <w:bookmarkStart w:id="9" w:name="_Toc15377194"/>
      <w:bookmarkStart w:id="10" w:name="_Toc15396598"/>
    </w:p>
    <w:p w14:paraId="64911302">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val="en-US" w:eastAsia="zh-CN"/>
        </w:rPr>
        <w:t xml:space="preserve">  </w:t>
      </w:r>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rPr>
        <w:t>广汉市实验小学部门决算</w:t>
      </w:r>
      <w:bookmarkEnd w:id="6"/>
      <w:bookmarkEnd w:id="7"/>
      <w:bookmarkEnd w:id="8"/>
      <w:bookmarkEnd w:id="9"/>
      <w:bookmarkEnd w:id="10"/>
      <w:bookmarkEnd w:id="11"/>
    </w:p>
    <w:p w14:paraId="6060F27A">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17D1CE1E">
      <w:pPr>
        <w:widowControl/>
        <w:jc w:val="center"/>
        <w:rPr>
          <w:rFonts w:ascii="黑体" w:hAnsi="黑体" w:eastAsia="黑体" w:cstheme="minorBidi"/>
          <w:color w:val="auto"/>
          <w:sz w:val="28"/>
          <w:szCs w:val="28"/>
          <w:highlight w:val="none"/>
        </w:rPr>
      </w:pPr>
    </w:p>
    <w:p w14:paraId="71AB6EA3">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14:paraId="633F801E">
      <w:pPr>
        <w:rPr>
          <w:color w:val="auto"/>
          <w:highlight w:val="none"/>
        </w:rPr>
      </w:pPr>
    </w:p>
    <w:p w14:paraId="29A0A621">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14:paraId="04DEEAF9">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一、职能</w:t>
      </w:r>
      <w:r>
        <w:rPr>
          <w:rFonts w:hint="eastAsia"/>
          <w:color w:val="auto"/>
          <w:sz w:val="24"/>
          <w:highlight w:val="none"/>
          <w:lang w:eastAsia="zh-CN"/>
        </w:rPr>
        <w:t>简介</w:t>
      </w:r>
      <w:r>
        <w:rPr>
          <w:rFonts w:hint="eastAsia"/>
          <w:sz w:val="13"/>
          <w:szCs w:val="13"/>
          <w:lang w:val="en-US" w:eastAsia="zh-CN"/>
        </w:rPr>
        <w:t>·······························································································</w:t>
      </w:r>
      <w:r>
        <w:rPr>
          <w:rFonts w:hint="eastAsia" w:ascii="Times New Roman" w:hAnsi="Times New Roman" w:eastAsia="宋体" w:cs="Times New Roman"/>
          <w:sz w:val="13"/>
          <w:szCs w:val="13"/>
          <w:lang w:val="en-US" w:eastAsia="zh-CN"/>
        </w:rPr>
        <w:t>·</w:t>
      </w:r>
      <w:r>
        <w:rPr>
          <w:rFonts w:hint="eastAsia"/>
          <w:sz w:val="24"/>
          <w:szCs w:val="24"/>
          <w:lang w:val="en-US" w:eastAsia="zh-CN"/>
        </w:rPr>
        <w:t>4</w:t>
      </w:r>
    </w:p>
    <w:p w14:paraId="045D64B8">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lang w:eastAsia="zh-CN"/>
        </w:rPr>
        <w:t>二、</w:t>
      </w:r>
      <w:r>
        <w:rPr>
          <w:rFonts w:hint="eastAsia"/>
          <w:color w:val="auto"/>
          <w:sz w:val="24"/>
          <w:highlight w:val="none"/>
          <w:lang w:val="en-US" w:eastAsia="zh-CN"/>
        </w:rPr>
        <w:t>2021年重点</w:t>
      </w:r>
      <w:r>
        <w:rPr>
          <w:rFonts w:hint="eastAsia"/>
          <w:color w:val="auto"/>
          <w:sz w:val="24"/>
          <w:highlight w:val="none"/>
        </w:rPr>
        <w:t>工作</w:t>
      </w:r>
      <w:r>
        <w:rPr>
          <w:rFonts w:hint="eastAsia"/>
          <w:color w:val="auto"/>
          <w:sz w:val="24"/>
          <w:highlight w:val="none"/>
          <w:lang w:eastAsia="zh-CN"/>
        </w:rPr>
        <w:t>完成情况</w:t>
      </w:r>
      <w:r>
        <w:rPr>
          <w:rFonts w:hint="eastAsia"/>
          <w:sz w:val="13"/>
          <w:szCs w:val="13"/>
          <w:lang w:val="en-US" w:eastAsia="zh-CN"/>
        </w:rPr>
        <w:t>·····································································</w:t>
      </w:r>
      <w:r>
        <w:rPr>
          <w:rFonts w:hint="eastAsia" w:ascii="Times New Roman" w:hAnsi="Times New Roman" w:eastAsia="宋体" w:cs="Times New Roman"/>
          <w:sz w:val="13"/>
          <w:szCs w:val="13"/>
          <w:lang w:val="en-US" w:eastAsia="zh-CN"/>
        </w:rPr>
        <w:t>·</w:t>
      </w:r>
      <w:r>
        <w:rPr>
          <w:rFonts w:hint="eastAsia"/>
          <w:sz w:val="24"/>
          <w:szCs w:val="24"/>
          <w:lang w:val="en-US" w:eastAsia="zh-CN"/>
        </w:rPr>
        <w:t>6</w:t>
      </w:r>
    </w:p>
    <w:p w14:paraId="795CADAD">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p>
    <w:p w14:paraId="4C2FF30B">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一、收入支出决算总体情况说明</w:t>
      </w:r>
      <w:r>
        <w:rPr>
          <w:rFonts w:hint="eastAsia"/>
          <w:sz w:val="13"/>
          <w:szCs w:val="13"/>
          <w:lang w:val="en-US" w:eastAsia="zh-CN"/>
        </w:rPr>
        <w:t>·································································</w:t>
      </w:r>
      <w:r>
        <w:rPr>
          <w:rFonts w:hint="eastAsia" w:ascii="Times New Roman" w:hAnsi="Times New Roman" w:cs="Times New Roman"/>
          <w:color w:val="auto"/>
          <w:sz w:val="24"/>
          <w:highlight w:val="none"/>
          <w:lang w:val="en-US" w:eastAsia="zh-CN"/>
        </w:rPr>
        <w:t>10</w:t>
      </w:r>
    </w:p>
    <w:p w14:paraId="2E537573">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r>
        <w:rPr>
          <w:rFonts w:hint="eastAsia"/>
          <w:sz w:val="13"/>
          <w:szCs w:val="13"/>
          <w:lang w:val="en-US" w:eastAsia="zh-CN"/>
        </w:rPr>
        <w:t>······································································</w:t>
      </w:r>
      <w:r>
        <w:rPr>
          <w:rFonts w:hint="eastAsia" w:ascii="Times New Roman" w:hAnsi="Times New Roman" w:cs="Times New Roman"/>
          <w:color w:val="auto"/>
          <w:sz w:val="24"/>
          <w:highlight w:val="none"/>
          <w:lang w:val="en-US" w:eastAsia="zh-CN"/>
        </w:rPr>
        <w:t>11</w:t>
      </w:r>
    </w:p>
    <w:p w14:paraId="2FCC52B7">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r>
        <w:rPr>
          <w:rFonts w:hint="eastAsia"/>
          <w:sz w:val="13"/>
          <w:szCs w:val="13"/>
          <w:lang w:val="en-US" w:eastAsia="zh-CN"/>
        </w:rPr>
        <w:t>·····································································</w:t>
      </w:r>
      <w:r>
        <w:rPr>
          <w:rFonts w:hint="eastAsia"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2</w:t>
      </w:r>
    </w:p>
    <w:p w14:paraId="351D60FC">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r>
        <w:rPr>
          <w:rFonts w:hint="eastAsia"/>
          <w:sz w:val="13"/>
          <w:szCs w:val="13"/>
          <w:lang w:val="en-US" w:eastAsia="zh-CN"/>
        </w:rPr>
        <w:t>··················································</w:t>
      </w:r>
      <w:r>
        <w:rPr>
          <w:rFonts w:hint="eastAsia" w:ascii="Times New Roman" w:hAnsi="Times New Roman" w:cs="Times New Roman"/>
          <w:color w:val="auto"/>
          <w:sz w:val="24"/>
          <w:highlight w:val="none"/>
          <w:lang w:val="en-US" w:eastAsia="zh-CN"/>
        </w:rPr>
        <w:t>12</w:t>
      </w:r>
    </w:p>
    <w:p w14:paraId="2619ABE1">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r>
        <w:rPr>
          <w:rFonts w:hint="eastAsia"/>
          <w:sz w:val="13"/>
          <w:szCs w:val="13"/>
          <w:lang w:val="en-US" w:eastAsia="zh-CN"/>
        </w:rPr>
        <w:t>··········································</w:t>
      </w:r>
      <w:r>
        <w:rPr>
          <w:rFonts w:hint="eastAsia" w:ascii="Times New Roman" w:hAnsi="Times New Roman" w:cs="Times New Roman"/>
          <w:color w:val="auto"/>
          <w:sz w:val="24"/>
          <w:highlight w:val="none"/>
          <w:lang w:val="en-US" w:eastAsia="zh-CN"/>
        </w:rPr>
        <w:t>13</w:t>
      </w:r>
    </w:p>
    <w:p w14:paraId="7CD2E602">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r>
        <w:rPr>
          <w:rFonts w:hint="eastAsia"/>
          <w:sz w:val="13"/>
          <w:szCs w:val="13"/>
          <w:lang w:val="en-US" w:eastAsia="zh-CN"/>
        </w:rPr>
        <w:t>···································</w:t>
      </w:r>
      <w:r>
        <w:rPr>
          <w:rFonts w:hint="eastAsia" w:ascii="Times New Roman" w:hAnsi="Times New Roman" w:cs="Times New Roman"/>
          <w:color w:val="auto"/>
          <w:sz w:val="24"/>
          <w:highlight w:val="none"/>
          <w:lang w:val="en-US" w:eastAsia="zh-CN"/>
        </w:rPr>
        <w:t>15</w:t>
      </w:r>
    </w:p>
    <w:p w14:paraId="0D6C1729">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sz w:val="13"/>
          <w:szCs w:val="13"/>
          <w:lang w:val="en-US" w:eastAsia="zh-CN"/>
        </w:rPr>
        <w:t>··········································</w:t>
      </w:r>
      <w:r>
        <w:rPr>
          <w:rFonts w:hint="eastAsia"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6</w:t>
      </w:r>
    </w:p>
    <w:p w14:paraId="01E01D05">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八、政府性基金预算支出决算情况说明</w:t>
      </w:r>
      <w:r>
        <w:rPr>
          <w:rFonts w:hint="eastAsia"/>
          <w:sz w:val="13"/>
          <w:szCs w:val="13"/>
          <w:lang w:val="en-US" w:eastAsia="zh-CN"/>
        </w:rPr>
        <w:t>··················································</w:t>
      </w:r>
      <w:r>
        <w:rPr>
          <w:rFonts w:hint="eastAsia"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7</w:t>
      </w:r>
    </w:p>
    <w:p w14:paraId="7E61E431">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r>
        <w:rPr>
          <w:rFonts w:hint="eastAsia"/>
          <w:sz w:val="13"/>
          <w:szCs w:val="13"/>
          <w:lang w:val="en-US" w:eastAsia="zh-CN"/>
        </w:rPr>
        <w:t>··············································</w:t>
      </w:r>
      <w:r>
        <w:rPr>
          <w:rFonts w:hint="eastAsia"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7</w:t>
      </w:r>
    </w:p>
    <w:p w14:paraId="02AEE926">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r>
        <w:rPr>
          <w:rFonts w:hint="eastAsia"/>
          <w:sz w:val="13"/>
          <w:szCs w:val="13"/>
          <w:lang w:val="en-US" w:eastAsia="zh-CN"/>
        </w:rPr>
        <w:t>·······························································</w:t>
      </w:r>
      <w:r>
        <w:rPr>
          <w:rFonts w:hint="eastAsia"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7</w:t>
      </w:r>
    </w:p>
    <w:p w14:paraId="4237B703">
      <w:pPr>
        <w:pStyle w:val="10"/>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sz w:val="13"/>
          <w:szCs w:val="13"/>
          <w:lang w:val="en-US" w:eastAsia="zh-CN"/>
        </w:rPr>
        <w:t>···························································································</w:t>
      </w:r>
      <w:r>
        <w:rPr>
          <w:rFonts w:hint="eastAsia" w:ascii="Times New Roman" w:hAnsi="Times New Roman" w:eastAsia="宋体" w:cs="Times New Roman"/>
          <w:sz w:val="13"/>
          <w:szCs w:val="13"/>
          <w:lang w:val="en-US" w:eastAsia="zh-CN"/>
        </w:rPr>
        <w:t>·</w:t>
      </w:r>
      <w:r>
        <w:rPr>
          <w:rFonts w:hint="eastAsia"/>
          <w:b/>
          <w:bCs/>
          <w:sz w:val="24"/>
          <w:szCs w:val="24"/>
          <w:lang w:val="en-US" w:eastAsia="zh-CN"/>
        </w:rPr>
        <w:t>19</w:t>
      </w:r>
    </w:p>
    <w:p w14:paraId="2EB47440">
      <w:pPr>
        <w:pStyle w:val="10"/>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sz w:val="13"/>
          <w:szCs w:val="13"/>
          <w:lang w:val="en-US" w:eastAsia="zh-CN"/>
        </w:rPr>
        <w:t>·······························································································</w:t>
      </w:r>
      <w:r>
        <w:rPr>
          <w:rFonts w:hint="eastAsia" w:ascii="Times New Roman" w:hAnsi="Times New Roman" w:eastAsia="宋体" w:cs="Times New Roman"/>
          <w:sz w:val="13"/>
          <w:szCs w:val="13"/>
          <w:lang w:val="en-US" w:eastAsia="zh-CN"/>
        </w:rPr>
        <w:t>·</w:t>
      </w:r>
      <w:r>
        <w:rPr>
          <w:rFonts w:hint="eastAsia"/>
          <w:b/>
          <w:bCs/>
          <w:sz w:val="24"/>
          <w:szCs w:val="24"/>
          <w:lang w:val="en-US" w:eastAsia="zh-CN"/>
        </w:rPr>
        <w:t>22</w:t>
      </w:r>
    </w:p>
    <w:p w14:paraId="26693425">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sz w:val="13"/>
          <w:szCs w:val="13"/>
          <w:lang w:val="en-US" w:eastAsia="zh-CN"/>
        </w:rPr>
        <w:t>·······························································································</w:t>
      </w:r>
      <w:r>
        <w:rPr>
          <w:rFonts w:hint="eastAsia" w:ascii="Times New Roman" w:hAnsi="Times New Roman" w:eastAsia="宋体" w:cs="Times New Roman"/>
          <w:sz w:val="13"/>
          <w:szCs w:val="13"/>
          <w:lang w:val="en-US" w:eastAsia="zh-CN"/>
        </w:rPr>
        <w:t>·</w:t>
      </w:r>
      <w:r>
        <w:rPr>
          <w:rFonts w:hint="eastAsia"/>
          <w:b/>
          <w:bCs/>
          <w:sz w:val="24"/>
          <w:szCs w:val="24"/>
          <w:lang w:val="en-US" w:eastAsia="zh-CN"/>
        </w:rPr>
        <w:t>23</w:t>
      </w:r>
    </w:p>
    <w:p w14:paraId="399D3EC6">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14:paraId="5AE6D541">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14:paraId="4A14E069">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14:paraId="29029F3E">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14:paraId="1762FEAC">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14:paraId="3B3AF8D3">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14:paraId="4928484D">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14:paraId="507557BB">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八、一般公共预算财政拨款基本支出决算表</w:t>
      </w:r>
    </w:p>
    <w:p w14:paraId="572B33F0">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14:paraId="2DB63C04">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十、一般公共预算财政拨款“三公”经费支出决算表</w:t>
      </w:r>
    </w:p>
    <w:p w14:paraId="47E14234">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十一、政府性基金预算财政拨款收入支出决算表</w:t>
      </w:r>
    </w:p>
    <w:p w14:paraId="7685B681">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十二、政府性基金预算财政拨款“三公”经费支出决算表</w:t>
      </w:r>
    </w:p>
    <w:p w14:paraId="42FDD74B">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p>
    <w:p w14:paraId="06623FF1">
      <w:pPr>
        <w:pStyle w:val="11"/>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w:t>
      </w:r>
    </w:p>
    <w:p w14:paraId="784C9291">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14:paraId="7EF0378C">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14:paraId="7E7C40F5">
      <w:pPr>
        <w:widowControl/>
        <w:jc w:val="left"/>
        <w:rPr>
          <w:rFonts w:ascii="黑体" w:eastAsia="黑体"/>
          <w:color w:val="auto"/>
          <w:sz w:val="32"/>
          <w:szCs w:val="32"/>
          <w:highlight w:val="none"/>
        </w:rPr>
      </w:pPr>
    </w:p>
    <w:p w14:paraId="55FAAAFC">
      <w:pPr>
        <w:pStyle w:val="4"/>
        <w:numPr>
          <w:ilvl w:val="0"/>
          <w:numId w:val="1"/>
        </w:numPr>
        <w:rPr>
          <w:rStyle w:val="26"/>
          <w:rFonts w:hint="eastAsia" w:ascii="黑体" w:hAnsi="黑体" w:eastAsia="黑体"/>
          <w:b w:val="0"/>
          <w:bCs w:val="0"/>
          <w:color w:val="auto"/>
          <w:highlight w:val="none"/>
          <w:lang w:eastAsia="zh-CN"/>
        </w:rPr>
      </w:pPr>
      <w:bookmarkStart w:id="14" w:name="_Toc15377197"/>
      <w:bookmarkStart w:id="15" w:name="_Toc15396600"/>
      <w:r>
        <w:rPr>
          <w:rStyle w:val="26"/>
          <w:rFonts w:hint="eastAsia" w:ascii="黑体" w:hAnsi="黑体" w:eastAsia="黑体"/>
          <w:b w:val="0"/>
          <w:bCs w:val="0"/>
          <w:color w:val="auto"/>
          <w:highlight w:val="none"/>
        </w:rPr>
        <w:t>职能</w:t>
      </w:r>
      <w:r>
        <w:rPr>
          <w:rStyle w:val="26"/>
          <w:rFonts w:hint="eastAsia" w:ascii="黑体" w:hAnsi="黑体" w:eastAsia="黑体"/>
          <w:b w:val="0"/>
          <w:bCs w:val="0"/>
          <w:color w:val="auto"/>
          <w:highlight w:val="none"/>
          <w:lang w:eastAsia="zh-CN"/>
        </w:rPr>
        <w:t>简介</w:t>
      </w:r>
    </w:p>
    <w:p w14:paraId="0C3CAEB9">
      <w:pPr>
        <w:numPr>
          <w:ilvl w:val="0"/>
          <w:numId w:val="2"/>
        </w:numPr>
        <w:ind w:left="210" w:leftChars="0" w:firstLine="0" w:firstLineChars="0"/>
        <w:rPr>
          <w:rFonts w:hint="eastAsia" w:ascii="宋体" w:hAnsi="宋体" w:cs="宋体" w:eastAsiaTheme="majorEastAsia"/>
          <w:b/>
          <w:bCs/>
          <w:kern w:val="2"/>
          <w:sz w:val="28"/>
          <w:szCs w:val="28"/>
          <w:lang w:val="en-US" w:eastAsia="zh-CN" w:bidi="ar-SA"/>
        </w:rPr>
      </w:pPr>
      <w:r>
        <w:rPr>
          <w:rFonts w:hint="eastAsia" w:ascii="宋体" w:hAnsi="宋体" w:cs="宋体" w:eastAsiaTheme="majorEastAsia"/>
          <w:b/>
          <w:bCs/>
          <w:kern w:val="2"/>
          <w:sz w:val="28"/>
          <w:szCs w:val="28"/>
          <w:lang w:val="en-US" w:eastAsia="zh-CN" w:bidi="ar-SA"/>
        </w:rPr>
        <w:t>主要职能。</w:t>
      </w:r>
    </w:p>
    <w:p w14:paraId="3852AFDB">
      <w:pPr>
        <w:numPr>
          <w:ilvl w:val="0"/>
          <w:numId w:val="3"/>
        </w:numPr>
        <w:ind w:left="210"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学校全面贯彻教育方针，积极推进素质教育，规范学校办学行为，不断提高教学质量。</w:t>
      </w:r>
    </w:p>
    <w:p w14:paraId="4684460D">
      <w:pPr>
        <w:numPr>
          <w:ilvl w:val="0"/>
          <w:numId w:val="3"/>
        </w:numPr>
        <w:ind w:left="210"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执行教育改革与发展战略和全市教育事业发展规划；组织拟订加强基础教育，大力发展职业教育，全面实施素质教育，提高教学质量，促进教育公平的政策并贯彻实施。</w:t>
      </w:r>
    </w:p>
    <w:p w14:paraId="796C61ED">
      <w:pPr>
        <w:numPr>
          <w:ilvl w:val="0"/>
          <w:numId w:val="3"/>
        </w:numPr>
        <w:ind w:left="210"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优化学校办学资源，努力解决教育资源不足问题，有效降低大班额比例，合理配置教育资源，促进义务教育的发展。</w:t>
      </w:r>
    </w:p>
    <w:p w14:paraId="77A58571">
      <w:pPr>
        <w:numPr>
          <w:ilvl w:val="0"/>
          <w:numId w:val="3"/>
        </w:numPr>
        <w:ind w:left="210"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做好教育经费投入情况及教育经费的管理使用工作；做好义务教育经费保障机制有关工作，全面落实“两免一补”；做好教师工资及绩效工资的发放。会同财政、审计部门加强学校教育经费的管理。</w:t>
      </w:r>
    </w:p>
    <w:p w14:paraId="5A3A3A33">
      <w:pPr>
        <w:numPr>
          <w:ilvl w:val="0"/>
          <w:numId w:val="3"/>
        </w:numPr>
        <w:ind w:left="210"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配合机构编制部门做好教职工编制动态调整及落实工作，按照省定编制及结构要求足额配备教师；做好教师职务评审、岗位管理、人员聘用、合同签订和培养培训等相关工作。加强师德师风建设，提高教师思想道德素质，加强学习领导班子和干部队伍建设，按照干部管理权限考核选聘中层干部。加强教师培训，确保教师编制、学历、教师资格、职称结构等符合相关要求。</w:t>
      </w:r>
    </w:p>
    <w:p w14:paraId="14DC3D52">
      <w:pPr>
        <w:numPr>
          <w:ilvl w:val="0"/>
          <w:numId w:val="3"/>
        </w:numPr>
        <w:ind w:left="210"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建立健全学校管理制度，加强校园绿化、美化、亮化、净化、文化建设，树立良好“校风、教风、学风”，提高管理水平。会同公安、司法、工商等部门加强对校园及周边环境的治理，确保中小学不发生重大安全责任事故；会同财政、物价、纪检监察部门规范学校收费行为。</w:t>
      </w:r>
    </w:p>
    <w:p w14:paraId="07EF1313">
      <w:pPr>
        <w:numPr>
          <w:ilvl w:val="0"/>
          <w:numId w:val="3"/>
        </w:numPr>
        <w:ind w:left="210"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依法采取措施“控辍保学”，确保学校的入学率、辍学率、完成率等各项普及指标达到国家和省上规定标准。会同有关部门落实国家和省市有关政策措施，抓好进城务工农民子女、留守儿童、残疾儿童和妇女童等弱势群体接受义务教育工作。配合统计部门摸清青壮年文盲基数。</w:t>
      </w:r>
    </w:p>
    <w:p w14:paraId="7497757F">
      <w:pPr>
        <w:numPr>
          <w:ilvl w:val="0"/>
          <w:numId w:val="0"/>
        </w:numPr>
        <w:ind w:leftChars="200" w:firstLine="280" w:firstLineChars="1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8、承办市政府、教育局交办的其他事项。</w:t>
      </w:r>
    </w:p>
    <w:p w14:paraId="0EEBACB8">
      <w:pPr>
        <w:pStyle w:val="4"/>
        <w:rPr>
          <w:rFonts w:hint="eastAsia" w:ascii="宋体" w:hAnsi="宋体" w:cs="宋体"/>
          <w:sz w:val="28"/>
          <w:szCs w:val="28"/>
        </w:rPr>
      </w:pPr>
      <w:r>
        <w:rPr>
          <w:rFonts w:hint="eastAsia" w:ascii="黑体" w:hAnsi="黑体" w:eastAsia="黑体"/>
          <w:b w:val="0"/>
          <w:color w:val="000000"/>
        </w:rPr>
        <w:t>二、</w:t>
      </w:r>
      <w:r>
        <w:rPr>
          <w:rFonts w:hint="eastAsia" w:ascii="宋体" w:hAnsi="宋体" w:cs="宋体"/>
          <w:sz w:val="28"/>
          <w:szCs w:val="28"/>
        </w:rPr>
        <w:t>机构设置</w:t>
      </w:r>
    </w:p>
    <w:p w14:paraId="22FDCDA1">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机构情况：学校管理规范，和谐发展。学校设办公室、政教处、教导处、总务处四个处室，各处室中层干部全部通过广汉市教育局组织的非常定向统筹选拔干部的方式竞争产生。各处室在学校党支部的领导下、在学校工会的监督下创造性的开展工作，成效显著，通过了德阳市义务教育素质督导评估的验收。</w:t>
      </w:r>
    </w:p>
    <w:p w14:paraId="06FE5A4C">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人员情况：校园内文化气息浓郁、学习环境怡人，是学生成长的摇篮。学校在职教职工96人，中国共产党党员41人，其中副高级教师15人，中级教师42人，助理级教师35人.研究生毕业4人，本科毕业53人，专科毕业36人。本年度教师招聘2人，退休1人。2021年末学生就读人数1782人，本年新招学生405人，毕业生数222人。</w:t>
      </w:r>
    </w:p>
    <w:p w14:paraId="7F6937B9">
      <w:pPr>
        <w:numPr>
          <w:ilvl w:val="0"/>
          <w:numId w:val="0"/>
        </w:numPr>
        <w:spacing w:line="600" w:lineRule="exact"/>
        <w:ind w:left="640" w:leftChars="0"/>
        <w:rPr>
          <w:rFonts w:hint="default" w:ascii="仿宋_GB2312" w:eastAsia="仿宋_GB2312"/>
          <w:color w:val="auto"/>
          <w:sz w:val="32"/>
          <w:szCs w:val="32"/>
          <w:highlight w:val="none"/>
          <w:lang w:val="en-US" w:eastAsia="zh-CN"/>
        </w:rPr>
      </w:pPr>
    </w:p>
    <w:p w14:paraId="4B88C27C">
      <w:pPr>
        <w:pStyle w:val="4"/>
        <w:numPr>
          <w:ilvl w:val="0"/>
          <w:numId w:val="0"/>
        </w:numPr>
        <w:rPr>
          <w:rFonts w:hint="eastAsia" w:ascii="黑体" w:hAnsi="黑体" w:eastAsia="黑体"/>
          <w:b w:val="0"/>
          <w:color w:val="auto"/>
          <w:highlight w:val="none"/>
          <w:lang w:eastAsia="zh-CN"/>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14:paraId="10C73D67">
      <w:pPr>
        <w:widowControl/>
        <w:jc w:val="center"/>
        <w:rPr>
          <w:rFonts w:hint="eastAsia" w:ascii="宋体" w:hAnsi="宋体"/>
          <w:b/>
          <w:bCs/>
          <w:sz w:val="28"/>
          <w:szCs w:val="28"/>
        </w:rPr>
      </w:pPr>
      <w:r>
        <w:rPr>
          <w:rFonts w:hint="eastAsia" w:ascii="宋体" w:hAnsi="宋体"/>
          <w:b/>
          <w:bCs/>
          <w:sz w:val="28"/>
          <w:szCs w:val="28"/>
        </w:rPr>
        <w:t>“党建引领、质量兴校、特色强校”</w:t>
      </w:r>
    </w:p>
    <w:p w14:paraId="5F867B1C">
      <w:pPr>
        <w:widowControl/>
        <w:ind w:firstLine="560" w:firstLineChars="200"/>
        <w:jc w:val="left"/>
        <w:rPr>
          <w:rFonts w:hint="eastAsia" w:ascii="宋体" w:hAnsi="宋体"/>
          <w:b w:val="0"/>
          <w:bCs w:val="0"/>
          <w:sz w:val="28"/>
          <w:szCs w:val="28"/>
        </w:rPr>
      </w:pPr>
      <w:r>
        <w:rPr>
          <w:rFonts w:hint="eastAsia" w:ascii="宋体" w:hAnsi="宋体"/>
          <w:b w:val="0"/>
          <w:bCs w:val="0"/>
          <w:sz w:val="28"/>
          <w:szCs w:val="28"/>
        </w:rPr>
        <w:t>学校在广汉市教育工委的正确领导下，以立德树人为根本，坚持“五育并举”，秉承“广学启智、树德立根”的办学理念，紧紧围绕“党建引领、质量兴校、特色强校”的发展宗旨，“梦想启智，不同精彩”。努力探索民主管理模式，凝教工精神，集教工智慧，聚教工力量，推动基层民主建设，不断提高学校管理效能，取得明显成效。</w:t>
      </w:r>
    </w:p>
    <w:p w14:paraId="01903B07">
      <w:pPr>
        <w:widowControl/>
        <w:jc w:val="left"/>
        <w:rPr>
          <w:rFonts w:hint="eastAsia" w:ascii="宋体" w:hAnsi="宋体"/>
          <w:b w:val="0"/>
          <w:bCs w:val="0"/>
          <w:sz w:val="28"/>
          <w:szCs w:val="28"/>
        </w:rPr>
      </w:pPr>
    </w:p>
    <w:p w14:paraId="0354C209">
      <w:pPr>
        <w:widowControl/>
        <w:jc w:val="left"/>
        <w:rPr>
          <w:rFonts w:hint="eastAsia" w:ascii="宋体" w:hAnsi="宋体"/>
          <w:b w:val="0"/>
          <w:bCs w:val="0"/>
          <w:sz w:val="28"/>
          <w:szCs w:val="28"/>
        </w:rPr>
      </w:pPr>
      <w:r>
        <w:rPr>
          <w:rFonts w:hint="eastAsia" w:ascii="宋体" w:hAnsi="宋体"/>
          <w:b/>
          <w:bCs/>
          <w:sz w:val="28"/>
          <w:szCs w:val="28"/>
        </w:rPr>
        <w:t>一、党建引领</w:t>
      </w:r>
    </w:p>
    <w:p w14:paraId="6709D10C">
      <w:pPr>
        <w:widowControl/>
        <w:ind w:firstLine="560" w:firstLineChars="200"/>
        <w:jc w:val="left"/>
        <w:rPr>
          <w:rFonts w:hint="eastAsia" w:ascii="宋体" w:hAnsi="宋体"/>
          <w:b w:val="0"/>
          <w:bCs w:val="0"/>
          <w:sz w:val="28"/>
          <w:szCs w:val="28"/>
        </w:rPr>
      </w:pPr>
      <w:r>
        <w:rPr>
          <w:rFonts w:hint="eastAsia" w:ascii="宋体" w:hAnsi="宋体"/>
          <w:b w:val="0"/>
          <w:bCs w:val="0"/>
          <w:sz w:val="28"/>
          <w:szCs w:val="28"/>
        </w:rPr>
        <w:t>学校不断深化党组织在学校的核心引领,充分发挥党员示范作用，围绕“立足教育抓党建，抓好党建促教育”的工作思路，全力打造“党建+”品牌,把“党建+德育”“党建+教学”模式全方位、全过程地贯穿于学校各项教育工作中,努力开创学校党建与教育教学工作互促共赢的新局面。</w:t>
      </w:r>
    </w:p>
    <w:p w14:paraId="6451A2FF">
      <w:pPr>
        <w:widowControl/>
        <w:ind w:firstLine="560" w:firstLineChars="200"/>
        <w:jc w:val="left"/>
        <w:rPr>
          <w:rFonts w:hint="eastAsia" w:ascii="宋体" w:hAnsi="宋体"/>
          <w:b w:val="0"/>
          <w:bCs w:val="0"/>
          <w:sz w:val="28"/>
          <w:szCs w:val="28"/>
        </w:rPr>
      </w:pPr>
      <w:r>
        <w:rPr>
          <w:rFonts w:hint="eastAsia" w:ascii="宋体" w:hAnsi="宋体"/>
          <w:b w:val="0"/>
          <w:bCs w:val="0"/>
          <w:sz w:val="28"/>
          <w:szCs w:val="28"/>
        </w:rPr>
        <w:t>本学年，学校党支部深入贯彻党的教育方针，聚焦“梦想启智，不同精彩”的办学理念。落实“转作风、施良教、惠民生、办好人民满意教育”要求。在疫情防控和学校教育教学工作常态推进中，党政班子坚持讲团结、鼓正气，用正确的人生观和价值观引导广大教职工有理想、有抱负、讲团结、做贡献。党员干部带头走在疫情防控前列，班子成员之间始终保持相互沟通与配合。在平时工作中，坚持召开每周行政班子工作例会和支部委员工作例会，重大事项坚持民主集中制，集体讨论决定。</w:t>
      </w:r>
    </w:p>
    <w:p w14:paraId="4E607160">
      <w:pPr>
        <w:widowControl/>
        <w:ind w:firstLine="560" w:firstLineChars="200"/>
        <w:jc w:val="left"/>
        <w:rPr>
          <w:rFonts w:hint="eastAsia" w:ascii="宋体" w:hAnsi="宋体"/>
          <w:b w:val="0"/>
          <w:bCs w:val="0"/>
          <w:sz w:val="28"/>
          <w:szCs w:val="28"/>
        </w:rPr>
      </w:pPr>
      <w:r>
        <w:rPr>
          <w:rFonts w:hint="eastAsia" w:ascii="宋体" w:hAnsi="宋体"/>
          <w:b w:val="0"/>
          <w:bCs w:val="0"/>
          <w:sz w:val="28"/>
          <w:szCs w:val="28"/>
        </w:rPr>
        <w:t>参加党组织（支委会）中心组理论学习13次，学校重大事项讨论研究4次，参加主题党日活动12次。学习党章党规、习近平关于“不忘初心、牢记使命”论述摘编、习近平新时代中国特色社会主义思想学习纲要、党的十九大精神和十九届三中四中五中全会精神、学习党史、学习习近平系列重要讲话以及省委、德阳市委、广汉市委有关会议精神。组织全体教师集中“师德学习”6次。努力做到学校重大事项“党支部意见，教代会方案，行政会执行”。在努力实现教职工参校政、议校政、督校务的民主权利的同时也增强了教师的团队意识和主人翁责任感。抓实新冠病毒疫情防控常态化管理工作。建立健全领导机构，层层落实责任，制定切实可行的安全工作预案，规范常态化管理。认真开展防疫宣传教育，坚持做好三级体温监测。</w:t>
      </w:r>
    </w:p>
    <w:p w14:paraId="08BB436F">
      <w:pPr>
        <w:widowControl/>
        <w:jc w:val="left"/>
        <w:rPr>
          <w:rFonts w:hint="eastAsia" w:ascii="宋体" w:hAnsi="宋体"/>
          <w:b/>
          <w:bCs/>
          <w:sz w:val="28"/>
          <w:szCs w:val="28"/>
        </w:rPr>
      </w:pPr>
      <w:r>
        <w:rPr>
          <w:rFonts w:hint="eastAsia" w:ascii="宋体" w:hAnsi="宋体"/>
          <w:b/>
          <w:bCs/>
          <w:sz w:val="28"/>
          <w:szCs w:val="28"/>
        </w:rPr>
        <w:t>二.质量兴校</w:t>
      </w:r>
    </w:p>
    <w:p w14:paraId="69B6A45B">
      <w:pPr>
        <w:widowControl/>
        <w:ind w:firstLine="560" w:firstLineChars="200"/>
        <w:jc w:val="left"/>
        <w:rPr>
          <w:rFonts w:hint="eastAsia" w:ascii="宋体" w:hAnsi="宋体"/>
          <w:b w:val="0"/>
          <w:bCs w:val="0"/>
          <w:sz w:val="28"/>
          <w:szCs w:val="28"/>
        </w:rPr>
      </w:pPr>
      <w:r>
        <w:rPr>
          <w:rFonts w:hint="eastAsia" w:ascii="宋体" w:hAnsi="宋体"/>
          <w:b w:val="0"/>
          <w:bCs w:val="0"/>
          <w:sz w:val="28"/>
          <w:szCs w:val="28"/>
        </w:rPr>
        <w:t>学校围绕“四有好老师”的标准，着力打造一支“当好学生引路人”的优秀教师团队。近年来，“一个优秀教师不只是上好课，更要做好课后辅导”的共识已深入学校每个教师的心中。每天课间、午休、放学等休息时间，老师热情地为学生辅导或答疑解惑已成为学校一道亮丽的风景线。特别是我校教师工作时间长、工作量大，但老师们早出晚归，爱岗敬业，用爱心和责任心坚持每天陪伴学生学习和成长，深受家长和社会的好评。</w:t>
      </w:r>
    </w:p>
    <w:p w14:paraId="640B2468">
      <w:pPr>
        <w:widowControl/>
        <w:ind w:firstLine="560" w:firstLineChars="200"/>
        <w:jc w:val="left"/>
        <w:rPr>
          <w:rFonts w:hint="eastAsia" w:ascii="宋体" w:hAnsi="宋体"/>
          <w:b w:val="0"/>
          <w:bCs w:val="0"/>
          <w:sz w:val="28"/>
          <w:szCs w:val="28"/>
        </w:rPr>
      </w:pPr>
      <w:r>
        <w:rPr>
          <w:rFonts w:hint="eastAsia" w:ascii="宋体" w:hAnsi="宋体"/>
          <w:b w:val="0"/>
          <w:bCs w:val="0"/>
          <w:sz w:val="28"/>
          <w:szCs w:val="28"/>
        </w:rPr>
        <w:t>学校把课堂教学改革作为学校教学工作的首要任务，在课堂教学中推行“三主五学”精准教学策略。今年的课堂教学改革重点规范备课和上课两个环节，在备课中实行手写教案，并重点备板书设计、目标达到，在上课中体现“自学、互学、辩学、检学、探学”教学环节，切实提高课堂效率。</w:t>
      </w:r>
    </w:p>
    <w:p w14:paraId="5E41A30A">
      <w:pPr>
        <w:widowControl/>
        <w:ind w:firstLine="560" w:firstLineChars="200"/>
        <w:jc w:val="left"/>
        <w:rPr>
          <w:rFonts w:hint="eastAsia" w:ascii="宋体" w:hAnsi="宋体"/>
          <w:b w:val="0"/>
          <w:bCs w:val="0"/>
          <w:sz w:val="28"/>
          <w:szCs w:val="28"/>
        </w:rPr>
      </w:pPr>
      <w:r>
        <w:rPr>
          <w:rFonts w:hint="eastAsia" w:ascii="宋体" w:hAnsi="宋体"/>
          <w:b w:val="0"/>
          <w:bCs w:val="0"/>
          <w:sz w:val="28"/>
          <w:szCs w:val="28"/>
        </w:rPr>
        <w:t>学校党支部就向全校教职工发出倡议，组建线上教学爱心辅导团队，倡议得到全体教师的大力支持，一天之内所有教师都报名参加了爱心辅导团队。我校率先在全市开始了线上教学和辅导，线上教学活动，我校学生不仅学习未落下，更重要的是在老师的带领下增强了学生和家长抗疫的信心，老师们的敬业精神同时也将影响着学生一生的成长。</w:t>
      </w:r>
    </w:p>
    <w:p w14:paraId="341F57DC">
      <w:pPr>
        <w:widowControl/>
        <w:ind w:firstLine="560" w:firstLineChars="200"/>
        <w:jc w:val="left"/>
        <w:rPr>
          <w:rFonts w:hint="eastAsia" w:ascii="宋体" w:hAnsi="宋体"/>
          <w:b w:val="0"/>
          <w:bCs w:val="0"/>
          <w:sz w:val="28"/>
          <w:szCs w:val="28"/>
        </w:rPr>
      </w:pPr>
      <w:r>
        <w:rPr>
          <w:rFonts w:hint="eastAsia" w:ascii="宋体" w:hAnsi="宋体"/>
          <w:b w:val="0"/>
          <w:bCs w:val="0"/>
          <w:sz w:val="28"/>
          <w:szCs w:val="28"/>
        </w:rPr>
        <w:t>教学质量是学校生存、发展的生命线，同时也是检验学校办学水平的重要指标。本学期学校积极探索现代课堂教学改革并成为德阳市首批现代课堂教学改革示范校。</w:t>
      </w:r>
    </w:p>
    <w:p w14:paraId="05C90CEF">
      <w:pPr>
        <w:widowControl/>
        <w:jc w:val="left"/>
        <w:rPr>
          <w:rFonts w:hint="eastAsia" w:ascii="宋体" w:hAnsi="宋体"/>
          <w:b w:val="0"/>
          <w:bCs w:val="0"/>
          <w:sz w:val="28"/>
          <w:szCs w:val="28"/>
        </w:rPr>
      </w:pPr>
      <w:r>
        <w:rPr>
          <w:rFonts w:hint="eastAsia" w:ascii="宋体" w:hAnsi="宋体"/>
          <w:b w:val="0"/>
          <w:bCs w:val="0"/>
          <w:sz w:val="28"/>
          <w:szCs w:val="28"/>
        </w:rPr>
        <w:t>基础教育课程改革的核心在课堂，促进教育公平发展与质量提升的关键还在课堂。为深化基础教育人才培养模式改革， 优化课堂教学育人关键环节，全面提高课堂教学质量，积极进行现代课堂教学改革。努力实践新教法，在教学中要体现以学生为主体的教学理念和互动式、探究式教学方式，努力培养学生创新能力。各学科均要现代教育技术融合，整合学科资源尝试“主题式”教学课例。</w:t>
      </w:r>
    </w:p>
    <w:p w14:paraId="722107DF">
      <w:pPr>
        <w:widowControl/>
        <w:ind w:firstLine="560" w:firstLineChars="200"/>
        <w:jc w:val="left"/>
        <w:rPr>
          <w:rFonts w:hint="eastAsia" w:ascii="宋体" w:hAnsi="宋体"/>
          <w:b w:val="0"/>
          <w:bCs w:val="0"/>
          <w:sz w:val="28"/>
          <w:szCs w:val="28"/>
        </w:rPr>
      </w:pPr>
      <w:r>
        <w:rPr>
          <w:rFonts w:hint="eastAsia" w:ascii="宋体" w:hAnsi="宋体"/>
          <w:b w:val="0"/>
          <w:bCs w:val="0"/>
          <w:sz w:val="28"/>
          <w:szCs w:val="28"/>
        </w:rPr>
        <w:t>加强校本培训，先后开展了“核心素养培训”、“语文、道德与法治等新教材培训”、“专业素养培训”、 “业务知识培训”、 “融创课堂”等校本培训项目。不断创造条件为教师提供学习机会，鼓励教师外出学习。经常组织教师到成都、绵阳、南充、德阳、什邡、中江等地和省外听课、教研，开阔了教师视野，提高了教师教育教学水平。同时，充分发挥各学科带头人的“传、帮、带”作用，通过“青蓝工程”拜师学习，加速青年教师的成长。</w:t>
      </w:r>
    </w:p>
    <w:p w14:paraId="4512F8E3">
      <w:pPr>
        <w:widowControl/>
        <w:jc w:val="left"/>
        <w:rPr>
          <w:rFonts w:hint="eastAsia" w:ascii="宋体" w:hAnsi="宋体"/>
          <w:b w:val="0"/>
          <w:bCs w:val="0"/>
          <w:sz w:val="28"/>
          <w:szCs w:val="28"/>
        </w:rPr>
      </w:pPr>
    </w:p>
    <w:p w14:paraId="48F09E48">
      <w:pPr>
        <w:widowControl/>
        <w:jc w:val="left"/>
        <w:rPr>
          <w:rFonts w:hint="eastAsia" w:ascii="宋体" w:hAnsi="宋体"/>
          <w:b w:val="0"/>
          <w:bCs w:val="0"/>
          <w:sz w:val="28"/>
          <w:szCs w:val="28"/>
        </w:rPr>
      </w:pPr>
      <w:r>
        <w:rPr>
          <w:rFonts w:hint="eastAsia" w:ascii="宋体" w:hAnsi="宋体"/>
          <w:b/>
          <w:bCs/>
          <w:sz w:val="28"/>
          <w:szCs w:val="28"/>
        </w:rPr>
        <w:t>三、特色强校</w:t>
      </w:r>
    </w:p>
    <w:p w14:paraId="218CFA0E">
      <w:pPr>
        <w:widowControl/>
        <w:ind w:firstLine="560" w:firstLineChars="200"/>
        <w:jc w:val="left"/>
        <w:rPr>
          <w:rFonts w:hint="eastAsia" w:ascii="宋体" w:hAnsi="宋体"/>
          <w:b w:val="0"/>
          <w:bCs w:val="0"/>
          <w:sz w:val="28"/>
          <w:szCs w:val="28"/>
        </w:rPr>
      </w:pPr>
      <w:r>
        <w:rPr>
          <w:rFonts w:hint="eastAsia" w:ascii="宋体" w:hAnsi="宋体"/>
          <w:b w:val="0"/>
          <w:bCs w:val="0"/>
          <w:sz w:val="28"/>
          <w:szCs w:val="28"/>
        </w:rPr>
        <w:t>1.多彩德育：在“停课不停学”抗疫期间，少先队大队部组织开展“以艺战疫”书画视频等系列活动，获省级表彰。结合纪念日及节日开展“学雷锋，向最美逆行者致敬”、“三八送祝福”等活动。并遵照新冠肺炎疫情防控要求开展“感恩有你  成长有我”系列活动：“家校启智魅力秀”视频展示分享；邀请广汉市人民医院援鄂医生分享抗疫故事；开展“童年故事”分享活动并树立“今天我以实小为荣，明天实小以我为傲”理想信念。美术书画组同时进行了作品展示继续扎实好艺术教育各项常规训练工作。</w:t>
      </w:r>
    </w:p>
    <w:p w14:paraId="0148B7B6">
      <w:pPr>
        <w:widowControl/>
        <w:ind w:firstLine="560" w:firstLineChars="200"/>
        <w:jc w:val="left"/>
        <w:rPr>
          <w:rFonts w:hint="eastAsia" w:ascii="宋体" w:hAnsi="宋体"/>
          <w:b w:val="0"/>
          <w:bCs w:val="0"/>
          <w:sz w:val="28"/>
          <w:szCs w:val="28"/>
        </w:rPr>
      </w:pPr>
      <w:r>
        <w:rPr>
          <w:rFonts w:hint="eastAsia" w:ascii="宋体" w:hAnsi="宋体"/>
          <w:b w:val="0"/>
          <w:bCs w:val="0"/>
          <w:sz w:val="28"/>
          <w:szCs w:val="28"/>
        </w:rPr>
        <w:t>2.艺术教育：学校以广汉市素质教育“五个一”工程各项赛事为媒介，促进我校艺术教育的飞跃提升。在10-11月举行的广汉市音乐艺术人才大赛中，我校多名选手入围决赛，获奖；“五个一”音乐美术书法科技总积分均居全市前列。</w:t>
      </w:r>
    </w:p>
    <w:p w14:paraId="0329AE9B">
      <w:pPr>
        <w:widowControl/>
        <w:jc w:val="left"/>
        <w:rPr>
          <w:rFonts w:hint="eastAsia" w:ascii="宋体" w:hAnsi="宋体"/>
          <w:b w:val="0"/>
          <w:bCs w:val="0"/>
          <w:sz w:val="28"/>
          <w:szCs w:val="28"/>
        </w:rPr>
      </w:pPr>
      <w:r>
        <w:rPr>
          <w:rFonts w:hint="eastAsia" w:ascii="宋体" w:hAnsi="宋体"/>
          <w:b w:val="0"/>
          <w:bCs w:val="0"/>
          <w:sz w:val="28"/>
          <w:szCs w:val="28"/>
        </w:rPr>
        <w:t xml:space="preserve">   音乐美术社团活动精彩纷呈。由教育部主办、中国青年报承办的学校体育艺术教育弘扬中华优秀传统文化成果展示活动——《传承的力量》中秋篇在全国选取了六所学校，在四川仅选取了我校作为拍摄对象。“小槐花陶笛队”“槐香剪艺坊”等登上央视屏幕。中秋节、端午节前，槐香剪艺社举办的主题剪纸活动在全校各班相继展开，1500余名学生借助小剪刀、大红纸，“剪出”传统文化的魅力，表达喜迎佳节的渴望。电视台采访报道并登上“学习强国”平台。绵阳市教育代表团专门到校参观交流德育及艺术教育。</w:t>
      </w:r>
    </w:p>
    <w:p w14:paraId="38A48FB0">
      <w:pPr>
        <w:widowControl/>
        <w:jc w:val="left"/>
        <w:rPr>
          <w:rFonts w:ascii="仿宋" w:hAnsi="仿宋" w:eastAsia="仿宋"/>
          <w:b w:val="0"/>
          <w:bCs w:val="0"/>
          <w:color w:val="auto"/>
          <w:kern w:val="0"/>
          <w:sz w:val="32"/>
          <w:szCs w:val="32"/>
          <w:highlight w:val="none"/>
        </w:rPr>
      </w:pPr>
      <w:r>
        <w:rPr>
          <w:rFonts w:hint="eastAsia" w:ascii="宋体" w:hAnsi="宋体"/>
          <w:b w:val="0"/>
          <w:bCs w:val="0"/>
          <w:sz w:val="28"/>
          <w:szCs w:val="28"/>
        </w:rPr>
        <w:t>3.家校共育：广汉市实验小学家长学校接受省级督导检查，由省妇联、省教</w:t>
      </w:r>
      <w:r>
        <w:rPr>
          <w:rFonts w:hint="eastAsia" w:ascii="宋体" w:hAnsi="宋体"/>
          <w:b w:val="0"/>
          <w:bCs w:val="0"/>
          <w:sz w:val="28"/>
          <w:szCs w:val="28"/>
          <w:lang w:val="en-US" w:eastAsia="zh-CN"/>
        </w:rPr>
        <w:t>育</w:t>
      </w:r>
      <w:r>
        <w:rPr>
          <w:rFonts w:hint="eastAsia" w:ascii="宋体" w:hAnsi="宋体"/>
          <w:b w:val="0"/>
          <w:bCs w:val="0"/>
          <w:sz w:val="28"/>
          <w:szCs w:val="28"/>
        </w:rPr>
        <w:t>厅、省文明办和省民政厅等组成的专家组莅临指导，德阳、广汉两级相关部门领导陪同检查。专家组查验该校家长学校工作的相关资料，听取学校负责人工作汇报，对该校在家庭教育方面做出的成绩和所付出的努力给予了充分的肯定：这是一所非常重视家庭教育工作的学校！四川省《教育导报家教周刊》也对我校家校共育工作进行了专题报道。</w:t>
      </w:r>
    </w:p>
    <w:p w14:paraId="00345C2A">
      <w:pPr>
        <w:pStyle w:val="3"/>
        <w:ind w:right="440"/>
        <w:jc w:val="center"/>
        <w:rPr>
          <w:rStyle w:val="25"/>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bookmarkStart w:id="67" w:name="_GoBack"/>
      <w:bookmarkEnd w:id="67"/>
    </w:p>
    <w:p w14:paraId="00543260">
      <w:pPr>
        <w:rPr>
          <w:color w:val="auto"/>
          <w:highlight w:val="none"/>
        </w:rPr>
      </w:pPr>
    </w:p>
    <w:p w14:paraId="73290C5B">
      <w:pPr>
        <w:pStyle w:val="24"/>
        <w:numPr>
          <w:ilvl w:val="0"/>
          <w:numId w:val="4"/>
        </w:numPr>
        <w:spacing w:line="600" w:lineRule="exact"/>
        <w:ind w:firstLineChars="0"/>
        <w:outlineLvl w:val="1"/>
        <w:rPr>
          <w:rStyle w:val="26"/>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14:paraId="76F14D45">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2021年度收入总计1808.31万元，与2020年相比，收入总计增加92.40万元，增加5.38%，增加原因主要是2021年学校办学规模增大，学校办学质量提高，学办学德社会效益及经济效益提高，预算内其他收入捐赠收入增加；2021年度支出总计2038.75万元，与2020年相比，增加247.00万元，增长13.79%，主要变动原因是2020年结算的公用经费在2021年实现支出。</w:t>
      </w:r>
    </w:p>
    <w:p w14:paraId="70F4D5A3">
      <w:pPr>
        <w:keepNext w:val="0"/>
        <w:keepLines w:val="0"/>
        <w:widowControl/>
        <w:suppressLineNumbers w:val="0"/>
        <w:jc w:val="center"/>
      </w:pPr>
    </w:p>
    <w:p w14:paraId="2204800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552950" cy="2638425"/>
            <wp:effectExtent l="0" t="0" r="0" b="952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6"/>
                    <a:stretch>
                      <a:fillRect/>
                    </a:stretch>
                  </pic:blipFill>
                  <pic:spPr>
                    <a:xfrm>
                      <a:off x="0" y="0"/>
                      <a:ext cx="4552950" cy="2638425"/>
                    </a:xfrm>
                    <a:prstGeom prst="rect">
                      <a:avLst/>
                    </a:prstGeom>
                    <a:noFill/>
                    <a:ln w="9525">
                      <a:noFill/>
                    </a:ln>
                  </pic:spPr>
                </pic:pic>
              </a:graphicData>
            </a:graphic>
          </wp:inline>
        </w:drawing>
      </w:r>
    </w:p>
    <w:p w14:paraId="725F754F">
      <w:pPr>
        <w:pStyle w:val="2"/>
        <w:jc w:val="distribute"/>
        <w:rPr>
          <w:rFonts w:hint="eastAsia"/>
        </w:rPr>
      </w:pPr>
    </w:p>
    <w:p w14:paraId="6E965D66">
      <w:pPr>
        <w:snapToGrid w:val="0"/>
        <w:spacing w:line="520" w:lineRule="exact"/>
        <w:ind w:firstLine="560" w:firstLineChars="200"/>
        <w:jc w:val="both"/>
        <w:rPr>
          <w:rFonts w:hint="eastAsia" w:ascii="宋体" w:hAnsi="宋体" w:cs="宋体"/>
          <w:sz w:val="28"/>
          <w:szCs w:val="28"/>
          <w:lang w:val="en-US" w:eastAsia="zh-CN"/>
        </w:rPr>
      </w:pPr>
      <w:r>
        <w:rPr>
          <w:rFonts w:hint="eastAsia" w:ascii="宋体" w:hAnsi="宋体" w:cs="宋体"/>
          <w:sz w:val="28"/>
          <w:szCs w:val="28"/>
          <w:lang w:val="en-US" w:eastAsia="zh-CN"/>
        </w:rPr>
        <w:t>（图1：收、支决算总计变动情况图）</w:t>
      </w:r>
    </w:p>
    <w:p w14:paraId="3B18FA28">
      <w:pPr>
        <w:spacing w:line="600" w:lineRule="exact"/>
        <w:ind w:firstLine="640" w:firstLineChars="200"/>
        <w:jc w:val="left"/>
        <w:rPr>
          <w:rFonts w:ascii="仿宋_GB2312" w:eastAsia="仿宋_GB2312"/>
          <w:color w:val="auto"/>
          <w:sz w:val="32"/>
          <w:szCs w:val="32"/>
          <w:highlight w:val="none"/>
        </w:rPr>
      </w:pPr>
    </w:p>
    <w:p w14:paraId="4BD66DAA">
      <w:pPr>
        <w:pStyle w:val="24"/>
        <w:numPr>
          <w:ilvl w:val="0"/>
          <w:numId w:val="4"/>
        </w:numPr>
        <w:spacing w:line="600" w:lineRule="exact"/>
        <w:ind w:firstLineChars="0"/>
        <w:outlineLvl w:val="1"/>
        <w:rPr>
          <w:rStyle w:val="26"/>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14:paraId="2362FF9B">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2021年本年收入合计1808.31万元，其中：一般公共预算财政拨款收入1808.31万元，占100%；政府性基金预算财政拨款收入0万元，占0%；国有资本经营预算财政拨款收入0万元，占0%；上级补助收入0万元，占0%；事业收入0万元，占0%；经营收入0万元，占0%；附属单位上缴收入0万元，占0%；其他收入0万元，占0%。</w:t>
      </w:r>
    </w:p>
    <w:p w14:paraId="120CBB93">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514850" cy="2762250"/>
            <wp:effectExtent l="0" t="0" r="0" b="0"/>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7"/>
                    <a:stretch>
                      <a:fillRect/>
                    </a:stretch>
                  </pic:blipFill>
                  <pic:spPr>
                    <a:xfrm>
                      <a:off x="0" y="0"/>
                      <a:ext cx="4514850" cy="2762250"/>
                    </a:xfrm>
                    <a:prstGeom prst="rect">
                      <a:avLst/>
                    </a:prstGeom>
                    <a:noFill/>
                    <a:ln w="9525">
                      <a:noFill/>
                    </a:ln>
                  </pic:spPr>
                </pic:pic>
              </a:graphicData>
            </a:graphic>
          </wp:inline>
        </w:drawing>
      </w:r>
    </w:p>
    <w:p w14:paraId="5488A2D5">
      <w:pPr>
        <w:keepNext w:val="0"/>
        <w:keepLines w:val="0"/>
        <w:widowControl/>
        <w:suppressLineNumbers w:val="0"/>
        <w:jc w:val="center"/>
        <w:rPr>
          <w:rFonts w:ascii="仿宋" w:hAnsi="仿宋" w:eastAsia="仿宋"/>
          <w:color w:val="auto"/>
          <w:sz w:val="32"/>
          <w:szCs w:val="32"/>
          <w:highlight w:val="none"/>
        </w:rPr>
      </w:pPr>
    </w:p>
    <w:p w14:paraId="68D97B79">
      <w:pPr>
        <w:spacing w:line="600" w:lineRule="exact"/>
        <w:ind w:firstLine="560" w:firstLineChars="200"/>
        <w:jc w:val="center"/>
        <w:rPr>
          <w:rFonts w:ascii="仿宋" w:hAnsi="仿宋" w:eastAsia="仿宋"/>
          <w:color w:val="auto"/>
          <w:sz w:val="32"/>
          <w:szCs w:val="32"/>
          <w:highlight w:val="none"/>
        </w:rPr>
      </w:pPr>
      <w:r>
        <w:rPr>
          <w:rFonts w:hint="eastAsia" w:ascii="宋体" w:hAnsi="宋体" w:cs="宋体"/>
          <w:sz w:val="28"/>
          <w:szCs w:val="28"/>
          <w:lang w:val="en-US" w:eastAsia="zh-CN"/>
        </w:rPr>
        <w:t>（图2：收入决算结构图）</w:t>
      </w:r>
    </w:p>
    <w:p w14:paraId="37CE956E">
      <w:pPr>
        <w:spacing w:line="600" w:lineRule="exact"/>
        <w:ind w:firstLine="640" w:firstLineChars="200"/>
        <w:rPr>
          <w:rFonts w:ascii="仿宋_GB2312" w:eastAsia="仿宋_GB2312"/>
          <w:color w:val="auto"/>
          <w:sz w:val="32"/>
          <w:szCs w:val="32"/>
          <w:highlight w:val="none"/>
        </w:rPr>
      </w:pPr>
    </w:p>
    <w:p w14:paraId="13B69FB8">
      <w:pPr>
        <w:pStyle w:val="24"/>
        <w:numPr>
          <w:ilvl w:val="0"/>
          <w:numId w:val="4"/>
        </w:numPr>
        <w:spacing w:line="600" w:lineRule="exact"/>
        <w:ind w:firstLineChars="0"/>
        <w:outlineLvl w:val="1"/>
        <w:rPr>
          <w:rStyle w:val="26"/>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14:paraId="7158AFDF">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2021年本年支出合计2038.75万元，其中：基本支出1637.76万元，占80.33%；项目支出400.99万元，占19.67%；上缴上级支出0万元，占0%；经营支出0万元，占0%；对附属单位补助支出0万元，占0%。</w:t>
      </w:r>
    </w:p>
    <w:p w14:paraId="1DD2E11D">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562475" cy="2724150"/>
            <wp:effectExtent l="0" t="0" r="9525" b="0"/>
            <wp:docPr id="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6"/>
                    <pic:cNvPicPr>
                      <a:picLocks noChangeAspect="1"/>
                    </pic:cNvPicPr>
                  </pic:nvPicPr>
                  <pic:blipFill>
                    <a:blip r:embed="rId8"/>
                    <a:stretch>
                      <a:fillRect/>
                    </a:stretch>
                  </pic:blipFill>
                  <pic:spPr>
                    <a:xfrm>
                      <a:off x="0" y="0"/>
                      <a:ext cx="4562475" cy="2724150"/>
                    </a:xfrm>
                    <a:prstGeom prst="rect">
                      <a:avLst/>
                    </a:prstGeom>
                    <a:noFill/>
                    <a:ln w="9525">
                      <a:noFill/>
                    </a:ln>
                  </pic:spPr>
                </pic:pic>
              </a:graphicData>
            </a:graphic>
          </wp:inline>
        </w:drawing>
      </w:r>
    </w:p>
    <w:p w14:paraId="563B5919">
      <w:pPr>
        <w:keepNext w:val="0"/>
        <w:keepLines w:val="0"/>
        <w:widowControl/>
        <w:suppressLineNumbers w:val="0"/>
        <w:jc w:val="center"/>
      </w:pPr>
    </w:p>
    <w:p w14:paraId="3D01D069">
      <w:pPr>
        <w:spacing w:line="600" w:lineRule="exact"/>
        <w:ind w:firstLine="640"/>
        <w:rPr>
          <w:rFonts w:ascii="仿宋" w:hAnsi="仿宋" w:eastAsia="仿宋"/>
          <w:color w:val="auto"/>
          <w:sz w:val="32"/>
          <w:szCs w:val="32"/>
          <w:highlight w:val="none"/>
          <w:shd w:val="pct10" w:color="auto" w:fill="FFFFFF"/>
        </w:rPr>
      </w:pPr>
    </w:p>
    <w:p w14:paraId="0332F98A">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14:paraId="2D75A918">
      <w:pPr>
        <w:spacing w:line="600" w:lineRule="exact"/>
        <w:ind w:firstLine="640" w:firstLineChars="200"/>
        <w:rPr>
          <w:rFonts w:ascii="仿宋_GB2312" w:eastAsia="仿宋_GB2312"/>
          <w:color w:val="auto"/>
          <w:sz w:val="32"/>
          <w:szCs w:val="32"/>
          <w:highlight w:val="none"/>
        </w:rPr>
      </w:pPr>
    </w:p>
    <w:p w14:paraId="0E1E2C4B">
      <w:pPr>
        <w:spacing w:line="600" w:lineRule="exact"/>
        <w:ind w:firstLine="640" w:firstLineChars="200"/>
        <w:outlineLvl w:val="1"/>
        <w:rPr>
          <w:rStyle w:val="26"/>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p>
    <w:p w14:paraId="3F2BBDA9">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2021年财政拨款收、支总计1808.31万元、2038.75万元。与2020年财政拨款收、支总计相比，财政拨款收、支总计各增加92.40万元、增加247.00万元，增加5.38%、13.79%。主要变动原因是2021年增加了部分项目收入。2020年结算的公用经费在2021年1月支付，及教师工资福利正常增加等因素。</w:t>
      </w:r>
    </w:p>
    <w:p w14:paraId="1F40DCD1">
      <w:pPr>
        <w:keepNext w:val="0"/>
        <w:keepLines w:val="0"/>
        <w:widowControl/>
        <w:suppressLineNumbers w:val="0"/>
        <w:jc w:val="left"/>
      </w:pPr>
    </w:p>
    <w:p w14:paraId="7A2D3E03">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543425" cy="2724150"/>
            <wp:effectExtent l="0" t="0" r="9525" b="0"/>
            <wp:docPr id="1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6"/>
                    <pic:cNvPicPr>
                      <a:picLocks noChangeAspect="1"/>
                    </pic:cNvPicPr>
                  </pic:nvPicPr>
                  <pic:blipFill>
                    <a:blip r:embed="rId9"/>
                    <a:stretch>
                      <a:fillRect/>
                    </a:stretch>
                  </pic:blipFill>
                  <pic:spPr>
                    <a:xfrm>
                      <a:off x="0" y="0"/>
                      <a:ext cx="4543425" cy="2724150"/>
                    </a:xfrm>
                    <a:prstGeom prst="rect">
                      <a:avLst/>
                    </a:prstGeom>
                    <a:noFill/>
                    <a:ln w="9525">
                      <a:noFill/>
                    </a:ln>
                  </pic:spPr>
                </pic:pic>
              </a:graphicData>
            </a:graphic>
          </wp:inline>
        </w:drawing>
      </w:r>
    </w:p>
    <w:p w14:paraId="02F5360B">
      <w:pPr>
        <w:keepNext w:val="0"/>
        <w:keepLines w:val="0"/>
        <w:widowControl/>
        <w:suppressLineNumbers w:val="0"/>
        <w:jc w:val="center"/>
        <w:rPr>
          <w:rFonts w:ascii="仿宋" w:hAnsi="仿宋" w:eastAsia="仿宋"/>
          <w:color w:val="auto"/>
          <w:sz w:val="32"/>
          <w:szCs w:val="32"/>
          <w:highlight w:val="none"/>
        </w:rPr>
      </w:pPr>
    </w:p>
    <w:p w14:paraId="6B125C68">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（图4：财政拨款收、支决算总计变动情况）</w:t>
      </w:r>
    </w:p>
    <w:p w14:paraId="4BE8DF96">
      <w:pPr>
        <w:snapToGrid w:val="0"/>
        <w:spacing w:line="520" w:lineRule="exact"/>
        <w:ind w:firstLine="560" w:firstLineChars="200"/>
        <w:rPr>
          <w:rFonts w:hint="eastAsia" w:ascii="宋体" w:hAnsi="宋体" w:cs="宋体"/>
          <w:sz w:val="28"/>
          <w:szCs w:val="28"/>
          <w:lang w:val="en-US" w:eastAsia="zh-CN"/>
        </w:rPr>
      </w:pPr>
    </w:p>
    <w:p w14:paraId="307518BE">
      <w:pPr>
        <w:spacing w:line="600" w:lineRule="exact"/>
        <w:ind w:firstLine="640" w:firstLineChars="200"/>
        <w:outlineLvl w:val="1"/>
        <w:rPr>
          <w:rStyle w:val="26"/>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6"/>
      <w:bookmarkEnd w:id="27"/>
    </w:p>
    <w:p w14:paraId="2D2BF76F">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14:paraId="5BBAA3D8">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2021年一般公共预算财政拨款支出2038.75万元，占本年支出合计的100%。与2020年相比，一般公共预算财政拨款支出增加增加247.00万元，增长13.79%。主要变动原因是2021年增加了部分项目收入。2020年结算的公用经费在2021年1月支付，及教师工资福利正常增加等因素。</w:t>
      </w:r>
    </w:p>
    <w:p w14:paraId="4AD0681C">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552950" cy="2724150"/>
            <wp:effectExtent l="0" t="0" r="0" b="0"/>
            <wp:docPr id="12"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56"/>
                    <pic:cNvPicPr>
                      <a:picLocks noChangeAspect="1"/>
                    </pic:cNvPicPr>
                  </pic:nvPicPr>
                  <pic:blipFill>
                    <a:blip r:embed="rId10"/>
                    <a:stretch>
                      <a:fillRect/>
                    </a:stretch>
                  </pic:blipFill>
                  <pic:spPr>
                    <a:xfrm>
                      <a:off x="0" y="0"/>
                      <a:ext cx="4552950" cy="2724150"/>
                    </a:xfrm>
                    <a:prstGeom prst="rect">
                      <a:avLst/>
                    </a:prstGeom>
                    <a:noFill/>
                    <a:ln w="9525">
                      <a:noFill/>
                    </a:ln>
                  </pic:spPr>
                </pic:pic>
              </a:graphicData>
            </a:graphic>
          </wp:inline>
        </w:drawing>
      </w:r>
    </w:p>
    <w:p w14:paraId="1ACC7B44">
      <w:pPr>
        <w:keepNext w:val="0"/>
        <w:keepLines w:val="0"/>
        <w:widowControl/>
        <w:suppressLineNumbers w:val="0"/>
        <w:jc w:val="center"/>
      </w:pPr>
    </w:p>
    <w:p w14:paraId="513D962C">
      <w:pPr>
        <w:pStyle w:val="2"/>
      </w:pPr>
    </w:p>
    <w:p w14:paraId="029C4880">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（图5：一般公共预算财政拨款支出决算变动情况）</w:t>
      </w:r>
    </w:p>
    <w:p w14:paraId="667816D3">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14:paraId="023F6F4B">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2021年一般公共预算财政拨款支出2038.75万元，主要用于以下方面:教育支出（205类）1575.48万元，占77.28%；社会保障和就业（208类）支出305.79万元，占15.00%；卫生健康（210类）支出49.84万元，占2.44%；住房保障（221类）支出107.64万元，占5.28%。</w:t>
      </w:r>
    </w:p>
    <w:p w14:paraId="6EE6737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505325" cy="2724150"/>
            <wp:effectExtent l="0" t="0" r="9525" b="0"/>
            <wp:docPr id="13"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IMG_256"/>
                    <pic:cNvPicPr>
                      <a:picLocks noChangeAspect="1"/>
                    </pic:cNvPicPr>
                  </pic:nvPicPr>
                  <pic:blipFill>
                    <a:blip r:embed="rId11"/>
                    <a:stretch>
                      <a:fillRect/>
                    </a:stretch>
                  </pic:blipFill>
                  <pic:spPr>
                    <a:xfrm>
                      <a:off x="0" y="0"/>
                      <a:ext cx="4505325" cy="2724150"/>
                    </a:xfrm>
                    <a:prstGeom prst="rect">
                      <a:avLst/>
                    </a:prstGeom>
                    <a:noFill/>
                    <a:ln w="9525">
                      <a:noFill/>
                    </a:ln>
                  </pic:spPr>
                </pic:pic>
              </a:graphicData>
            </a:graphic>
          </wp:inline>
        </w:drawing>
      </w:r>
    </w:p>
    <w:p w14:paraId="091A239B">
      <w:pPr>
        <w:keepNext w:val="0"/>
        <w:keepLines w:val="0"/>
        <w:widowControl/>
        <w:suppressLineNumbers w:val="0"/>
        <w:jc w:val="center"/>
      </w:pPr>
    </w:p>
    <w:p w14:paraId="2314D8B3">
      <w:pPr>
        <w:spacing w:line="600" w:lineRule="exact"/>
        <w:ind w:firstLine="640" w:firstLineChars="200"/>
        <w:rPr>
          <w:rFonts w:hint="eastAsia" w:ascii="仿宋" w:hAnsi="仿宋" w:eastAsia="仿宋"/>
          <w:color w:val="auto"/>
          <w:sz w:val="32"/>
          <w:szCs w:val="32"/>
          <w:highlight w:val="none"/>
        </w:rPr>
      </w:pPr>
    </w:p>
    <w:p w14:paraId="0EEEA9A7">
      <w:pPr>
        <w:numPr>
          <w:ilvl w:val="0"/>
          <w:numId w:val="0"/>
        </w:numPr>
        <w:spacing w:line="600" w:lineRule="exact"/>
        <w:ind w:left="640" w:left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（图6：一般公共预算财政拨款支出决算结构）</w:t>
      </w:r>
    </w:p>
    <w:p w14:paraId="30AE378E">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14:paraId="74F8BC6E">
      <w:pPr>
        <w:snapToGrid w:val="0"/>
        <w:spacing w:line="520" w:lineRule="exact"/>
        <w:ind w:firstLine="560" w:firstLineChars="200"/>
        <w:rPr>
          <w:rFonts w:hint="eastAsia" w:ascii="宋体" w:hAnsi="宋体" w:cs="宋体"/>
          <w:sz w:val="28"/>
          <w:szCs w:val="28"/>
          <w:lang w:val="en-US" w:eastAsia="zh-CN"/>
        </w:rPr>
      </w:pPr>
      <w:bookmarkStart w:id="31" w:name="_Toc15377444"/>
      <w:bookmarkStart w:id="32" w:name="_Toc15378460"/>
      <w:bookmarkStart w:id="33" w:name="_Toc15377213"/>
      <w:r>
        <w:rPr>
          <w:rFonts w:hint="eastAsia" w:ascii="宋体" w:hAnsi="宋体" w:cs="宋体"/>
          <w:sz w:val="28"/>
          <w:szCs w:val="28"/>
          <w:lang w:val="en-US" w:eastAsia="zh-CN"/>
        </w:rPr>
        <w:t>2021年一般公共预算支出决算数为2038.75，完成预算100%。其中：</w:t>
      </w:r>
      <w:bookmarkEnd w:id="31"/>
      <w:bookmarkEnd w:id="32"/>
      <w:bookmarkEnd w:id="33"/>
    </w:p>
    <w:p w14:paraId="40EC3F09">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1.教育2050202小学教育: 支出决算为1575.48万元，完成预算100%，决算数等于预算数。</w:t>
      </w:r>
    </w:p>
    <w:p w14:paraId="0F7E377D">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2.社会保障和就业支出2080502事业单位离退休: 支出决算为136.37万元，完成预算100%，决算数等于预算数。</w:t>
      </w:r>
    </w:p>
    <w:p w14:paraId="69E7619F">
      <w:pPr>
        <w:snapToGrid w:val="0"/>
        <w:spacing w:line="520" w:lineRule="exact"/>
        <w:ind w:firstLine="560" w:firstLineChars="200"/>
        <w:rPr>
          <w:rFonts w:hint="eastAsia" w:ascii="仿宋_GB2312" w:eastAsia="仿宋_GB2312"/>
          <w:color w:val="auto"/>
          <w:sz w:val="32"/>
          <w:szCs w:val="32"/>
          <w:highlight w:val="none"/>
          <w:lang w:val="en-US" w:eastAsia="zh-CN"/>
        </w:rPr>
      </w:pPr>
      <w:r>
        <w:rPr>
          <w:rFonts w:hint="eastAsia" w:ascii="宋体" w:hAnsi="宋体" w:cs="宋体"/>
          <w:sz w:val="28"/>
          <w:szCs w:val="28"/>
          <w:lang w:val="en-US" w:eastAsia="zh-CN"/>
        </w:rPr>
        <w:t>5.社会保障和就业支出2080505机关事业单位基本养老保险缴费支出: 支出决算为112.95万元，完成预算100%，决算数等于预算数。</w:t>
      </w:r>
    </w:p>
    <w:p w14:paraId="4B770154">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6.社会保障和就业支出2080506机关事业单位职业年金缴费支出:支出决算为56.47万元，完成预算100%，决算数等于预算数。</w:t>
      </w:r>
    </w:p>
    <w:p w14:paraId="26AEDBC0">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7.卫生健康支出2101102事业单位医疗:支出决算为49.84万元，完成预算100%，决算数等于预算数。</w:t>
      </w:r>
    </w:p>
    <w:p w14:paraId="5D01E11A">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8.住房保障支出2210201住房公积金:支出决算为107.64万元，完成预算100%，决算数等于预算数。</w:t>
      </w:r>
    </w:p>
    <w:p w14:paraId="64EA5607">
      <w:pPr>
        <w:snapToGrid w:val="0"/>
        <w:spacing w:line="520" w:lineRule="exact"/>
        <w:ind w:firstLine="560" w:firstLineChars="200"/>
        <w:rPr>
          <w:rFonts w:hint="eastAsia" w:ascii="宋体" w:hAnsi="宋体" w:cs="宋体"/>
          <w:sz w:val="28"/>
          <w:szCs w:val="28"/>
          <w:lang w:val="en-US" w:eastAsia="zh-CN"/>
        </w:rPr>
      </w:pPr>
    </w:p>
    <w:p w14:paraId="3D0A4D59">
      <w:pPr>
        <w:tabs>
          <w:tab w:val="right" w:pos="8306"/>
        </w:tabs>
        <w:spacing w:line="600" w:lineRule="exact"/>
        <w:ind w:firstLine="640"/>
        <w:outlineLvl w:val="1"/>
        <w:rPr>
          <w:rStyle w:val="26"/>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4"/>
      <w:bookmarkEnd w:id="35"/>
      <w:r>
        <w:rPr>
          <w:rStyle w:val="26"/>
          <w:rFonts w:ascii="黑体" w:hAnsi="黑体" w:eastAsia="黑体"/>
          <w:b w:val="0"/>
          <w:color w:val="auto"/>
          <w:highlight w:val="none"/>
        </w:rPr>
        <w:tab/>
      </w:r>
    </w:p>
    <w:p w14:paraId="140D83C9">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2021年一般公共预算财政拨款基本支出1637.76万元，其中：</w:t>
      </w:r>
    </w:p>
    <w:p w14:paraId="05B3D319">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人员经费1239.27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2AE30EBB">
      <w:pPr>
        <w:snapToGrid w:val="0"/>
        <w:spacing w:line="520" w:lineRule="exact"/>
        <w:ind w:firstLine="560" w:firstLineChars="200"/>
        <w:rPr>
          <w:rFonts w:ascii="仿宋" w:hAnsi="仿宋" w:eastAsia="仿宋"/>
          <w:color w:val="auto"/>
          <w:sz w:val="32"/>
          <w:szCs w:val="32"/>
          <w:highlight w:val="none"/>
        </w:rPr>
      </w:pPr>
      <w:r>
        <w:rPr>
          <w:rFonts w:hint="eastAsia" w:ascii="宋体" w:hAnsi="宋体" w:cs="宋体"/>
          <w:sz w:val="28"/>
          <w:szCs w:val="28"/>
          <w:lang w:val="en-US" w:eastAsia="zh-CN"/>
        </w:rPr>
        <w:t>　　公用经费398.49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5D043D5">
      <w:pPr>
        <w:spacing w:line="600" w:lineRule="exact"/>
        <w:ind w:firstLine="640"/>
        <w:outlineLvl w:val="1"/>
        <w:rPr>
          <w:rStyle w:val="26"/>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三公”经费财政拨款支出决算情况说明</w:t>
      </w:r>
      <w:bookmarkEnd w:id="36"/>
      <w:bookmarkEnd w:id="37"/>
    </w:p>
    <w:p w14:paraId="23D626B1">
      <w:pPr>
        <w:snapToGrid w:val="0"/>
        <w:spacing w:line="520" w:lineRule="exact"/>
        <w:ind w:firstLine="560" w:firstLineChars="200"/>
        <w:rPr>
          <w:rFonts w:hint="eastAsia" w:ascii="宋体" w:hAnsi="宋体" w:cs="宋体"/>
          <w:sz w:val="28"/>
          <w:szCs w:val="28"/>
          <w:lang w:val="en-US" w:eastAsia="zh-CN"/>
        </w:rPr>
      </w:pPr>
      <w:bookmarkStart w:id="38" w:name="_Toc15377216"/>
      <w:r>
        <w:rPr>
          <w:rFonts w:hint="eastAsia" w:ascii="宋体" w:hAnsi="宋体" w:cs="宋体"/>
          <w:sz w:val="28"/>
          <w:szCs w:val="28"/>
          <w:lang w:val="en-US" w:eastAsia="zh-CN"/>
        </w:rPr>
        <w:t>（一）“三公”经费财政拨款支出决算总体情况说明</w:t>
      </w:r>
      <w:bookmarkEnd w:id="38"/>
    </w:p>
    <w:p w14:paraId="44A34BD6">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2021年“三公”经费财政拨款支出决算为0万元，与2020年持平。</w:t>
      </w:r>
    </w:p>
    <w:p w14:paraId="44D92E2E">
      <w:pPr>
        <w:snapToGrid w:val="0"/>
        <w:spacing w:line="520" w:lineRule="exact"/>
        <w:ind w:firstLine="560" w:firstLineChars="200"/>
        <w:rPr>
          <w:rFonts w:hint="eastAsia" w:ascii="仿宋_GB2312" w:eastAsia="仿宋_GB2312"/>
          <w:color w:val="auto"/>
          <w:sz w:val="32"/>
          <w:szCs w:val="32"/>
          <w:highlight w:val="none"/>
          <w:lang w:val="en-US" w:eastAsia="zh-CN"/>
        </w:rPr>
      </w:pPr>
      <w:bookmarkStart w:id="39" w:name="_Toc15377217"/>
      <w:r>
        <w:rPr>
          <w:rFonts w:hint="eastAsia" w:ascii="宋体" w:hAnsi="宋体" w:cs="宋体"/>
          <w:sz w:val="28"/>
          <w:szCs w:val="28"/>
          <w:lang w:val="en-US" w:eastAsia="zh-CN"/>
        </w:rPr>
        <w:t>（二）“</w:t>
      </w:r>
      <w:r>
        <w:rPr>
          <w:rFonts w:hint="eastAsia" w:ascii="仿宋_GB2312" w:eastAsia="仿宋_GB2312"/>
          <w:color w:val="auto"/>
          <w:sz w:val="32"/>
          <w:szCs w:val="32"/>
          <w:highlight w:val="none"/>
          <w:lang w:val="en-US" w:eastAsia="zh-CN"/>
        </w:rPr>
        <w:t>三公”经费财政拨款支出决算具体情况说明</w:t>
      </w:r>
      <w:bookmarkEnd w:id="39"/>
    </w:p>
    <w:p w14:paraId="452F6EBB">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2021年“三公”经费财政拨款支出决算中，因公出国（境）费支出决算0万元，占0%；公务用车购置及运行维护费支出决算0万元，占0%；公务接待费支出决算0万元，占0%。具体情况如下：</w:t>
      </w:r>
    </w:p>
    <w:p w14:paraId="4B68234F">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因公出国（境）经费支出0万元，完成预算0%。全年安排因公出国（境）团组0次，出国（境）0人。与2020年持平。</w:t>
      </w:r>
    </w:p>
    <w:p w14:paraId="34F355CB">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开支内容：无</w:t>
      </w:r>
    </w:p>
    <w:p w14:paraId="0E4B14B7">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2.公务用车购置及运行维护费支出0万元,完成预算0%。公务用车购置及运行维护费支出决算与2020年持平。</w:t>
      </w:r>
    </w:p>
    <w:p w14:paraId="7762A35D">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其中：公务用车购置支出0万元。全年按规定更新购置公务用车0辆，其中：轿车0辆、金额0万元，越野车0辆、金额0万元，载客汽车0辆、金额0万元。截至2021年12月底，单位共有公务用车0辆，其中：轿车0辆、越野车0辆、载客汽车0辆。</w:t>
      </w:r>
    </w:p>
    <w:p w14:paraId="0F35211B">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公务用车运行维护费支出0万元。</w:t>
      </w:r>
    </w:p>
    <w:p w14:paraId="01398C24">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公务接待费支出0万元，完成预算0%。公务接待费支出决算与2020年持平。</w:t>
      </w:r>
    </w:p>
    <w:p w14:paraId="11AE4511">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4.国内公务接待支出0万元。</w:t>
      </w:r>
    </w:p>
    <w:p w14:paraId="71F71FC6">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外事接待支出0万元。</w:t>
      </w:r>
    </w:p>
    <w:p w14:paraId="318F815D">
      <w:pPr>
        <w:snapToGrid w:val="0"/>
        <w:spacing w:line="520" w:lineRule="exact"/>
        <w:ind w:firstLine="560" w:firstLineChars="200"/>
        <w:rPr>
          <w:rFonts w:hint="eastAsia" w:ascii="宋体" w:hAnsi="宋体" w:cs="宋体"/>
          <w:sz w:val="28"/>
          <w:szCs w:val="28"/>
          <w:lang w:val="en-US" w:eastAsia="zh-CN"/>
        </w:rPr>
      </w:pPr>
      <w:bookmarkStart w:id="40" w:name="_Toc15396610"/>
      <w:bookmarkStart w:id="41" w:name="_Toc15377218"/>
    </w:p>
    <w:p w14:paraId="2602884A">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0"/>
      <w:bookmarkEnd w:id="41"/>
    </w:p>
    <w:p w14:paraId="495F7EDC">
      <w:pPr>
        <w:spacing w:line="600" w:lineRule="exact"/>
        <w:ind w:firstLine="640"/>
        <w:rPr>
          <w:rFonts w:ascii="仿宋_GB2312" w:eastAsia="仿宋_GB2312"/>
          <w:color w:val="auto"/>
          <w:sz w:val="32"/>
          <w:szCs w:val="32"/>
          <w:highlight w:val="none"/>
        </w:rPr>
      </w:pPr>
      <w:r>
        <w:rPr>
          <w:rFonts w:hint="eastAsia" w:ascii="宋体" w:hAnsi="宋体" w:cs="宋体"/>
          <w:sz w:val="28"/>
          <w:szCs w:val="28"/>
          <w:lang w:val="en-US" w:eastAsia="zh-CN"/>
        </w:rPr>
        <w:t>2021年政府性基金预算财政拨款支出0万元</w:t>
      </w:r>
      <w:r>
        <w:rPr>
          <w:rFonts w:hint="eastAsia" w:ascii="仿宋_GB2312" w:eastAsia="仿宋_GB2312"/>
          <w:color w:val="auto"/>
          <w:sz w:val="32"/>
          <w:szCs w:val="32"/>
          <w:highlight w:val="none"/>
        </w:rPr>
        <w:t>。</w:t>
      </w:r>
    </w:p>
    <w:p w14:paraId="2E2CF069">
      <w:pPr>
        <w:spacing w:line="600" w:lineRule="exact"/>
        <w:ind w:firstLine="640"/>
        <w:rPr>
          <w:rFonts w:ascii="仿宋_GB2312" w:eastAsia="仿宋_GB2312"/>
          <w:color w:val="auto"/>
          <w:sz w:val="32"/>
          <w:szCs w:val="32"/>
          <w:highlight w:val="none"/>
        </w:rPr>
      </w:pPr>
    </w:p>
    <w:p w14:paraId="7F455708">
      <w:pPr>
        <w:numPr>
          <w:ilvl w:val="0"/>
          <w:numId w:val="5"/>
        </w:numPr>
        <w:spacing w:line="600" w:lineRule="exact"/>
        <w:ind w:firstLine="640"/>
        <w:outlineLvl w:val="1"/>
        <w:rPr>
          <w:rStyle w:val="26"/>
          <w:rFonts w:ascii="黑体" w:hAnsi="黑体" w:eastAsia="黑体"/>
          <w:b w:val="0"/>
          <w:color w:val="auto"/>
          <w:highlight w:val="none"/>
        </w:rPr>
      </w:pPr>
      <w:bookmarkStart w:id="42" w:name="_Toc15396611"/>
      <w:bookmarkStart w:id="43" w:name="_Toc15377219"/>
      <w:r>
        <w:rPr>
          <w:rStyle w:val="26"/>
          <w:rFonts w:hint="eastAsia" w:ascii="黑体" w:hAnsi="黑体" w:eastAsia="黑体"/>
          <w:b w:val="0"/>
          <w:color w:val="auto"/>
          <w:highlight w:val="none"/>
        </w:rPr>
        <w:t>国有资本经营预算支出决算情况说明</w:t>
      </w:r>
      <w:bookmarkEnd w:id="42"/>
      <w:bookmarkEnd w:id="43"/>
    </w:p>
    <w:p w14:paraId="58696F23">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2021年国有资本经营预算财政拨款支出0万元。</w:t>
      </w:r>
    </w:p>
    <w:p w14:paraId="30FB406A">
      <w:pPr>
        <w:spacing w:line="580" w:lineRule="exact"/>
        <w:jc w:val="center"/>
        <w:rPr>
          <w:rFonts w:ascii="方正小标宋简体" w:hAnsi="方正小标宋简体" w:eastAsia="方正小标宋简体" w:cs="方正小标宋简体"/>
          <w:color w:val="auto"/>
          <w:sz w:val="44"/>
          <w:szCs w:val="44"/>
          <w:highlight w:val="none"/>
        </w:rPr>
      </w:pPr>
    </w:p>
    <w:p w14:paraId="6189EF8E">
      <w:pPr>
        <w:numPr>
          <w:ilvl w:val="0"/>
          <w:numId w:val="5"/>
        </w:numPr>
        <w:spacing w:line="600" w:lineRule="exact"/>
        <w:ind w:firstLine="640"/>
        <w:outlineLvl w:val="1"/>
        <w:rPr>
          <w:rStyle w:val="26"/>
          <w:rFonts w:hint="eastAsia" w:ascii="黑体" w:hAnsi="黑体" w:eastAsia="黑体"/>
          <w:b w:val="0"/>
          <w:color w:val="auto"/>
          <w:highlight w:val="none"/>
        </w:rPr>
      </w:pPr>
      <w:bookmarkStart w:id="44" w:name="_Toc15377221"/>
      <w:bookmarkStart w:id="45" w:name="_Toc15396612"/>
      <w:r>
        <w:rPr>
          <w:rStyle w:val="26"/>
          <w:rFonts w:hint="eastAsia" w:ascii="黑体" w:hAnsi="黑体" w:eastAsia="黑体"/>
          <w:b w:val="0"/>
          <w:color w:val="auto"/>
          <w:highlight w:val="none"/>
        </w:rPr>
        <w:t>其他重要事项的情况说明</w:t>
      </w:r>
      <w:bookmarkEnd w:id="44"/>
      <w:bookmarkEnd w:id="45"/>
    </w:p>
    <w:p w14:paraId="18688C0A">
      <w:pPr>
        <w:snapToGrid w:val="0"/>
        <w:spacing w:line="520" w:lineRule="exact"/>
        <w:ind w:firstLine="560" w:firstLineChars="200"/>
        <w:rPr>
          <w:rFonts w:hint="eastAsia" w:ascii="宋体" w:hAnsi="宋体" w:cs="宋体"/>
          <w:sz w:val="28"/>
          <w:szCs w:val="28"/>
          <w:lang w:val="en-US" w:eastAsia="zh-CN"/>
        </w:rPr>
      </w:pPr>
      <w:bookmarkStart w:id="46" w:name="_Toc15377222"/>
      <w:r>
        <w:rPr>
          <w:rFonts w:hint="eastAsia" w:ascii="宋体" w:hAnsi="宋体" w:cs="宋体"/>
          <w:sz w:val="28"/>
          <w:szCs w:val="28"/>
          <w:lang w:val="en-US" w:eastAsia="zh-CN"/>
        </w:rPr>
        <w:t>（一）机关运行经费支出情况</w:t>
      </w:r>
      <w:bookmarkEnd w:id="46"/>
    </w:p>
    <w:p w14:paraId="1FD11881">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2021年，机关运行经费支出0万元，与2020年决算数持平。主要原因是我单位为事业单位，按规定未使用机关运行的相关科目。</w:t>
      </w:r>
    </w:p>
    <w:p w14:paraId="174486AE">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14:paraId="4D43C37C">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2021年，广汉市实验小学政府采购支出总额39.86万元，其中：政府采购货物支出39.86万元、政府采购工程支出0万元、政府采购服务支出0万元。主要用于学生食堂食品加工机器购买。授予中小企业合同金额39.86万元，占政府采购支出总额的100%，其中：授予小微企业合同金额0万元，占政府采购支出总额的0%。</w:t>
      </w:r>
    </w:p>
    <w:p w14:paraId="20EE1A9D">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14:paraId="2C23CA69">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截至2021年12月31日，广汉市实验小学共有车辆0辆，其中：主要领导干部用车0辆、机要通信用车0辆、应急保障用车0辆、其他用车0辆。单价50万元以上通用设备0台（套），单价100万元以上专用设备0台（套）。</w:t>
      </w:r>
    </w:p>
    <w:p w14:paraId="4B068268">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47D0380E">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根据预算绩效管理要求，广汉市实验小学按要求对2021年部门整体支出开展绩效自评，从评价情况来看我校财务管理健全规范，没有发生违法违规现象。我校将会在以后的工作中加强预算管理，严格执行预算，完善项目绩效评价，提高财政资金的使用绩效。本部门还自行组织了项目支出绩效评价，从评价情况来看，项目支出绩效评价效果比较好，从质量、数量、社会效益等方面满足目标绩效。</w:t>
      </w:r>
    </w:p>
    <w:p w14:paraId="39AACB00">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115CDCD8">
      <w:pPr>
        <w:numPr>
          <w:ilvl w:val="0"/>
          <w:numId w:val="6"/>
        </w:numPr>
        <w:spacing w:line="600" w:lineRule="exact"/>
        <w:ind w:firstLine="660" w:firstLineChars="150"/>
        <w:jc w:val="center"/>
        <w:outlineLvl w:val="0"/>
        <w:rPr>
          <w:rStyle w:val="25"/>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9"/>
      <w:bookmarkEnd w:id="50"/>
    </w:p>
    <w:p w14:paraId="1720896D">
      <w:pPr>
        <w:spacing w:line="600" w:lineRule="exact"/>
        <w:jc w:val="left"/>
        <w:rPr>
          <w:rFonts w:ascii="宋体"/>
          <w:b/>
          <w:color w:val="auto"/>
          <w:sz w:val="44"/>
          <w:szCs w:val="44"/>
          <w:highlight w:val="none"/>
        </w:rPr>
      </w:pPr>
    </w:p>
    <w:p w14:paraId="3DF76343">
      <w:pPr>
        <w:snapToGrid w:val="0"/>
        <w:spacing w:line="520" w:lineRule="exact"/>
        <w:ind w:firstLine="560" w:firstLineChars="200"/>
        <w:rPr>
          <w:rFonts w:hint="eastAsia" w:ascii="宋体" w:hAnsi="宋体" w:cs="宋体"/>
          <w:sz w:val="28"/>
          <w:szCs w:val="28"/>
          <w:lang w:val="en-US" w:eastAsia="zh-CN"/>
        </w:rPr>
      </w:pPr>
      <w:bookmarkStart w:id="51" w:name="_Toc15396614"/>
      <w:bookmarkStart w:id="52" w:name="_Toc15377226"/>
      <w:r>
        <w:rPr>
          <w:rFonts w:hint="eastAsia" w:ascii="宋体" w:hAnsi="宋体" w:cs="宋体"/>
          <w:sz w:val="28"/>
          <w:szCs w:val="28"/>
          <w:lang w:val="en-US" w:eastAsia="zh-CN"/>
        </w:rPr>
        <w:t>1.财政拨款收入：指单位从同级财政部门取得的财政预算资金。</w:t>
      </w:r>
    </w:p>
    <w:p w14:paraId="18CD1536">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2.事业收入：指事业单位开展专业业务活动及辅助活动取得的收入。</w:t>
      </w:r>
    </w:p>
    <w:p w14:paraId="7DF20C69">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3.经营收入：指事业单位在专业业务活动及其辅助活动之外开展非独立核算经营活动取得的收入。。</w:t>
      </w:r>
    </w:p>
    <w:p w14:paraId="577ABA30">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 xml:space="preserve">4.其他收入：指单位取得的除上述收入以外的各项收入。。 </w:t>
      </w:r>
    </w:p>
    <w:p w14:paraId="06C554E5">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 xml:space="preserve">5.使用非财政拨款结余：指事业单位使用以前年度积累的非财政拨款结余弥补当年收支差额的金额。 </w:t>
      </w:r>
    </w:p>
    <w:p w14:paraId="5E7F4AC4">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 xml:space="preserve">6.年初结转和结余：指以前年度尚未完成、结转到本年按有关规定继续使用的资金。 </w:t>
      </w:r>
    </w:p>
    <w:p w14:paraId="0B8AE6C3">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7.结余分配：指事业单位按照会计制度规定缴纳的所得税、提取的专用结余以及转入非财政拨款结余的金额等。</w:t>
      </w:r>
    </w:p>
    <w:p w14:paraId="49CC659E">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8、年末结转和结余：指单位按有关规定结转到下年或以后年度继续使用的资金。</w:t>
      </w:r>
    </w:p>
    <w:p w14:paraId="70249F10">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9.教育支出（类）普通教育（款）“小学教育”（项）: 指标用于本级教育类的相关支出。</w:t>
      </w:r>
    </w:p>
    <w:p w14:paraId="5D13E13D">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10.社会保障和就业支出（类）行政事业单位养老支出（款）事业单位离退休（项）:指用于退休人员养老的相关支出。</w:t>
      </w:r>
    </w:p>
    <w:p w14:paraId="4C2047DF">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11.社会保障和就业支出（类）行政事业单位养老支出（款）机关事业单位基本养老保险缴费支出（项）:指用于在职人员缴纳养老保险的相关支出。</w:t>
      </w:r>
    </w:p>
    <w:p w14:paraId="7E3F0FE7">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12.社会保障和就业支出（类）行政事业单位养老支出（款）机关事业单位职业年金缴费支出（项）:指用于在职人员缴纳职业年金的相关支出。</w:t>
      </w:r>
    </w:p>
    <w:p w14:paraId="3799E209">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13.卫生健康支出（类）行政事业单位医疗（款）事业单位医疗（项）:指用于在职人员缴纳医疗保险的相关支出。</w:t>
      </w:r>
    </w:p>
    <w:p w14:paraId="1835F4BA">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14.住房保障支出（类）住房改革支出（款）住房公积金（项）:指用于在职人员缴纳住房公积金的相关支出。</w:t>
      </w:r>
    </w:p>
    <w:p w14:paraId="4D57AE2D">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15.基本支出：指为保障机构正常运转、完成日常工作任务而发生的人员支出和公用支出。</w:t>
      </w:r>
    </w:p>
    <w:p w14:paraId="164BCC67">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 xml:space="preserve">16.项目支出：指在基本支出之外为完成特定行政任务和事业发展目标所发生的支出。 </w:t>
      </w:r>
    </w:p>
    <w:p w14:paraId="0DBBB0EF">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17.经营支出：指事业单位在专业业务活动及其辅助活动之外开展非独立核算经营活动发生的支出。</w:t>
      </w:r>
    </w:p>
    <w:p w14:paraId="67792095">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FEFA03B">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DF525A3">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20.基本支出：指为保障机构正常运转、完成日常工作任务而发生的人员支出和公用支出。</w:t>
      </w:r>
    </w:p>
    <w:p w14:paraId="2F6A0923">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 xml:space="preserve">21.项目支出：指在基本支出之外为完成特定行政任务和事业发展目标所发生的支出。 </w:t>
      </w:r>
    </w:p>
    <w:p w14:paraId="5EAE6343">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22.经营支出：指事业单位在专业业务活动及其辅助活动之外开展非独立核算经营活动发生的支出。</w:t>
      </w:r>
    </w:p>
    <w:p w14:paraId="102968C3">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76F5953">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DCCDAA5">
      <w:pPr>
        <w:spacing w:line="600" w:lineRule="exact"/>
        <w:jc w:val="center"/>
        <w:outlineLvl w:val="0"/>
        <w:rPr>
          <w:rFonts w:hint="eastAsia" w:ascii="黑体" w:hAnsi="黑体" w:eastAsia="黑体"/>
          <w:color w:val="auto"/>
          <w:sz w:val="44"/>
          <w:szCs w:val="44"/>
          <w:highlight w:val="none"/>
        </w:rPr>
      </w:pPr>
    </w:p>
    <w:p w14:paraId="787727AA">
      <w:pPr>
        <w:spacing w:line="600" w:lineRule="exact"/>
        <w:jc w:val="center"/>
        <w:outlineLvl w:val="0"/>
        <w:rPr>
          <w:rFonts w:hint="eastAsia" w:ascii="黑体" w:hAnsi="黑体" w:eastAsia="黑体"/>
          <w:color w:val="auto"/>
          <w:sz w:val="44"/>
          <w:szCs w:val="44"/>
          <w:highlight w:val="none"/>
        </w:rPr>
      </w:pPr>
    </w:p>
    <w:p w14:paraId="771264A3">
      <w:pPr>
        <w:spacing w:line="600" w:lineRule="exact"/>
        <w:jc w:val="center"/>
        <w:outlineLvl w:val="0"/>
        <w:rPr>
          <w:rFonts w:hint="eastAsia" w:ascii="黑体" w:hAnsi="黑体" w:eastAsia="黑体"/>
          <w:color w:val="auto"/>
          <w:sz w:val="44"/>
          <w:szCs w:val="44"/>
          <w:highlight w:val="none"/>
        </w:rPr>
      </w:pPr>
    </w:p>
    <w:p w14:paraId="08C23651">
      <w:pPr>
        <w:spacing w:line="600" w:lineRule="exact"/>
        <w:jc w:val="center"/>
        <w:outlineLvl w:val="0"/>
        <w:rPr>
          <w:rFonts w:hint="eastAsia" w:ascii="黑体" w:hAnsi="黑体" w:eastAsia="黑体"/>
          <w:color w:val="auto"/>
          <w:sz w:val="44"/>
          <w:szCs w:val="44"/>
          <w:highlight w:val="none"/>
        </w:rPr>
      </w:pPr>
    </w:p>
    <w:p w14:paraId="162E3D7D">
      <w:pPr>
        <w:spacing w:line="600" w:lineRule="exact"/>
        <w:jc w:val="center"/>
        <w:outlineLvl w:val="0"/>
        <w:rPr>
          <w:rFonts w:hint="eastAsia" w:ascii="黑体" w:hAnsi="黑体" w:eastAsia="黑体"/>
          <w:color w:val="auto"/>
          <w:sz w:val="44"/>
          <w:szCs w:val="44"/>
          <w:highlight w:val="none"/>
        </w:rPr>
      </w:pPr>
    </w:p>
    <w:p w14:paraId="696B7A5F">
      <w:pPr>
        <w:spacing w:line="600" w:lineRule="exact"/>
        <w:jc w:val="center"/>
        <w:outlineLvl w:val="0"/>
        <w:rPr>
          <w:rFonts w:hint="eastAsia" w:ascii="黑体" w:hAnsi="黑体" w:eastAsia="黑体"/>
          <w:color w:val="auto"/>
          <w:sz w:val="44"/>
          <w:szCs w:val="44"/>
          <w:highlight w:val="none"/>
        </w:rPr>
      </w:pPr>
    </w:p>
    <w:p w14:paraId="394B65AF">
      <w:pPr>
        <w:spacing w:line="600" w:lineRule="exact"/>
        <w:jc w:val="center"/>
        <w:outlineLvl w:val="0"/>
        <w:rPr>
          <w:rFonts w:hint="eastAsia" w:ascii="黑体" w:hAnsi="黑体" w:eastAsia="黑体"/>
          <w:color w:val="auto"/>
          <w:sz w:val="44"/>
          <w:szCs w:val="44"/>
          <w:highlight w:val="none"/>
        </w:rPr>
      </w:pPr>
    </w:p>
    <w:p w14:paraId="461F327C">
      <w:pPr>
        <w:spacing w:line="600" w:lineRule="exact"/>
        <w:jc w:val="center"/>
        <w:outlineLvl w:val="0"/>
        <w:rPr>
          <w:rFonts w:hint="eastAsia" w:ascii="黑体" w:hAnsi="黑体" w:eastAsia="黑体"/>
          <w:color w:val="auto"/>
          <w:sz w:val="44"/>
          <w:szCs w:val="44"/>
          <w:highlight w:val="none"/>
        </w:rPr>
      </w:pPr>
    </w:p>
    <w:p w14:paraId="6987DB10">
      <w:pPr>
        <w:spacing w:line="600" w:lineRule="exact"/>
        <w:jc w:val="center"/>
        <w:outlineLvl w:val="0"/>
        <w:rPr>
          <w:rFonts w:hint="eastAsia" w:ascii="黑体" w:hAnsi="黑体" w:eastAsia="黑体"/>
          <w:color w:val="auto"/>
          <w:sz w:val="44"/>
          <w:szCs w:val="44"/>
          <w:highlight w:val="none"/>
        </w:rPr>
      </w:pPr>
    </w:p>
    <w:p w14:paraId="2379CCA0">
      <w:pPr>
        <w:spacing w:line="600" w:lineRule="exact"/>
        <w:jc w:val="center"/>
        <w:outlineLvl w:val="0"/>
        <w:rPr>
          <w:rFonts w:hint="eastAsia" w:ascii="黑体" w:hAnsi="黑体" w:eastAsia="黑体"/>
          <w:color w:val="auto"/>
          <w:sz w:val="44"/>
          <w:szCs w:val="44"/>
          <w:highlight w:val="none"/>
        </w:rPr>
      </w:pPr>
    </w:p>
    <w:p w14:paraId="33FDF2B0">
      <w:pPr>
        <w:spacing w:line="600" w:lineRule="exact"/>
        <w:jc w:val="center"/>
        <w:outlineLvl w:val="0"/>
        <w:rPr>
          <w:rFonts w:hint="eastAsia" w:ascii="黑体" w:hAnsi="黑体" w:eastAsia="黑体"/>
          <w:color w:val="auto"/>
          <w:sz w:val="44"/>
          <w:szCs w:val="44"/>
          <w:highlight w:val="none"/>
        </w:rPr>
      </w:pPr>
    </w:p>
    <w:p w14:paraId="3883B7C0">
      <w:pPr>
        <w:spacing w:line="600" w:lineRule="exact"/>
        <w:jc w:val="center"/>
        <w:outlineLvl w:val="0"/>
        <w:rPr>
          <w:rStyle w:val="25"/>
          <w:rFonts w:ascii="黑体" w:hAnsi="黑体" w:eastAsia="黑体"/>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1"/>
    </w:p>
    <w:p w14:paraId="10797C76">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附件</w:t>
      </w:r>
    </w:p>
    <w:p w14:paraId="37DF5B6F">
      <w:pPr>
        <w:snapToGrid w:val="0"/>
        <w:spacing w:line="520" w:lineRule="exact"/>
        <w:ind w:firstLine="560" w:firstLineChars="200"/>
        <w:rPr>
          <w:rFonts w:hint="eastAsia" w:ascii="宋体" w:hAnsi="宋体" w:cs="宋体"/>
          <w:sz w:val="28"/>
          <w:szCs w:val="28"/>
          <w:lang w:val="en-US" w:eastAsia="zh-CN"/>
        </w:rPr>
      </w:pPr>
      <w:bookmarkStart w:id="53" w:name="_Toc15396618"/>
      <w:r>
        <w:rPr>
          <w:rFonts w:hint="eastAsia" w:ascii="宋体" w:hAnsi="宋体" w:cs="宋体"/>
          <w:sz w:val="28"/>
          <w:szCs w:val="28"/>
          <w:lang w:val="en-US" w:eastAsia="zh-CN"/>
        </w:rPr>
        <w:t>无</w:t>
      </w:r>
    </w:p>
    <w:p w14:paraId="3D92A161">
      <w:pPr>
        <w:spacing w:line="600" w:lineRule="exact"/>
        <w:jc w:val="center"/>
        <w:outlineLvl w:val="0"/>
        <w:rPr>
          <w:rFonts w:hint="eastAsia" w:ascii="黑体" w:hAnsi="黑体" w:eastAsia="黑体"/>
          <w:color w:val="auto"/>
          <w:sz w:val="44"/>
          <w:szCs w:val="44"/>
          <w:highlight w:val="none"/>
        </w:rPr>
      </w:pPr>
    </w:p>
    <w:p w14:paraId="35BE6B7A">
      <w:pPr>
        <w:spacing w:line="600" w:lineRule="exact"/>
        <w:jc w:val="center"/>
        <w:outlineLvl w:val="0"/>
        <w:rPr>
          <w:rFonts w:hint="eastAsia" w:ascii="黑体" w:hAnsi="黑体" w:eastAsia="黑体"/>
          <w:color w:val="auto"/>
          <w:sz w:val="44"/>
          <w:szCs w:val="44"/>
          <w:highlight w:val="none"/>
        </w:rPr>
      </w:pPr>
    </w:p>
    <w:p w14:paraId="1E3FF97A">
      <w:pPr>
        <w:spacing w:line="600" w:lineRule="exact"/>
        <w:jc w:val="center"/>
        <w:outlineLvl w:val="0"/>
        <w:rPr>
          <w:rFonts w:hint="eastAsia" w:ascii="黑体" w:hAnsi="黑体" w:eastAsia="黑体"/>
          <w:color w:val="auto"/>
          <w:sz w:val="44"/>
          <w:szCs w:val="44"/>
          <w:highlight w:val="none"/>
        </w:rPr>
      </w:pPr>
    </w:p>
    <w:p w14:paraId="7A04461E">
      <w:pPr>
        <w:spacing w:line="600" w:lineRule="exact"/>
        <w:jc w:val="center"/>
        <w:outlineLvl w:val="0"/>
        <w:rPr>
          <w:rFonts w:hint="eastAsia" w:ascii="黑体" w:hAnsi="黑体" w:eastAsia="黑体"/>
          <w:color w:val="auto"/>
          <w:sz w:val="44"/>
          <w:szCs w:val="44"/>
          <w:highlight w:val="none"/>
        </w:rPr>
      </w:pPr>
    </w:p>
    <w:p w14:paraId="5CF16A1A">
      <w:pPr>
        <w:spacing w:line="600" w:lineRule="exact"/>
        <w:jc w:val="center"/>
        <w:outlineLvl w:val="0"/>
        <w:rPr>
          <w:rFonts w:hint="eastAsia" w:ascii="黑体" w:hAnsi="黑体" w:eastAsia="黑体"/>
          <w:color w:val="auto"/>
          <w:sz w:val="44"/>
          <w:szCs w:val="44"/>
          <w:highlight w:val="none"/>
        </w:rPr>
      </w:pPr>
    </w:p>
    <w:p w14:paraId="42835CE0">
      <w:pPr>
        <w:spacing w:line="600" w:lineRule="exact"/>
        <w:jc w:val="center"/>
        <w:outlineLvl w:val="0"/>
        <w:rPr>
          <w:rFonts w:hint="eastAsia" w:ascii="黑体" w:hAnsi="黑体" w:eastAsia="黑体"/>
          <w:color w:val="auto"/>
          <w:sz w:val="44"/>
          <w:szCs w:val="44"/>
          <w:highlight w:val="none"/>
        </w:rPr>
      </w:pPr>
    </w:p>
    <w:p w14:paraId="431673D8">
      <w:pPr>
        <w:spacing w:line="600" w:lineRule="exact"/>
        <w:jc w:val="center"/>
        <w:outlineLvl w:val="0"/>
        <w:rPr>
          <w:rFonts w:hint="eastAsia" w:ascii="黑体" w:hAnsi="黑体" w:eastAsia="黑体"/>
          <w:color w:val="auto"/>
          <w:sz w:val="44"/>
          <w:szCs w:val="44"/>
          <w:highlight w:val="none"/>
        </w:rPr>
      </w:pPr>
    </w:p>
    <w:p w14:paraId="7AE59F5D">
      <w:pPr>
        <w:spacing w:line="600" w:lineRule="exact"/>
        <w:jc w:val="center"/>
        <w:outlineLvl w:val="0"/>
        <w:rPr>
          <w:rFonts w:hint="eastAsia" w:ascii="黑体" w:hAnsi="黑体" w:eastAsia="黑体"/>
          <w:color w:val="auto"/>
          <w:sz w:val="44"/>
          <w:szCs w:val="44"/>
          <w:highlight w:val="none"/>
        </w:rPr>
      </w:pPr>
    </w:p>
    <w:p w14:paraId="07399C83">
      <w:pPr>
        <w:spacing w:line="600" w:lineRule="exact"/>
        <w:jc w:val="center"/>
        <w:outlineLvl w:val="0"/>
        <w:rPr>
          <w:rFonts w:hint="eastAsia" w:ascii="黑体" w:hAnsi="黑体" w:eastAsia="黑体"/>
          <w:color w:val="auto"/>
          <w:sz w:val="44"/>
          <w:szCs w:val="44"/>
          <w:highlight w:val="none"/>
        </w:rPr>
      </w:pPr>
    </w:p>
    <w:p w14:paraId="560896D9">
      <w:pPr>
        <w:spacing w:line="600" w:lineRule="exact"/>
        <w:jc w:val="center"/>
        <w:outlineLvl w:val="0"/>
        <w:rPr>
          <w:rFonts w:hint="eastAsia" w:ascii="黑体" w:hAnsi="黑体" w:eastAsia="黑体"/>
          <w:color w:val="auto"/>
          <w:sz w:val="44"/>
          <w:szCs w:val="44"/>
          <w:highlight w:val="none"/>
        </w:rPr>
      </w:pPr>
    </w:p>
    <w:p w14:paraId="3F1998A1">
      <w:pPr>
        <w:spacing w:line="600" w:lineRule="exact"/>
        <w:jc w:val="center"/>
        <w:outlineLvl w:val="0"/>
        <w:rPr>
          <w:rFonts w:hint="eastAsia" w:ascii="黑体" w:hAnsi="黑体" w:eastAsia="黑体"/>
          <w:color w:val="auto"/>
          <w:sz w:val="44"/>
          <w:szCs w:val="44"/>
          <w:highlight w:val="none"/>
        </w:rPr>
      </w:pPr>
    </w:p>
    <w:p w14:paraId="29465D67">
      <w:pPr>
        <w:spacing w:line="600" w:lineRule="exact"/>
        <w:jc w:val="center"/>
        <w:outlineLvl w:val="0"/>
        <w:rPr>
          <w:rFonts w:hint="eastAsia" w:ascii="黑体" w:hAnsi="黑体" w:eastAsia="黑体"/>
          <w:color w:val="auto"/>
          <w:sz w:val="44"/>
          <w:szCs w:val="44"/>
          <w:highlight w:val="none"/>
        </w:rPr>
      </w:pPr>
    </w:p>
    <w:p w14:paraId="17E273D9">
      <w:pPr>
        <w:spacing w:line="600" w:lineRule="exact"/>
        <w:jc w:val="center"/>
        <w:outlineLvl w:val="0"/>
        <w:rPr>
          <w:rFonts w:hint="eastAsia" w:ascii="黑体" w:hAnsi="黑体" w:eastAsia="黑体"/>
          <w:color w:val="auto"/>
          <w:sz w:val="44"/>
          <w:szCs w:val="44"/>
          <w:highlight w:val="none"/>
        </w:rPr>
      </w:pPr>
    </w:p>
    <w:p w14:paraId="60791D3E">
      <w:pPr>
        <w:spacing w:line="600" w:lineRule="exact"/>
        <w:jc w:val="center"/>
        <w:outlineLvl w:val="0"/>
        <w:rPr>
          <w:rFonts w:hint="eastAsia" w:ascii="黑体" w:hAnsi="黑体" w:eastAsia="黑体"/>
          <w:color w:val="auto"/>
          <w:sz w:val="44"/>
          <w:szCs w:val="44"/>
          <w:highlight w:val="none"/>
        </w:rPr>
      </w:pPr>
    </w:p>
    <w:p w14:paraId="5BF7A4C8">
      <w:pPr>
        <w:spacing w:line="600" w:lineRule="exact"/>
        <w:jc w:val="center"/>
        <w:outlineLvl w:val="0"/>
        <w:rPr>
          <w:rFonts w:hint="eastAsia" w:ascii="黑体" w:hAnsi="黑体" w:eastAsia="黑体"/>
          <w:color w:val="auto"/>
          <w:sz w:val="44"/>
          <w:szCs w:val="44"/>
          <w:highlight w:val="none"/>
        </w:rPr>
      </w:pPr>
    </w:p>
    <w:p w14:paraId="108CAC4D">
      <w:pPr>
        <w:spacing w:line="600" w:lineRule="exact"/>
        <w:jc w:val="center"/>
        <w:outlineLvl w:val="0"/>
        <w:rPr>
          <w:rFonts w:hint="eastAsia" w:ascii="黑体" w:hAnsi="黑体" w:eastAsia="黑体"/>
          <w:color w:val="auto"/>
          <w:sz w:val="44"/>
          <w:szCs w:val="44"/>
          <w:highlight w:val="none"/>
        </w:rPr>
      </w:pPr>
    </w:p>
    <w:p w14:paraId="4F58BCFA">
      <w:pPr>
        <w:spacing w:line="600" w:lineRule="exact"/>
        <w:jc w:val="center"/>
        <w:outlineLvl w:val="0"/>
        <w:rPr>
          <w:rFonts w:hint="eastAsia" w:ascii="黑体" w:hAnsi="黑体" w:eastAsia="黑体"/>
          <w:color w:val="auto"/>
          <w:sz w:val="44"/>
          <w:szCs w:val="44"/>
          <w:highlight w:val="none"/>
        </w:rPr>
      </w:pPr>
    </w:p>
    <w:p w14:paraId="2632F69C">
      <w:pPr>
        <w:spacing w:line="600" w:lineRule="exact"/>
        <w:jc w:val="center"/>
        <w:outlineLvl w:val="0"/>
        <w:rPr>
          <w:rFonts w:hint="eastAsia" w:ascii="黑体" w:hAnsi="黑体" w:eastAsia="黑体"/>
          <w:color w:val="auto"/>
          <w:sz w:val="44"/>
          <w:szCs w:val="44"/>
          <w:highlight w:val="none"/>
        </w:rPr>
      </w:pPr>
    </w:p>
    <w:p w14:paraId="4C0827E6">
      <w:pPr>
        <w:spacing w:line="600" w:lineRule="exact"/>
        <w:jc w:val="center"/>
        <w:outlineLvl w:val="0"/>
        <w:rPr>
          <w:rFonts w:hint="eastAsia" w:ascii="黑体" w:hAnsi="黑体" w:eastAsia="黑体"/>
          <w:color w:val="auto"/>
          <w:sz w:val="44"/>
          <w:szCs w:val="44"/>
          <w:highlight w:val="none"/>
        </w:rPr>
      </w:pPr>
    </w:p>
    <w:p w14:paraId="16AC9EF0">
      <w:pPr>
        <w:spacing w:line="600" w:lineRule="exact"/>
        <w:jc w:val="center"/>
        <w:outlineLvl w:val="0"/>
        <w:rPr>
          <w:rFonts w:hint="eastAsia" w:ascii="黑体" w:hAnsi="黑体" w:eastAsia="黑体"/>
          <w:color w:val="auto"/>
          <w:sz w:val="44"/>
          <w:szCs w:val="44"/>
          <w:highlight w:val="none"/>
        </w:rPr>
      </w:pPr>
    </w:p>
    <w:p w14:paraId="7B1CA2E4">
      <w:pPr>
        <w:spacing w:line="600" w:lineRule="exact"/>
        <w:jc w:val="both"/>
        <w:outlineLvl w:val="0"/>
        <w:rPr>
          <w:rFonts w:hint="eastAsia" w:ascii="黑体" w:hAnsi="黑体" w:eastAsia="黑体"/>
          <w:color w:val="auto"/>
          <w:sz w:val="44"/>
          <w:szCs w:val="44"/>
          <w:highlight w:val="none"/>
        </w:rPr>
      </w:pPr>
    </w:p>
    <w:p w14:paraId="1399C9B5">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2"/>
      <w:bookmarkEnd w:id="53"/>
      <w:bookmarkStart w:id="54" w:name="_Toc15396619"/>
    </w:p>
    <w:p w14:paraId="0CD5A40E">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一、收入支出决算总表</w:t>
      </w:r>
      <w:bookmarkEnd w:id="54"/>
    </w:p>
    <w:p w14:paraId="12FF5C02">
      <w:pPr>
        <w:snapToGrid w:val="0"/>
        <w:spacing w:line="520" w:lineRule="exact"/>
        <w:ind w:firstLine="560" w:firstLineChars="200"/>
        <w:rPr>
          <w:rFonts w:hint="eastAsia" w:ascii="宋体" w:hAnsi="宋体" w:cs="宋体"/>
          <w:sz w:val="28"/>
          <w:szCs w:val="28"/>
          <w:lang w:val="en-US" w:eastAsia="zh-CN"/>
        </w:rPr>
      </w:pPr>
      <w:bookmarkStart w:id="55" w:name="_Toc15396620"/>
      <w:r>
        <w:rPr>
          <w:rFonts w:hint="eastAsia" w:ascii="宋体" w:hAnsi="宋体" w:cs="宋体"/>
          <w:sz w:val="28"/>
          <w:szCs w:val="28"/>
          <w:lang w:val="en-US" w:eastAsia="zh-CN"/>
        </w:rPr>
        <w:t>二、收入决算表</w:t>
      </w:r>
      <w:bookmarkEnd w:id="55"/>
    </w:p>
    <w:p w14:paraId="3D27DCB3">
      <w:pPr>
        <w:snapToGrid w:val="0"/>
        <w:spacing w:line="520" w:lineRule="exact"/>
        <w:ind w:firstLine="560" w:firstLineChars="200"/>
        <w:rPr>
          <w:rFonts w:hint="eastAsia" w:ascii="宋体" w:hAnsi="宋体" w:cs="宋体"/>
          <w:sz w:val="28"/>
          <w:szCs w:val="28"/>
          <w:lang w:val="en-US" w:eastAsia="zh-CN"/>
        </w:rPr>
      </w:pPr>
      <w:bookmarkStart w:id="56" w:name="_Toc15396621"/>
      <w:r>
        <w:rPr>
          <w:rFonts w:hint="eastAsia" w:ascii="宋体" w:hAnsi="宋体" w:cs="宋体"/>
          <w:sz w:val="28"/>
          <w:szCs w:val="28"/>
          <w:lang w:val="en-US" w:eastAsia="zh-CN"/>
        </w:rPr>
        <w:t>三、支出决算表</w:t>
      </w:r>
      <w:bookmarkEnd w:id="56"/>
    </w:p>
    <w:p w14:paraId="7F5AA8E8">
      <w:pPr>
        <w:snapToGrid w:val="0"/>
        <w:spacing w:line="520" w:lineRule="exact"/>
        <w:ind w:firstLine="560" w:firstLineChars="200"/>
        <w:rPr>
          <w:rFonts w:hint="eastAsia" w:ascii="宋体" w:hAnsi="宋体" w:cs="宋体"/>
          <w:sz w:val="28"/>
          <w:szCs w:val="28"/>
          <w:lang w:val="en-US" w:eastAsia="zh-CN"/>
        </w:rPr>
      </w:pPr>
      <w:bookmarkStart w:id="57" w:name="_Toc15396622"/>
      <w:r>
        <w:rPr>
          <w:rFonts w:hint="eastAsia" w:ascii="宋体" w:hAnsi="宋体" w:cs="宋体"/>
          <w:sz w:val="28"/>
          <w:szCs w:val="28"/>
          <w:lang w:val="en-US" w:eastAsia="zh-CN"/>
        </w:rPr>
        <w:t>四、财政拨款收入支出决算总表</w:t>
      </w:r>
      <w:bookmarkEnd w:id="57"/>
    </w:p>
    <w:p w14:paraId="3ED1371F">
      <w:pPr>
        <w:snapToGrid w:val="0"/>
        <w:spacing w:line="520" w:lineRule="exact"/>
        <w:ind w:firstLine="560" w:firstLineChars="200"/>
        <w:rPr>
          <w:rFonts w:hint="eastAsia" w:ascii="宋体" w:hAnsi="宋体" w:cs="宋体"/>
          <w:sz w:val="28"/>
          <w:szCs w:val="28"/>
          <w:lang w:val="en-US" w:eastAsia="zh-CN"/>
        </w:rPr>
      </w:pPr>
      <w:bookmarkStart w:id="58" w:name="_Toc15396623"/>
      <w:r>
        <w:rPr>
          <w:rFonts w:hint="eastAsia" w:ascii="宋体" w:hAnsi="宋体" w:cs="宋体"/>
          <w:sz w:val="28"/>
          <w:szCs w:val="28"/>
          <w:lang w:val="en-US" w:eastAsia="zh-CN"/>
        </w:rPr>
        <w:t>五、财政拨款支出决算明细表</w:t>
      </w:r>
      <w:bookmarkEnd w:id="58"/>
      <w:bookmarkStart w:id="59" w:name="_Toc15396624"/>
    </w:p>
    <w:p w14:paraId="3C86C3D6">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六、一般公共预算财政拨款支出决算表</w:t>
      </w:r>
      <w:bookmarkEnd w:id="59"/>
    </w:p>
    <w:p w14:paraId="22FFC149">
      <w:pPr>
        <w:snapToGrid w:val="0"/>
        <w:spacing w:line="520" w:lineRule="exact"/>
        <w:ind w:firstLine="560" w:firstLineChars="200"/>
        <w:rPr>
          <w:rFonts w:hint="eastAsia" w:ascii="宋体" w:hAnsi="宋体" w:cs="宋体"/>
          <w:sz w:val="28"/>
          <w:szCs w:val="28"/>
          <w:lang w:val="en-US" w:eastAsia="zh-CN"/>
        </w:rPr>
      </w:pPr>
      <w:bookmarkStart w:id="60" w:name="_Toc15396625"/>
      <w:r>
        <w:rPr>
          <w:rFonts w:hint="eastAsia" w:ascii="宋体" w:hAnsi="宋体" w:cs="宋体"/>
          <w:sz w:val="28"/>
          <w:szCs w:val="28"/>
          <w:lang w:val="en-US" w:eastAsia="zh-CN"/>
        </w:rPr>
        <w:t>七、一般公共预算财政拨款支出决算明细表</w:t>
      </w:r>
      <w:bookmarkEnd w:id="60"/>
    </w:p>
    <w:p w14:paraId="3783F5C4">
      <w:pPr>
        <w:snapToGrid w:val="0"/>
        <w:spacing w:line="520" w:lineRule="exact"/>
        <w:ind w:firstLine="560" w:firstLineChars="200"/>
        <w:rPr>
          <w:rFonts w:hint="eastAsia" w:ascii="宋体" w:hAnsi="宋体" w:cs="宋体"/>
          <w:sz w:val="28"/>
          <w:szCs w:val="28"/>
          <w:lang w:val="en-US" w:eastAsia="zh-CN"/>
        </w:rPr>
      </w:pPr>
      <w:bookmarkStart w:id="61" w:name="_Toc15396626"/>
      <w:r>
        <w:rPr>
          <w:rFonts w:hint="eastAsia" w:ascii="宋体" w:hAnsi="宋体" w:cs="宋体"/>
          <w:sz w:val="28"/>
          <w:szCs w:val="28"/>
          <w:lang w:val="en-US" w:eastAsia="zh-CN"/>
        </w:rPr>
        <w:t>八、一般公共预算财政拨款基本支出决算表</w:t>
      </w:r>
      <w:bookmarkEnd w:id="61"/>
    </w:p>
    <w:p w14:paraId="7525418D">
      <w:pPr>
        <w:snapToGrid w:val="0"/>
        <w:spacing w:line="520" w:lineRule="exact"/>
        <w:ind w:firstLine="560" w:firstLineChars="200"/>
        <w:rPr>
          <w:rFonts w:hint="eastAsia" w:ascii="宋体" w:hAnsi="宋体" w:cs="宋体"/>
          <w:sz w:val="28"/>
          <w:szCs w:val="28"/>
          <w:lang w:val="en-US" w:eastAsia="zh-CN"/>
        </w:rPr>
      </w:pPr>
      <w:bookmarkStart w:id="62" w:name="_Toc15396627"/>
      <w:r>
        <w:rPr>
          <w:rFonts w:hint="eastAsia" w:ascii="宋体" w:hAnsi="宋体" w:cs="宋体"/>
          <w:sz w:val="28"/>
          <w:szCs w:val="28"/>
          <w:lang w:val="en-US" w:eastAsia="zh-CN"/>
        </w:rPr>
        <w:t>九、一般公共预算财政拨款项目支出决算表</w:t>
      </w:r>
      <w:bookmarkEnd w:id="62"/>
    </w:p>
    <w:p w14:paraId="095A0B37">
      <w:pPr>
        <w:snapToGrid w:val="0"/>
        <w:spacing w:line="520" w:lineRule="exact"/>
        <w:ind w:firstLine="560" w:firstLineChars="200"/>
        <w:rPr>
          <w:rFonts w:hint="eastAsia" w:ascii="宋体" w:hAnsi="宋体" w:cs="宋体"/>
          <w:sz w:val="28"/>
          <w:szCs w:val="28"/>
          <w:lang w:val="en-US" w:eastAsia="zh-CN"/>
        </w:rPr>
      </w:pPr>
      <w:bookmarkStart w:id="63" w:name="_Toc15396628"/>
      <w:r>
        <w:rPr>
          <w:rFonts w:hint="eastAsia" w:ascii="宋体" w:hAnsi="宋体" w:cs="宋体"/>
          <w:sz w:val="28"/>
          <w:szCs w:val="28"/>
          <w:lang w:val="en-US" w:eastAsia="zh-CN"/>
        </w:rPr>
        <w:t>十、一般公共预算财政拨款“三公”经费支出决算表</w:t>
      </w:r>
      <w:bookmarkEnd w:id="63"/>
    </w:p>
    <w:p w14:paraId="58DFCB91">
      <w:pPr>
        <w:snapToGrid w:val="0"/>
        <w:spacing w:line="520" w:lineRule="exact"/>
        <w:ind w:firstLine="560" w:firstLineChars="200"/>
        <w:rPr>
          <w:rFonts w:hint="eastAsia" w:ascii="宋体" w:hAnsi="宋体" w:cs="宋体"/>
          <w:sz w:val="28"/>
          <w:szCs w:val="28"/>
          <w:lang w:val="en-US" w:eastAsia="zh-CN"/>
        </w:rPr>
      </w:pPr>
      <w:bookmarkStart w:id="64" w:name="_Toc15396629"/>
      <w:r>
        <w:rPr>
          <w:rFonts w:hint="eastAsia" w:ascii="宋体" w:hAnsi="宋体" w:cs="宋体"/>
          <w:sz w:val="28"/>
          <w:szCs w:val="28"/>
          <w:lang w:val="en-US" w:eastAsia="zh-CN"/>
        </w:rPr>
        <w:t>十一、政府性基金预算财政拨款收入支出决算表</w:t>
      </w:r>
      <w:bookmarkEnd w:id="64"/>
    </w:p>
    <w:p w14:paraId="13ABD9E2">
      <w:pPr>
        <w:snapToGrid w:val="0"/>
        <w:spacing w:line="520" w:lineRule="exact"/>
        <w:ind w:firstLine="560" w:firstLineChars="200"/>
        <w:rPr>
          <w:rFonts w:hint="eastAsia" w:ascii="宋体" w:hAnsi="宋体" w:cs="宋体"/>
          <w:sz w:val="28"/>
          <w:szCs w:val="28"/>
          <w:lang w:val="en-US" w:eastAsia="zh-CN"/>
        </w:rPr>
      </w:pPr>
      <w:bookmarkStart w:id="65" w:name="_Toc15396630"/>
      <w:r>
        <w:rPr>
          <w:rFonts w:hint="eastAsia" w:ascii="宋体" w:hAnsi="宋体" w:cs="宋体"/>
          <w:sz w:val="28"/>
          <w:szCs w:val="28"/>
          <w:lang w:val="en-US" w:eastAsia="zh-CN"/>
        </w:rPr>
        <w:t>十二、政府性基金预算财政拨款“三公”经费支出决算表</w:t>
      </w:r>
      <w:bookmarkEnd w:id="65"/>
    </w:p>
    <w:p w14:paraId="076CD333">
      <w:pPr>
        <w:snapToGrid w:val="0"/>
        <w:spacing w:line="520" w:lineRule="exact"/>
        <w:ind w:firstLine="560" w:firstLineChars="200"/>
        <w:rPr>
          <w:rFonts w:hint="eastAsia" w:ascii="宋体" w:hAnsi="宋体" w:cs="宋体"/>
          <w:sz w:val="28"/>
          <w:szCs w:val="28"/>
          <w:lang w:val="en-US" w:eastAsia="zh-CN"/>
        </w:rPr>
      </w:pPr>
      <w:bookmarkStart w:id="66" w:name="_Toc15396631"/>
      <w:r>
        <w:rPr>
          <w:rFonts w:hint="eastAsia" w:ascii="宋体" w:hAnsi="宋体" w:cs="宋体"/>
          <w:sz w:val="28"/>
          <w:szCs w:val="28"/>
          <w:lang w:val="en-US" w:eastAsia="zh-CN"/>
        </w:rPr>
        <w:t>十三、国有资本经营预算财政拨款收入支出决算表</w:t>
      </w:r>
      <w:bookmarkEnd w:id="66"/>
    </w:p>
    <w:p w14:paraId="2E4F4A8E">
      <w:pPr>
        <w:snapToGrid w:val="0"/>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9DD84D3">
        <w:pPr>
          <w:pStyle w:val="8"/>
          <w:jc w:val="center"/>
        </w:pPr>
        <w:r>
          <w:fldChar w:fldCharType="begin"/>
        </w:r>
        <w:r>
          <w:instrText xml:space="preserve">PAGE   \* MERGEFORMAT</w:instrText>
        </w:r>
        <w:r>
          <w:fldChar w:fldCharType="separate"/>
        </w:r>
        <w:r>
          <w:rPr>
            <w:lang w:val="zh-CN"/>
          </w:rPr>
          <w:t>8</w:t>
        </w:r>
        <w:r>
          <w:fldChar w:fldCharType="end"/>
        </w:r>
      </w:p>
    </w:sdtContent>
  </w:sdt>
  <w:p w14:paraId="0BD5A6E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82540">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FE5844B9"/>
    <w:multiLevelType w:val="singleLevel"/>
    <w:tmpl w:val="FE5844B9"/>
    <w:lvl w:ilvl="0" w:tentative="0">
      <w:start w:val="1"/>
      <w:numFmt w:val="decimal"/>
      <w:suff w:val="nothing"/>
      <w:lvlText w:val="%1、"/>
      <w:lvlJc w:val="left"/>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D6B1872"/>
    <w:multiLevelType w:val="singleLevel"/>
    <w:tmpl w:val="6D6B1872"/>
    <w:lvl w:ilvl="0" w:tentative="0">
      <w:start w:val="1"/>
      <w:numFmt w:val="chineseCounting"/>
      <w:suff w:val="nothing"/>
      <w:lvlText w:val="%1、"/>
      <w:lvlJc w:val="left"/>
      <w:rPr>
        <w:rFonts w:hint="eastAsia"/>
      </w:rPr>
    </w:lvl>
  </w:abstractNum>
  <w:abstractNum w:abstractNumId="5">
    <w:nsid w:val="712656DF"/>
    <w:multiLevelType w:val="singleLevel"/>
    <w:tmpl w:val="712656DF"/>
    <w:lvl w:ilvl="0" w:tentative="0">
      <w:start w:val="1"/>
      <w:numFmt w:val="chineseCounting"/>
      <w:suff w:val="nothing"/>
      <w:lvlText w:val="（%1）"/>
      <w:lvlJc w:val="left"/>
      <w:pPr>
        <w:ind w:left="210" w:leftChars="0" w:firstLine="0" w:firstLineChars="0"/>
      </w:pPr>
      <w:rPr>
        <w:rFonts w:hint="eastAsia"/>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ZmEyYTMzNWYxMWY0NjI1YmJjMDA0YzI1N2M4MD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B8A37D8"/>
    <w:rsid w:val="10C055FF"/>
    <w:rsid w:val="118107EC"/>
    <w:rsid w:val="11DD6519"/>
    <w:rsid w:val="16042067"/>
    <w:rsid w:val="16BB723D"/>
    <w:rsid w:val="18015F3F"/>
    <w:rsid w:val="1BE8440E"/>
    <w:rsid w:val="1D155CEE"/>
    <w:rsid w:val="20F57F95"/>
    <w:rsid w:val="240371BF"/>
    <w:rsid w:val="25C741E6"/>
    <w:rsid w:val="27842671"/>
    <w:rsid w:val="29FD04D3"/>
    <w:rsid w:val="2ABE7A3E"/>
    <w:rsid w:val="2EFA178C"/>
    <w:rsid w:val="30B46D73"/>
    <w:rsid w:val="319F7F4E"/>
    <w:rsid w:val="32194793"/>
    <w:rsid w:val="39AE70AB"/>
    <w:rsid w:val="3C0C0783"/>
    <w:rsid w:val="3D1D52F7"/>
    <w:rsid w:val="3F387C59"/>
    <w:rsid w:val="3F9F3A96"/>
    <w:rsid w:val="40D570E7"/>
    <w:rsid w:val="493C27E9"/>
    <w:rsid w:val="496F39ED"/>
    <w:rsid w:val="49FF41D3"/>
    <w:rsid w:val="4BE068DB"/>
    <w:rsid w:val="4BF6002B"/>
    <w:rsid w:val="4ECE2238"/>
    <w:rsid w:val="51DB4B86"/>
    <w:rsid w:val="55333C3E"/>
    <w:rsid w:val="60371828"/>
    <w:rsid w:val="60496A09"/>
    <w:rsid w:val="64CA39A1"/>
    <w:rsid w:val="6C4A05C8"/>
    <w:rsid w:val="72734D90"/>
    <w:rsid w:val="79E7B28D"/>
    <w:rsid w:val="7C414E0F"/>
    <w:rsid w:val="7F9F20EE"/>
    <w:rsid w:val="7FC374BF"/>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15"/>
    <w:basedOn w:val="14"/>
    <w:qFormat/>
    <w:uiPriority w:val="0"/>
    <w:rPr>
      <w:rFonts w:hint="default" w:ascii="Calibri" w:hAnsi="Calibri"/>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3639</Words>
  <Characters>3686</Characters>
  <Lines>61</Lines>
  <Paragraphs>17</Paragraphs>
  <TotalTime>6</TotalTime>
  <ScaleCrop>false</ScaleCrop>
  <LinksUpToDate>false</LinksUpToDate>
  <CharactersWithSpaces>3695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飞天</cp:lastModifiedBy>
  <cp:lastPrinted>2022-08-06T02:23:00Z</cp:lastPrinted>
  <dcterms:modified xsi:type="dcterms:W3CDTF">2025-06-26T08:04:36Z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0B48ACD6205C4528BB6F60770E3A68B0</vt:lpwstr>
  </property>
  <property fmtid="{D5CDD505-2E9C-101B-9397-08002B2CF9AE}" pid="4" name="KSOTemplateDocerSaveRecord">
    <vt:lpwstr>eyJoZGlkIjoiNDYzOTc2OTJiY2VkNzMxNzVmYzNlMmQ0Y2IwYTA3OTUiLCJ1c2VySWQiOiI2MTExNjQxMDkifQ==</vt:lpwstr>
  </property>
</Properties>
</file>