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181</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590EF565">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四川瓦博建材有限公司瓦博新型彩钢</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瓦加工项目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四川瓦博建材有限公司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瓦博新型彩钢瓦加工项目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一、</w:t>
      </w:r>
      <w:r>
        <w:rPr>
          <w:rFonts w:hint="eastAsia" w:ascii="仿宋_GB2312" w:hAnsi="仿宋_GB2312" w:eastAsia="仿宋_GB2312" w:cs="仿宋_GB2312"/>
          <w:kern w:val="2"/>
          <w:sz w:val="32"/>
          <w:szCs w:val="32"/>
          <w:lang w:val="en-US" w:eastAsia="zh-CN" w:bidi="ar-SA"/>
        </w:rPr>
        <w:t>该项目为改</w:t>
      </w:r>
      <w:r>
        <w:rPr>
          <w:rFonts w:hint="eastAsia" w:ascii="仿宋_GB2312" w:hAnsi="仿宋_GB2312" w:cs="仿宋_GB2312"/>
          <w:kern w:val="2"/>
          <w:sz w:val="32"/>
          <w:szCs w:val="32"/>
          <w:lang w:val="en-US" w:eastAsia="zh-CN" w:bidi="ar-SA"/>
        </w:rPr>
        <w:t>扩建</w:t>
      </w:r>
      <w:r>
        <w:rPr>
          <w:rFonts w:hint="eastAsia" w:ascii="仿宋_GB2312" w:hAnsi="仿宋_GB2312" w:eastAsia="仿宋_GB2312" w:cs="仿宋_GB2312"/>
          <w:kern w:val="2"/>
          <w:sz w:val="32"/>
          <w:szCs w:val="32"/>
          <w:lang w:val="en-US" w:eastAsia="zh-CN" w:bidi="ar-SA"/>
        </w:rPr>
        <w:t>项目,拟在</w:t>
      </w:r>
      <w:r>
        <w:rPr>
          <w:rFonts w:hint="eastAsia" w:ascii="仿宋_GB2312" w:hAnsi="仿宋_GB2312" w:eastAsia="仿宋_GB2312" w:cs="仿宋_GB2312"/>
          <w:sz w:val="32"/>
          <w:szCs w:val="32"/>
          <w:lang w:val="en-US" w:eastAsia="zh-CN"/>
        </w:rPr>
        <w:t>广汉市</w:t>
      </w:r>
      <w:r>
        <w:rPr>
          <w:rFonts w:hint="eastAsia" w:ascii="仿宋_GB2312" w:hAnsi="仿宋_GB2312" w:cs="仿宋_GB2312"/>
          <w:sz w:val="32"/>
          <w:szCs w:val="32"/>
          <w:lang w:val="en-US" w:eastAsia="zh-CN"/>
        </w:rPr>
        <w:t>汉州街道</w:t>
      </w:r>
      <w:r>
        <w:rPr>
          <w:rFonts w:hint="eastAsia" w:ascii="仿宋_GB2312" w:hAnsi="仿宋_GB2312" w:eastAsia="仿宋_GB2312" w:cs="仿宋_GB2312"/>
          <w:sz w:val="32"/>
          <w:szCs w:val="32"/>
          <w:lang w:val="en-US" w:eastAsia="zh-CN"/>
        </w:rPr>
        <w:t>同善村</w:t>
      </w:r>
      <w:r>
        <w:rPr>
          <w:rFonts w:hint="eastAsia" w:ascii="仿宋_GB2312" w:hAnsi="仿宋_GB2312" w:eastAsia="仿宋_GB2312" w:cs="仿宋_GB2312"/>
          <w:kern w:val="2"/>
          <w:sz w:val="32"/>
          <w:szCs w:val="32"/>
          <w:lang w:val="en-US" w:eastAsia="zh-CN" w:bidi="ar-SA"/>
        </w:rPr>
        <w:t>现有厂区内建设，不新增用地。项目内容及规模为：依托相关公辅设施，新购置喷胶机、撒砂系统、烘干线、热风炉等生产设备，新布设</w:t>
      </w:r>
      <w:r>
        <w:rPr>
          <w:rFonts w:hint="eastAsia" w:ascii="仿宋_GB2312" w:hAnsi="仿宋_GB2312" w:cs="仿宋_GB2312"/>
          <w:kern w:val="2"/>
          <w:sz w:val="32"/>
          <w:szCs w:val="32"/>
          <w:lang w:val="en-US" w:eastAsia="zh-CN" w:bidi="ar-SA"/>
        </w:rPr>
        <w:t>大规格</w:t>
      </w:r>
      <w:r>
        <w:rPr>
          <w:rFonts w:hint="eastAsia" w:ascii="仿宋_GB2312" w:hAnsi="仿宋_GB2312" w:eastAsia="仿宋_GB2312" w:cs="仿宋_GB2312"/>
          <w:kern w:val="2"/>
          <w:sz w:val="32"/>
          <w:szCs w:val="32"/>
          <w:lang w:val="en-US" w:eastAsia="zh-CN" w:bidi="ar-SA"/>
        </w:rPr>
        <w:t>彩色金属瓦生产线1条，并调整原彩色金属瓦</w:t>
      </w:r>
      <w:r>
        <w:rPr>
          <w:rFonts w:hint="eastAsia" w:ascii="仿宋_GB2312" w:hAnsi="仿宋_GB2312" w:cs="仿宋_GB2312"/>
          <w:kern w:val="2"/>
          <w:sz w:val="32"/>
          <w:szCs w:val="32"/>
          <w:lang w:val="en-US" w:eastAsia="zh-CN" w:bidi="ar-SA"/>
        </w:rPr>
        <w:t>生产线</w:t>
      </w:r>
      <w:r>
        <w:rPr>
          <w:rFonts w:hint="eastAsia" w:ascii="仿宋_GB2312" w:hAnsi="仿宋_GB2312" w:eastAsia="仿宋_GB2312" w:cs="仿宋_GB2312"/>
          <w:kern w:val="2"/>
          <w:sz w:val="32"/>
          <w:szCs w:val="32"/>
          <w:lang w:val="en-US" w:eastAsia="zh-CN" w:bidi="ar-SA"/>
        </w:rPr>
        <w:t>产能，项目建成后形成年产828×6000mm彩色金属瓦20万片、420×1340mm彩色金属瓦80万片的生产能力，专用配件、专用龙骨产能保持不变。项目总投资100万元，其中环保投资5万元。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2503-510681-07-02-233916</w:t>
      </w:r>
      <w:r>
        <w:rPr>
          <w:rFonts w:hint="eastAsia"/>
          <w:lang w:eastAsia="zh-CN"/>
        </w:rPr>
        <w:t>]</w:t>
      </w:r>
      <w:r>
        <w:rPr>
          <w:rFonts w:hint="eastAsia"/>
          <w:lang w:val="en-US" w:eastAsia="zh-CN"/>
        </w:rPr>
        <w:t>JXQB-0212</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w:t>
      </w:r>
      <w:r>
        <w:rPr>
          <w:rFonts w:hint="eastAsia"/>
          <w:lang w:eastAsia="zh-CN"/>
        </w:rPr>
        <w:t>》以及</w:t>
      </w:r>
      <w:r>
        <w:rPr>
          <w:rFonts w:hint="eastAsia" w:ascii="Times New Roman" w:hAnsi="Times New Roman" w:cs="Times New Roman"/>
          <w:lang w:val="en-US" w:eastAsia="zh-CN"/>
        </w:rPr>
        <w:t>四川兴德川文化发展有限公司取</w:t>
      </w:r>
      <w:r>
        <w:rPr>
          <w:rFonts w:hint="eastAsia"/>
          <w:lang w:eastAsia="zh-CN"/>
        </w:rPr>
        <w:t>得的《不动产权证》</w:t>
      </w:r>
      <w:r>
        <w:rPr>
          <w:rFonts w:hint="eastAsia"/>
          <w:lang w:val="en-US" w:eastAsia="zh-CN"/>
        </w:rPr>
        <w:t>，项目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7B83487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lang w:eastAsia="zh-CN"/>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喷胶机的集气罩以及烘干线的密闭管道收集，确保喷胶、烘干</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有机废气与热风炉天然气燃烧废气经过滤棉+两级活性炭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吸附装置处理后由一根15m高排气筒达标排放</w:t>
      </w:r>
      <w:r>
        <w:rPr>
          <w:rFonts w:hint="eastAsia" w:ascii="仿宋_GB2312" w:hAnsi="仿宋_GB2312" w:cs="仿宋_GB2312"/>
          <w:bCs/>
          <w:color w:val="000000" w:themeColor="text1"/>
          <w:sz w:val="32"/>
          <w:szCs w:val="32"/>
          <w:lang w:val="en-US" w:eastAsia="zh-CN"/>
          <w14:textFill>
            <w14:solidFill>
              <w14:schemeClr w14:val="tx1"/>
            </w14:solidFill>
          </w14:textFill>
        </w:rPr>
        <w:t>；确保少量撒砂颗粒物自然沉降达标排放，对周围环境不产生影响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无生产废水产生，生活污水</w:t>
      </w:r>
      <w:r>
        <w:rPr>
          <w:rFonts w:hint="eastAsia" w:ascii="仿宋_GB2312" w:hAnsi="仿宋_GB2312" w:cs="仿宋_GB2312"/>
          <w:color w:val="000000" w:themeColor="text1"/>
          <w:sz w:val="32"/>
          <w:szCs w:val="32"/>
          <w:lang w:val="en-US" w:eastAsia="zh-CN"/>
          <w14:textFill>
            <w14:solidFill>
              <w14:schemeClr w14:val="tx1"/>
            </w14:solidFill>
          </w14:textFill>
        </w:rPr>
        <w:t>依托</w:t>
      </w:r>
      <w:r>
        <w:rPr>
          <w:rFonts w:hint="eastAsia" w:ascii="Times New Roman" w:hAnsi="Times New Roman" w:cs="Times New Roman"/>
          <w:lang w:val="en-US" w:eastAsia="zh-CN"/>
        </w:rPr>
        <w:t>四川兴德川文化发展有限公司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已建预处理池处理达到</w:t>
      </w:r>
      <w:r>
        <w:rPr>
          <w:rFonts w:hint="eastAsia"/>
          <w:lang w:eastAsia="zh-CN"/>
        </w:rPr>
        <w:t>《污水综合排放标准》（GB8978-1996）三级标准后排入市政污水管网，由广汉市第二污水处理厂处理达《四川省岷江、沱江流域水污染物排放标准》（DB51/2311-2016）中工业园区集中式污水处理厂标准后外排。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废金属边角料（不含油）</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、废包装材料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收集后外售；</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胶桶</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（有内袋不沾染废胶）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由厂家定期回收；</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废过滤棉、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废活性炭、废水性胶、</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水性胶内包装袋</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、含油手套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生活垃圾交环卫部门清运处置</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危废暂存间、喷胶区域</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、机加涉油区域</w:t>
      </w:r>
      <w:r>
        <w:rPr>
          <w:rFonts w:hint="eastAsia"/>
          <w:lang w:eastAsia="zh-CN"/>
        </w:rPr>
        <w:t>设置为重点防渗区，将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除重点防渗区以外的生产区域设置为</w:t>
      </w:r>
      <w:r>
        <w:rPr>
          <w:rFonts w:hint="eastAsia"/>
          <w:lang w:val="en-US" w:eastAsia="zh-CN"/>
        </w:rPr>
        <w:t>一般防渗区，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三、该项目运营后，全厂</w:t>
      </w:r>
      <w:r>
        <w:rPr>
          <w:rFonts w:hint="eastAsia"/>
          <w:lang w:val="en-US" w:eastAsia="zh-CN"/>
        </w:rPr>
        <w:t>氮氧化物排放量为</w:t>
      </w:r>
      <w:r>
        <w:rPr>
          <w:color w:val="000000"/>
          <w:szCs w:val="21"/>
        </w:rPr>
        <w:t>0.08976</w:t>
      </w:r>
      <w:r>
        <w:rPr>
          <w:rFonts w:hint="eastAsia"/>
          <w:lang w:eastAsia="zh-CN"/>
        </w:rPr>
        <w:t>吨/年，</w:t>
      </w:r>
      <w:r>
        <w:rPr>
          <w:rFonts w:hint="eastAsia"/>
          <w:lang w:val="en-US" w:eastAsia="zh-CN"/>
        </w:rPr>
        <w:t>挥发性有机物排放量为0.097265</w:t>
      </w:r>
      <w:r>
        <w:rPr>
          <w:rFonts w:hint="eastAsia"/>
          <w:lang w:eastAsia="zh-CN"/>
        </w:rPr>
        <w:t>吨/年，其总量控制指标由德阳市广汉生态环境局</w:t>
      </w:r>
      <w:r>
        <w:rPr>
          <w:rFonts w:hint="eastAsia"/>
          <w:lang w:val="en-US" w:eastAsia="zh-CN"/>
        </w:rPr>
        <w:t>调剂</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7</w:t>
      </w:r>
      <w:r>
        <w:rPr>
          <w:rFonts w:hint="eastAsia"/>
          <w:lang w:eastAsia="zh-CN"/>
        </w:rPr>
        <w:t>月</w:t>
      </w:r>
      <w:r>
        <w:rPr>
          <w:rFonts w:hint="eastAsia"/>
          <w:lang w:val="en-US" w:eastAsia="zh-CN"/>
        </w:rPr>
        <w:t>4</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6C07F19"/>
    <w:rsid w:val="07EE52C1"/>
    <w:rsid w:val="0C4A0047"/>
    <w:rsid w:val="10476743"/>
    <w:rsid w:val="11A36E95"/>
    <w:rsid w:val="121F6F46"/>
    <w:rsid w:val="163122E1"/>
    <w:rsid w:val="17722C48"/>
    <w:rsid w:val="17FF1243"/>
    <w:rsid w:val="1A212B6B"/>
    <w:rsid w:val="1A5823C6"/>
    <w:rsid w:val="1DA61023"/>
    <w:rsid w:val="1EAB16E8"/>
    <w:rsid w:val="233040CC"/>
    <w:rsid w:val="240472A7"/>
    <w:rsid w:val="24602490"/>
    <w:rsid w:val="25B23D47"/>
    <w:rsid w:val="27C363D7"/>
    <w:rsid w:val="2A3732D1"/>
    <w:rsid w:val="2A8433D1"/>
    <w:rsid w:val="2B1D6405"/>
    <w:rsid w:val="2B4222FA"/>
    <w:rsid w:val="2E624E98"/>
    <w:rsid w:val="2FC647D1"/>
    <w:rsid w:val="36BF255B"/>
    <w:rsid w:val="3847678F"/>
    <w:rsid w:val="3A6E4FAF"/>
    <w:rsid w:val="3B8A62BD"/>
    <w:rsid w:val="41B502FB"/>
    <w:rsid w:val="432F1B9E"/>
    <w:rsid w:val="449D70C1"/>
    <w:rsid w:val="480B7BA5"/>
    <w:rsid w:val="48AB02B3"/>
    <w:rsid w:val="493B5434"/>
    <w:rsid w:val="4E20458D"/>
    <w:rsid w:val="50D326BC"/>
    <w:rsid w:val="52EB1116"/>
    <w:rsid w:val="55922BB8"/>
    <w:rsid w:val="56EF32D7"/>
    <w:rsid w:val="59845736"/>
    <w:rsid w:val="598E3781"/>
    <w:rsid w:val="5A282A37"/>
    <w:rsid w:val="5E46632C"/>
    <w:rsid w:val="62544876"/>
    <w:rsid w:val="65AB4EFC"/>
    <w:rsid w:val="662B4514"/>
    <w:rsid w:val="6CC97B23"/>
    <w:rsid w:val="6F4577DC"/>
    <w:rsid w:val="721553B9"/>
    <w:rsid w:val="73CF21DD"/>
    <w:rsid w:val="765B6ABB"/>
    <w:rsid w:val="77712936"/>
    <w:rsid w:val="78901500"/>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9"/>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annotation text"/>
    <w:basedOn w:val="1"/>
    <w:next w:val="5"/>
    <w:qFormat/>
    <w:uiPriority w:val="0"/>
    <w:pPr>
      <w:jc w:val="left"/>
    </w:pPr>
    <w:rPr>
      <w:kern w:val="0"/>
      <w:sz w:val="24"/>
      <w:szCs w:val="20"/>
    </w:rPr>
  </w:style>
  <w:style w:type="paragraph" w:customStyle="1" w:styleId="5">
    <w:name w:val="0正文"/>
    <w:basedOn w:val="1"/>
    <w:qFormat/>
    <w:uiPriority w:val="0"/>
    <w:pPr>
      <w:adjustRightInd w:val="0"/>
      <w:snapToGrid w:val="0"/>
      <w:spacing w:line="360" w:lineRule="auto"/>
      <w:ind w:firstLine="200" w:firstLineChars="200"/>
    </w:pPr>
    <w:rPr>
      <w:sz w:val="24"/>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1 字符"/>
    <w:basedOn w:val="8"/>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2340</Words>
  <Characters>2444</Characters>
  <Lines>0</Lines>
  <Paragraphs>0</Paragraphs>
  <TotalTime>0</TotalTime>
  <ScaleCrop>false</ScaleCrop>
  <LinksUpToDate>false</LinksUpToDate>
  <CharactersWithSpaces>2534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2025-07-04T01:58:05Z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9E8A289108BE4C7E8727501B3E5BD006_13</vt:lpwstr>
  </property>
</Properties>
</file>