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218</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关于四川臻辣食品有限公司</w:t>
      </w:r>
      <w:r>
        <w:rPr>
          <w:rFonts w:hint="eastAsia" w:ascii="Times New Roman" w:hAnsi="Times New Roman" w:eastAsia="方正小标宋简体" w:cs="Times New Roman"/>
          <w:sz w:val="44"/>
          <w:szCs w:val="44"/>
          <w:lang w:val="en-US" w:eastAsia="zh-CN"/>
        </w:rPr>
        <w:t>复合调味品生产项目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四川臻辣食品有限公司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复合调味品生产项目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val="en-US" w:eastAsia="zh-CN"/>
        </w:rPr>
        <w:t>一、</w:t>
      </w:r>
      <w:r>
        <w:rPr>
          <w:rFonts w:hint="eastAsia"/>
          <w:lang w:eastAsia="zh-CN"/>
        </w:rPr>
        <w:t>该项目为新建项目，拟在广汉市建业路13号租赁广汉市长昊纸业有限公司闲置车间进行建设，用地面积3545平方米。项目内容及规模为：对现有厂房进行适应性改造，依托生产车间及相关公辅设施，购置切片机、炒锅、炼油锅、搅拌槽、包装机、灌装机、混合机等生产设备，布设复合调味品生产线，建成后形成年产红油产品4500吨（其中有渣红油产品约3000吨，无渣红油约1500吨）、蘸料4000吨的生产能力。项目总投资500万元，其中环保投资46.2万元。</w:t>
      </w:r>
    </w:p>
    <w:p w14:paraId="5200CD3C">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2505-510681-04-01-563609</w:t>
      </w:r>
      <w:r>
        <w:rPr>
          <w:rFonts w:hint="eastAsia"/>
          <w:lang w:eastAsia="zh-CN"/>
        </w:rPr>
        <w:t>]</w:t>
      </w:r>
      <w:r>
        <w:rPr>
          <w:rFonts w:hint="eastAsia"/>
          <w:lang w:val="en-US" w:eastAsia="zh-CN"/>
        </w:rPr>
        <w:t>FGQB-0798</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根据广汉市自然资源局和规划局出具的《关于出具广汉市长昊纸业有限公司用地情况说明的复函》、《德阳国家高新技术产业发展片区国土空间总体规划(2021-2035年)》</w:t>
      </w:r>
      <w:r>
        <w:rPr>
          <w:rFonts w:hint="eastAsia"/>
          <w:lang w:val="en-US" w:eastAsia="zh-CN"/>
        </w:rPr>
        <w:t>及广汉市长昊纸业有限公司取得的《不动产权证》，项目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二、项目建设及运行中应重点做好以下工作：</w:t>
      </w:r>
    </w:p>
    <w:p w14:paraId="42F37DF6">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val="en-US" w:eastAsia="zh-CN"/>
        </w:rPr>
      </w:pPr>
      <w:r>
        <w:rPr>
          <w:rFonts w:hint="eastAsia"/>
          <w:lang w:eastAsia="zh-CN"/>
        </w:rPr>
        <w:t>（三）严格落实并优化报告表提出的各项废气处理措施。</w:t>
      </w:r>
      <w:r>
        <w:rPr>
          <w:rFonts w:hint="eastAsia"/>
          <w:lang w:val="en-US" w:eastAsia="zh-CN"/>
        </w:rPr>
        <w:t>设置密闭的炒、炼制车间，落实炒、炼制工序的集气罩+静电油烟净化器+碱喷淋+水喷淋装置，确保天然气燃烧废气、油烟和异味经</w:t>
      </w:r>
      <w:r>
        <w:rPr>
          <w:rFonts w:hint="eastAsia"/>
          <w:lang w:eastAsia="zh-CN"/>
        </w:rPr>
        <w:t>收集处理后由1根15m高排气筒达标排放；</w:t>
      </w:r>
      <w:r>
        <w:rPr>
          <w:rFonts w:hint="eastAsia"/>
          <w:lang w:val="en-US" w:eastAsia="zh-CN"/>
        </w:rPr>
        <w:t>落实粉碎、搅拌工序的集气罩+布袋除尘器，确保破碎、混合粉尘经</w:t>
      </w:r>
      <w:r>
        <w:rPr>
          <w:rFonts w:hint="eastAsia"/>
          <w:lang w:eastAsia="zh-CN"/>
        </w:rPr>
        <w:t>收集处理后由1根15m高排气筒达标排放；</w:t>
      </w:r>
      <w:r>
        <w:rPr>
          <w:rFonts w:hint="eastAsia"/>
          <w:lang w:val="en-US" w:eastAsia="zh-CN"/>
        </w:rPr>
        <w:t>确保</w:t>
      </w:r>
      <w:r>
        <w:rPr>
          <w:rFonts w:hint="eastAsia"/>
          <w:lang w:eastAsia="zh-CN"/>
        </w:rPr>
        <w:t>拆包配料粉尘</w:t>
      </w:r>
      <w:r>
        <w:rPr>
          <w:rFonts w:hint="eastAsia"/>
          <w:lang w:val="en-US" w:eastAsia="zh-CN"/>
        </w:rPr>
        <w:t>经密闭车间沉降后无组织达标排放；确保污水处理站恶臭气体经喷洒除臭剂、产臭单元加盖密闭、加强周边绿化等措施处理后无组织达标排放不扰民；确保少量封边、打标废气无组织达标排放；确保食堂油烟经油烟净化器处理后经管道引至楼顶排放</w:t>
      </w:r>
      <w:r>
        <w:rPr>
          <w:rFonts w:hint="eastAsia"/>
          <w:lang w:eastAsia="zh-CN"/>
        </w:rPr>
        <w:t>，对周边环境不产生影响。</w:t>
      </w:r>
    </w:p>
    <w:p w14:paraId="12F09AF5">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四）严格落实并优化报告表提出的各项废水处理措施。项目纯水制备浓水用于地面清洁，食堂废水经隔油处理后与生活污水一同经厂区已建预处理池处理，车间地面清洗用水、设备清洗用水、原料清洗用水、喷淋塔废水、实验室废水经拟建污水处理站处理达《污水综合排放标准》（GB8978-1996）三级标准后排入市政污水管网，经广汉市第一污水处理厂处理达《四川省岷江、沱江流域水污染物排放标准》（DB51/2311-2016）中城镇污水处理厂标准后外排。</w:t>
      </w:r>
    </w:p>
    <w:p w14:paraId="22F0817E">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suppressLineNumbers w:val="0"/>
        <w:kinsoku/>
        <w:wordWrap/>
        <w:overflowPunct/>
        <w:topLinePunct w:val="0"/>
        <w:autoSpaceDE/>
        <w:autoSpaceDN/>
        <w:bidi w:val="0"/>
        <w:adjustRightInd/>
        <w:snapToGrid/>
        <w:spacing w:line="530" w:lineRule="exact"/>
        <w:jc w:val="lef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污水处理站污泥交由污水设备维护单位清掏处理；原料废渣、拆包及配料清扫收集粉尘、废油脂收集后交有处理能力的单位处置；经布袋除尘分离出的粉尘回用</w:t>
      </w:r>
      <w:r>
        <w:rPr>
          <w:rFonts w:hint="eastAsia"/>
          <w:lang w:val="en-US" w:eastAsia="zh-CN"/>
        </w:rPr>
        <w:t>于</w:t>
      </w:r>
      <w:r>
        <w:rPr>
          <w:rFonts w:hint="eastAsia"/>
          <w:lang w:eastAsia="zh-CN"/>
        </w:rPr>
        <w:t>生产；油渣交由饲料生产企业收运；废RO膜交由厂商回收；废包装材料、</w:t>
      </w:r>
      <w:r>
        <w:rPr>
          <w:rFonts w:hint="eastAsia"/>
          <w:lang w:val="en-US" w:eastAsia="zh-CN"/>
        </w:rPr>
        <w:t>废布袋</w:t>
      </w:r>
      <w:r>
        <w:rPr>
          <w:rFonts w:hint="eastAsia"/>
          <w:lang w:eastAsia="zh-CN"/>
        </w:rPr>
        <w:t>外售废品回收站综合利用；不合格品（含留样废品）、餐厨垃圾交由餐厨垃圾处置单位收运处置；废机油、废含油手套、棉纱等、废油桶、废培养基属于危险废物，须妥善安全收储，落实专人管理，并严格执行转移联单制度，定期交有危废处理资质的单位处置，其暂存区须采取必要的防风、防晒、防雨、防漏、防渗、防腐以及其他环境污染防治措施；生活垃圾交环卫部门清运。</w:t>
      </w:r>
    </w:p>
    <w:p w14:paraId="38747D68">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（七）严格落实并优化报告表提出的地下水和土壤污染防治措施。项目将</w:t>
      </w:r>
      <w:r>
        <w:rPr>
          <w:rFonts w:hint="eastAsia"/>
          <w:lang w:val="en-US" w:eastAsia="zh-CN"/>
        </w:rPr>
        <w:t>污水处理站、危废暂存间、炒、炼制车间、灌装间</w:t>
      </w:r>
      <w:r>
        <w:rPr>
          <w:rFonts w:hint="eastAsia"/>
          <w:lang w:eastAsia="zh-CN"/>
        </w:rPr>
        <w:t>设置</w:t>
      </w:r>
      <w:r>
        <w:rPr>
          <w:rFonts w:hint="eastAsia"/>
          <w:highlight w:val="none"/>
          <w:lang w:eastAsia="zh-CN"/>
        </w:rPr>
        <w:t>为重点防渗区</w:t>
      </w:r>
      <w:r>
        <w:rPr>
          <w:rFonts w:hint="eastAsia"/>
          <w:lang w:eastAsia="zh-CN"/>
        </w:rPr>
        <w:t>，将</w:t>
      </w:r>
      <w:r>
        <w:rPr>
          <w:rFonts w:hint="eastAsia"/>
          <w:lang w:val="en-US" w:eastAsia="zh-CN"/>
        </w:rPr>
        <w:t>红油产品车间的冷库、预处理间、脱包间、配料间、灭菌间、工具清洗间以及化验室、蘸料车间的混料间、内包间、脱包间区域、一般固废暂存间设置为一般防渗区，将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除重点防渗区、一般防渗区以外的其他区域</w:t>
      </w:r>
      <w:r>
        <w:rPr>
          <w:rFonts w:hint="eastAsia"/>
          <w:lang w:val="en-US" w:eastAsia="zh-CN"/>
        </w:rPr>
        <w:t>设置为简单防渗区，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2264AFF">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仿宋_GB2312" w:cs="Times New Roman"/>
          <w:kern w:val="2"/>
          <w:sz w:val="32"/>
          <w:szCs w:val="24"/>
          <w:lang w:val="en-US" w:eastAsia="zh-CN" w:bidi="ar-SA"/>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三、该项目运营后，</w:t>
      </w:r>
      <w:r>
        <w:rPr>
          <w:rFonts w:hint="eastAsia"/>
          <w:lang w:val="en-US" w:eastAsia="zh-CN"/>
        </w:rPr>
        <w:t>氮氧化物排放量为0.0842吨/年，</w:t>
      </w:r>
      <w:r>
        <w:rPr>
          <w:rFonts w:ascii="仿宋_GB2312" w:hAnsi="仿宋_GB2312" w:eastAsia="仿宋_GB2312" w:cs="仿宋_GB2312"/>
          <w:sz w:val="32"/>
          <w:szCs w:val="32"/>
          <w:highlight w:val="none"/>
        </w:rPr>
        <w:t>化学需氧量</w:t>
      </w:r>
      <w:r>
        <w:rPr>
          <w:rFonts w:hint="eastAsia"/>
          <w:lang w:val="en-US" w:eastAsia="zh-CN"/>
        </w:rPr>
        <w:t>排放量为</w:t>
      </w:r>
      <w:r>
        <w:rPr>
          <w:rFonts w:hint="eastAsia" w:ascii="Times New Roman" w:hAnsi="Times New Roman" w:eastAsia="仿宋_GB2312" w:cs="Times New Roman"/>
          <w:sz w:val="32"/>
          <w:szCs w:val="32"/>
          <w:highlight w:val="none"/>
          <w:lang w:val="en-US" w:eastAsia="zh-CN"/>
        </w:rPr>
        <w:t>0.0</w:t>
      </w:r>
      <w:r>
        <w:rPr>
          <w:rFonts w:hint="eastAsia" w:cs="Times New Roman"/>
          <w:sz w:val="32"/>
          <w:szCs w:val="32"/>
          <w:highlight w:val="none"/>
          <w:lang w:val="en-US" w:eastAsia="zh-CN"/>
        </w:rPr>
        <w:t>77</w:t>
      </w:r>
      <w:r>
        <w:rPr>
          <w:rFonts w:ascii="仿宋_GB2312" w:hAnsi="仿宋_GB2312" w:eastAsia="仿宋_GB2312" w:cs="仿宋_GB2312"/>
          <w:sz w:val="32"/>
          <w:szCs w:val="32"/>
          <w:highlight w:val="none"/>
        </w:rPr>
        <w:t>吨/年</w:t>
      </w:r>
      <w:r>
        <w:rPr>
          <w:rFonts w:hint="eastAsia" w:ascii="仿宋_GB2312" w:hAnsi="仿宋_GB2312" w:cs="仿宋_GB2312"/>
          <w:sz w:val="32"/>
          <w:szCs w:val="32"/>
          <w:highlight w:val="none"/>
          <w:lang w:eastAsia="zh-CN"/>
        </w:rPr>
        <w:t>，</w:t>
      </w:r>
      <w:r>
        <w:rPr>
          <w:rFonts w:ascii="仿宋_GB2312" w:hAnsi="仿宋_GB2312" w:eastAsia="仿宋_GB2312" w:cs="仿宋_GB2312"/>
          <w:sz w:val="32"/>
          <w:szCs w:val="32"/>
          <w:highlight w:val="none"/>
        </w:rPr>
        <w:t>氨氮</w:t>
      </w:r>
      <w:r>
        <w:rPr>
          <w:rFonts w:hint="eastAsia"/>
          <w:lang w:val="en-US" w:eastAsia="zh-CN"/>
        </w:rPr>
        <w:t>排放量为</w:t>
      </w:r>
      <w:r>
        <w:rPr>
          <w:rFonts w:hint="eastAsia" w:ascii="Times New Roman" w:hAnsi="Times New Roman" w:eastAsia="仿宋_GB2312"/>
          <w:sz w:val="32"/>
          <w:szCs w:val="32"/>
          <w:highlight w:val="none"/>
        </w:rPr>
        <w:t>0.00</w:t>
      </w:r>
      <w:r>
        <w:rPr>
          <w:rFonts w:hint="eastAsia"/>
          <w:sz w:val="32"/>
          <w:szCs w:val="32"/>
          <w:highlight w:val="none"/>
          <w:lang w:val="en-US" w:eastAsia="zh-CN"/>
        </w:rPr>
        <w:t>8</w:t>
      </w:r>
      <w:r>
        <w:rPr>
          <w:rFonts w:ascii="仿宋_GB2312" w:hAnsi="仿宋_GB2312" w:eastAsia="仿宋_GB2312" w:cs="仿宋_GB2312"/>
          <w:sz w:val="32"/>
          <w:szCs w:val="32"/>
          <w:highlight w:val="none"/>
        </w:rPr>
        <w:t>吨/年</w:t>
      </w:r>
      <w:r>
        <w:rPr>
          <w:rFonts w:hint="eastAsia"/>
          <w:lang w:eastAsia="zh-CN"/>
        </w:rPr>
        <w:t>，其总量控制指标</w:t>
      </w:r>
      <w:r>
        <w:rPr>
          <w:rFonts w:hint="eastAsia"/>
          <w:lang w:val="en-US" w:eastAsia="zh-CN"/>
        </w:rPr>
        <w:t>由</w:t>
      </w:r>
      <w:r>
        <w:rPr>
          <w:rFonts w:hint="eastAsia"/>
          <w:lang w:eastAsia="zh-CN"/>
        </w:rPr>
        <w:t>德阳市广汉生态环境局</w:t>
      </w:r>
      <w:r>
        <w:rPr>
          <w:rFonts w:hint="eastAsia"/>
          <w:lang w:val="en-US" w:eastAsia="zh-CN"/>
        </w:rPr>
        <w:t>调剂</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1CDF7A1C">
      <w:pPr>
        <w:bidi w:val="0"/>
        <w:rPr>
          <w:rFonts w:hint="eastAsia"/>
          <w:lang w:eastAsia="zh-CN"/>
        </w:rPr>
      </w:pPr>
      <w:r>
        <w:rPr>
          <w:rFonts w:hint="eastAsia"/>
          <w:lang w:eastAsia="zh-CN"/>
        </w:rPr>
        <w:t xml:space="preserve">                        </w:t>
      </w:r>
    </w:p>
    <w:p w14:paraId="2C9643BD">
      <w:pPr>
        <w:pStyle w:val="2"/>
        <w:rPr>
          <w:rFonts w:hint="eastAsia"/>
          <w:lang w:eastAsia="zh-CN"/>
        </w:rPr>
      </w:pPr>
      <w:bookmarkStart w:id="0" w:name="_GoBack"/>
      <w:bookmarkEnd w:id="0"/>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8</w:t>
      </w:r>
      <w:r>
        <w:rPr>
          <w:rFonts w:hint="eastAsia"/>
          <w:lang w:eastAsia="zh-CN"/>
        </w:rPr>
        <w:t>月</w:t>
      </w:r>
      <w:r>
        <w:rPr>
          <w:rFonts w:hint="eastAsia"/>
          <w:lang w:val="en-US" w:eastAsia="zh-CN"/>
        </w:rPr>
        <w:t>5</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D6"/>
    <w:rsid w:val="02AE534C"/>
    <w:rsid w:val="034F6F7F"/>
    <w:rsid w:val="03DF1EFE"/>
    <w:rsid w:val="0405687A"/>
    <w:rsid w:val="06C07F19"/>
    <w:rsid w:val="07EE52C1"/>
    <w:rsid w:val="08E224A3"/>
    <w:rsid w:val="0C4A0047"/>
    <w:rsid w:val="0D8434C8"/>
    <w:rsid w:val="10476743"/>
    <w:rsid w:val="11A36E95"/>
    <w:rsid w:val="121F6F46"/>
    <w:rsid w:val="17722C48"/>
    <w:rsid w:val="17FF1243"/>
    <w:rsid w:val="1A5823C6"/>
    <w:rsid w:val="1D3F2602"/>
    <w:rsid w:val="1DA61023"/>
    <w:rsid w:val="207C77B4"/>
    <w:rsid w:val="233040CC"/>
    <w:rsid w:val="240472A7"/>
    <w:rsid w:val="24602490"/>
    <w:rsid w:val="25B23D47"/>
    <w:rsid w:val="27D526CD"/>
    <w:rsid w:val="2A3732D1"/>
    <w:rsid w:val="2A8433D1"/>
    <w:rsid w:val="2B1D6405"/>
    <w:rsid w:val="2B4222FA"/>
    <w:rsid w:val="2C6B7FAD"/>
    <w:rsid w:val="2E624E98"/>
    <w:rsid w:val="30F523E0"/>
    <w:rsid w:val="31231C2B"/>
    <w:rsid w:val="3511441F"/>
    <w:rsid w:val="35A747B3"/>
    <w:rsid w:val="36BF255B"/>
    <w:rsid w:val="3847678F"/>
    <w:rsid w:val="398E50E4"/>
    <w:rsid w:val="3A6E4FAF"/>
    <w:rsid w:val="3B8A62BD"/>
    <w:rsid w:val="41B502FB"/>
    <w:rsid w:val="432F1B9E"/>
    <w:rsid w:val="449D70C1"/>
    <w:rsid w:val="493B5434"/>
    <w:rsid w:val="4C3F558F"/>
    <w:rsid w:val="4E20458D"/>
    <w:rsid w:val="50E30D78"/>
    <w:rsid w:val="52EB1116"/>
    <w:rsid w:val="545838A3"/>
    <w:rsid w:val="550F5283"/>
    <w:rsid w:val="55922BB8"/>
    <w:rsid w:val="56EF32D7"/>
    <w:rsid w:val="598E3781"/>
    <w:rsid w:val="5A282A37"/>
    <w:rsid w:val="62544876"/>
    <w:rsid w:val="6488096B"/>
    <w:rsid w:val="65AB4EFC"/>
    <w:rsid w:val="662B4514"/>
    <w:rsid w:val="66737356"/>
    <w:rsid w:val="67D747D7"/>
    <w:rsid w:val="6CC97B23"/>
    <w:rsid w:val="6F4577DC"/>
    <w:rsid w:val="71D36ECE"/>
    <w:rsid w:val="721553B9"/>
    <w:rsid w:val="73261DAF"/>
    <w:rsid w:val="765B6ABB"/>
    <w:rsid w:val="77712936"/>
    <w:rsid w:val="77D93560"/>
    <w:rsid w:val="78901500"/>
    <w:rsid w:val="78A0421B"/>
    <w:rsid w:val="7BD55DBA"/>
    <w:rsid w:val="7C326B40"/>
    <w:rsid w:val="7C49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2783</Words>
  <Characters>2896</Characters>
  <Lines>0</Lines>
  <Paragraphs>0</Paragraphs>
  <TotalTime>13</TotalTime>
  <ScaleCrop>false</ScaleCrop>
  <LinksUpToDate>false</LinksUpToDate>
  <CharactersWithSpaces>2972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2025-08-05T01:14:57Z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7473D9B052234254B09954893C6E0DE4_13</vt:lpwstr>
  </property>
  <property fmtid="{D5CDD505-2E9C-101B-9397-08002B2CF9AE}" pid="4" name="KSOTemplateDocerSaveRecord">
    <vt:lpwstr>eyJoZGlkIjoiZTcwY2IwODA0NjBmNjU3YzQ0NzhjZjQ5Nzc1ODVhMjUiLCJ1c2VySWQiOiIxNjYwNzk2ODQ1In0=</vt:lpwstr>
  </property>
</Properties>
</file>