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230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四川紫日包装有限公司碳酸压盖智能化生产线建设项目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6"/>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四川紫日包装有限公司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碳酸压盖智能化生产线建设项目</w:t>
      </w:r>
      <w:r>
        <w:rPr>
          <w:rFonts w:hint="eastAsia"/>
          <w:lang w:eastAsia="zh-CN"/>
        </w:rPr>
        <w:t>环境影响报告表》（以下简称“报告表”）收悉。经研究，批复如下：</w:t>
      </w:r>
    </w:p>
    <w:p w14:paraId="0C86FAB5">
      <w:pPr>
        <w:pStyle w:val="6"/>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该项目为改扩建项目,拟在广汉市高雄路三段16号现有厂区已建标准化厂房建设，不新增用地面积。项目内容及规模为：</w:t>
      </w:r>
      <w:r>
        <w:rPr>
          <w:rFonts w:hint="eastAsia" w:ascii="仿宋_GB2312" w:hAnsi="仿宋_GB2312" w:cs="仿宋_GB2312"/>
          <w:kern w:val="2"/>
          <w:sz w:val="32"/>
          <w:szCs w:val="32"/>
          <w:lang w:val="en-US" w:eastAsia="zh-CN" w:bidi="ar-SA"/>
        </w:rPr>
        <w:t>对现有厂房进行适应性改造，</w:t>
      </w:r>
      <w:r>
        <w:rPr>
          <w:rFonts w:hint="eastAsia" w:ascii="仿宋_GB2312" w:hAnsi="仿宋_GB2312" w:eastAsia="仿宋_GB2312" w:cs="仿宋_GB2312"/>
          <w:kern w:val="2"/>
          <w:sz w:val="32"/>
          <w:szCs w:val="32"/>
          <w:lang w:val="en-US" w:eastAsia="zh-CN" w:bidi="ar-SA"/>
        </w:rPr>
        <w:t>依托相关公辅设施，新购置混料</w:t>
      </w:r>
      <w:r>
        <w:rPr>
          <w:rFonts w:hint="default" w:ascii="仿宋_GB2312" w:hAnsi="仿宋_GB2312" w:eastAsia="仿宋_GB2312" w:cs="仿宋_GB2312"/>
          <w:kern w:val="2"/>
          <w:sz w:val="32"/>
          <w:szCs w:val="32"/>
          <w:lang w:val="en-US" w:eastAsia="zh-CN" w:bidi="ar-SA"/>
        </w:rPr>
        <w:t>机</w:t>
      </w:r>
      <w:r>
        <w:rPr>
          <w:rFonts w:hint="eastAsia" w:ascii="仿宋_GB2312" w:hAnsi="仿宋_GB2312" w:eastAsia="仿宋_GB2312" w:cs="仿宋_GB2312"/>
          <w:kern w:val="2"/>
          <w:sz w:val="32"/>
          <w:szCs w:val="32"/>
          <w:lang w:val="en-US" w:eastAsia="zh-CN" w:bidi="ar-SA"/>
        </w:rPr>
        <w:t>、投料</w:t>
      </w:r>
      <w:r>
        <w:rPr>
          <w:rFonts w:hint="default" w:ascii="仿宋_GB2312" w:hAnsi="仿宋_GB2312" w:eastAsia="仿宋_GB2312" w:cs="仿宋_GB2312"/>
          <w:kern w:val="2"/>
          <w:sz w:val="32"/>
          <w:szCs w:val="32"/>
          <w:lang w:val="en-US" w:eastAsia="zh-CN" w:bidi="ar-SA"/>
        </w:rPr>
        <w:t>机</w:t>
      </w:r>
      <w:r>
        <w:rPr>
          <w:rFonts w:hint="eastAsia" w:ascii="仿宋_GB2312" w:hAnsi="仿宋_GB2312" w:eastAsia="仿宋_GB2312" w:cs="仿宋_GB2312"/>
          <w:kern w:val="2"/>
          <w:sz w:val="32"/>
          <w:szCs w:val="32"/>
          <w:lang w:val="en-US" w:eastAsia="zh-CN" w:bidi="ar-SA"/>
        </w:rPr>
        <w:t>、挤出机、压盖机等生产设备，新增</w:t>
      </w:r>
      <w:r>
        <w:rPr>
          <w:rFonts w:hint="default" w:ascii="仿宋_GB2312" w:hAnsi="仿宋_GB2312" w:eastAsia="仿宋_GB2312" w:cs="仿宋_GB2312"/>
          <w:kern w:val="2"/>
          <w:sz w:val="32"/>
          <w:szCs w:val="32"/>
          <w:lang w:val="en-US" w:eastAsia="zh-CN" w:bidi="ar-SA"/>
        </w:rPr>
        <w:t>48腔碳酸压盖智能化生产线</w:t>
      </w:r>
      <w:r>
        <w:rPr>
          <w:rFonts w:hint="eastAsia" w:ascii="仿宋_GB2312" w:hAnsi="仿宋_GB2312" w:eastAsia="仿宋_GB2312" w:cs="仿宋_GB2312"/>
          <w:kern w:val="2"/>
          <w:sz w:val="32"/>
          <w:szCs w:val="32"/>
          <w:lang w:val="en-US" w:eastAsia="zh-CN" w:bidi="ar-SA"/>
        </w:rPr>
        <w:t>1条。项目建成后新增年产PE防盗盖7.5亿只，全厂形成年产PE防盗盖47.5亿只的生产能力。淘汰现有生产线模块式</w:t>
      </w:r>
      <w:r>
        <w:rPr>
          <w:rFonts w:hint="default" w:ascii="仿宋_GB2312" w:hAnsi="仿宋_GB2312" w:eastAsia="仿宋_GB2312" w:cs="仿宋_GB2312"/>
          <w:kern w:val="2"/>
          <w:sz w:val="32"/>
          <w:szCs w:val="32"/>
          <w:lang w:val="en-US" w:eastAsia="zh-CN" w:bidi="ar-SA"/>
        </w:rPr>
        <w:t>低效冷水机设备</w:t>
      </w:r>
      <w:r>
        <w:rPr>
          <w:rFonts w:hint="eastAsia" w:ascii="仿宋_GB2312" w:hAnsi="仿宋_GB2312" w:eastAsia="仿宋_GB2312" w:cs="仿宋_GB2312"/>
          <w:kern w:val="2"/>
          <w:sz w:val="32"/>
          <w:szCs w:val="32"/>
          <w:lang w:val="en-US" w:eastAsia="zh-CN" w:bidi="ar-SA"/>
        </w:rPr>
        <w:t>14台</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新建集中式软化水冷却系统，用于压盖脱膜设备及新风系统冷却。项目总投资2660万元，其中环保投资17万元。</w:t>
      </w:r>
    </w:p>
    <w:p w14:paraId="5200CD3C">
      <w:pPr>
        <w:pStyle w:val="6"/>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项目在四川省投资项目在线审批监管平台进行了备案（备案号：川投资备[2</w:t>
      </w:r>
      <w:r>
        <w:rPr>
          <w:rFonts w:hint="eastAsia" w:ascii="仿宋_GB2312" w:hAnsi="仿宋_GB2312" w:cs="仿宋_GB2312"/>
          <w:kern w:val="2"/>
          <w:sz w:val="32"/>
          <w:szCs w:val="32"/>
          <w:lang w:val="en-US" w:eastAsia="zh-CN" w:bidi="ar-SA"/>
        </w:rPr>
        <w:t>502</w:t>
      </w:r>
      <w:r>
        <w:rPr>
          <w:rFonts w:hint="eastAsia" w:ascii="仿宋_GB2312" w:hAnsi="仿宋_GB2312" w:eastAsia="仿宋_GB2312" w:cs="仿宋_GB2312"/>
          <w:kern w:val="2"/>
          <w:sz w:val="32"/>
          <w:szCs w:val="32"/>
          <w:lang w:val="en-US" w:eastAsia="zh-CN" w:bidi="ar-SA"/>
        </w:rPr>
        <w:t>-510681-0</w:t>
      </w:r>
      <w:r>
        <w:rPr>
          <w:rFonts w:hint="eastAsia" w:ascii="仿宋_GB2312"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-0</w:t>
      </w: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178415</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JX</w:t>
      </w:r>
      <w:r>
        <w:rPr>
          <w:rFonts w:hint="eastAsia" w:ascii="仿宋_GB2312" w:hAnsi="仿宋_GB2312" w:eastAsia="仿宋_GB2312" w:cs="仿宋_GB2312"/>
          <w:kern w:val="2"/>
          <w:sz w:val="32"/>
          <w:szCs w:val="32"/>
          <w:lang w:val="en-US" w:eastAsia="zh-CN" w:bidi="ar-SA"/>
        </w:rPr>
        <w:t>QB-0</w:t>
      </w:r>
      <w:r>
        <w:rPr>
          <w:rFonts w:hint="eastAsia" w:ascii="仿宋_GB2312" w:hAnsi="仿宋_GB2312" w:cs="仿宋_GB2312"/>
          <w:kern w:val="2"/>
          <w:sz w:val="32"/>
          <w:szCs w:val="32"/>
          <w:lang w:val="en-US" w:eastAsia="zh-CN" w:bidi="ar-SA"/>
        </w:rPr>
        <w:t>131</w:t>
      </w:r>
      <w:r>
        <w:rPr>
          <w:rFonts w:hint="eastAsia" w:ascii="仿宋_GB2312" w:hAnsi="仿宋_GB2312" w:eastAsia="仿宋_GB2312" w:cs="仿宋_GB2312"/>
          <w:kern w:val="2"/>
          <w:sz w:val="32"/>
          <w:szCs w:val="32"/>
          <w:lang w:val="en-US" w:eastAsia="zh-CN" w:bidi="ar-SA"/>
        </w:rPr>
        <w:t>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广汉市国土空间总体规划(2021-2035年)</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及</w:t>
      </w:r>
      <w:r>
        <w:rPr>
          <w:rFonts w:hint="eastAsia" w:ascii="仿宋_GB2312" w:hAnsi="仿宋_GB2312" w:eastAsia="仿宋_GB2312" w:cs="仿宋_GB2312"/>
          <w:sz w:val="32"/>
          <w:szCs w:val="32"/>
          <w:lang w:val="en-US" w:eastAsia="zh-CN"/>
        </w:rPr>
        <w:t>四川紫日包装有限公司</w:t>
      </w:r>
      <w:r>
        <w:rPr>
          <w:rFonts w:hint="eastAsia" w:ascii="仿宋_GB2312" w:hAnsi="仿宋_GB2312" w:eastAsia="仿宋_GB2312" w:cs="仿宋_GB2312"/>
          <w:kern w:val="2"/>
          <w:sz w:val="32"/>
          <w:szCs w:val="32"/>
          <w:lang w:val="en-US" w:eastAsia="zh-CN" w:bidi="ar-SA"/>
        </w:rPr>
        <w:t>取得的《不动产权证》，项目用地性质为工业用地，选址符合规划。</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0CA39A3">
      <w:pPr>
        <w:pStyle w:val="6"/>
        <w:spacing w:line="560" w:lineRule="exact"/>
        <w:ind w:firstLine="640"/>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kern w:val="2"/>
          <w:sz w:val="32"/>
          <w:szCs w:val="24"/>
          <w:lang w:val="en-US" w:eastAsia="zh-CN" w:bidi="ar-SA"/>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分别落实印刷固化工序的密闭管道收集和</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熔融挤出、压盖工序的集气罩，确保</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印刷固化、</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熔融挤出、压盖有机废气经收集后依托原项目二级活性炭吸附装置及排气筒达标排放；</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确保少量激光打码有机废气、</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烧炽工序产生的天然气燃烧废气</w:t>
      </w:r>
      <w:r>
        <w:rPr>
          <w:rFonts w:hint="eastAsia" w:ascii="仿宋_GB2312" w:hAnsi="仿宋_GB2312" w:cs="仿宋_GB2312"/>
          <w:bCs/>
          <w:color w:val="000000" w:themeColor="text1"/>
          <w:sz w:val="32"/>
          <w:szCs w:val="32"/>
          <w:lang w:val="en-US" w:eastAsia="zh-CN"/>
          <w14:textFill>
            <w14:solidFill>
              <w14:schemeClr w14:val="tx1"/>
            </w14:solidFill>
          </w14:textFill>
        </w:rPr>
        <w:t>经车间新风系统过滤净化后</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达标排放，对周围环境不产生影响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w:t>
      </w:r>
      <w:r>
        <w:rPr>
          <w:rFonts w:hint="eastAsia" w:ascii="仿宋_GB2312" w:hAnsi="仿宋_GB2312" w:cs="仿宋_GB2312"/>
          <w:bCs/>
          <w:color w:val="000000" w:themeColor="text1"/>
          <w:sz w:val="32"/>
          <w:szCs w:val="32"/>
          <w:lang w:val="en-US" w:eastAsia="zh-CN"/>
          <w14:textFill>
            <w14:solidFill>
              <w14:schemeClr w14:val="tx1"/>
            </w14:solidFill>
          </w14:textFill>
        </w:rPr>
        <w:t>间接冷却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更换废水及树脂再生废水会同预处理后的生活污水达到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w:t>
      </w:r>
      <w:r>
        <w:rPr>
          <w:rFonts w:hint="eastAsia" w:ascii="仿宋_GB2312" w:hAnsi="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污水处理厂</w:t>
      </w:r>
      <w:r>
        <w:rPr>
          <w:rFonts w:hint="eastAsia"/>
          <w:lang w:eastAsia="zh-CN"/>
        </w:rPr>
        <w:t>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项目废包装袋、边角料及不合格品外售废品回收公司综合利用；废离子交换树脂</w:t>
      </w:r>
      <w:r>
        <w:rPr>
          <w:rFonts w:hint="eastAsia" w:ascii="仿宋_GB2312" w:hAnsi="仿宋_GB2312" w:cs="仿宋_GB2312"/>
          <w:bCs/>
          <w:color w:val="000000" w:themeColor="text1"/>
          <w:sz w:val="32"/>
          <w:szCs w:val="32"/>
          <w:lang w:val="en-US" w:eastAsia="zh-CN"/>
          <w14:textFill>
            <w14:solidFill>
              <w14:schemeClr w14:val="tx1"/>
            </w14:solidFill>
          </w14:textFill>
        </w:rPr>
        <w:t>交由供应商回收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综合利用；项目废机油、废机油桶、废含油</w:t>
      </w:r>
      <w:r>
        <w:rPr>
          <w:rFonts w:hint="eastAsia" w:ascii="仿宋_GB2312" w:hAnsi="仿宋_GB2312" w:cs="仿宋_GB2312"/>
          <w:bCs/>
          <w:color w:val="000000" w:themeColor="text1"/>
          <w:sz w:val="32"/>
          <w:szCs w:val="32"/>
          <w:lang w:val="en-US" w:eastAsia="zh-CN"/>
          <w14:textFill>
            <w14:solidFill>
              <w14:schemeClr w14:val="tx1"/>
            </w14:solidFill>
          </w14:textFill>
        </w:rPr>
        <w:t>/油墨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棉纱手套、废紫外灯管、废活性炭</w:t>
      </w:r>
      <w:r>
        <w:rPr>
          <w:rFonts w:hint="eastAsia" w:ascii="仿宋_GB2312" w:hAnsi="仿宋_GB2312" w:cs="仿宋_GB2312"/>
          <w:bCs/>
          <w:color w:val="000000" w:themeColor="text1"/>
          <w:sz w:val="32"/>
          <w:szCs w:val="32"/>
          <w:lang w:val="en-US" w:eastAsia="zh-CN"/>
          <w14:textFill>
            <w14:solidFill>
              <w14:schemeClr w14:val="tx1"/>
            </w14:solidFill>
          </w14:textFill>
        </w:rPr>
        <w:t>、废油墨包装桶、废印版</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危废暂存间、印刷区</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除重点防渗</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区外的生产车间、一般固废间设置为一般防渗区，将办公区设置为简单防渗区，分别采取防渗措施。建立和完善地下水</w:t>
      </w:r>
      <w:r>
        <w:rPr>
          <w:rFonts w:hint="eastAsia"/>
          <w:lang w:eastAsia="zh-CN"/>
        </w:rPr>
        <w:t>、土壤污染监控制度和环境管理体系，发现问题及时采取措施，避免污染周边地下水和土壤环境。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cs="Times New Roman"/>
          <w:lang w:val="en-US" w:eastAsia="zh-CN"/>
        </w:rPr>
      </w:pPr>
      <w:r>
        <w:rPr>
          <w:rFonts w:hint="eastAsia"/>
          <w:lang w:eastAsia="zh-CN"/>
        </w:rPr>
        <w:t>三、该项目运营后，全厂</w:t>
      </w:r>
      <w:r>
        <w:rPr>
          <w:rFonts w:hint="eastAsia"/>
          <w:lang w:val="en-US" w:eastAsia="zh-CN"/>
        </w:rPr>
        <w:t>挥发性有机物排放量为0.174148吨/年，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0.1193</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0.0149</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ascii="Times New Roman" w:hAnsi="Times New Roman" w:cs="Times New Roman"/>
          <w:lang w:val="en-US"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13</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3A83"/>
    <w:multiLevelType w:val="singleLevel"/>
    <w:tmpl w:val="82BA3A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0B04339"/>
    <w:rsid w:val="11A36E95"/>
    <w:rsid w:val="121F6F46"/>
    <w:rsid w:val="1457491F"/>
    <w:rsid w:val="172E0063"/>
    <w:rsid w:val="17722C48"/>
    <w:rsid w:val="17FF1243"/>
    <w:rsid w:val="1A5823C6"/>
    <w:rsid w:val="1DA61023"/>
    <w:rsid w:val="1F9D62EA"/>
    <w:rsid w:val="207C77B4"/>
    <w:rsid w:val="233040CC"/>
    <w:rsid w:val="240472A7"/>
    <w:rsid w:val="24602490"/>
    <w:rsid w:val="25B23D47"/>
    <w:rsid w:val="266D7385"/>
    <w:rsid w:val="2A3732D1"/>
    <w:rsid w:val="2A8433D1"/>
    <w:rsid w:val="2B1D6405"/>
    <w:rsid w:val="2B4222FA"/>
    <w:rsid w:val="2C6B7FAD"/>
    <w:rsid w:val="2E624E98"/>
    <w:rsid w:val="30F523E0"/>
    <w:rsid w:val="31231C2B"/>
    <w:rsid w:val="32E73504"/>
    <w:rsid w:val="3511441F"/>
    <w:rsid w:val="35C30878"/>
    <w:rsid w:val="36BF255B"/>
    <w:rsid w:val="3847678F"/>
    <w:rsid w:val="398E50E4"/>
    <w:rsid w:val="3A6E4FAF"/>
    <w:rsid w:val="3B8A62BD"/>
    <w:rsid w:val="40B70C37"/>
    <w:rsid w:val="41B502FB"/>
    <w:rsid w:val="432F1B9E"/>
    <w:rsid w:val="449D70C1"/>
    <w:rsid w:val="471A4C57"/>
    <w:rsid w:val="490D1D9A"/>
    <w:rsid w:val="493B5434"/>
    <w:rsid w:val="4AB250DD"/>
    <w:rsid w:val="4C3158E1"/>
    <w:rsid w:val="4C3F558F"/>
    <w:rsid w:val="4E20458D"/>
    <w:rsid w:val="52EB1116"/>
    <w:rsid w:val="545838A3"/>
    <w:rsid w:val="550F5283"/>
    <w:rsid w:val="55922BB8"/>
    <w:rsid w:val="5648005A"/>
    <w:rsid w:val="56EF32D7"/>
    <w:rsid w:val="598E3781"/>
    <w:rsid w:val="5A282A37"/>
    <w:rsid w:val="5EB93CF6"/>
    <w:rsid w:val="62544876"/>
    <w:rsid w:val="63ED6FC7"/>
    <w:rsid w:val="6488096B"/>
    <w:rsid w:val="65AB4EFC"/>
    <w:rsid w:val="662B4514"/>
    <w:rsid w:val="66737356"/>
    <w:rsid w:val="67D747D7"/>
    <w:rsid w:val="6CC97B23"/>
    <w:rsid w:val="6F4577DC"/>
    <w:rsid w:val="70924242"/>
    <w:rsid w:val="709B28DF"/>
    <w:rsid w:val="71823CF1"/>
    <w:rsid w:val="71D36ECE"/>
    <w:rsid w:val="721553B9"/>
    <w:rsid w:val="73261DAF"/>
    <w:rsid w:val="74A42A0A"/>
    <w:rsid w:val="765B6ABB"/>
    <w:rsid w:val="77712936"/>
    <w:rsid w:val="77D93560"/>
    <w:rsid w:val="78901500"/>
    <w:rsid w:val="78A0421B"/>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paragraph" w:customStyle="1" w:styleId="6">
    <w:name w:val="+正文"/>
    <w:basedOn w:val="1"/>
    <w:qFormat/>
    <w:uiPriority w:val="0"/>
    <w:pPr>
      <w:spacing w:line="360" w:lineRule="auto"/>
      <w:ind w:firstLine="200" w:firstLineChars="200"/>
    </w:pPr>
    <w:rPr>
      <w:sz w:val="24"/>
      <w:szCs w:val="28"/>
    </w:rPr>
  </w:style>
  <w:style w:type="character" w:customStyle="1" w:styleId="7">
    <w:name w:val="标题 1 字符"/>
    <w:basedOn w:val="5"/>
    <w:link w:val="2"/>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2432</Words>
  <Characters>2536</Characters>
  <Lines>0</Lines>
  <Paragraphs>0</Paragraphs>
  <TotalTime>15</TotalTime>
  <ScaleCrop>false</ScaleCrop>
  <LinksUpToDate>false</LinksUpToDate>
  <CharactersWithSpaces>2622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2025-08-13T00:55:08Z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