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871DA1">
      <w:pPr>
        <w:spacing w:line="60" w:lineRule="atLeast"/>
        <w:jc w:val="center"/>
        <w:rPr>
          <w:rFonts w:eastAsia="方正小标宋简体"/>
          <w:bCs/>
          <w:color w:val="FF0000"/>
          <w:spacing w:val="-57"/>
          <w:sz w:val="116"/>
          <w:szCs w:val="116"/>
        </w:rPr>
      </w:pPr>
    </w:p>
    <w:p w14:paraId="3788F440">
      <w:pPr>
        <w:jc w:val="right"/>
        <w:rPr>
          <w:rFonts w:eastAsia="仿宋_GB2312"/>
          <w:sz w:val="32"/>
          <w:szCs w:val="32"/>
        </w:rPr>
      </w:pPr>
    </w:p>
    <w:p w14:paraId="2026744F">
      <w:pPr>
        <w:wordWrap w:val="0"/>
        <w:jc w:val="right"/>
        <w:rPr>
          <w:bCs/>
          <w:sz w:val="44"/>
          <w:szCs w:val="44"/>
        </w:rPr>
      </w:pPr>
      <w:r>
        <w:rPr>
          <w:rFonts w:eastAsia="仿宋_GB2312"/>
          <w:sz w:val="32"/>
          <w:szCs w:val="32"/>
        </w:rPr>
        <w:t>德环审批</w:t>
      </w:r>
      <w:r>
        <w:rPr>
          <w:rFonts w:eastAsia="仿宋_GB2312"/>
          <w:color w:val="000000"/>
          <w:sz w:val="32"/>
          <w:szCs w:val="32"/>
        </w:rPr>
        <w:t>〔</w:t>
      </w:r>
      <w:r>
        <w:rPr>
          <w:rFonts w:hint="eastAsia" w:eastAsia="仿宋_GB2312"/>
          <w:color w:val="000000"/>
          <w:sz w:val="32"/>
          <w:szCs w:val="32"/>
          <w:lang w:val="en-US" w:eastAsia="zh-CN"/>
        </w:rPr>
        <w:t>2025</w:t>
      </w:r>
      <w:r>
        <w:rPr>
          <w:rFonts w:eastAsia="仿宋_GB2312"/>
          <w:color w:val="000000"/>
          <w:sz w:val="32"/>
          <w:szCs w:val="32"/>
        </w:rPr>
        <w:t>〕</w:t>
      </w:r>
      <w:r>
        <w:rPr>
          <w:rFonts w:hint="eastAsia"/>
          <w:color w:val="000000"/>
          <w:sz w:val="32"/>
          <w:szCs w:val="32"/>
          <w:lang w:val="en-US" w:eastAsia="zh-CN"/>
        </w:rPr>
        <w:t>235</w:t>
      </w:r>
      <w:r>
        <w:rPr>
          <w:rFonts w:eastAsia="仿宋_GB2312"/>
          <w:sz w:val="32"/>
          <w:szCs w:val="32"/>
        </w:rPr>
        <w:t>号</w:t>
      </w:r>
    </w:p>
    <w:p w14:paraId="721E273E">
      <w:pPr>
        <w:spacing w:line="0" w:lineRule="atLeast"/>
        <w:jc w:val="center"/>
        <w:rPr>
          <w:rFonts w:eastAsia="方正小标宋简体"/>
          <w:sz w:val="44"/>
          <w:szCs w:val="44"/>
        </w:rPr>
      </w:pPr>
    </w:p>
    <w:p w14:paraId="739349AC">
      <w:pPr>
        <w:spacing w:line="600" w:lineRule="exact"/>
        <w:ind w:left="0" w:leftChars="0" w:firstLine="0" w:firstLineChars="0"/>
        <w:jc w:val="center"/>
        <w:rPr>
          <w:rFonts w:eastAsia="方正小标宋简体"/>
          <w:sz w:val="44"/>
          <w:szCs w:val="44"/>
        </w:rPr>
      </w:pPr>
      <w:r>
        <w:rPr>
          <w:rFonts w:eastAsia="方正小标宋简体"/>
          <w:sz w:val="44"/>
          <w:szCs w:val="44"/>
        </w:rPr>
        <w:t>德阳市生态环境局</w:t>
      </w:r>
    </w:p>
    <w:p w14:paraId="74B6D72B">
      <w:pPr>
        <w:spacing w:line="600" w:lineRule="exact"/>
        <w:ind w:left="0" w:leftChars="0" w:firstLine="0" w:firstLineChars="0"/>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关于</w:t>
      </w:r>
      <w:r>
        <w:rPr>
          <w:rFonts w:hint="eastAsia" w:ascii="Times New Roman" w:hAnsi="Times New Roman" w:eastAsia="方正小标宋简体" w:cs="Times New Roman"/>
          <w:sz w:val="44"/>
          <w:szCs w:val="44"/>
          <w:lang w:val="en-US" w:eastAsia="zh-CN"/>
        </w:rPr>
        <w:t>四川盱江玻璃有限公司钢化玻璃及中空玻璃生产线建设项目</w:t>
      </w:r>
      <w:r>
        <w:rPr>
          <w:rFonts w:ascii="Times New Roman" w:hAnsi="Times New Roman" w:eastAsia="方正小标宋简体" w:cs="Times New Roman"/>
          <w:sz w:val="44"/>
          <w:szCs w:val="44"/>
        </w:rPr>
        <w:t>《环境影响报告表》</w:t>
      </w:r>
    </w:p>
    <w:p w14:paraId="73E77FF1">
      <w:pPr>
        <w:spacing w:line="600" w:lineRule="exact"/>
        <w:ind w:left="0" w:leftChars="0" w:firstLine="0" w:firstLineChars="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的批复</w:t>
      </w:r>
    </w:p>
    <w:p w14:paraId="15EC028B">
      <w:pPr>
        <w:pStyle w:val="6"/>
        <w:rPr>
          <w:rFonts w:ascii="Times New Roman" w:hAnsi="Times New Roman" w:eastAsia="方正小标宋简体" w:cs="Times New Roman"/>
          <w:sz w:val="44"/>
          <w:szCs w:val="44"/>
        </w:rPr>
      </w:pPr>
    </w:p>
    <w:p w14:paraId="2C5025CA">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cs="仿宋_GB2312"/>
          <w:sz w:val="32"/>
          <w:szCs w:val="32"/>
          <w:lang w:eastAsia="zh-CN"/>
        </w:rPr>
      </w:pPr>
      <w:r>
        <w:rPr>
          <w:rFonts w:hint="eastAsia" w:ascii="仿宋_GB2312" w:hAnsi="仿宋_GB2312" w:eastAsia="仿宋_GB2312" w:cs="仿宋_GB2312"/>
          <w:sz w:val="32"/>
          <w:szCs w:val="32"/>
          <w:lang w:val="en-US" w:eastAsia="zh-CN"/>
        </w:rPr>
        <w:t>四川盱江玻璃有限公司</w:t>
      </w:r>
      <w:r>
        <w:rPr>
          <w:rFonts w:hint="eastAsia" w:ascii="仿宋_GB2312" w:hAnsi="仿宋_GB2312" w:cs="仿宋_GB2312"/>
          <w:sz w:val="32"/>
          <w:szCs w:val="32"/>
          <w:lang w:eastAsia="zh-CN"/>
        </w:rPr>
        <w:t>：</w:t>
      </w:r>
    </w:p>
    <w:p w14:paraId="76AA114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你公司报送的</w:t>
      </w:r>
      <w:r>
        <w:rPr>
          <w:rFonts w:hint="eastAsia" w:ascii="仿宋_GB2312" w:hAnsi="仿宋_GB2312" w:eastAsia="仿宋_GB2312" w:cs="仿宋_GB2312"/>
          <w:sz w:val="32"/>
          <w:szCs w:val="32"/>
          <w:lang w:val="en-US" w:eastAsia="zh-CN"/>
        </w:rPr>
        <w:t>钢化玻璃及中空玻璃生产线建设项目</w:t>
      </w:r>
      <w:r>
        <w:rPr>
          <w:rFonts w:hint="eastAsia"/>
          <w:lang w:eastAsia="zh-CN"/>
        </w:rPr>
        <w:t>《环境影响报告表》（以下简称“报告表”）收悉。经研究，批复如下：</w:t>
      </w:r>
    </w:p>
    <w:p w14:paraId="0C86FAB5">
      <w:pPr>
        <w:pStyle w:val="6"/>
        <w:numPr>
          <w:ilvl w:val="0"/>
          <w:numId w:val="1"/>
        </w:numPr>
        <w:spacing w:line="560" w:lineRule="exact"/>
        <w:ind w:firstLine="64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该项目为新建（迁建）项目,拟</w:t>
      </w:r>
      <w:r>
        <w:rPr>
          <w:rFonts w:hint="eastAsia" w:ascii="仿宋_GB2312" w:hAnsi="仿宋_GB2312" w:cs="仿宋_GB2312"/>
          <w:kern w:val="2"/>
          <w:sz w:val="32"/>
          <w:szCs w:val="32"/>
          <w:lang w:val="en-US" w:eastAsia="zh-CN" w:bidi="ar-SA"/>
        </w:rPr>
        <w:t>由广汉市三亚路三段1号12#车间迁建至</w:t>
      </w:r>
      <w:r>
        <w:rPr>
          <w:rFonts w:hint="eastAsia" w:ascii="仿宋_GB2312" w:hAnsi="仿宋_GB2312" w:eastAsia="仿宋_GB2312" w:cs="仿宋_GB2312"/>
          <w:kern w:val="2"/>
          <w:sz w:val="32"/>
          <w:szCs w:val="32"/>
          <w:lang w:val="en-US" w:eastAsia="zh-CN" w:bidi="ar-SA"/>
        </w:rPr>
        <w:t>广汉市成都大道南二段20号广汉润鑫机械有限公司已建标准化厂房建设，用地面积7016平方米。项目内容及规模为：</w:t>
      </w:r>
      <w:r>
        <w:rPr>
          <w:rFonts w:hint="eastAsia" w:ascii="仿宋_GB2312" w:hAnsi="仿宋_GB2312" w:cs="仿宋_GB2312"/>
          <w:kern w:val="2"/>
          <w:sz w:val="32"/>
          <w:szCs w:val="32"/>
          <w:lang w:val="en-US" w:eastAsia="zh-CN" w:bidi="ar-SA"/>
        </w:rPr>
        <w:t>对现有厂房进行适应性改造，</w:t>
      </w:r>
      <w:r>
        <w:rPr>
          <w:rFonts w:hint="eastAsia" w:ascii="仿宋_GB2312" w:hAnsi="仿宋_GB2312" w:eastAsia="仿宋_GB2312" w:cs="仿宋_GB2312"/>
          <w:kern w:val="2"/>
          <w:sz w:val="32"/>
          <w:szCs w:val="32"/>
          <w:lang w:val="en-US" w:eastAsia="zh-CN" w:bidi="ar-SA"/>
        </w:rPr>
        <w:t>依托相关公辅设施，购置钢化炉、切割机、磨边机、分子筛灌装机、精磨机、清洗机、油边机等生产设备，布设钢化玻璃、油边玻璃、中空玻璃生产线。项目建成后形成年产钢化玻璃70万平方米、油边玻璃10万平方米、中空玻璃10万平方米的生产能力。项目总投资500万元，其中环保投资41万元。</w:t>
      </w:r>
    </w:p>
    <w:p w14:paraId="5200CD3C">
      <w:pPr>
        <w:pStyle w:val="6"/>
        <w:numPr>
          <w:ilvl w:val="0"/>
          <w:numId w:val="0"/>
        </w:numPr>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项目在四川省投资项目在线审批监管平台进行了备案（备案号：川投资备[2</w:t>
      </w:r>
      <w:r>
        <w:rPr>
          <w:rFonts w:hint="eastAsia" w:ascii="仿宋_GB2312" w:hAnsi="仿宋_GB2312" w:cs="仿宋_GB2312"/>
          <w:kern w:val="2"/>
          <w:sz w:val="32"/>
          <w:szCs w:val="32"/>
          <w:lang w:val="en-US" w:eastAsia="zh-CN" w:bidi="ar-SA"/>
        </w:rPr>
        <w:t>505</w:t>
      </w:r>
      <w:r>
        <w:rPr>
          <w:rFonts w:hint="eastAsia" w:ascii="仿宋_GB2312" w:hAnsi="仿宋_GB2312" w:eastAsia="仿宋_GB2312" w:cs="仿宋_GB2312"/>
          <w:kern w:val="2"/>
          <w:sz w:val="32"/>
          <w:szCs w:val="32"/>
          <w:lang w:val="en-US" w:eastAsia="zh-CN" w:bidi="ar-SA"/>
        </w:rPr>
        <w:t>-510681-04-01-</w:t>
      </w:r>
      <w:r>
        <w:rPr>
          <w:rFonts w:hint="eastAsia" w:ascii="仿宋_GB2312" w:hAnsi="仿宋_GB2312" w:cs="仿宋_GB2312"/>
          <w:kern w:val="2"/>
          <w:sz w:val="32"/>
          <w:szCs w:val="32"/>
          <w:lang w:val="en-US" w:eastAsia="zh-CN" w:bidi="ar-SA"/>
        </w:rPr>
        <w:t>920669</w:t>
      </w:r>
      <w:r>
        <w:rPr>
          <w:rFonts w:hint="eastAsia" w:ascii="仿宋_GB2312" w:hAnsi="仿宋_GB2312" w:eastAsia="仿宋_GB2312" w:cs="仿宋_GB2312"/>
          <w:kern w:val="2"/>
          <w:sz w:val="32"/>
          <w:szCs w:val="32"/>
          <w:lang w:val="en-US" w:eastAsia="zh-CN" w:bidi="ar-SA"/>
        </w:rPr>
        <w:t>]FGQB-0</w:t>
      </w:r>
      <w:r>
        <w:rPr>
          <w:rFonts w:hint="eastAsia" w:ascii="仿宋_GB2312" w:hAnsi="仿宋_GB2312" w:cs="仿宋_GB2312"/>
          <w:kern w:val="2"/>
          <w:sz w:val="32"/>
          <w:szCs w:val="32"/>
          <w:lang w:val="en-US" w:eastAsia="zh-CN" w:bidi="ar-SA"/>
        </w:rPr>
        <w:t>779</w:t>
      </w:r>
      <w:r>
        <w:rPr>
          <w:rFonts w:hint="eastAsia" w:ascii="仿宋_GB2312" w:hAnsi="仿宋_GB2312" w:eastAsia="仿宋_GB2312" w:cs="仿宋_GB2312"/>
          <w:kern w:val="2"/>
          <w:sz w:val="32"/>
          <w:szCs w:val="32"/>
          <w:lang w:val="en-US" w:eastAsia="zh-CN" w:bidi="ar-SA"/>
        </w:rPr>
        <w:t>号），符合国家现行产业政策</w:t>
      </w:r>
      <w:r>
        <w:rPr>
          <w:rFonts w:hint="eastAsia" w:ascii="仿宋_GB2312" w:hAnsi="仿宋_GB2312" w:eastAsia="仿宋_GB2312" w:cs="仿宋_GB2312"/>
          <w:kern w:val="2"/>
          <w:sz w:val="32"/>
          <w:szCs w:val="32"/>
          <w:lang w:val="zh-CN" w:eastAsia="zh-CN" w:bidi="ar-SA"/>
        </w:rPr>
        <w:t>；该项目符合德阳市生态环境分区管控相关要求，</w:t>
      </w:r>
      <w:r>
        <w:rPr>
          <w:rFonts w:hint="eastAsia" w:ascii="仿宋_GB2312" w:hAnsi="仿宋_GB2312" w:eastAsia="仿宋_GB2312" w:cs="仿宋_GB2312"/>
          <w:kern w:val="2"/>
          <w:sz w:val="32"/>
          <w:szCs w:val="32"/>
          <w:lang w:val="en-US" w:eastAsia="zh-CN" w:bidi="ar-SA"/>
        </w:rPr>
        <w:t>根据</w:t>
      </w:r>
      <w:r>
        <w:rPr>
          <w:rFonts w:hint="eastAsia" w:ascii="仿宋_GB2312" w:hAnsi="仿宋_GB2312" w:eastAsia="仿宋_GB2312" w:cs="仿宋_GB2312"/>
          <w:kern w:val="2"/>
          <w:sz w:val="32"/>
          <w:szCs w:val="32"/>
          <w:lang w:val="zh-CN" w:eastAsia="zh-CN" w:bidi="ar-SA"/>
        </w:rPr>
        <w:t>《</w:t>
      </w:r>
      <w:r>
        <w:rPr>
          <w:rFonts w:hint="eastAsia" w:ascii="仿宋_GB2312" w:hAnsi="仿宋_GB2312" w:eastAsia="仿宋_GB2312" w:cs="仿宋_GB2312"/>
          <w:kern w:val="2"/>
          <w:sz w:val="32"/>
          <w:szCs w:val="32"/>
          <w:lang w:val="en-US" w:eastAsia="zh-CN" w:bidi="ar-SA"/>
        </w:rPr>
        <w:t>广汉市国土空间总体规划(2021-2035年)</w:t>
      </w:r>
      <w:r>
        <w:rPr>
          <w:rFonts w:hint="eastAsia" w:ascii="仿宋_GB2312" w:hAnsi="仿宋_GB2312" w:eastAsia="仿宋_GB2312" w:cs="仿宋_GB2312"/>
          <w:kern w:val="2"/>
          <w:sz w:val="32"/>
          <w:szCs w:val="32"/>
          <w:lang w:val="zh-CN" w:eastAsia="zh-CN" w:bidi="ar-SA"/>
        </w:rPr>
        <w:t>》</w:t>
      </w:r>
      <w:r>
        <w:rPr>
          <w:rFonts w:hint="eastAsia" w:ascii="仿宋_GB2312" w:hAnsi="仿宋_GB2312" w:eastAsia="仿宋_GB2312" w:cs="仿宋_GB2312"/>
          <w:kern w:val="2"/>
          <w:sz w:val="32"/>
          <w:szCs w:val="32"/>
          <w:lang w:val="en-US" w:eastAsia="zh-CN" w:bidi="ar-SA"/>
        </w:rPr>
        <w:t>及广汉润鑫机械有限公司取得的《不动产权证》，项目用地性质为工业用地，选址符合规划。</w:t>
      </w:r>
    </w:p>
    <w:p w14:paraId="682DCC1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项目在受理和拟批公示期间未收到任何意见反馈，根据专家对《报告表》的审查意见、《报告表》的评价结论，在落实报告表中提出的各项环保对策措施和环境风险防范措施后，项目对环境的不利影响能够得到缓解和控制，项目实施不存在明显的环境制约因素，污染物可以达标排放并符合总量控制要求，原则同意该项目按报告表中所列建设性质、地点、内容、规模、工艺及环保对策措施和风险防范措施进行建设。</w:t>
      </w:r>
    </w:p>
    <w:p w14:paraId="48AFCA7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二、项目建设及运行中应重点做好以下工作：</w:t>
      </w:r>
    </w:p>
    <w:p w14:paraId="42F37DF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一）必须严格贯彻执行“预防为主、保护优先”的原则，落实项目环保资金，建立健全企业内部环境管理机构和各项环保管理规章制度，落实人员责任，加强环保培训和警示教育，规范环保日常管理。确保主体工程与环保设施同步设计、同步施工、同步投入运行，确保污染治理设施正常运行，污染物稳定达标排放。</w:t>
      </w:r>
    </w:p>
    <w:p w14:paraId="1D1FB803">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（二）加强施工期管理，合理安排施工时段和施工场地布设，落实施工期各项环境保护措施，有效控制、减轻或消除施工期废水、废渣、噪声、扬尘等对周围环境的影响。</w:t>
      </w:r>
    </w:p>
    <w:p w14:paraId="40CA39A3">
      <w:pPr>
        <w:pStyle w:val="6"/>
        <w:spacing w:line="560" w:lineRule="exact"/>
        <w:ind w:firstLine="640"/>
        <w:rPr>
          <w:rFonts w:hint="default"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kern w:val="2"/>
          <w:sz w:val="32"/>
          <w:szCs w:val="24"/>
          <w:lang w:val="en-US" w:eastAsia="zh-CN" w:bidi="ar-SA"/>
        </w:rPr>
        <w:t>（三）严格落实并优化报告表提出的各项废气处理措施。落实打</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胶工序的集气罩+二级活性炭吸附装置，确保打胶有机废气经收集处理后由一根15m高排气筒达标排放；</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落实</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油边工序的</w:t>
      </w:r>
      <w:r>
        <w:rPr>
          <w:rFonts w:hint="eastAsia" w:ascii="仿宋_GB2312" w:hAnsi="仿宋_GB2312" w:cs="仿宋_GB2312"/>
          <w:bCs/>
          <w:color w:val="000000" w:themeColor="text1"/>
          <w:sz w:val="32"/>
          <w:szCs w:val="32"/>
          <w:lang w:val="en-US" w:eastAsia="zh-CN"/>
          <w14:textFill>
            <w14:solidFill>
              <w14:schemeClr w14:val="tx1"/>
            </w14:solidFill>
          </w14:textFill>
        </w:rPr>
        <w:t>管道</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密闭负压收集+二级活性炭吸附装置，确保油边有机废气经收集处理后由一根15m高排气筒达标排放。</w:t>
      </w:r>
    </w:p>
    <w:p w14:paraId="12F09AF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（四）严格落实并优化报告表提出的各项废水处理措施。</w:t>
      </w:r>
      <w:r>
        <w:rPr>
          <w:rFonts w:hint="eastAsia" w:ascii="仿宋_GB2312" w:hAnsi="仿宋_GB2312" w:eastAsia="仿宋_GB2312" w:cs="仿宋_GB2312"/>
          <w:color w:val="000000" w:themeColor="text1"/>
          <w:sz w:val="32"/>
          <w:szCs w:val="32"/>
          <w:lang w:eastAsia="zh-CN"/>
          <w14:textFill>
            <w14:solidFill>
              <w14:schemeClr w14:val="tx1"/>
            </w14:solidFill>
          </w14:textFill>
        </w:rPr>
        <w:t>项</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目磨边、清洗废水经三级沉淀分离处理后循环使用，定期更换外排磨边、清洗废水会同预处理后的生活污水达到</w:t>
      </w:r>
      <w:r>
        <w:rPr>
          <w:rFonts w:hint="eastAsia"/>
          <w:lang w:eastAsia="zh-CN"/>
        </w:rPr>
        <w:t>《污水综合排放标准》（GB8978-1996）三级标准后排入市政污水管网，由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广汉市第</w:t>
      </w:r>
      <w:r>
        <w:rPr>
          <w:rFonts w:hint="eastAsia" w:ascii="仿宋_GB2312" w:hAnsi="仿宋_GB2312" w:cs="仿宋_GB2312"/>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污水处理厂</w:t>
      </w:r>
      <w:r>
        <w:rPr>
          <w:rFonts w:hint="eastAsia"/>
          <w:lang w:eastAsia="zh-CN"/>
        </w:rPr>
        <w:t>处理达《四川省岷江、沱江流域水污染物排放标准》（DB51/2311-2016）中工业园区集中式污水处理厂标准后外排。</w:t>
      </w:r>
    </w:p>
    <w:p w14:paraId="22F0817E">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（五）严格落实并优化报告表提出的噪声污染防治措施。合理布局生产车间产噪设施，对高噪作业点和高噪设备配套有效的隔音、降噪及减振设施，确保厂界噪声达标排放不扰民。</w:t>
      </w:r>
    </w:p>
    <w:p w14:paraId="67E758FB">
      <w:pPr>
        <w:keepNext w:val="0"/>
        <w:keepLines w:val="0"/>
        <w:widowControl/>
        <w:suppressLineNumbers w:val="0"/>
        <w:jc w:val="left"/>
        <w:rPr>
          <w:rFonts w:hint="eastAsia"/>
          <w:lang w:eastAsia="zh-CN"/>
        </w:rPr>
      </w:pPr>
      <w:r>
        <w:rPr>
          <w:rFonts w:hint="eastAsia"/>
          <w:lang w:eastAsia="zh-CN"/>
        </w:rPr>
        <w:t>（六）严格落实并优化报告表提出的各项固体废弃物处置措施。固体废物应按照“减量化、资源化、无害化”的原则进行分类收集和处置，提高回收利用率。加强固体废物产生、收集、贮存、运输、利用、处置全过程环境管理，避免二次污染。项目</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玻璃边角料、不合格产品、沉渣定期出售给</w:t>
      </w:r>
      <w:r>
        <w:rPr>
          <w:rFonts w:hint="eastAsia" w:ascii="仿宋_GB2312" w:hAnsi="仿宋_GB2312" w:cs="仿宋_GB2312"/>
          <w:bCs/>
          <w:color w:val="000000" w:themeColor="text1"/>
          <w:sz w:val="32"/>
          <w:szCs w:val="32"/>
          <w:lang w:val="en-US" w:eastAsia="zh-CN"/>
          <w14:textFill>
            <w14:solidFill>
              <w14:schemeClr w14:val="tx1"/>
            </w14:solidFill>
          </w14:textFill>
        </w:rPr>
        <w:t>原片</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玻璃生产企业资源化利用；铝型材边角料定期外售</w:t>
      </w:r>
      <w:r>
        <w:rPr>
          <w:rFonts w:hint="eastAsia" w:ascii="仿宋_GB2312" w:hAnsi="仿宋_GB2312" w:cs="仿宋_GB2312"/>
          <w:bCs/>
          <w:color w:val="000000" w:themeColor="text1"/>
          <w:sz w:val="32"/>
          <w:szCs w:val="32"/>
          <w:lang w:val="en-US" w:eastAsia="zh-CN"/>
          <w14:textFill>
            <w14:solidFill>
              <w14:schemeClr w14:val="tx1"/>
            </w14:solidFill>
          </w14:textFill>
        </w:rPr>
        <w:t>金属</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回收</w:t>
      </w:r>
      <w:r>
        <w:rPr>
          <w:rFonts w:hint="eastAsia" w:ascii="仿宋_GB2312" w:hAnsi="仿宋_GB2312" w:cs="仿宋_GB2312"/>
          <w:bCs/>
          <w:color w:val="000000" w:themeColor="text1"/>
          <w:sz w:val="32"/>
          <w:szCs w:val="32"/>
          <w:lang w:val="en-US" w:eastAsia="zh-CN"/>
          <w14:textFill>
            <w14:solidFill>
              <w14:schemeClr w14:val="tx1"/>
            </w14:solidFill>
          </w14:textFill>
        </w:rPr>
        <w:t>站</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综合利用；废包装材料定期外售废品回收</w:t>
      </w:r>
      <w:r>
        <w:rPr>
          <w:rFonts w:hint="eastAsia" w:ascii="仿宋_GB2312" w:hAnsi="仿宋_GB2312" w:cs="仿宋_GB2312"/>
          <w:bCs/>
          <w:color w:val="000000" w:themeColor="text1"/>
          <w:sz w:val="32"/>
          <w:szCs w:val="32"/>
          <w:lang w:val="en-US" w:eastAsia="zh-CN"/>
          <w14:textFill>
            <w14:solidFill>
              <w14:schemeClr w14:val="tx1"/>
            </w14:solidFill>
          </w14:textFill>
        </w:rPr>
        <w:t>站</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综合利用；项目废机油、废油桶、废含油棉纱手套、废硅酮胶桶、废丁基胶包装袋、废油墨桶、废活性炭</w:t>
      </w:r>
      <w:r>
        <w:rPr>
          <w:rFonts w:hint="eastAsia"/>
          <w:lang w:eastAsia="zh-CN"/>
        </w:rPr>
        <w:t>属于危险废物，须妥善安全收储，落实专人管理，并严格执行转移联单制度，定期交有危废处理资质的单位处置，其暂存区须采取必要的防风、防晒、防雨、防漏、防渗、防腐以及其他环境污染防治措施；生活垃圾交环卫部门清运。</w:t>
      </w:r>
    </w:p>
    <w:p w14:paraId="38747D6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（七）严格落实并优化报告表提出的地下水和土壤污染防治措施。项目将</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危废暂存间、油边工序区域</w:t>
      </w:r>
      <w:r>
        <w:rPr>
          <w:rFonts w:hint="eastAsia" w:ascii="仿宋_GB2312" w:hAnsi="仿宋_GB2312" w:cs="仿宋_GB2312"/>
          <w:bCs/>
          <w:color w:val="000000" w:themeColor="text1"/>
          <w:sz w:val="32"/>
          <w:szCs w:val="32"/>
          <w:lang w:val="en-US" w:eastAsia="zh-CN"/>
          <w14:textFill>
            <w14:solidFill>
              <w14:schemeClr w14:val="tx1"/>
            </w14:solidFill>
          </w14:textFill>
        </w:rPr>
        <w:t>、油墨及胶粘剂暂存区、打胶区</w:t>
      </w:r>
      <w:r>
        <w:rPr>
          <w:rFonts w:hint="eastAsia"/>
          <w:lang w:eastAsia="zh-CN"/>
        </w:rPr>
        <w:t>设置</w:t>
      </w:r>
      <w:r>
        <w:rPr>
          <w:rFonts w:hint="eastAsia"/>
          <w:highlight w:val="none"/>
          <w:lang w:eastAsia="zh-CN"/>
        </w:rPr>
        <w:t>为重点防渗区</w:t>
      </w:r>
      <w:r>
        <w:rPr>
          <w:rFonts w:hint="eastAsia"/>
          <w:lang w:eastAsia="zh-CN"/>
        </w:rPr>
        <w:t>，将</w:t>
      </w:r>
      <w:r>
        <w:rPr>
          <w:rFonts w:hint="eastAsia"/>
          <w:lang w:val="en-US" w:eastAsia="zh-CN"/>
        </w:rPr>
        <w:t>除重点防渗</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区外的生产车间、一般固废间、三级沉淀池设置为一般防渗区，将办公区设置为简单防渗区，分别采取防渗措施。建立和完善地下水</w:t>
      </w:r>
      <w:r>
        <w:rPr>
          <w:rFonts w:hint="eastAsia"/>
          <w:lang w:eastAsia="zh-CN"/>
        </w:rPr>
        <w:t>、土壤污染监控制度和环境管理体系，发现问题及时采取措施，避免污染周边地下水和土壤环境。</w:t>
      </w:r>
    </w:p>
    <w:p w14:paraId="1BE52489">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w:t>
      </w:r>
      <w:r>
        <w:rPr>
          <w:rFonts w:hint="eastAsia"/>
          <w:lang w:val="en-US" w:eastAsia="zh-CN"/>
        </w:rPr>
        <w:t>八</w:t>
      </w:r>
      <w:r>
        <w:rPr>
          <w:rFonts w:hint="eastAsia"/>
          <w:lang w:eastAsia="zh-CN"/>
        </w:rPr>
        <w:t>）高度重视并全面加强环境风险管理工作。建立健全环境风险防控和环境应急保障体系，严格按照报告表要求，落实并不断优化各项环境风险防范措施，确保环境安全。</w:t>
      </w:r>
    </w:p>
    <w:p w14:paraId="62264AFF">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w:t>
      </w:r>
      <w:r>
        <w:rPr>
          <w:rFonts w:hint="eastAsia"/>
          <w:lang w:val="en-US" w:eastAsia="zh-CN"/>
        </w:rPr>
        <w:t>九</w:t>
      </w:r>
      <w:r>
        <w:rPr>
          <w:rFonts w:hint="eastAsia"/>
          <w:lang w:eastAsia="zh-CN"/>
        </w:rPr>
        <w:t>）按照相关要求规范设置各类排污口和标志标牌，落实报告表提出的环境管理要求和监测计划。</w:t>
      </w:r>
    </w:p>
    <w:p w14:paraId="584B71B2">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cs="Times New Roman"/>
          <w:lang w:val="en-US" w:eastAsia="zh-CN"/>
        </w:rPr>
      </w:pPr>
      <w:r>
        <w:rPr>
          <w:rFonts w:hint="eastAsia"/>
          <w:lang w:eastAsia="zh-CN"/>
        </w:rPr>
        <w:t>三、该项目运营后，</w:t>
      </w:r>
      <w:r>
        <w:rPr>
          <w:rFonts w:hint="eastAsia"/>
          <w:lang w:val="en-US" w:eastAsia="zh-CN"/>
        </w:rPr>
        <w:t>挥发性有机物排放量为0.181吨/年，</w:t>
      </w:r>
      <w:r>
        <w:rPr>
          <w:rFonts w:ascii="仿宋_GB2312" w:hAnsi="仿宋_GB2312" w:eastAsia="仿宋_GB2312" w:cs="仿宋_GB2312"/>
          <w:sz w:val="32"/>
          <w:szCs w:val="32"/>
          <w:highlight w:val="none"/>
        </w:rPr>
        <w:t>化学需氧量</w:t>
      </w:r>
      <w:r>
        <w:rPr>
          <w:rFonts w:hint="eastAsia"/>
          <w:lang w:val="en-US" w:eastAsia="zh-CN"/>
        </w:rPr>
        <w:t>排放量为</w:t>
      </w:r>
      <w:r>
        <w:rPr>
          <w:rFonts w:hint="eastAsia" w:cs="Times New Roman"/>
          <w:sz w:val="32"/>
          <w:szCs w:val="32"/>
          <w:highlight w:val="none"/>
          <w:lang w:val="en-US" w:eastAsia="zh-CN"/>
        </w:rPr>
        <w:t>0.1872</w:t>
      </w:r>
      <w:r>
        <w:rPr>
          <w:rFonts w:ascii="仿宋_GB2312" w:hAnsi="仿宋_GB2312" w:eastAsia="仿宋_GB2312" w:cs="仿宋_GB2312"/>
          <w:sz w:val="32"/>
          <w:szCs w:val="32"/>
          <w:highlight w:val="none"/>
        </w:rPr>
        <w:t>吨/年</w:t>
      </w:r>
      <w:r>
        <w:rPr>
          <w:rFonts w:hint="eastAsia" w:ascii="仿宋_GB2312" w:hAnsi="仿宋_GB2312" w:cs="仿宋_GB2312"/>
          <w:sz w:val="32"/>
          <w:szCs w:val="32"/>
          <w:highlight w:val="none"/>
          <w:lang w:eastAsia="zh-CN"/>
        </w:rPr>
        <w:t>，</w:t>
      </w:r>
      <w:r>
        <w:rPr>
          <w:rFonts w:ascii="仿宋_GB2312" w:hAnsi="仿宋_GB2312" w:eastAsia="仿宋_GB2312" w:cs="仿宋_GB2312"/>
          <w:sz w:val="32"/>
          <w:szCs w:val="32"/>
          <w:highlight w:val="none"/>
        </w:rPr>
        <w:t>氨氮</w:t>
      </w:r>
      <w:r>
        <w:rPr>
          <w:rFonts w:hint="eastAsia"/>
          <w:lang w:val="en-US" w:eastAsia="zh-CN"/>
        </w:rPr>
        <w:t>排放量为</w:t>
      </w:r>
      <w:r>
        <w:rPr>
          <w:rFonts w:hint="eastAsia"/>
          <w:sz w:val="32"/>
          <w:szCs w:val="32"/>
          <w:highlight w:val="none"/>
          <w:lang w:val="en-US" w:eastAsia="zh-CN"/>
        </w:rPr>
        <w:t>0.0234</w:t>
      </w:r>
      <w:r>
        <w:rPr>
          <w:rFonts w:ascii="仿宋_GB2312" w:hAnsi="仿宋_GB2312" w:eastAsia="仿宋_GB2312" w:cs="仿宋_GB2312"/>
          <w:sz w:val="32"/>
          <w:szCs w:val="32"/>
          <w:highlight w:val="none"/>
        </w:rPr>
        <w:t>吨/年</w:t>
      </w:r>
      <w:r>
        <w:rPr>
          <w:rFonts w:hint="eastAsia"/>
          <w:lang w:eastAsia="zh-CN"/>
        </w:rPr>
        <w:t>，其总量控制指标</w:t>
      </w:r>
      <w:r>
        <w:rPr>
          <w:rFonts w:hint="eastAsia"/>
          <w:lang w:val="en-US" w:eastAsia="zh-CN"/>
        </w:rPr>
        <w:t>按</w:t>
      </w:r>
      <w:r>
        <w:rPr>
          <w:rFonts w:hint="eastAsia"/>
          <w:lang w:eastAsia="zh-CN"/>
        </w:rPr>
        <w:t>德阳市广汉生态环境局</w:t>
      </w:r>
      <w:r>
        <w:rPr>
          <w:rFonts w:hint="eastAsia"/>
          <w:lang w:val="en-US" w:eastAsia="zh-CN"/>
        </w:rPr>
        <w:t>总量文件执</w:t>
      </w:r>
      <w:r>
        <w:rPr>
          <w:rFonts w:hint="eastAsia" w:ascii="Times New Roman" w:hAnsi="Times New Roman" w:cs="Times New Roman"/>
          <w:lang w:val="en-US" w:eastAsia="zh-CN"/>
        </w:rPr>
        <w:t>行。</w:t>
      </w:r>
    </w:p>
    <w:p w14:paraId="4537D13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四、项目开工建设及投入运营前，应依法完备其他行政许可手续。</w:t>
      </w:r>
    </w:p>
    <w:p w14:paraId="71C3322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五、该报告表批准后，项目的性质、规模、地点、采用的生产工艺或者防治污染、防治生态破坏的措施发生重大变动的，应当重新报批项目的环境影响评价文件，否则不得实施建设。建设项目的环境影响评价文件自批准之日起超过五年，方决定该项目开工建设的，其环境影响评价文件应当报原审批部门重新审核。</w:t>
      </w:r>
    </w:p>
    <w:p w14:paraId="402E0F82">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六、纳入排污许可管理的行业，必须按照国家排污许可管理有关规定，申领、变更、延续排污许可证或填报排污登记，并按要求提交执行报告，不得无证排污或不按证排污。项目应按规定标准和程序，对配套建设的环境保护设施进行“三同时”自主验收。建设项目防治污染的设施应当符合经批准的环境影响评价文件的要求，不得擅自拆除或者闲置。</w:t>
      </w:r>
    </w:p>
    <w:p w14:paraId="23F3261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七、高度重视安全生产工作，并切实履行安全环保主体责任，将环保设备设施安全作为本单位安全工作的重要内容，委托具有相应资质、能力的设计单位对建设项目重点环保设施进行设计，在环保设施设计、建设、验收、运行、检修过程中，严格落实安全生产法律法规标准规范相关要求。</w:t>
      </w:r>
    </w:p>
    <w:p w14:paraId="63125A20">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八、该项目的“三同时”监督检查、排污许可监管、日常环境保护监管工作由德阳市广汉生态环境保护综合行政执法大队负责，并接受各级生态环境部门的监督管理。</w:t>
      </w:r>
    </w:p>
    <w:p w14:paraId="51BF54D0">
      <w:pPr>
        <w:bidi w:val="0"/>
        <w:rPr>
          <w:rFonts w:hint="eastAsia"/>
          <w:lang w:eastAsia="zh-CN"/>
        </w:rPr>
      </w:pPr>
      <w:r>
        <w:rPr>
          <w:rFonts w:hint="eastAsia"/>
          <w:lang w:eastAsia="zh-CN"/>
        </w:rPr>
        <w:t xml:space="preserve">                </w:t>
      </w:r>
    </w:p>
    <w:p w14:paraId="1CDF7A1C">
      <w:pPr>
        <w:bidi w:val="0"/>
        <w:rPr>
          <w:rFonts w:hint="eastAsia"/>
          <w:lang w:eastAsia="zh-CN"/>
        </w:rPr>
      </w:pPr>
      <w:r>
        <w:rPr>
          <w:rFonts w:hint="eastAsia"/>
          <w:lang w:eastAsia="zh-CN"/>
        </w:rPr>
        <w:t xml:space="preserve">                  </w:t>
      </w:r>
    </w:p>
    <w:p w14:paraId="07FFB9EB">
      <w:pPr>
        <w:bidi w:val="0"/>
        <w:jc w:val="center"/>
        <w:rPr>
          <w:rFonts w:hint="eastAsia"/>
          <w:lang w:eastAsia="zh-CN"/>
        </w:rPr>
      </w:pPr>
      <w:r>
        <w:rPr>
          <w:rFonts w:hint="eastAsia"/>
          <w:lang w:val="en-US" w:eastAsia="zh-CN"/>
        </w:rPr>
        <w:t xml:space="preserve">                          </w:t>
      </w:r>
      <w:r>
        <w:rPr>
          <w:rFonts w:hint="eastAsia"/>
          <w:lang w:eastAsia="zh-CN"/>
        </w:rPr>
        <w:t>德阳市生态环境局</w:t>
      </w:r>
    </w:p>
    <w:p w14:paraId="5B7DA9F3">
      <w:pPr>
        <w:bidi w:val="0"/>
        <w:jc w:val="center"/>
        <w:rPr>
          <w:rFonts w:hint="eastAsia"/>
          <w:lang w:eastAsia="zh-CN"/>
        </w:rPr>
      </w:pPr>
      <w:r>
        <w:rPr>
          <w:rFonts w:hint="eastAsia"/>
          <w:lang w:val="en-US" w:eastAsia="zh-CN"/>
        </w:rPr>
        <w:t xml:space="preserve">                          </w:t>
      </w:r>
      <w:r>
        <w:rPr>
          <w:rFonts w:hint="eastAsia"/>
          <w:lang w:eastAsia="zh-CN"/>
        </w:rPr>
        <w:t>202</w:t>
      </w:r>
      <w:r>
        <w:rPr>
          <w:rFonts w:hint="eastAsia"/>
          <w:lang w:val="en-US" w:eastAsia="zh-CN"/>
        </w:rPr>
        <w:t>5</w:t>
      </w:r>
      <w:r>
        <w:rPr>
          <w:rFonts w:hint="eastAsia"/>
          <w:lang w:eastAsia="zh-CN"/>
        </w:rPr>
        <w:t>年</w:t>
      </w:r>
      <w:r>
        <w:rPr>
          <w:rFonts w:hint="eastAsia"/>
          <w:lang w:val="en-US" w:eastAsia="zh-CN"/>
        </w:rPr>
        <w:t>8</w:t>
      </w:r>
      <w:r>
        <w:rPr>
          <w:rFonts w:hint="eastAsia"/>
          <w:lang w:eastAsia="zh-CN"/>
        </w:rPr>
        <w:t>月</w:t>
      </w:r>
      <w:r>
        <w:rPr>
          <w:rFonts w:hint="eastAsia"/>
          <w:lang w:val="en-US" w:eastAsia="zh-CN"/>
        </w:rPr>
        <w:t>19</w:t>
      </w:r>
      <w:bookmarkStart w:id="0" w:name="_GoBack"/>
      <w:bookmarkEnd w:id="0"/>
      <w:r>
        <w:rPr>
          <w:rFonts w:hint="eastAsia"/>
          <w:lang w:eastAsia="zh-CN"/>
        </w:rPr>
        <w:t>日</w:t>
      </w:r>
    </w:p>
    <w:sectPr>
      <w:pgSz w:w="11906" w:h="16838"/>
      <w:pgMar w:top="1440" w:right="1587" w:bottom="1440"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BA3A83"/>
    <w:multiLevelType w:val="singleLevel"/>
    <w:tmpl w:val="82BA3A8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860D6"/>
    <w:rsid w:val="02AE534C"/>
    <w:rsid w:val="034F6F7F"/>
    <w:rsid w:val="03DF1EFE"/>
    <w:rsid w:val="0405687A"/>
    <w:rsid w:val="06C07F19"/>
    <w:rsid w:val="07EE52C1"/>
    <w:rsid w:val="08E224A3"/>
    <w:rsid w:val="0C4A0047"/>
    <w:rsid w:val="0D8434C8"/>
    <w:rsid w:val="10476743"/>
    <w:rsid w:val="10B04339"/>
    <w:rsid w:val="11A36E95"/>
    <w:rsid w:val="121F6F46"/>
    <w:rsid w:val="141B194C"/>
    <w:rsid w:val="172E0063"/>
    <w:rsid w:val="17722C48"/>
    <w:rsid w:val="17FF1243"/>
    <w:rsid w:val="1A5823C6"/>
    <w:rsid w:val="1DA61023"/>
    <w:rsid w:val="1F9D62EA"/>
    <w:rsid w:val="207C77B4"/>
    <w:rsid w:val="233040CC"/>
    <w:rsid w:val="240472A7"/>
    <w:rsid w:val="24602490"/>
    <w:rsid w:val="25B23D47"/>
    <w:rsid w:val="2A3732D1"/>
    <w:rsid w:val="2A8433D1"/>
    <w:rsid w:val="2B1D6405"/>
    <w:rsid w:val="2B4222FA"/>
    <w:rsid w:val="2C6B7FAD"/>
    <w:rsid w:val="2E624E98"/>
    <w:rsid w:val="30F523E0"/>
    <w:rsid w:val="31231C2B"/>
    <w:rsid w:val="3511441F"/>
    <w:rsid w:val="35C30878"/>
    <w:rsid w:val="36BF255B"/>
    <w:rsid w:val="3847678F"/>
    <w:rsid w:val="398E50E4"/>
    <w:rsid w:val="3A6E4FAF"/>
    <w:rsid w:val="3B8A62BD"/>
    <w:rsid w:val="41B502FB"/>
    <w:rsid w:val="432F1B9E"/>
    <w:rsid w:val="449D70C1"/>
    <w:rsid w:val="471A4C57"/>
    <w:rsid w:val="490D1D9A"/>
    <w:rsid w:val="493B5434"/>
    <w:rsid w:val="4AB250DD"/>
    <w:rsid w:val="4C3F558F"/>
    <w:rsid w:val="4E20458D"/>
    <w:rsid w:val="52EB1116"/>
    <w:rsid w:val="545838A3"/>
    <w:rsid w:val="550F5283"/>
    <w:rsid w:val="55922BB8"/>
    <w:rsid w:val="5648005A"/>
    <w:rsid w:val="56EF32D7"/>
    <w:rsid w:val="598E3781"/>
    <w:rsid w:val="5A282A37"/>
    <w:rsid w:val="62544876"/>
    <w:rsid w:val="63ED6FC7"/>
    <w:rsid w:val="6488096B"/>
    <w:rsid w:val="65AB4EFC"/>
    <w:rsid w:val="662B4514"/>
    <w:rsid w:val="66737356"/>
    <w:rsid w:val="67D747D7"/>
    <w:rsid w:val="6CC97B23"/>
    <w:rsid w:val="6F4577DC"/>
    <w:rsid w:val="70924242"/>
    <w:rsid w:val="709B28DF"/>
    <w:rsid w:val="71823CF1"/>
    <w:rsid w:val="71D36ECE"/>
    <w:rsid w:val="721553B9"/>
    <w:rsid w:val="73261DAF"/>
    <w:rsid w:val="74A42A0A"/>
    <w:rsid w:val="765B6ABB"/>
    <w:rsid w:val="77712936"/>
    <w:rsid w:val="77D93560"/>
    <w:rsid w:val="78901500"/>
    <w:rsid w:val="78A0421B"/>
    <w:rsid w:val="7BD55DBA"/>
    <w:rsid w:val="7C326B40"/>
    <w:rsid w:val="7C4976F5"/>
    <w:rsid w:val="7F461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ind w:firstLine="2092"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7"/>
    <w:autoRedefine/>
    <w:qFormat/>
    <w:uiPriority w:val="0"/>
    <w:pPr>
      <w:keepNext/>
      <w:keepLines/>
      <w:spacing w:line="720" w:lineRule="exact"/>
      <w:ind w:firstLine="0" w:firstLineChars="0"/>
      <w:jc w:val="center"/>
      <w:outlineLvl w:val="0"/>
    </w:pPr>
    <w:rPr>
      <w:rFonts w:ascii="Times New Roman" w:hAnsi="Times New Roman" w:eastAsia="方正小标宋简体"/>
      <w:bCs/>
      <w:kern w:val="44"/>
      <w:sz w:val="44"/>
      <w:szCs w:val="44"/>
    </w:rPr>
  </w:style>
  <w:style w:type="character" w:default="1" w:styleId="5">
    <w:name w:val="Default Paragraph Font"/>
    <w:semiHidden/>
    <w:unhideWhenUsed/>
    <w:qFormat/>
    <w:uiPriority w:val="1"/>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jc w:val="left"/>
    </w:pPr>
    <w:rPr>
      <w:kern w:val="0"/>
      <w:sz w:val="24"/>
    </w:rPr>
  </w:style>
  <w:style w:type="paragraph" w:customStyle="1" w:styleId="6">
    <w:name w:val="+正文"/>
    <w:basedOn w:val="1"/>
    <w:qFormat/>
    <w:uiPriority w:val="0"/>
    <w:pPr>
      <w:spacing w:line="360" w:lineRule="auto"/>
      <w:ind w:firstLine="200" w:firstLineChars="200"/>
    </w:pPr>
    <w:rPr>
      <w:sz w:val="24"/>
      <w:szCs w:val="28"/>
    </w:rPr>
  </w:style>
  <w:style w:type="character" w:customStyle="1" w:styleId="7">
    <w:name w:val="标题 1 字符"/>
    <w:basedOn w:val="5"/>
    <w:link w:val="2"/>
    <w:autoRedefine/>
    <w:qFormat/>
    <w:uiPriority w:val="9"/>
    <w:rPr>
      <w:rFonts w:ascii="Times New Roman" w:hAnsi="Times New Roman" w:eastAsia="方正小标宋简体"/>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2480</Words>
  <Characters>2583</Characters>
  <Lines>0</Lines>
  <Paragraphs>0</Paragraphs>
  <TotalTime>7</TotalTime>
  <ScaleCrop>false</ScaleCrop>
  <LinksUpToDate>false</LinksUpToDate>
  <CharactersWithSpaces>2669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2023-12-08T06:40:00Z</dcterms:created>
  <dc:creator>HY</dc:creator>
  <cp:lastModifiedBy>熊莉</cp:lastModifiedBy>
  <dcterms:modified xsi:type="dcterms:W3CDTF">2025-08-19T02:05:00Z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D7D2B16DD29F4F32B7E6D96B409ECADF_13</vt:lpwstr>
  </property>
  <property fmtid="{D5CDD505-2E9C-101B-9397-08002B2CF9AE}" pid="4" name="KSOTemplateDocerSaveRecord">
    <vt:lpwstr>eyJoZGlkIjoiZTcwY2IwODA0NjBmNjU3YzQ0NzhjZjQ5Nzc1ODVhMjUiLCJ1c2VySWQiOiIxNjYwNzk2ODQ1In0=</vt:lpwstr>
  </property>
</Properties>
</file>