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236</w:t>
      </w:r>
      <w:bookmarkStart w:id="0" w:name="_GoBack"/>
      <w:bookmarkEnd w:id="0"/>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4B6D72B">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兴华琛科技（四川）有限公司年产3000吨聚丙烯涂覆料项目</w:t>
      </w:r>
      <w:r>
        <w:rPr>
          <w:rFonts w:ascii="Times New Roman" w:hAnsi="Times New Roman" w:eastAsia="方正小标宋简体" w:cs="Times New Roman"/>
          <w:sz w:val="44"/>
          <w:szCs w:val="44"/>
        </w:rPr>
        <w:t>《环境影响报告表》</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14:paraId="15EC028B">
      <w:pPr>
        <w:pStyle w:val="6"/>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兴华琛科技（四川）有限公司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年产3000吨聚丙烯涂覆料项目</w:t>
      </w:r>
      <w:r>
        <w:rPr>
          <w:rFonts w:hint="eastAsia" w:ascii="仿宋_GB2312" w:hAnsi="仿宋_GB2312" w:cs="仿宋_GB2312"/>
          <w:sz w:val="32"/>
          <w:szCs w:val="32"/>
          <w:lang w:val="en-US" w:eastAsia="zh-CN"/>
        </w:rPr>
        <w:t>《</w:t>
      </w:r>
      <w:r>
        <w:rPr>
          <w:rFonts w:hint="eastAsia"/>
          <w:lang w:eastAsia="zh-CN"/>
        </w:rPr>
        <w:t>环境影响报告表》（以下简称“报告表”）收悉。经研究，批复如下：</w:t>
      </w:r>
    </w:p>
    <w:p w14:paraId="0C86FAB5">
      <w:pPr>
        <w:pStyle w:val="6"/>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该项目为新建项目,拟在广汉市高雄路三段22号租赁四川中智石油机械有限公司已建标准化2#</w:t>
      </w:r>
      <w:r>
        <w:rPr>
          <w:rFonts w:hint="eastAsia" w:ascii="仿宋_GB2312" w:hAnsi="仿宋_GB2312" w:cs="仿宋_GB2312"/>
          <w:kern w:val="2"/>
          <w:sz w:val="32"/>
          <w:szCs w:val="32"/>
          <w:lang w:val="en-US" w:eastAsia="zh-CN" w:bidi="ar-SA"/>
        </w:rPr>
        <w:t>车间</w:t>
      </w:r>
      <w:r>
        <w:rPr>
          <w:rFonts w:hint="eastAsia" w:ascii="仿宋_GB2312" w:hAnsi="仿宋_GB2312" w:eastAsia="仿宋_GB2312" w:cs="仿宋_GB2312"/>
          <w:kern w:val="2"/>
          <w:sz w:val="32"/>
          <w:szCs w:val="32"/>
          <w:lang w:val="en-US" w:eastAsia="zh-CN" w:bidi="ar-SA"/>
        </w:rPr>
        <w:t>建设，用地面积1827平方米。项目内容及规模为：对现有厂房进行适应性改造，依托相关公辅设施，购置混合机、三螺杆挤出机、切粒机等生产设备，布设聚丙烯涂覆颗粒料生产线，项目建成后形成年产聚丙烯涂覆颗粒料3000吨的生产能力。项目总投资500万元，其中环保投资30.5万元。</w:t>
      </w:r>
    </w:p>
    <w:p w14:paraId="5200CD3C">
      <w:pPr>
        <w:pStyle w:val="6"/>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项目在四川省投资项目在线审批监管平台进行了备案（备案号：川投资备[2</w:t>
      </w:r>
      <w:r>
        <w:rPr>
          <w:rFonts w:hint="eastAsia" w:ascii="仿宋_GB2312" w:hAnsi="仿宋_GB2312" w:cs="仿宋_GB2312"/>
          <w:kern w:val="2"/>
          <w:sz w:val="32"/>
          <w:szCs w:val="32"/>
          <w:lang w:val="en-US" w:eastAsia="zh-CN" w:bidi="ar-SA"/>
        </w:rPr>
        <w:t>506</w:t>
      </w:r>
      <w:r>
        <w:rPr>
          <w:rFonts w:hint="eastAsia" w:ascii="仿宋_GB2312" w:hAnsi="仿宋_GB2312" w:eastAsia="仿宋_GB2312" w:cs="仿宋_GB2312"/>
          <w:kern w:val="2"/>
          <w:sz w:val="32"/>
          <w:szCs w:val="32"/>
          <w:lang w:val="en-US" w:eastAsia="zh-CN" w:bidi="ar-SA"/>
        </w:rPr>
        <w:t>-510681-0</w:t>
      </w: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-0</w:t>
      </w:r>
      <w:r>
        <w:rPr>
          <w:rFonts w:hint="eastAsia" w:ascii="仿宋_GB2312"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229397</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FG</w:t>
      </w:r>
      <w:r>
        <w:rPr>
          <w:rFonts w:hint="eastAsia" w:ascii="仿宋_GB2312" w:hAnsi="仿宋_GB2312" w:eastAsia="仿宋_GB2312" w:cs="仿宋_GB2312"/>
          <w:kern w:val="2"/>
          <w:sz w:val="32"/>
          <w:szCs w:val="32"/>
          <w:lang w:val="en-US" w:eastAsia="zh-CN" w:bidi="ar-SA"/>
        </w:rPr>
        <w:t>QB-0</w:t>
      </w:r>
      <w:r>
        <w:rPr>
          <w:rFonts w:hint="eastAsia" w:ascii="仿宋_GB2312" w:hAnsi="仿宋_GB2312" w:cs="仿宋_GB2312"/>
          <w:kern w:val="2"/>
          <w:sz w:val="32"/>
          <w:szCs w:val="32"/>
          <w:lang w:val="en-US" w:eastAsia="zh-CN" w:bidi="ar-SA"/>
        </w:rPr>
        <w:t>836</w:t>
      </w:r>
      <w:r>
        <w:rPr>
          <w:rFonts w:hint="eastAsia" w:ascii="仿宋_GB2312" w:hAnsi="仿宋_GB2312" w:eastAsia="仿宋_GB2312" w:cs="仿宋_GB2312"/>
          <w:kern w:val="2"/>
          <w:sz w:val="32"/>
          <w:szCs w:val="32"/>
          <w:lang w:val="en-US" w:eastAsia="zh-CN" w:bidi="ar-SA"/>
        </w:rPr>
        <w:t>号），符合国家现行产业政策</w:t>
      </w:r>
      <w:r>
        <w:rPr>
          <w:rFonts w:hint="eastAsia" w:ascii="仿宋_GB2312" w:hAnsi="仿宋_GB2312" w:eastAsia="仿宋_GB2312" w:cs="仿宋_GB2312"/>
          <w:kern w:val="2"/>
          <w:sz w:val="32"/>
          <w:szCs w:val="32"/>
          <w:lang w:val="zh-CN" w:eastAsia="zh-CN" w:bidi="ar-SA"/>
        </w:rPr>
        <w:t>；该项目符合德阳市生态环境分区管控相关要求，</w:t>
      </w:r>
      <w:r>
        <w:rPr>
          <w:rFonts w:hint="eastAsia"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广汉市国土空间总体规划(2021-2035年)</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及四川中智石油机械有限公司取得的《不动产权证》，项目用地性质为工业用地，选址符合规划。</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40CA39A3">
      <w:pPr>
        <w:pStyle w:val="6"/>
        <w:spacing w:line="560" w:lineRule="exact"/>
        <w:ind w:firstLine="64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kern w:val="2"/>
          <w:sz w:val="32"/>
          <w:szCs w:val="24"/>
          <w:lang w:val="en-US" w:eastAsia="zh-CN" w:bidi="ar-SA"/>
        </w:rPr>
        <w:t>（三）严格落实并优化报告表提出的各项废气处理措施。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设置密闭熔融挤出区域，落实熔融挤出工序密闭集气管道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两级活性炭吸附装置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，确保熔融挤出有机废气经收集处理后由</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15高排气筒达标排放。</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目冷却水循环使用；定期更换的冷却水会同生活污水依托</w:t>
      </w:r>
      <w:r>
        <w:rPr>
          <w:rFonts w:hint="eastAsia" w:ascii="仿宋_GB2312" w:hAnsi="仿宋_GB2312" w:eastAsia="仿宋_GB2312" w:cs="仿宋_GB2312"/>
          <w:kern w:val="2"/>
          <w:sz w:val="32"/>
          <w:szCs w:val="32"/>
          <w:lang w:val="en-US" w:eastAsia="zh-CN" w:bidi="ar-SA"/>
        </w:rPr>
        <w:t>四川中智石油机械有限公司</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已建预处理池处理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达到</w:t>
      </w:r>
      <w:r>
        <w:rPr>
          <w:rFonts w:hint="eastAsia"/>
          <w:lang w:eastAsia="zh-CN"/>
        </w:rPr>
        <w:t>《污水综合排放标准》（GB8978-1996）三级标准后排入市政污水管网，由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广汉市第</w:t>
      </w:r>
      <w:r>
        <w:rPr>
          <w:rFonts w:hint="eastAsia" w:ascii="仿宋_GB2312" w:hAnsi="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污水处理厂</w:t>
      </w:r>
      <w:r>
        <w:rPr>
          <w:rFonts w:hint="eastAsia"/>
          <w:lang w:eastAsia="zh-CN"/>
        </w:rPr>
        <w:t>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项目废包装材料</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外售废品回收站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；废边角料经收集后回用于生产；项目废活性炭、</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机油、废机油桶、含油棉纱手套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危废暂存间</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除重点防渗</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区</w:t>
      </w:r>
      <w:r>
        <w:rPr>
          <w:rFonts w:hint="eastAsia" w:ascii="仿宋_GB2312" w:hAnsi="仿宋_GB2312" w:cs="仿宋_GB2312"/>
          <w:bCs/>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简单防渗区外的</w:t>
      </w:r>
      <w:r>
        <w:rPr>
          <w:rFonts w:hint="eastAsia" w:ascii="仿宋_GB2312" w:hAnsi="仿宋_GB2312" w:cs="仿宋_GB2312"/>
          <w:bCs/>
          <w:color w:val="000000" w:themeColor="text1"/>
          <w:sz w:val="32"/>
          <w:szCs w:val="32"/>
          <w:lang w:val="en-US" w:eastAsia="zh-CN"/>
          <w14:textFill>
            <w14:solidFill>
              <w14:schemeClr w14:val="tx1"/>
            </w14:solidFill>
          </w14:textFill>
        </w:rPr>
        <w:t>其他区域</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设置为一般防渗区，将办公</w:t>
      </w:r>
      <w:r>
        <w:rPr>
          <w:rFonts w:hint="eastAsia" w:ascii="仿宋_GB2312" w:hAnsi="仿宋_GB2312" w:cs="仿宋_GB2312"/>
          <w:bCs/>
          <w:color w:val="000000" w:themeColor="text1"/>
          <w:sz w:val="32"/>
          <w:szCs w:val="32"/>
          <w:lang w:val="en-US" w:eastAsia="zh-CN"/>
          <w14:textFill>
            <w14:solidFill>
              <w14:schemeClr w14:val="tx1"/>
            </w14:solidFill>
          </w14:textFill>
        </w:rPr>
        <w:t>生活</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区</w:t>
      </w:r>
      <w:r>
        <w:rPr>
          <w:rFonts w:hint="eastAsia" w:ascii="仿宋_GB2312" w:hAnsi="仿宋_GB2312" w:cs="仿宋_GB2312"/>
          <w:bCs/>
          <w:color w:val="000000" w:themeColor="text1"/>
          <w:sz w:val="32"/>
          <w:szCs w:val="32"/>
          <w:lang w:val="en-US" w:eastAsia="zh-CN"/>
          <w14:textFill>
            <w14:solidFill>
              <w14:schemeClr w14:val="tx1"/>
            </w14:solidFill>
          </w14:textFill>
        </w:rPr>
        <w:t>、停车场、道路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设置为简单防渗区，分别采取防渗措施。建立和完善地下水</w:t>
      </w:r>
      <w:r>
        <w:rPr>
          <w:rFonts w:hint="eastAsia"/>
          <w:lang w:eastAsia="zh-CN"/>
        </w:rPr>
        <w:t>、土壤污染监控制度和环境管理体系，发现问题及时采取措施，避免污染周边地下水和土壤环境。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2264A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w:t>
      </w:r>
      <w:r>
        <w:rPr>
          <w:rFonts w:hint="eastAsia"/>
          <w:lang w:val="en-US" w:eastAsia="zh-CN"/>
        </w:rPr>
        <w:t>挥发性有机物排放量为0.3885吨/年，</w:t>
      </w:r>
      <w:r>
        <w:rPr>
          <w:rFonts w:ascii="仿宋_GB2312" w:hAnsi="仿宋_GB2312" w:eastAsia="仿宋_GB2312" w:cs="仿宋_GB2312"/>
          <w:sz w:val="32"/>
          <w:szCs w:val="32"/>
          <w:highlight w:val="none"/>
        </w:rPr>
        <w:t>化学需氧量</w:t>
      </w:r>
      <w:r>
        <w:rPr>
          <w:rFonts w:hint="eastAsia"/>
          <w:lang w:val="en-US" w:eastAsia="zh-CN"/>
        </w:rPr>
        <w:t>排放量为</w:t>
      </w:r>
      <w:r>
        <w:rPr>
          <w:rFonts w:hint="eastAsia" w:cs="Times New Roman"/>
          <w:sz w:val="32"/>
          <w:szCs w:val="32"/>
          <w:highlight w:val="none"/>
          <w:lang w:val="en-US" w:eastAsia="zh-CN"/>
        </w:rPr>
        <w:t>0.01</w:t>
      </w:r>
      <w:r>
        <w:rPr>
          <w:rFonts w:ascii="仿宋_GB2312" w:hAnsi="仿宋_GB2312" w:eastAsia="仿宋_GB2312" w:cs="仿宋_GB2312"/>
          <w:sz w:val="32"/>
          <w:szCs w:val="32"/>
          <w:highlight w:val="none"/>
        </w:rPr>
        <w:t>吨/年</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氨氮</w:t>
      </w:r>
      <w:r>
        <w:rPr>
          <w:rFonts w:hint="eastAsia"/>
          <w:lang w:val="en-US" w:eastAsia="zh-CN"/>
        </w:rPr>
        <w:t>排放量为</w:t>
      </w:r>
      <w:r>
        <w:rPr>
          <w:rFonts w:hint="eastAsia"/>
          <w:sz w:val="32"/>
          <w:szCs w:val="32"/>
          <w:highlight w:val="none"/>
          <w:lang w:val="en-US" w:eastAsia="zh-CN"/>
        </w:rPr>
        <w:t>0.0013</w:t>
      </w:r>
      <w:r>
        <w:rPr>
          <w:rFonts w:ascii="仿宋_GB2312" w:hAnsi="仿宋_GB2312" w:eastAsia="仿宋_GB2312" w:cs="仿宋_GB2312"/>
          <w:sz w:val="32"/>
          <w:szCs w:val="32"/>
          <w:highlight w:val="none"/>
        </w:rPr>
        <w:t>吨/年</w:t>
      </w:r>
      <w:r>
        <w:rPr>
          <w:rFonts w:hint="eastAsia"/>
          <w:lang w:eastAsia="zh-CN"/>
        </w:rPr>
        <w:t>，其总量控制指标</w:t>
      </w:r>
      <w:r>
        <w:rPr>
          <w:rFonts w:hint="eastAsia"/>
          <w:lang w:val="en-US" w:eastAsia="zh-CN"/>
        </w:rPr>
        <w:t>按照</w:t>
      </w:r>
      <w:r>
        <w:rPr>
          <w:rFonts w:hint="eastAsia"/>
          <w:lang w:eastAsia="zh-CN"/>
        </w:rPr>
        <w:t>德阳市广汉生态环境局</w:t>
      </w:r>
      <w:r>
        <w:rPr>
          <w:rFonts w:hint="eastAsia"/>
          <w:lang w:val="en-US" w:eastAsia="zh-CN"/>
        </w:rPr>
        <w:t>总量文件执行</w:t>
      </w:r>
      <w:r>
        <w:rPr>
          <w:rFonts w:hint="eastAsia" w:ascii="Times New Roman" w:hAnsi="Times New Roman" w:cs="Times New Roman"/>
          <w:lang w:val="en-US"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8</w:t>
      </w:r>
      <w:r>
        <w:rPr>
          <w:rFonts w:hint="eastAsia"/>
          <w:lang w:eastAsia="zh-CN"/>
        </w:rPr>
        <w:t>月</w:t>
      </w:r>
      <w:r>
        <w:rPr>
          <w:rFonts w:hint="eastAsia"/>
          <w:lang w:val="en-US" w:eastAsia="zh-CN"/>
        </w:rPr>
        <w:t>19</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3A83"/>
    <w:multiLevelType w:val="singleLevel"/>
    <w:tmpl w:val="82BA3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3E32"/>
    <w:rsid w:val="017860D6"/>
    <w:rsid w:val="02AE534C"/>
    <w:rsid w:val="034F6F7F"/>
    <w:rsid w:val="03DF1EFE"/>
    <w:rsid w:val="0405687A"/>
    <w:rsid w:val="06C07F19"/>
    <w:rsid w:val="07EE52C1"/>
    <w:rsid w:val="08E224A3"/>
    <w:rsid w:val="0C4A0047"/>
    <w:rsid w:val="0D8434C8"/>
    <w:rsid w:val="10476743"/>
    <w:rsid w:val="10B04339"/>
    <w:rsid w:val="11A36E95"/>
    <w:rsid w:val="121F6F46"/>
    <w:rsid w:val="1457491F"/>
    <w:rsid w:val="172E0063"/>
    <w:rsid w:val="17722C48"/>
    <w:rsid w:val="17FF1243"/>
    <w:rsid w:val="1A5823C6"/>
    <w:rsid w:val="1DA61023"/>
    <w:rsid w:val="1F9D62EA"/>
    <w:rsid w:val="207C77B4"/>
    <w:rsid w:val="233040CC"/>
    <w:rsid w:val="240472A7"/>
    <w:rsid w:val="24602490"/>
    <w:rsid w:val="25B23D47"/>
    <w:rsid w:val="266D7385"/>
    <w:rsid w:val="2A3732D1"/>
    <w:rsid w:val="2A8433D1"/>
    <w:rsid w:val="2B1D6405"/>
    <w:rsid w:val="2B4222FA"/>
    <w:rsid w:val="2C6B7FAD"/>
    <w:rsid w:val="2E624E98"/>
    <w:rsid w:val="30F523E0"/>
    <w:rsid w:val="31231C2B"/>
    <w:rsid w:val="3511441F"/>
    <w:rsid w:val="35C30878"/>
    <w:rsid w:val="365A1203"/>
    <w:rsid w:val="36BF255B"/>
    <w:rsid w:val="3847678F"/>
    <w:rsid w:val="398E50E4"/>
    <w:rsid w:val="3A6E4FAF"/>
    <w:rsid w:val="3B8A62BD"/>
    <w:rsid w:val="3CFA5D8B"/>
    <w:rsid w:val="40B70C37"/>
    <w:rsid w:val="41B502FB"/>
    <w:rsid w:val="432F1B9E"/>
    <w:rsid w:val="449D70C1"/>
    <w:rsid w:val="471A4C57"/>
    <w:rsid w:val="490D1D9A"/>
    <w:rsid w:val="493B5434"/>
    <w:rsid w:val="4AB250DD"/>
    <w:rsid w:val="4C3158E1"/>
    <w:rsid w:val="4C3F558F"/>
    <w:rsid w:val="4E20458D"/>
    <w:rsid w:val="52EB1116"/>
    <w:rsid w:val="545838A3"/>
    <w:rsid w:val="550F5283"/>
    <w:rsid w:val="55922BB8"/>
    <w:rsid w:val="5648005A"/>
    <w:rsid w:val="56EF32D7"/>
    <w:rsid w:val="598E3781"/>
    <w:rsid w:val="5A282A37"/>
    <w:rsid w:val="5EB93CF6"/>
    <w:rsid w:val="62544876"/>
    <w:rsid w:val="63ED6FC7"/>
    <w:rsid w:val="6488096B"/>
    <w:rsid w:val="648E4BFD"/>
    <w:rsid w:val="65AB4EFC"/>
    <w:rsid w:val="662B4514"/>
    <w:rsid w:val="66737356"/>
    <w:rsid w:val="67D747D7"/>
    <w:rsid w:val="6CC97B23"/>
    <w:rsid w:val="6F4577DC"/>
    <w:rsid w:val="70924242"/>
    <w:rsid w:val="709B28DF"/>
    <w:rsid w:val="71823CF1"/>
    <w:rsid w:val="71D36ECE"/>
    <w:rsid w:val="721553B9"/>
    <w:rsid w:val="73261DAF"/>
    <w:rsid w:val="74A42A0A"/>
    <w:rsid w:val="765B6ABB"/>
    <w:rsid w:val="77712936"/>
    <w:rsid w:val="77D93560"/>
    <w:rsid w:val="78901500"/>
    <w:rsid w:val="78A0421B"/>
    <w:rsid w:val="7BD55DBA"/>
    <w:rsid w:val="7C326B40"/>
    <w:rsid w:val="7C4976F5"/>
    <w:rsid w:val="7FDF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paragraph" w:customStyle="1" w:styleId="6">
    <w:name w:val="+正文"/>
    <w:basedOn w:val="1"/>
    <w:qFormat/>
    <w:uiPriority w:val="0"/>
    <w:pPr>
      <w:spacing w:line="360" w:lineRule="auto"/>
      <w:ind w:firstLine="200" w:firstLineChars="200"/>
    </w:pPr>
    <w:rPr>
      <w:sz w:val="24"/>
      <w:szCs w:val="28"/>
    </w:rPr>
  </w:style>
  <w:style w:type="character" w:customStyle="1" w:styleId="7">
    <w:name w:val="标题 1 字符"/>
    <w:basedOn w:val="5"/>
    <w:link w:val="2"/>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2303</Words>
  <Characters>2409</Characters>
  <Lines>0</Lines>
  <Paragraphs>0</Paragraphs>
  <TotalTime>9</TotalTime>
  <ScaleCrop>false</ScaleCrop>
  <LinksUpToDate>false</LinksUpToDate>
  <CharactersWithSpaces>2495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2025-08-19T02:11:06Z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D7D2B16DD29F4F32B7E6D96B409ECADF_13</vt:lpwstr>
  </property>
  <property fmtid="{D5CDD505-2E9C-101B-9397-08002B2CF9AE}" pid="4" name="KSOTemplateDocerSaveRecord">
    <vt:lpwstr>eyJoZGlkIjoiZTcwY2IwODA0NjBmNjU3YzQ0NzhjZjQ5Nzc1ODVhMjUiLCJ1c2VySWQiOiIxNjYwNzk2ODQ1In0=</vt:lpwstr>
  </property>
</Properties>
</file>