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247</w:t>
      </w:r>
      <w:r>
        <w:rPr>
          <w:rFonts w:eastAsia="仿宋_GB2312"/>
          <w:sz w:val="32"/>
          <w:szCs w:val="32"/>
        </w:rPr>
        <w:t>号</w:t>
      </w:r>
      <w:bookmarkStart w:id="0" w:name="_GoBack"/>
      <w:bookmarkEnd w:id="0"/>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广汉市兴隆广宏塑料包装加工厂塑料编织袋吹膜技改项目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广汉市兴隆广宏塑料包装加工厂</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塑料编织袋吹膜技改项目</w:t>
      </w:r>
      <w:r>
        <w:rPr>
          <w:rFonts w:hint="eastAsia"/>
          <w:lang w:eastAsia="zh-CN"/>
        </w:rPr>
        <w:t>《环境影响报告表》（以下简称“报告表”）收悉。经研究，批复如下：</w:t>
      </w:r>
    </w:p>
    <w:p w14:paraId="537042FE">
      <w:pPr>
        <w:pStyle w:val="2"/>
        <w:numPr>
          <w:ilvl w:val="0"/>
          <w:numId w:val="1"/>
        </w:numPr>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w:t>
      </w:r>
      <w:r>
        <w:rPr>
          <w:rFonts w:hint="eastAsia" w:ascii="Times New Roman" w:hAnsi="Times New Roman" w:eastAsia="仿宋_GB2312" w:cs="Times New Roman"/>
          <w:kern w:val="2"/>
          <w:sz w:val="32"/>
          <w:szCs w:val="24"/>
          <w:lang w:val="en-US" w:eastAsia="zh-CN" w:bidi="ar-SA"/>
        </w:rPr>
        <w:t>项目为技改项目</w:t>
      </w:r>
      <w:r>
        <w:rPr>
          <w:rFonts w:hint="eastAsia" w:ascii="Times New Roman" w:hAnsi="Times New Roman"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拟在广汉市金轮镇兴隆社区西林村十九社现有厂房进行建设，不新增用地面积。项目内容及规模为：对现有生产车间进行适应性改造，依托相关公辅设施，购置吹膜机2台，布设吹膜生产线，建成后新增年产塑料薄膜袋30万条（约20万吨）用于原项目部分编织袋覆膜，原项目年产利森水泥袋300万条、峨宏水泥袋175万条、蜀风水泥袋85万条、高争水泥袋50万条、内江玻璃编织袋35万条的产能不改变。项目总投资100万元，其中环保投资11.2万元。</w:t>
      </w:r>
    </w:p>
    <w:p w14:paraId="5200CD3C">
      <w:pPr>
        <w:keepNext w:val="0"/>
        <w:keepLines w:val="0"/>
        <w:widowControl/>
        <w:suppressLineNumbers w:val="0"/>
        <w:jc w:val="left"/>
        <w:rPr>
          <w:rFonts w:hint="eastAsia"/>
          <w:lang w:eastAsia="zh-CN"/>
        </w:rPr>
      </w:pPr>
      <w:r>
        <w:rPr>
          <w:rFonts w:hint="eastAsia"/>
          <w:lang w:eastAsia="zh-CN"/>
        </w:rPr>
        <w:t>项目在四川省投资项目在线审批监管平台进行了备案（备案号：川投资备[</w:t>
      </w:r>
      <w:r>
        <w:rPr>
          <w:rFonts w:hint="eastAsia"/>
          <w:lang w:val="en-US" w:eastAsia="zh-CN"/>
        </w:rPr>
        <w:t>2412-510681-07-02-673331</w:t>
      </w:r>
      <w:r>
        <w:rPr>
          <w:rFonts w:hint="eastAsia"/>
          <w:lang w:eastAsia="zh-CN"/>
        </w:rPr>
        <w:t>]</w:t>
      </w:r>
      <w:r>
        <w:rPr>
          <w:rFonts w:hint="eastAsia"/>
          <w:lang w:val="en-US" w:eastAsia="zh-CN"/>
        </w:rPr>
        <w:t>JXQB-0847</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ascii="Times New Roman" w:hAnsi="Times New Roman" w:cs="Times New Roman"/>
          <w:lang w:val="zh-CN" w:eastAsia="zh-CN"/>
        </w:rPr>
        <w:t>《</w:t>
      </w:r>
      <w:r>
        <w:rPr>
          <w:rFonts w:hint="eastAsia" w:cs="Times New Roman"/>
          <w:lang w:val="en-US" w:eastAsia="zh-CN"/>
        </w:rPr>
        <w:t>天府旌城南片区</w:t>
      </w:r>
      <w:r>
        <w:rPr>
          <w:rFonts w:hint="eastAsia" w:ascii="Times New Roman" w:hAnsi="Times New Roman" w:cs="Times New Roman"/>
          <w:lang w:val="en-US" w:eastAsia="zh-CN"/>
        </w:rPr>
        <w:t>国土空间总体规划(2021-2035年)</w:t>
      </w:r>
      <w:r>
        <w:rPr>
          <w:rFonts w:hint="eastAsia" w:ascii="Times New Roman" w:hAnsi="Times New Roman" w:cs="Times New Roman"/>
          <w:lang w:val="zh-CN" w:eastAsia="zh-CN"/>
        </w:rPr>
        <w:t>》</w:t>
      </w:r>
      <w:r>
        <w:rPr>
          <w:rFonts w:hint="eastAsia" w:cs="Times New Roman"/>
          <w:lang w:val="zh-CN" w:eastAsia="zh-CN"/>
        </w:rPr>
        <w:t>以及</w:t>
      </w:r>
      <w:r>
        <w:rPr>
          <w:rFonts w:hint="eastAsia" w:ascii="仿宋_GB2312" w:hAnsi="仿宋_GB2312" w:eastAsia="仿宋_GB2312" w:cs="仿宋_GB2312"/>
          <w:sz w:val="32"/>
          <w:szCs w:val="32"/>
          <w:lang w:val="en-US" w:eastAsia="zh-CN"/>
        </w:rPr>
        <w:t>广汉市兴隆广宏塑料包装加工厂</w:t>
      </w:r>
      <w:r>
        <w:rPr>
          <w:rFonts w:hint="eastAsia" w:ascii="仿宋_GB2312" w:hAnsi="仿宋_GB2312" w:cs="仿宋_GB2312"/>
          <w:sz w:val="32"/>
          <w:szCs w:val="32"/>
          <w:lang w:val="en-US" w:eastAsia="zh-CN"/>
        </w:rPr>
        <w:t>取得的《不动产权证》</w:t>
      </w:r>
      <w:r>
        <w:rPr>
          <w:rFonts w:hint="eastAsia" w:ascii="Times New Roman" w:hAnsi="Times New Roman" w:cs="Times New Roman"/>
          <w:lang w:val="en-US" w:eastAsia="zh-CN"/>
        </w:rPr>
        <w:t>，项</w:t>
      </w:r>
      <w:r>
        <w:rPr>
          <w:rFonts w:hint="eastAsia"/>
          <w:lang w:val="en-US" w:eastAsia="zh-CN"/>
        </w:rPr>
        <w:t>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widowControl/>
        <w:suppressLineNumbers w:val="0"/>
        <w:jc w:val="left"/>
        <w:rPr>
          <w:rFonts w:hint="eastAsia"/>
          <w:lang w:val="en-US" w:eastAsia="zh-CN"/>
        </w:rPr>
      </w:pPr>
      <w:r>
        <w:rPr>
          <w:rFonts w:hint="eastAsia"/>
          <w:lang w:eastAsia="zh-CN"/>
        </w:rPr>
        <w:t>（三）严格落实并优化报告表提出的各项废气处理措施。</w:t>
      </w:r>
      <w:r>
        <w:rPr>
          <w:rFonts w:hint="eastAsia"/>
          <w:lang w:val="en-US" w:eastAsia="zh-CN"/>
        </w:rPr>
        <w:t>设置单独的吹膜隔间、印刷隔间、覆膜隔间，落实设备上方的集气罩+二级活性炭装置，确保本项目吹膜有机废气与原项目印刷、覆膜有机废气一同经收集处理后由1根15m高排气筒达标排放，对周边环境不产生影响。</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本项目不新增生活污水</w:t>
      </w:r>
      <w:r>
        <w:rPr>
          <w:rFonts w:hint="eastAsia" w:ascii="Times New Roman" w:hAnsi="Times New Roman" w:cs="Times New Roman"/>
          <w:lang w:val="en-US" w:eastAsia="zh-CN"/>
        </w:rPr>
        <w:t>，无生产废水产生；原项目生活污水依托厂区已建预处理池处理达《污水综合排放标准》（GB8978-1996）中三级标准后排入市政污水管网，再经广汉市第十九污水处理站处理达《城镇污水处理厂污染物排放标准》一级A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废边角料定期外售综合利用；废活性炭、废润滑油、废润滑油桶、含油棉纱手套属于危险废物，须妥善安全收储，落实专人管理，并严格执行转移联单制度，定期交有危废处理资质的单位处置，其暂存区须采取必要的防风、防晒、防雨、防漏、防渗、防腐以及其他环境污染防治措施。</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危险废物暂存间、</w:t>
      </w:r>
      <w:r>
        <w:rPr>
          <w:rFonts w:hint="eastAsia" w:ascii="仿宋_GB2312" w:hAnsi="仿宋_GB2312" w:cs="仿宋_GB2312"/>
          <w:bCs/>
          <w:color w:val="000000" w:themeColor="text1"/>
          <w:sz w:val="32"/>
          <w:szCs w:val="32"/>
          <w:lang w:val="en-US" w:eastAsia="zh-CN"/>
          <w14:textFill>
            <w14:solidFill>
              <w14:schemeClr w14:val="tx1"/>
            </w14:solidFill>
          </w14:textFill>
        </w:rPr>
        <w:t>化粪池、印刷间</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生产车间、原料堆放区、成品堆放区、一般固废堆放区设置为一般防渗区，将办公接待区设置为简单防渗区，</w:t>
      </w:r>
      <w:r>
        <w:rPr>
          <w:rFonts w:hint="eastAsia"/>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0B8B60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val="en-US" w:eastAsia="zh-CN"/>
        </w:rPr>
      </w:pPr>
      <w:r>
        <w:rPr>
          <w:rFonts w:hint="eastAsia"/>
          <w:lang w:eastAsia="zh-CN"/>
        </w:rPr>
        <w:t>三、该项目运营后，</w:t>
      </w:r>
      <w:r>
        <w:rPr>
          <w:rFonts w:hint="eastAsia"/>
          <w:lang w:val="en-US" w:eastAsia="zh-CN"/>
        </w:rPr>
        <w:t>全厂挥发性有机物排放量为0.0878吨/年，</w:t>
      </w:r>
      <w:r>
        <w:rPr>
          <w:rFonts w:ascii="仿宋_GB2312" w:hAnsi="仿宋_GB2312" w:eastAsia="仿宋_GB2312" w:cs="仿宋_GB2312"/>
          <w:sz w:val="32"/>
          <w:szCs w:val="32"/>
          <w:highlight w:val="none"/>
        </w:rPr>
        <w:t>化学需氧量</w:t>
      </w:r>
      <w:r>
        <w:rPr>
          <w:rFonts w:hint="eastAsia"/>
          <w:lang w:val="en-US" w:eastAsia="zh-CN"/>
        </w:rPr>
        <w:t>排放量为</w:t>
      </w:r>
      <w:r>
        <w:rPr>
          <w:rFonts w:hint="eastAsia" w:cs="Times New Roman"/>
          <w:sz w:val="32"/>
          <w:szCs w:val="32"/>
          <w:highlight w:val="none"/>
          <w:lang w:val="en-US" w:eastAsia="zh-CN"/>
        </w:rPr>
        <w:t>0.011</w:t>
      </w:r>
      <w:r>
        <w:rPr>
          <w:rFonts w:ascii="仿宋_GB2312" w:hAnsi="仿宋_GB2312" w:eastAsia="仿宋_GB2312" w:cs="仿宋_GB2312"/>
          <w:sz w:val="32"/>
          <w:szCs w:val="32"/>
          <w:highlight w:val="none"/>
        </w:rPr>
        <w:t>吨/年</w:t>
      </w:r>
      <w:r>
        <w:rPr>
          <w:rFonts w:hint="eastAsia" w:ascii="仿宋_GB2312" w:hAnsi="仿宋_GB2312" w:cs="仿宋_GB2312"/>
          <w:sz w:val="32"/>
          <w:szCs w:val="32"/>
          <w:highlight w:val="none"/>
          <w:lang w:eastAsia="zh-CN"/>
        </w:rPr>
        <w:t>，</w:t>
      </w:r>
      <w:r>
        <w:rPr>
          <w:rFonts w:ascii="仿宋_GB2312" w:hAnsi="仿宋_GB2312" w:eastAsia="仿宋_GB2312" w:cs="仿宋_GB2312"/>
          <w:sz w:val="32"/>
          <w:szCs w:val="32"/>
          <w:highlight w:val="none"/>
        </w:rPr>
        <w:t>氨氮</w:t>
      </w:r>
      <w:r>
        <w:rPr>
          <w:rFonts w:hint="eastAsia"/>
          <w:lang w:val="en-US" w:eastAsia="zh-CN"/>
        </w:rPr>
        <w:t>排放量为</w:t>
      </w:r>
      <w:r>
        <w:rPr>
          <w:rFonts w:hint="eastAsia"/>
          <w:sz w:val="32"/>
          <w:szCs w:val="32"/>
          <w:highlight w:val="none"/>
          <w:lang w:val="en-US" w:eastAsia="zh-CN"/>
        </w:rPr>
        <w:t>0.002</w:t>
      </w:r>
      <w:r>
        <w:rPr>
          <w:rFonts w:ascii="仿宋_GB2312" w:hAnsi="仿宋_GB2312" w:eastAsia="仿宋_GB2312" w:cs="仿宋_GB2312"/>
          <w:sz w:val="32"/>
          <w:szCs w:val="32"/>
          <w:highlight w:val="none"/>
        </w:rPr>
        <w:t>吨/年</w:t>
      </w:r>
      <w:r>
        <w:rPr>
          <w:rFonts w:hint="eastAsia"/>
          <w:lang w:eastAsia="zh-CN"/>
        </w:rPr>
        <w:t>，</w:t>
      </w:r>
      <w:r>
        <w:rPr>
          <w:rFonts w:hint="eastAsia"/>
          <w:lang w:val="en-US" w:eastAsia="zh-CN"/>
        </w:rPr>
        <w:t>不新增总量指标</w:t>
      </w:r>
      <w:r>
        <w:rPr>
          <w:rFonts w:hint="eastAsia" w:ascii="Times New Roman" w:hAnsi="Times New Roman" w:cs="Times New Roman"/>
          <w:lang w:val="en-US" w:eastAsia="zh-CN"/>
        </w:rPr>
        <w:t>。</w:t>
      </w:r>
    </w:p>
    <w:p w14:paraId="1AAA78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25EEB10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5444C51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477938B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04E511A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8</w:t>
      </w:r>
      <w:r>
        <w:rPr>
          <w:rFonts w:hint="eastAsia"/>
          <w:lang w:eastAsia="zh-CN"/>
        </w:rPr>
        <w:t>月</w:t>
      </w:r>
      <w:r>
        <w:rPr>
          <w:rFonts w:hint="eastAsia"/>
          <w:lang w:val="en-US" w:eastAsia="zh-CN"/>
        </w:rPr>
        <w:t>29</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996F9"/>
    <w:multiLevelType w:val="singleLevel"/>
    <w:tmpl w:val="5C0996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5454F"/>
    <w:rsid w:val="02AE534C"/>
    <w:rsid w:val="034F6F7F"/>
    <w:rsid w:val="03DF1EFE"/>
    <w:rsid w:val="0405687A"/>
    <w:rsid w:val="06C07F19"/>
    <w:rsid w:val="07EE52C1"/>
    <w:rsid w:val="08E224A3"/>
    <w:rsid w:val="0C4A0047"/>
    <w:rsid w:val="0D8434C8"/>
    <w:rsid w:val="10476743"/>
    <w:rsid w:val="11A36E95"/>
    <w:rsid w:val="121F6F46"/>
    <w:rsid w:val="172E0063"/>
    <w:rsid w:val="17722C48"/>
    <w:rsid w:val="17FF1243"/>
    <w:rsid w:val="1A5823C6"/>
    <w:rsid w:val="1DA61023"/>
    <w:rsid w:val="1F9D62EA"/>
    <w:rsid w:val="1FA7787B"/>
    <w:rsid w:val="207C77B4"/>
    <w:rsid w:val="233040CC"/>
    <w:rsid w:val="240472A7"/>
    <w:rsid w:val="24602490"/>
    <w:rsid w:val="25B23D47"/>
    <w:rsid w:val="25FF5535"/>
    <w:rsid w:val="2A3732D1"/>
    <w:rsid w:val="2A8433D1"/>
    <w:rsid w:val="2B1D6405"/>
    <w:rsid w:val="2B4222FA"/>
    <w:rsid w:val="2C6B7FAD"/>
    <w:rsid w:val="2E624E98"/>
    <w:rsid w:val="30F523E0"/>
    <w:rsid w:val="31231C2B"/>
    <w:rsid w:val="3511441F"/>
    <w:rsid w:val="35C30878"/>
    <w:rsid w:val="36BF255B"/>
    <w:rsid w:val="3847678F"/>
    <w:rsid w:val="398E50E4"/>
    <w:rsid w:val="3A6E4FAF"/>
    <w:rsid w:val="3B8A62BD"/>
    <w:rsid w:val="3C2A03C4"/>
    <w:rsid w:val="41B502FB"/>
    <w:rsid w:val="432F1B9E"/>
    <w:rsid w:val="449D70C1"/>
    <w:rsid w:val="452C1BB7"/>
    <w:rsid w:val="471A4C57"/>
    <w:rsid w:val="490D1D9A"/>
    <w:rsid w:val="493B5434"/>
    <w:rsid w:val="4AB250DD"/>
    <w:rsid w:val="4C3F558F"/>
    <w:rsid w:val="4C8A6F6D"/>
    <w:rsid w:val="4E20458D"/>
    <w:rsid w:val="4F74489F"/>
    <w:rsid w:val="52EB1116"/>
    <w:rsid w:val="545838A3"/>
    <w:rsid w:val="550F5283"/>
    <w:rsid w:val="55922BB8"/>
    <w:rsid w:val="5648005A"/>
    <w:rsid w:val="56EF32D7"/>
    <w:rsid w:val="598E3781"/>
    <w:rsid w:val="5A282A37"/>
    <w:rsid w:val="5E06623C"/>
    <w:rsid w:val="5EFF032E"/>
    <w:rsid w:val="62544876"/>
    <w:rsid w:val="6356400A"/>
    <w:rsid w:val="63ED6FC7"/>
    <w:rsid w:val="6488096B"/>
    <w:rsid w:val="65AB4EFC"/>
    <w:rsid w:val="662B4514"/>
    <w:rsid w:val="66737356"/>
    <w:rsid w:val="67D747D7"/>
    <w:rsid w:val="6CC97B23"/>
    <w:rsid w:val="6F4577DC"/>
    <w:rsid w:val="709B28DF"/>
    <w:rsid w:val="71D36ECE"/>
    <w:rsid w:val="721553B9"/>
    <w:rsid w:val="73261DAF"/>
    <w:rsid w:val="765B6ABB"/>
    <w:rsid w:val="77712936"/>
    <w:rsid w:val="77D93560"/>
    <w:rsid w:val="78901500"/>
    <w:rsid w:val="78A0421B"/>
    <w:rsid w:val="7AC85181"/>
    <w:rsid w:val="7BD55DBA"/>
    <w:rsid w:val="7C326B40"/>
    <w:rsid w:val="7C49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2320</Words>
  <Characters>2409</Characters>
  <Lines>0</Lines>
  <Paragraphs>0</Paragraphs>
  <TotalTime>2</TotalTime>
  <ScaleCrop>false</ScaleCrop>
  <LinksUpToDate>false</LinksUpToDate>
  <CharactersWithSpaces>2495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2025-08-29T02:23:47Z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9949B1A7DFE54139A85B89835E903686_13</vt:lpwstr>
  </property>
  <property fmtid="{D5CDD505-2E9C-101B-9397-08002B2CF9AE}" pid="4" name="KSOTemplateDocerSaveRecord">
    <vt:lpwstr>eyJoZGlkIjoiZTcwY2IwODA0NjBmNjU3YzQ0NzhjZjQ5Nzc1ODVhMjUiLCJ1c2VySWQiOiIxNjYwNzk2ODQ1In0=</vt:lpwstr>
  </property>
</Properties>
</file>