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264</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190F77BB">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四川建园新型建筑材料有限公司一般</w:t>
      </w:r>
    </w:p>
    <w:p w14:paraId="74B6D72B">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固废资源化综合利用项目</w:t>
      </w:r>
      <w:r>
        <w:rPr>
          <w:rFonts w:ascii="Times New Roman" w:hAnsi="Times New Roman" w:eastAsia="方正小标宋简体" w:cs="Times New Roman"/>
          <w:sz w:val="44"/>
          <w:szCs w:val="44"/>
        </w:rPr>
        <w:t>《环境影响报告表》</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四川建园新型建筑材料有限公司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一般固废资源化综合利用项目</w:t>
      </w:r>
      <w:r>
        <w:rPr>
          <w:rFonts w:hint="eastAsia" w:ascii="仿宋_GB2312" w:hAnsi="仿宋_GB2312" w:cs="仿宋_GB2312"/>
          <w:sz w:val="32"/>
          <w:szCs w:val="32"/>
          <w:lang w:val="en-US" w:eastAsia="zh-CN"/>
        </w:rPr>
        <w:t>《</w:t>
      </w:r>
      <w:r>
        <w:rPr>
          <w:rFonts w:hint="eastAsia"/>
          <w:lang w:eastAsia="zh-CN"/>
        </w:rPr>
        <w:t>环境影响报告表</w:t>
      </w:r>
      <w:r>
        <w:rPr>
          <w:rFonts w:hint="eastAsia" w:ascii="仿宋_GB2312" w:hAnsi="仿宋_GB2312" w:cs="仿宋_GB2312"/>
          <w:sz w:val="32"/>
          <w:szCs w:val="32"/>
          <w:lang w:val="en-US" w:eastAsia="zh-CN"/>
        </w:rPr>
        <w:t>》</w:t>
      </w:r>
      <w:r>
        <w:rPr>
          <w:rFonts w:hint="eastAsia"/>
          <w:lang w:eastAsia="zh-CN"/>
        </w:rPr>
        <w:t>（以下简称“报告表”）收悉。经研究，批复如下：</w:t>
      </w:r>
    </w:p>
    <w:p w14:paraId="0C86FAB5">
      <w:pPr>
        <w:pStyle w:val="2"/>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技改项目,拟在四川省德阳市广汉市连山镇石门村1社原已建标准化厂房内建设，不新增用地。项目内容及规模为：依托原有生产设备及公辅设施，将生活垃圾焚烧炉炉渣按8%比例替代页岩进行制砖，不增加页岩砖产能。项目建成后页岩砖年产能仍为2.0亿匹（折标砖）。项目总投资100万元，其中环保投资22万元。</w:t>
      </w:r>
    </w:p>
    <w:p w14:paraId="5200CD3C">
      <w:pPr>
        <w:pStyle w:val="2"/>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项目在四川省投资项目在线审批监管平台进行了备案（备案号：川投资备[2</w:t>
      </w:r>
      <w:r>
        <w:rPr>
          <w:rFonts w:hint="eastAsia" w:ascii="仿宋_GB2312" w:hAnsi="仿宋_GB2312" w:cs="仿宋_GB2312"/>
          <w:kern w:val="2"/>
          <w:sz w:val="32"/>
          <w:szCs w:val="32"/>
          <w:lang w:val="en-US" w:eastAsia="zh-CN" w:bidi="ar-SA"/>
        </w:rPr>
        <w:t>305</w:t>
      </w:r>
      <w:r>
        <w:rPr>
          <w:rFonts w:hint="eastAsia" w:ascii="仿宋_GB2312" w:hAnsi="仿宋_GB2312" w:eastAsia="仿宋_GB2312" w:cs="仿宋_GB2312"/>
          <w:kern w:val="2"/>
          <w:sz w:val="32"/>
          <w:szCs w:val="32"/>
          <w:lang w:val="en-US" w:eastAsia="zh-CN" w:bidi="ar-SA"/>
        </w:rPr>
        <w:t>-510681-0</w:t>
      </w:r>
      <w:r>
        <w:rPr>
          <w:rFonts w:hint="eastAsia" w:ascii="仿宋_GB2312" w:hAnsi="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-0</w:t>
      </w: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925187</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JX</w:t>
      </w:r>
      <w:r>
        <w:rPr>
          <w:rFonts w:hint="eastAsia" w:ascii="仿宋_GB2312" w:hAnsi="仿宋_GB2312" w:eastAsia="仿宋_GB2312" w:cs="仿宋_GB2312"/>
          <w:kern w:val="2"/>
          <w:sz w:val="32"/>
          <w:szCs w:val="32"/>
          <w:lang w:val="en-US" w:eastAsia="zh-CN" w:bidi="ar-SA"/>
        </w:rPr>
        <w:t>QB-0</w:t>
      </w:r>
      <w:r>
        <w:rPr>
          <w:rFonts w:hint="eastAsia" w:ascii="仿宋_GB2312" w:hAnsi="仿宋_GB2312" w:cs="仿宋_GB2312"/>
          <w:kern w:val="2"/>
          <w:sz w:val="32"/>
          <w:szCs w:val="32"/>
          <w:lang w:val="en-US" w:eastAsia="zh-CN" w:bidi="ar-SA"/>
        </w:rPr>
        <w:t>142</w:t>
      </w:r>
      <w:r>
        <w:rPr>
          <w:rFonts w:hint="eastAsia" w:ascii="仿宋_GB2312" w:hAnsi="仿宋_GB2312" w:eastAsia="仿宋_GB2312" w:cs="仿宋_GB2312"/>
          <w:kern w:val="2"/>
          <w:sz w:val="32"/>
          <w:szCs w:val="32"/>
          <w:lang w:val="en-US" w:eastAsia="zh-CN" w:bidi="ar-SA"/>
        </w:rPr>
        <w:t>号），符合国家现行产业政策</w:t>
      </w:r>
      <w:r>
        <w:rPr>
          <w:rFonts w:hint="eastAsia" w:ascii="仿宋_GB2312" w:hAnsi="仿宋_GB2312" w:eastAsia="仿宋_GB2312" w:cs="仿宋_GB2312"/>
          <w:kern w:val="2"/>
          <w:sz w:val="32"/>
          <w:szCs w:val="32"/>
          <w:lang w:val="zh-CN" w:eastAsia="zh-CN" w:bidi="ar-SA"/>
        </w:rPr>
        <w:t>；该项目符合德阳市生态环境分区管控相关要求，</w:t>
      </w: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kern w:val="2"/>
          <w:sz w:val="32"/>
          <w:szCs w:val="32"/>
          <w:lang w:val="zh-CN" w:eastAsia="zh-CN" w:bidi="ar-SA"/>
        </w:rPr>
        <w:t>《广汉国家现代农业产业园片区国土空间总体规划（2021-2035年）》</w:t>
      </w:r>
      <w:r>
        <w:rPr>
          <w:rFonts w:hint="eastAsia" w:ascii="仿宋_GB2312" w:hAnsi="仿宋_GB2312" w:eastAsia="仿宋_GB2312" w:cs="仿宋_GB2312"/>
          <w:kern w:val="2"/>
          <w:sz w:val="32"/>
          <w:szCs w:val="32"/>
          <w:lang w:val="en-US" w:eastAsia="zh-CN" w:bidi="ar-SA"/>
        </w:rPr>
        <w:t>及</w:t>
      </w:r>
      <w:r>
        <w:rPr>
          <w:rFonts w:hint="eastAsia" w:ascii="仿宋_GB2312" w:hAnsi="仿宋_GB2312" w:eastAsia="仿宋_GB2312" w:cs="仿宋_GB2312"/>
          <w:sz w:val="32"/>
          <w:szCs w:val="32"/>
          <w:lang w:val="en-US" w:eastAsia="zh-CN"/>
        </w:rPr>
        <w:t>四川建园新型建筑材料有限公司</w:t>
      </w:r>
      <w:r>
        <w:rPr>
          <w:rFonts w:hint="eastAsia" w:ascii="仿宋_GB2312" w:hAnsi="仿宋_GB2312" w:eastAsia="仿宋_GB2312" w:cs="仿宋_GB2312"/>
          <w:kern w:val="2"/>
          <w:sz w:val="32"/>
          <w:szCs w:val="32"/>
          <w:lang w:val="en-US" w:eastAsia="zh-CN" w:bidi="ar-SA"/>
        </w:rPr>
        <w:t>取得的</w:t>
      </w:r>
      <w:r>
        <w:rPr>
          <w:rFonts w:hint="eastAsia" w:ascii="仿宋_GB2312" w:hAnsi="仿宋_GB2312" w:eastAsia="仿宋_GB2312" w:cs="仿宋_GB2312"/>
          <w:sz w:val="32"/>
          <w:szCs w:val="32"/>
          <w:lang w:val="en-US" w:eastAsia="zh-CN"/>
        </w:rPr>
        <w:t>《国有土地使用证》，</w:t>
      </w:r>
      <w:r>
        <w:rPr>
          <w:rFonts w:hint="eastAsia" w:ascii="仿宋_GB2312" w:hAnsi="仿宋_GB2312" w:eastAsia="仿宋_GB2312" w:cs="仿宋_GB2312"/>
          <w:kern w:val="2"/>
          <w:sz w:val="32"/>
          <w:szCs w:val="32"/>
          <w:lang w:val="en-US" w:eastAsia="zh-CN" w:bidi="ar-SA"/>
        </w:rPr>
        <w:t>项目用地性质为工业用地，选址符合规划。</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40CA39A3">
      <w:pPr>
        <w:pStyle w:val="2"/>
        <w:spacing w:line="560" w:lineRule="exact"/>
        <w:ind w:firstLine="64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kern w:val="2"/>
          <w:sz w:val="32"/>
          <w:szCs w:val="24"/>
          <w:lang w:val="en-US" w:eastAsia="zh-CN" w:bidi="ar-SA"/>
        </w:rPr>
        <w:t>（</w:t>
      </w:r>
      <w:r>
        <w:rPr>
          <w:rFonts w:hint="eastAsia" w:cs="Times New Roman"/>
          <w:kern w:val="2"/>
          <w:sz w:val="32"/>
          <w:szCs w:val="24"/>
          <w:lang w:val="en-US" w:eastAsia="zh-CN" w:bidi="ar-SA"/>
        </w:rPr>
        <w:t>二</w:t>
      </w:r>
      <w:r>
        <w:rPr>
          <w:rFonts w:hint="eastAsia" w:ascii="Times New Roman" w:hAnsi="Times New Roman" w:eastAsia="仿宋_GB2312" w:cs="Times New Roman"/>
          <w:kern w:val="2"/>
          <w:sz w:val="32"/>
          <w:szCs w:val="24"/>
          <w:lang w:val="en-US" w:eastAsia="zh-CN" w:bidi="ar-SA"/>
        </w:rPr>
        <w:t>）严格落实并优化报告表提出的各项废气处理措施。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1#、2#原料加工车间的原料密闭传送，颚式破碎机及滚动筛的密闭管道收集，单轴破碎机、上料及搅拌工序的集气罩，确保上料、破碎以及筛分粉尘收集</w:t>
      </w:r>
      <w:r>
        <w:rPr>
          <w:rFonts w:hint="eastAsia" w:ascii="仿宋_GB2312" w:hAnsi="仿宋_GB2312" w:cs="仿宋_GB2312"/>
          <w:bCs/>
          <w:color w:val="000000" w:themeColor="text1"/>
          <w:sz w:val="32"/>
          <w:szCs w:val="32"/>
          <w:lang w:val="en-US" w:eastAsia="zh-CN"/>
          <w14:textFill>
            <w14:solidFill>
              <w14:schemeClr w14:val="tx1"/>
            </w14:solidFill>
          </w14:textFill>
        </w:rPr>
        <w:t>后经布袋除尘器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处理后分别由一根15m高排气筒达标排放；分别落实1#、2#生产车间炉窑的密闭管道收集+旋风除尘+二级脱硫除尘塔，确保炉窑颗粒物、二氧化硫、氮氧化物、氟化物经收集处理后分别由一根17m和一根37m高排气筒达标排放；落实原料库及煤库的封闭和遮挡措施，运输车辆的遮盖以及厂区定期洒水措施，确保少量原料库及煤库粉尘、运输车辆扬尘达标排放，对周围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（三）严格落实并优化报告表提出的各项废水处理措施。</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脱硫塔喷淋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废水、</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车辆清洗</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废水循环利用，不外排；初期雨水经收集后用于厂区洒水降尘，不外排；生活污水经油水分离器及预处理池处理后，用于周边农田施肥，不外排。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（四）严格落实并优化报告表提出的噪声污染防治措施。合理布局生产车间产噪设施，对高噪作业点和高噪设备配套有效的隔音、降噪及减振设施，确保厂界噪声达标排放不扰民。</w:t>
      </w:r>
    </w:p>
    <w:p w14:paraId="67E758FB">
      <w:pPr>
        <w:pStyle w:val="4"/>
        <w:rPr>
          <w:rFonts w:hint="eastAsia"/>
          <w:lang w:eastAsia="zh-CN"/>
        </w:rPr>
      </w:pPr>
      <w:r>
        <w:rPr>
          <w:rFonts w:hint="eastAsia"/>
          <w:lang w:eastAsia="zh-CN"/>
        </w:rPr>
        <w:t>（五）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w:t>
      </w:r>
      <w:r>
        <w:rPr>
          <w:rFonts w:hint="eastAsia" w:ascii="Times New Roman" w:hAnsi="Times New Roman" w:cs="Times New Roman"/>
          <w:lang w:val="en-US" w:eastAsia="zh-CN"/>
        </w:rPr>
        <w:t>目</w:t>
      </w:r>
      <w:r>
        <w:rPr>
          <w:rFonts w:hint="eastAsia" w:ascii="Times New Roman" w:hAnsi="Times New Roman" w:cs="Times New Roman"/>
          <w:lang w:eastAsia="zh-CN"/>
        </w:rPr>
        <w:t>餐厨垃圾及</w:t>
      </w:r>
      <w:r>
        <w:rPr>
          <w:rFonts w:hint="eastAsia" w:ascii="Times New Roman" w:hAnsi="Times New Roman" w:cs="Times New Roman"/>
          <w:lang w:val="en-US" w:eastAsia="zh-CN"/>
        </w:rPr>
        <w:t>油水分离器排油交</w:t>
      </w:r>
      <w:r>
        <w:rPr>
          <w:rFonts w:hint="eastAsia" w:ascii="Times New Roman" w:hAnsi="Times New Roman" w:cs="Times New Roman"/>
          <w:lang w:eastAsia="zh-CN"/>
        </w:rPr>
        <w:t>由有处理能力的单位处置；</w:t>
      </w:r>
      <w:r>
        <w:rPr>
          <w:rFonts w:hint="eastAsia" w:ascii="Times New Roman" w:hAnsi="Times New Roman" w:cs="Times New Roman"/>
          <w:lang w:val="en-US" w:eastAsia="zh-CN"/>
        </w:rPr>
        <w:t>不合格品、除尘灰、脱硫石膏渣回用于生产；废机油、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废机油桶</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、含油棉纱手套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（六）严格落实并优化报告表提出的地下水和土壤污染防治措施。项目将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机修间、危废暂存间、脱硫除尘塔基座及循环水池</w:t>
      </w:r>
      <w:r>
        <w:rPr>
          <w:rFonts w:hint="eastAsia"/>
          <w:lang w:eastAsia="zh-CN"/>
        </w:rPr>
        <w:t>设置</w:t>
      </w:r>
      <w:r>
        <w:rPr>
          <w:rFonts w:hint="eastAsia"/>
          <w:highlight w:val="none"/>
          <w:lang w:eastAsia="zh-CN"/>
        </w:rPr>
        <w:t>为重点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防渗区，将预处理池、沉淀池、初期雨水收集池、1#生产车间、2#生产车间、煤库、原料库、炉渣贮存区设置为一般防渗区，将成品堆场（露天）、生活办公区、厂区道路设置为简单防渗区，分别采取防渗措施。建立和完善地下水、土壤污染监控制度和环境管理</w:t>
      </w:r>
      <w:r>
        <w:rPr>
          <w:rFonts w:hint="eastAsia"/>
          <w:lang w:eastAsia="zh-CN"/>
        </w:rPr>
        <w:t>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七</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）按照相关要求规范设置各类排污口和标志标牌，落实报告表提出的环境管理要求和监测计划。</w:t>
      </w:r>
    </w:p>
    <w:p w14:paraId="418CA6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）本项目以</w:t>
      </w:r>
      <w:r>
        <w:rPr>
          <w:rFonts w:hint="eastAsia"/>
          <w:color w:val="auto"/>
          <w:lang w:val="en-US" w:eastAsia="zh-CN"/>
        </w:rPr>
        <w:t>1#原料加工车间</w:t>
      </w:r>
      <w:r>
        <w:rPr>
          <w:rFonts w:hint="eastAsia"/>
          <w:color w:val="auto"/>
          <w:lang w:eastAsia="zh-CN"/>
        </w:rPr>
        <w:t>、</w:t>
      </w:r>
      <w:r>
        <w:rPr>
          <w:rFonts w:hint="eastAsia"/>
          <w:color w:val="auto"/>
          <w:lang w:val="en-US" w:eastAsia="zh-CN"/>
        </w:rPr>
        <w:t>2#原料加工车间、1#原料库、2#原料库及煤库</w:t>
      </w:r>
      <w:r>
        <w:rPr>
          <w:rFonts w:hint="eastAsia"/>
          <w:lang w:eastAsia="zh-CN"/>
        </w:rPr>
        <w:t>向外划定</w:t>
      </w:r>
      <w:r>
        <w:rPr>
          <w:rFonts w:hint="eastAsia"/>
          <w:lang w:val="en-US" w:eastAsia="zh-CN"/>
        </w:rPr>
        <w:t>50</w:t>
      </w:r>
      <w:r>
        <w:rPr>
          <w:rFonts w:hint="eastAsia"/>
          <w:lang w:eastAsia="zh-CN"/>
        </w:rPr>
        <w:t>米范围为卫生防护距离控制区，该区域引进项目时应注意其环境相容性，并协助镇政府监督项目卫生防护距离内不得新建居住、学校、医院等敏感建筑，发现问题及时向镇政府和相关部门反映。</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氮氧化物排</w:t>
      </w:r>
      <w:r>
        <w:rPr>
          <w:rFonts w:hint="eastAsia" w:ascii="Times New Roman" w:hAnsi="Times New Roman" w:cs="Times New Roman"/>
          <w:lang w:val="en-US" w:eastAsia="zh-CN"/>
        </w:rPr>
        <w:t>放量为20.839吨/年</w:t>
      </w:r>
      <w:r>
        <w:rPr>
          <w:rFonts w:hint="eastAsia" w:ascii="Times New Roman" w:hAnsi="Times New Roman" w:cs="Times New Roman"/>
          <w:lang w:eastAsia="zh-CN"/>
        </w:rPr>
        <w:t>，</w:t>
      </w:r>
      <w:r>
        <w:rPr>
          <w:rFonts w:hint="eastAsia"/>
          <w:lang w:val="en-US" w:eastAsia="zh-CN"/>
        </w:rPr>
        <w:t>不新增总量指标</w:t>
      </w:r>
      <w:r>
        <w:rPr>
          <w:rFonts w:hint="eastAsia" w:ascii="Times New Roman" w:hAnsi="Times New Roman" w:cs="Times New Roman"/>
          <w:lang w:val="en-US"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11</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3A83"/>
    <w:multiLevelType w:val="singleLevel"/>
    <w:tmpl w:val="82BA3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3E32"/>
    <w:rsid w:val="017860D6"/>
    <w:rsid w:val="02AE534C"/>
    <w:rsid w:val="034F6F7F"/>
    <w:rsid w:val="03DF1EFE"/>
    <w:rsid w:val="03FB6157"/>
    <w:rsid w:val="0405687A"/>
    <w:rsid w:val="06C07F19"/>
    <w:rsid w:val="07EE52C1"/>
    <w:rsid w:val="08E224A3"/>
    <w:rsid w:val="0C4A0047"/>
    <w:rsid w:val="0D8434C8"/>
    <w:rsid w:val="0E925C26"/>
    <w:rsid w:val="10476743"/>
    <w:rsid w:val="10B04339"/>
    <w:rsid w:val="11A36E95"/>
    <w:rsid w:val="121F6F46"/>
    <w:rsid w:val="1457491F"/>
    <w:rsid w:val="172E0063"/>
    <w:rsid w:val="17722C48"/>
    <w:rsid w:val="177E6B21"/>
    <w:rsid w:val="17FF1243"/>
    <w:rsid w:val="19EC2EB3"/>
    <w:rsid w:val="1A5823C6"/>
    <w:rsid w:val="1C955049"/>
    <w:rsid w:val="1DA61023"/>
    <w:rsid w:val="1F9D62EA"/>
    <w:rsid w:val="207C77B4"/>
    <w:rsid w:val="233040CC"/>
    <w:rsid w:val="240472A7"/>
    <w:rsid w:val="24602490"/>
    <w:rsid w:val="25B23D47"/>
    <w:rsid w:val="266D7385"/>
    <w:rsid w:val="2A3732D1"/>
    <w:rsid w:val="2A8433D1"/>
    <w:rsid w:val="2B1D6405"/>
    <w:rsid w:val="2B4222FA"/>
    <w:rsid w:val="2C6B7FAD"/>
    <w:rsid w:val="2E624E98"/>
    <w:rsid w:val="2E6D6B17"/>
    <w:rsid w:val="30F523E0"/>
    <w:rsid w:val="31231C2B"/>
    <w:rsid w:val="3511441F"/>
    <w:rsid w:val="35C30878"/>
    <w:rsid w:val="36BF255B"/>
    <w:rsid w:val="3847678F"/>
    <w:rsid w:val="398E50E4"/>
    <w:rsid w:val="3A6E4FAF"/>
    <w:rsid w:val="3B8A62BD"/>
    <w:rsid w:val="3CFA5D8B"/>
    <w:rsid w:val="40B70C37"/>
    <w:rsid w:val="41B502FB"/>
    <w:rsid w:val="432F1B9E"/>
    <w:rsid w:val="445C2059"/>
    <w:rsid w:val="449D70C1"/>
    <w:rsid w:val="471A4C57"/>
    <w:rsid w:val="490D1D9A"/>
    <w:rsid w:val="493B5434"/>
    <w:rsid w:val="495A2639"/>
    <w:rsid w:val="4AB250DD"/>
    <w:rsid w:val="4C3158E1"/>
    <w:rsid w:val="4C3F558F"/>
    <w:rsid w:val="4E20458D"/>
    <w:rsid w:val="4F726398"/>
    <w:rsid w:val="52EB1116"/>
    <w:rsid w:val="545838A3"/>
    <w:rsid w:val="550F5283"/>
    <w:rsid w:val="55922BB8"/>
    <w:rsid w:val="5648005A"/>
    <w:rsid w:val="56EF32D7"/>
    <w:rsid w:val="598E3781"/>
    <w:rsid w:val="5A282A37"/>
    <w:rsid w:val="5EB93CF6"/>
    <w:rsid w:val="5FCE44A4"/>
    <w:rsid w:val="60665AAC"/>
    <w:rsid w:val="62544876"/>
    <w:rsid w:val="63687CD8"/>
    <w:rsid w:val="63ED6FC7"/>
    <w:rsid w:val="6488096B"/>
    <w:rsid w:val="648E4BFD"/>
    <w:rsid w:val="65AB4EFC"/>
    <w:rsid w:val="662B4514"/>
    <w:rsid w:val="66737356"/>
    <w:rsid w:val="67D747D7"/>
    <w:rsid w:val="6A9F1EAC"/>
    <w:rsid w:val="6CC97B23"/>
    <w:rsid w:val="6F4577DC"/>
    <w:rsid w:val="70924242"/>
    <w:rsid w:val="709B28DF"/>
    <w:rsid w:val="71823CF1"/>
    <w:rsid w:val="71D36ECE"/>
    <w:rsid w:val="721553B9"/>
    <w:rsid w:val="73261DAF"/>
    <w:rsid w:val="74A42A0A"/>
    <w:rsid w:val="765B6ABB"/>
    <w:rsid w:val="77712936"/>
    <w:rsid w:val="77D93560"/>
    <w:rsid w:val="78901500"/>
    <w:rsid w:val="78A0421B"/>
    <w:rsid w:val="7BD55DBA"/>
    <w:rsid w:val="7C326B40"/>
    <w:rsid w:val="7C4976F5"/>
    <w:rsid w:val="7C70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8"/>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7">
    <w:name w:val="Default Paragraph Font"/>
    <w:semiHidden/>
    <w:unhideWhenUsed/>
    <w:qFormat/>
    <w:uiPriority w:val="1"/>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标题 1 字符"/>
    <w:basedOn w:val="7"/>
    <w:link w:val="3"/>
    <w:autoRedefine/>
    <w:qFormat/>
    <w:uiPriority w:val="9"/>
    <w:rPr>
      <w:rFonts w:ascii="Times New Roman" w:hAnsi="Times New Roman" w:eastAsia="方正小标宋简体"/>
      <w:bCs/>
      <w:kern w:val="44"/>
      <w:sz w:val="44"/>
      <w:szCs w:val="44"/>
    </w:rPr>
  </w:style>
  <w:style w:type="character" w:customStyle="1" w:styleId="9">
    <w:name w:val="【表内字】 Char"/>
    <w:link w:val="10"/>
    <w:autoRedefine/>
    <w:qFormat/>
    <w:uiPriority w:val="0"/>
    <w:rPr>
      <w:rFonts w:ascii="Times New Roman" w:hAnsi="Times New Roman" w:eastAsia="宋体"/>
      <w:kern w:val="0"/>
      <w:sz w:val="21"/>
      <w:szCs w:val="21"/>
    </w:rPr>
  </w:style>
  <w:style w:type="paragraph" w:customStyle="1" w:styleId="10">
    <w:name w:val="【表内字】"/>
    <w:basedOn w:val="1"/>
    <w:link w:val="9"/>
    <w:autoRedefine/>
    <w:qFormat/>
    <w:uiPriority w:val="0"/>
    <w:pPr>
      <w:spacing w:line="240" w:lineRule="auto"/>
      <w:ind w:firstLine="0" w:firstLineChars="0"/>
      <w:jc w:val="center"/>
    </w:pPr>
    <w:rPr>
      <w:rFonts w:ascii="Times New Roman" w:hAnsi="Times New Roman"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2490</Words>
  <Characters>2569</Characters>
  <Lines>0</Lines>
  <Paragraphs>0</Paragraphs>
  <TotalTime>0</TotalTime>
  <ScaleCrop>false</ScaleCrop>
  <LinksUpToDate>false</LinksUpToDate>
  <CharactersWithSpaces>2655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2025-09-15T01:51:33Z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D7D2B16DD29F4F32B7E6D96B409ECADF_13</vt:lpwstr>
  </property>
  <property fmtid="{D5CDD505-2E9C-101B-9397-08002B2CF9AE}" pid="4" name="KSOTemplateDocerSaveRecord">
    <vt:lpwstr>eyJoZGlkIjoiZTcwY2IwODA0NjBmNjU3YzQ0NzhjZjQ5Nzc1ODVhMjUiLCJ1c2VySWQiOiIxNjYwNzk2ODQ1In0=</vt:lpwstr>
  </property>
</Properties>
</file>