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jc w:val="right"/>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283</w:t>
      </w:r>
      <w:bookmarkStart w:id="0" w:name="_GoBack"/>
      <w:bookmarkEnd w:id="0"/>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四川通达惠金属制品有限公司金属制品涂层技改项目</w:t>
      </w:r>
      <w:r>
        <w:rPr>
          <w:rFonts w:ascii="Times New Roman" w:hAnsi="Times New Roman" w:eastAsia="方正小标宋简体" w:cs="Times New Roman"/>
          <w:sz w:val="44"/>
          <w:szCs w:val="44"/>
        </w:rPr>
        <w:t>《环境影响报告表》的批复</w:t>
      </w:r>
    </w:p>
    <w:p w14:paraId="15EC028B">
      <w:pPr>
        <w:pStyle w:val="2"/>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四川通达惠金属制品有限公司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val="en-US" w:eastAsia="zh-CN"/>
        </w:rPr>
        <w:t>金属制品涂层技改项目</w:t>
      </w:r>
      <w:r>
        <w:rPr>
          <w:rFonts w:hint="eastAsia"/>
          <w:lang w:eastAsia="zh-CN"/>
        </w:rPr>
        <w:t>《环境影响报告表》（以下简称“报告表”）收悉。经研究，批复如下：</w:t>
      </w:r>
    </w:p>
    <w:p w14:paraId="68B77918">
      <w:pPr>
        <w:pStyle w:val="2"/>
        <w:numPr>
          <w:ilvl w:val="0"/>
          <w:numId w:val="1"/>
        </w:numPr>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该项目为改建项目,拟在</w:t>
      </w:r>
      <w:r>
        <w:rPr>
          <w:rFonts w:hint="default" w:ascii="仿宋_GB2312" w:hAnsi="仿宋_GB2312" w:eastAsia="仿宋_GB2312" w:cs="仿宋_GB2312"/>
          <w:kern w:val="2"/>
          <w:sz w:val="32"/>
          <w:szCs w:val="32"/>
          <w:lang w:val="en-US" w:eastAsia="zh-CN" w:bidi="ar-SA"/>
        </w:rPr>
        <w:t>广汉市小汉镇康营社区</w:t>
      </w:r>
      <w:r>
        <w:rPr>
          <w:rFonts w:hint="eastAsia" w:ascii="仿宋_GB2312" w:hAnsi="仿宋_GB2312" w:eastAsia="仿宋_GB2312" w:cs="仿宋_GB2312"/>
          <w:kern w:val="2"/>
          <w:sz w:val="32"/>
          <w:szCs w:val="32"/>
          <w:lang w:val="en-US" w:eastAsia="zh-CN" w:bidi="ar-SA"/>
        </w:rPr>
        <w:t>已租赁</w:t>
      </w:r>
      <w:r>
        <w:rPr>
          <w:rFonts w:hint="eastAsia" w:ascii="仿宋_GB2312" w:hAnsi="仿宋_GB2312" w:eastAsia="仿宋_GB2312" w:cs="仿宋_GB2312"/>
          <w:kern w:val="2"/>
          <w:sz w:val="32"/>
          <w:szCs w:val="32"/>
          <w:lang w:val="zh-CN" w:eastAsia="zh-CN" w:bidi="ar-SA"/>
        </w:rPr>
        <w:t>广汉兴创智能金属制品有限公司已</w:t>
      </w:r>
      <w:r>
        <w:rPr>
          <w:rFonts w:hint="eastAsia" w:ascii="仿宋_GB2312" w:hAnsi="仿宋_GB2312" w:eastAsia="仿宋_GB2312" w:cs="仿宋_GB2312"/>
          <w:kern w:val="2"/>
          <w:sz w:val="32"/>
          <w:szCs w:val="32"/>
          <w:lang w:val="en-US" w:eastAsia="zh-CN" w:bidi="ar-SA"/>
        </w:rPr>
        <w:t>建标准化厂房建设，不新增用地面积。项目内容及规模为：依托相关公辅设施，</w:t>
      </w:r>
      <w:r>
        <w:rPr>
          <w:rFonts w:hint="eastAsia" w:ascii="仿宋_GB2312" w:hAnsi="仿宋_GB2312" w:cs="仿宋_GB2312"/>
          <w:kern w:val="2"/>
          <w:sz w:val="32"/>
          <w:szCs w:val="32"/>
          <w:lang w:val="en-US" w:eastAsia="zh-CN" w:bidi="ar-SA"/>
        </w:rPr>
        <w:t>对原钢管杆车间布局进行优化，</w:t>
      </w:r>
      <w:r>
        <w:rPr>
          <w:rFonts w:hint="eastAsia" w:ascii="仿宋_GB2312" w:hAnsi="仿宋_GB2312" w:eastAsia="仿宋_GB2312" w:cs="仿宋_GB2312"/>
          <w:kern w:val="2"/>
          <w:sz w:val="32"/>
          <w:szCs w:val="32"/>
          <w:lang w:val="en-US" w:eastAsia="zh-CN" w:bidi="ar-SA"/>
        </w:rPr>
        <w:t>购置</w:t>
      </w:r>
      <w:r>
        <w:rPr>
          <w:rFonts w:hint="default" w:ascii="仿宋_GB2312" w:hAnsi="仿宋_GB2312" w:eastAsia="仿宋_GB2312" w:cs="仿宋_GB2312"/>
          <w:kern w:val="2"/>
          <w:sz w:val="32"/>
          <w:szCs w:val="32"/>
          <w:lang w:val="en-US" w:eastAsia="zh-CN" w:bidi="ar-SA"/>
        </w:rPr>
        <w:t>校直机</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砂杆机</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喷粉室</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烘烤室</w:t>
      </w:r>
      <w:r>
        <w:rPr>
          <w:rFonts w:hint="eastAsia" w:ascii="仿宋_GB2312" w:hAnsi="仿宋_GB2312" w:eastAsia="仿宋_GB2312" w:cs="仿宋_GB2312"/>
          <w:kern w:val="2"/>
          <w:sz w:val="32"/>
          <w:szCs w:val="32"/>
          <w:lang w:val="en-US" w:eastAsia="zh-CN" w:bidi="ar-SA"/>
        </w:rPr>
        <w:t>等生产设备，</w:t>
      </w:r>
      <w:r>
        <w:rPr>
          <w:rFonts w:hint="eastAsia" w:ascii="仿宋_GB2312" w:hAnsi="仿宋_GB2312" w:cs="仿宋_GB2312"/>
          <w:kern w:val="2"/>
          <w:sz w:val="32"/>
          <w:szCs w:val="32"/>
          <w:lang w:val="en-US" w:eastAsia="zh-CN" w:bidi="ar-SA"/>
        </w:rPr>
        <w:t>布设喷塑生产线，</w:t>
      </w:r>
      <w:r>
        <w:rPr>
          <w:rFonts w:hint="eastAsia" w:ascii="仿宋_GB2312" w:hAnsi="仿宋_GB2312" w:eastAsia="仿宋_GB2312" w:cs="仿宋_GB2312"/>
          <w:kern w:val="2"/>
          <w:sz w:val="32"/>
          <w:szCs w:val="32"/>
          <w:lang w:val="en-US" w:eastAsia="zh-CN" w:bidi="ar-SA"/>
        </w:rPr>
        <w:t>在原有机加、表面处理（酸洗+热镀锌+无铬钝化）的工艺基础上，对25%（以重量计）的工件新增喷塑工艺，</w:t>
      </w:r>
      <w:r>
        <w:rPr>
          <w:rFonts w:hint="eastAsia" w:ascii="仿宋_GB2312" w:hAnsi="仿宋_GB2312" w:cs="仿宋_GB2312"/>
          <w:kern w:val="2"/>
          <w:sz w:val="32"/>
          <w:szCs w:val="32"/>
          <w:lang w:val="en-US" w:eastAsia="zh-CN" w:bidi="ar-SA"/>
        </w:rPr>
        <w:t>新增年喷塑能力20000吨，</w:t>
      </w:r>
      <w:r>
        <w:rPr>
          <w:rFonts w:hint="eastAsia" w:ascii="仿宋_GB2312" w:hAnsi="仿宋_GB2312" w:eastAsia="仿宋_GB2312" w:cs="仿宋_GB2312"/>
          <w:kern w:val="2"/>
          <w:sz w:val="32"/>
          <w:szCs w:val="32"/>
          <w:lang w:val="en-US" w:eastAsia="zh-CN" w:bidi="ar-SA"/>
        </w:rPr>
        <w:t>取消铁塔生产线，原项目年产</w:t>
      </w:r>
      <w:r>
        <w:rPr>
          <w:rFonts w:hint="default" w:ascii="仿宋_GB2312" w:hAnsi="仿宋_GB2312" w:eastAsia="仿宋_GB2312" w:cs="仿宋_GB2312"/>
          <w:kern w:val="2"/>
          <w:sz w:val="32"/>
          <w:szCs w:val="32"/>
          <w:lang w:val="en-US" w:eastAsia="zh-CN" w:bidi="ar-SA"/>
        </w:rPr>
        <w:t>5G通信塔</w:t>
      </w:r>
      <w:r>
        <w:rPr>
          <w:rFonts w:hint="eastAsia" w:ascii="仿宋_GB2312" w:hAnsi="仿宋_GB2312" w:eastAsia="仿宋_GB2312" w:cs="仿宋_GB2312"/>
          <w:kern w:val="2"/>
          <w:sz w:val="32"/>
          <w:szCs w:val="32"/>
          <w:lang w:val="en-US" w:eastAsia="zh-CN" w:bidi="ar-SA"/>
        </w:rPr>
        <w:t>40000吨、</w:t>
      </w:r>
      <w:r>
        <w:rPr>
          <w:rFonts w:hint="default" w:ascii="仿宋_GB2312" w:hAnsi="仿宋_GB2312" w:eastAsia="仿宋_GB2312" w:cs="仿宋_GB2312"/>
          <w:kern w:val="2"/>
          <w:sz w:val="32"/>
          <w:szCs w:val="32"/>
          <w:lang w:val="en-US" w:eastAsia="zh-CN" w:bidi="ar-SA"/>
        </w:rPr>
        <w:t>三管塔</w:t>
      </w:r>
      <w:r>
        <w:rPr>
          <w:rFonts w:hint="eastAsia" w:ascii="仿宋_GB2312" w:hAnsi="仿宋_GB2312" w:eastAsia="仿宋_GB2312" w:cs="仿宋_GB2312"/>
          <w:kern w:val="2"/>
          <w:sz w:val="32"/>
          <w:szCs w:val="32"/>
          <w:lang w:val="en-US" w:eastAsia="zh-CN" w:bidi="ar-SA"/>
        </w:rPr>
        <w:t>10000吨、</w:t>
      </w:r>
      <w:r>
        <w:rPr>
          <w:rFonts w:hint="default" w:ascii="仿宋_GB2312" w:hAnsi="仿宋_GB2312" w:eastAsia="仿宋_GB2312" w:cs="仿宋_GB2312"/>
          <w:kern w:val="2"/>
          <w:sz w:val="32"/>
          <w:szCs w:val="32"/>
          <w:lang w:val="en-US" w:eastAsia="zh-CN" w:bidi="ar-SA"/>
        </w:rPr>
        <w:t>钢管塔</w:t>
      </w:r>
      <w:r>
        <w:rPr>
          <w:rFonts w:hint="eastAsia" w:ascii="仿宋_GB2312" w:hAnsi="仿宋_GB2312" w:eastAsia="仿宋_GB2312" w:cs="仿宋_GB2312"/>
          <w:kern w:val="2"/>
          <w:sz w:val="32"/>
          <w:szCs w:val="32"/>
          <w:lang w:val="en-US" w:eastAsia="zh-CN" w:bidi="ar-SA"/>
        </w:rPr>
        <w:t>10000吨、钢管杆10000吨、金属结构件10000吨的生产能力保持不变。项目总投资300万元，其中环保投资45.2万元。</w:t>
      </w:r>
    </w:p>
    <w:p w14:paraId="5200CD3C">
      <w:pPr>
        <w:keepNext w:val="0"/>
        <w:keepLines w:val="0"/>
        <w:widowControl/>
        <w:suppressLineNumbers w:val="0"/>
        <w:jc w:val="left"/>
        <w:rPr>
          <w:rFonts w:hint="eastAsia" w:ascii="Times New Roman" w:hAnsi="Times New Roman" w:cs="Times New Roman"/>
          <w:lang w:val="zh-CN" w:eastAsia="zh-CN"/>
        </w:rPr>
      </w:pPr>
      <w:r>
        <w:rPr>
          <w:rFonts w:hint="eastAsia"/>
          <w:lang w:eastAsia="zh-CN"/>
        </w:rPr>
        <w:t>项目在四川省投资项目在线审批监管平台进行了备案（备案号：川投资备[</w:t>
      </w:r>
      <w:r>
        <w:rPr>
          <w:rFonts w:hint="eastAsia"/>
          <w:lang w:val="en-US" w:eastAsia="zh-CN"/>
        </w:rPr>
        <w:t>2504-510681-07-02-516444</w:t>
      </w:r>
      <w:r>
        <w:rPr>
          <w:rFonts w:hint="eastAsia"/>
          <w:lang w:eastAsia="zh-CN"/>
        </w:rPr>
        <w:t>]</w:t>
      </w:r>
      <w:r>
        <w:rPr>
          <w:rFonts w:hint="eastAsia"/>
          <w:lang w:val="en-US" w:eastAsia="zh-CN"/>
        </w:rPr>
        <w:t>JXQB-0545</w:t>
      </w:r>
      <w:r>
        <w:rPr>
          <w:rFonts w:hint="eastAsia"/>
          <w:lang w:eastAsia="zh-CN"/>
        </w:rPr>
        <w:t>号），符合国家现行产业政策</w:t>
      </w:r>
      <w:r>
        <w:rPr>
          <w:rFonts w:hint="eastAsia"/>
          <w:lang w:val="zh-CN" w:eastAsia="zh-CN"/>
        </w:rPr>
        <w:t>；该项目符合德阳市生态环境分区管控相关要求，</w:t>
      </w:r>
      <w:r>
        <w:rPr>
          <w:rFonts w:hint="eastAsia"/>
          <w:lang w:eastAsia="zh-CN"/>
        </w:rPr>
        <w:t>根据</w:t>
      </w:r>
      <w:r>
        <w:rPr>
          <w:rFonts w:hint="eastAsia" w:ascii="Times New Roman" w:hAnsi="Times New Roman" w:cs="Times New Roman"/>
          <w:lang w:val="zh-CN" w:eastAsia="zh-CN"/>
        </w:rPr>
        <w:t>《</w:t>
      </w:r>
      <w:r>
        <w:rPr>
          <w:rFonts w:hint="default" w:ascii="Times New Roman" w:hAnsi="Times New Roman" w:cs="Times New Roman"/>
          <w:lang w:val="en-US" w:eastAsia="zh-CN"/>
        </w:rPr>
        <w:t>天府旌城南片区国土空间总体</w:t>
      </w:r>
      <w:r>
        <w:rPr>
          <w:rFonts w:hint="eastAsia" w:ascii="Times New Roman" w:hAnsi="Times New Roman" w:cs="Times New Roman"/>
          <w:lang w:val="en-US" w:eastAsia="zh-CN"/>
        </w:rPr>
        <w:t>规划(2021-2035年)</w:t>
      </w:r>
      <w:r>
        <w:rPr>
          <w:rFonts w:hint="eastAsia" w:ascii="Times New Roman" w:hAnsi="Times New Roman" w:cs="Times New Roman"/>
          <w:lang w:val="zh-CN" w:eastAsia="zh-CN"/>
        </w:rPr>
        <w:t>》</w:t>
      </w:r>
      <w:r>
        <w:rPr>
          <w:rFonts w:hint="eastAsia" w:cs="Times New Roman"/>
          <w:lang w:val="zh-CN" w:eastAsia="zh-CN"/>
        </w:rPr>
        <w:t>以及广汉兴创智能金属制品有限公司取得的《不动产权证》</w:t>
      </w:r>
      <w:r>
        <w:rPr>
          <w:rFonts w:hint="eastAsia" w:ascii="Times New Roman" w:hAnsi="Times New Roman" w:cs="Times New Roman"/>
          <w:lang w:val="zh-CN" w:eastAsia="zh-CN"/>
        </w:rPr>
        <w:t>，</w:t>
      </w:r>
      <w:r>
        <w:rPr>
          <w:rFonts w:hint="eastAsia" w:ascii="Times New Roman" w:hAnsi="Times New Roman" w:cs="Times New Roman"/>
          <w:lang w:val="en-US" w:eastAsia="zh-CN"/>
        </w:rPr>
        <w:t>项目</w:t>
      </w:r>
      <w:r>
        <w:rPr>
          <w:rFonts w:hint="eastAsia" w:ascii="Times New Roman" w:hAnsi="Times New Roman" w:cs="Times New Roman"/>
          <w:lang w:val="zh-CN" w:eastAsia="zh-CN"/>
        </w:rPr>
        <w:t>用地性质为工业用地，选址</w:t>
      </w:r>
      <w:r>
        <w:rPr>
          <w:rFonts w:hint="eastAsia" w:ascii="Times New Roman" w:hAnsi="Times New Roman" w:cs="Times New Roman"/>
          <w:lang w:val="en-US" w:eastAsia="zh-CN"/>
        </w:rPr>
        <w:t>符合规划</w:t>
      </w:r>
      <w:r>
        <w:rPr>
          <w:rFonts w:hint="eastAsia" w:ascii="Times New Roman" w:hAnsi="Times New Roman" w:cs="Times New Roman"/>
          <w:lang w:val="zh-CN" w:eastAsia="zh-CN"/>
        </w:rPr>
        <w:t>。</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42F37DF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widowControl/>
        <w:suppressLineNumbers w:val="0"/>
        <w:jc w:val="left"/>
        <w:rPr>
          <w:rFonts w:hint="eastAsia"/>
          <w:lang w:val="en-US" w:eastAsia="zh-CN"/>
        </w:rPr>
      </w:pPr>
      <w:r>
        <w:rPr>
          <w:rFonts w:hint="eastAsia"/>
          <w:lang w:eastAsia="zh-CN"/>
        </w:rPr>
        <w:t>（三）严格落实并优化报告表提出的各项废气处理措施。</w:t>
      </w:r>
      <w:r>
        <w:rPr>
          <w:rFonts w:hint="eastAsia"/>
          <w:lang w:val="en-US" w:eastAsia="zh-CN"/>
        </w:rPr>
        <w:t>项目共设置3个喷粉室，分别</w:t>
      </w:r>
      <w:r>
        <w:rPr>
          <w:rFonts w:hint="eastAsia" w:ascii="仿宋_GB2312" w:hAnsi="仿宋_GB2312" w:eastAsia="仿宋_GB2312" w:cs="仿宋_GB2312"/>
          <w:color w:val="000000" w:themeColor="text1"/>
          <w:sz w:val="32"/>
          <w:szCs w:val="32"/>
          <w:lang w:eastAsia="zh-CN"/>
          <w14:textFill>
            <w14:solidFill>
              <w14:schemeClr w14:val="tx1"/>
            </w14:solidFill>
          </w14:textFill>
        </w:rPr>
        <w:t>落实</w:t>
      </w:r>
      <w:r>
        <w:rPr>
          <w:rFonts w:hint="eastAsia" w:ascii="仿宋_GB2312" w:hAnsi="仿宋_GB2312" w:cs="仿宋_GB2312"/>
          <w:color w:val="000000" w:themeColor="text1"/>
          <w:sz w:val="32"/>
          <w:szCs w:val="32"/>
          <w:lang w:eastAsia="zh-CN"/>
          <w14:textFill>
            <w14:solidFill>
              <w14:schemeClr w14:val="tx1"/>
            </w14:solidFill>
          </w14:textFill>
        </w:rPr>
        <w:t>两个喷粉室（</w:t>
      </w:r>
      <w:r>
        <w:rPr>
          <w:rFonts w:hint="eastAsia" w:ascii="仿宋_GB2312" w:hAnsi="仿宋_GB2312" w:cs="仿宋_GB2312"/>
          <w:color w:val="000000" w:themeColor="text1"/>
          <w:sz w:val="32"/>
          <w:szCs w:val="32"/>
          <w:lang w:val="en-US" w:eastAsia="zh-CN"/>
          <w14:textFill>
            <w14:solidFill>
              <w14:schemeClr w14:val="tx1"/>
            </w14:solidFill>
          </w14:textFill>
        </w:rPr>
        <w:t>尺寸6m*2.5m*3m</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的密闭</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负压收集+</w:t>
      </w:r>
      <w:r>
        <w:rPr>
          <w:rFonts w:hint="eastAsia" w:ascii="仿宋_GB2312" w:hAnsi="仿宋_GB2312" w:cs="仿宋_GB2312"/>
          <w:color w:val="000000" w:themeColor="text1"/>
          <w:sz w:val="32"/>
          <w:szCs w:val="32"/>
          <w:lang w:val="en-US" w:eastAsia="zh-CN"/>
          <w14:textFill>
            <w14:solidFill>
              <w14:schemeClr w14:val="tx1"/>
            </w14:solidFill>
          </w14:textFill>
        </w:rPr>
        <w:t>各自配套滤芯除尘器+共用集中式</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滤芯除尘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器</w:t>
      </w:r>
      <w:r>
        <w:rPr>
          <w:rFonts w:hint="eastAsia" w:ascii="仿宋_GB2312" w:hAnsi="仿宋_GB2312" w:cs="仿宋_GB2312"/>
          <w:color w:val="000000" w:themeColor="text1"/>
          <w:sz w:val="32"/>
          <w:szCs w:val="32"/>
          <w:lang w:val="en-US" w:eastAsia="zh-CN"/>
          <w14:textFill>
            <w14:solidFill>
              <w14:schemeClr w14:val="tx1"/>
            </w14:solidFill>
          </w14:textFill>
        </w:rPr>
        <w:t>以及另一个喷粉室（尺寸3m*2m*3m）的</w:t>
      </w:r>
      <w:r>
        <w:rPr>
          <w:rFonts w:hint="eastAsia" w:ascii="仿宋_GB2312" w:hAnsi="仿宋_GB2312" w:eastAsia="仿宋_GB2312" w:cs="仿宋_GB2312"/>
          <w:color w:val="000000" w:themeColor="text1"/>
          <w:sz w:val="32"/>
          <w:szCs w:val="32"/>
          <w:lang w:eastAsia="zh-CN"/>
          <w14:textFill>
            <w14:solidFill>
              <w14:schemeClr w14:val="tx1"/>
            </w14:solidFill>
          </w14:textFill>
        </w:rPr>
        <w:t>密闭</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负压收集+旋风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除尘+</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滤芯除尘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器，</w:t>
      </w:r>
      <w:r>
        <w:rPr>
          <w:rFonts w:hint="eastAsia" w:ascii="仿宋_GB2312" w:hAnsi="仿宋_GB2312" w:eastAsia="仿宋_GB2312" w:cs="仿宋_GB2312"/>
          <w:color w:val="000000" w:themeColor="text1"/>
          <w:sz w:val="32"/>
          <w:szCs w:val="32"/>
          <w:lang w:eastAsia="zh-CN"/>
          <w14:textFill>
            <w14:solidFill>
              <w14:schemeClr w14:val="tx1"/>
            </w14:solidFill>
          </w14:textFill>
        </w:rPr>
        <w:t>确保喷塑粉尘经收集处理后由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15高排气筒达标排放；</w:t>
      </w:r>
      <w:r>
        <w:rPr>
          <w:rFonts w:hint="eastAsia" w:ascii="仿宋_GB2312" w:hAnsi="仿宋_GB2312" w:eastAsia="仿宋_GB2312" w:cs="仿宋_GB2312"/>
          <w:color w:val="000000" w:themeColor="text1"/>
          <w:sz w:val="32"/>
          <w:szCs w:val="32"/>
          <w:lang w:eastAsia="zh-CN"/>
          <w14:textFill>
            <w14:solidFill>
              <w14:schemeClr w14:val="tx1"/>
            </w14:solidFill>
          </w14:textFill>
        </w:rPr>
        <w:t>落实固化工序的集气罩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+空气冷却器+两级活性炭处理装置，</w:t>
      </w:r>
      <w:r>
        <w:rPr>
          <w:rFonts w:hint="eastAsia" w:ascii="仿宋_GB2312" w:hAnsi="仿宋_GB2312" w:eastAsia="仿宋_GB2312" w:cs="仿宋_GB2312"/>
          <w:color w:val="000000" w:themeColor="text1"/>
          <w:sz w:val="32"/>
          <w:szCs w:val="32"/>
          <w:lang w:eastAsia="zh-CN"/>
          <w14:textFill>
            <w14:solidFill>
              <w14:schemeClr w14:val="tx1"/>
            </w14:solidFill>
          </w14:textFill>
        </w:rPr>
        <w:t>确保固化有机废气、天然气燃烧废气经收集处理后由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15高排气筒达标排放；落实车间</w:t>
      </w:r>
      <w:r>
        <w:rPr>
          <w:rFonts w:hint="eastAsia" w:ascii="仿宋_GB2312" w:hAnsi="仿宋_GB2312" w:cs="仿宋_GB2312"/>
          <w:color w:val="000000" w:themeColor="text1"/>
          <w:sz w:val="32"/>
          <w:szCs w:val="32"/>
          <w:lang w:val="en-US" w:eastAsia="zh-CN"/>
          <w14:textFill>
            <w14:solidFill>
              <w14:schemeClr w14:val="tx1"/>
            </w14:solidFill>
          </w14:textFill>
        </w:rPr>
        <w:t>洒水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清扫，确保少量打磨金属粉尘经自然沉降后达标排放，对周围环境不产生影响；确保食堂油烟经静电油烟净化器处理后引至</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楼顶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达标</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排放</w:t>
      </w:r>
      <w:r>
        <w:rPr>
          <w:rFonts w:hint="eastAsia"/>
          <w:lang w:val="en-US" w:eastAsia="zh-CN"/>
        </w:rPr>
        <w:t>。</w:t>
      </w:r>
    </w:p>
    <w:p w14:paraId="12F09AF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（四）严格落实并优化报告表提出的各项废水处理措施。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项目不产生生产废水，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食堂废水隔油后会同生活污水依托已建化粪池</w:t>
      </w:r>
      <w:r>
        <w:rPr>
          <w:rFonts w:hint="eastAsia" w:ascii="仿宋_GB2312" w:hAnsi="仿宋_GB2312" w:eastAsia="仿宋_GB2312" w:cs="仿宋_GB2312"/>
          <w:color w:val="000000" w:themeColor="text1"/>
          <w:sz w:val="32"/>
          <w:szCs w:val="32"/>
          <w:lang w:eastAsia="zh-CN"/>
          <w14:textFill>
            <w14:solidFill>
              <w14:schemeClr w14:val="tx1"/>
            </w14:solidFill>
          </w14:textFill>
        </w:rPr>
        <w:t>处置后达到</w:t>
      </w:r>
      <w:r>
        <w:rPr>
          <w:rFonts w:hint="eastAsia"/>
          <w:lang w:eastAsia="zh-CN"/>
        </w:rPr>
        <w:t>《污水综合排放标准》（GB8978-1996）三级标准后排入市政污水管网，由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广汉市第</w:t>
      </w:r>
      <w:r>
        <w:rPr>
          <w:rFonts w:hint="eastAsia" w:ascii="仿宋_GB2312" w:hAnsi="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污水处理厂</w:t>
      </w:r>
      <w:r>
        <w:rPr>
          <w:rFonts w:hint="eastAsia"/>
          <w:lang w:eastAsia="zh-CN"/>
        </w:rPr>
        <w:t>处理达《四川省岷江、沱江流域水污染物排放标准》（DB51/2311-2016）中</w:t>
      </w:r>
      <w:r>
        <w:rPr>
          <w:rFonts w:hint="eastAsia"/>
          <w:lang w:val="en-US" w:eastAsia="zh-CN"/>
        </w:rPr>
        <w:t>工业园区集中式</w:t>
      </w:r>
      <w:r>
        <w:rPr>
          <w:rFonts w:hint="eastAsia"/>
          <w:lang w:eastAsia="zh-CN"/>
        </w:rPr>
        <w:t>污水处理厂标准后外排</w:t>
      </w:r>
      <w:r>
        <w:rPr>
          <w:rFonts w:hint="eastAsia" w:ascii="Times New Roman" w:hAnsi="Times New Roman" w:cs="Times New Roman"/>
          <w:lang w:val="en-US" w:eastAsia="zh-CN"/>
        </w:rPr>
        <w:t>。</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widowControl/>
        <w:suppressLineNumbers w:val="0"/>
        <w:jc w:val="left"/>
        <w:rPr>
          <w:rFonts w:hint="eastAsia"/>
          <w:lang w:eastAsia="zh-CN"/>
        </w:rPr>
      </w:pPr>
      <w:r>
        <w:rPr>
          <w:rFonts w:hint="eastAsia"/>
          <w:lang w:eastAsia="zh-CN"/>
        </w:rPr>
        <w:t>（六）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ascii="Times New Roman" w:hAnsi="Times New Roman" w:cs="Times New Roman"/>
          <w:lang w:val="en-US" w:eastAsia="zh-CN"/>
        </w:rPr>
        <w:t>经一级除尘设备收集的塑粉回用</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于生产</w:t>
      </w:r>
      <w:r>
        <w:rPr>
          <w:rFonts w:hint="eastAsia" w:ascii="Times New Roman" w:hAnsi="Times New Roman" w:cs="Times New Roman"/>
          <w:lang w:val="en-US" w:eastAsia="zh-CN"/>
        </w:rPr>
        <w:t>；喷塑二级除尘设备收尘灰、废包装材料、</w:t>
      </w:r>
      <w:r>
        <w:rPr>
          <w:rFonts w:hint="default" w:ascii="Times New Roman" w:hAnsi="Times New Roman" w:cs="Times New Roman"/>
          <w:lang w:val="en-US" w:eastAsia="zh-CN"/>
        </w:rPr>
        <w:t>废过滤材料</w:t>
      </w:r>
      <w:r>
        <w:rPr>
          <w:rFonts w:hint="eastAsia" w:ascii="Times New Roman" w:hAnsi="Times New Roman" w:cs="Times New Roman"/>
          <w:lang w:val="en-US" w:eastAsia="zh-CN"/>
        </w:rPr>
        <w:t>、废砂纸、砂带、废金属屑（不含油）</w:t>
      </w:r>
      <w:r>
        <w:rPr>
          <w:rFonts w:hint="default" w:ascii="Times New Roman" w:hAnsi="Times New Roman" w:cs="Times New Roman"/>
          <w:lang w:val="en-US" w:eastAsia="zh-CN"/>
        </w:rPr>
        <w:t>外售废品回收站</w:t>
      </w:r>
      <w:r>
        <w:rPr>
          <w:rFonts w:hint="eastAsia" w:ascii="Times New Roman" w:hAnsi="Times New Roman" w:cs="Times New Roman"/>
          <w:lang w:val="en-US" w:eastAsia="zh-CN"/>
        </w:rPr>
        <w:t>；餐厨垃圾和隔油池隔油由有能力的单位处置；项目</w:t>
      </w:r>
      <w:r>
        <w:rPr>
          <w:rFonts w:hint="default" w:ascii="Times New Roman" w:hAnsi="Times New Roman" w:cs="Times New Roman"/>
          <w:lang w:val="en-US" w:eastAsia="zh-CN"/>
        </w:rPr>
        <w:t>废</w:t>
      </w:r>
      <w:r>
        <w:rPr>
          <w:rFonts w:hint="eastAsia" w:ascii="Times New Roman" w:hAnsi="Times New Roman" w:cs="Times New Roman"/>
          <w:lang w:val="en-US" w:eastAsia="zh-CN"/>
        </w:rPr>
        <w:t>机油、废活性炭、废机油桶、含油棉纱手套</w:t>
      </w:r>
      <w:r>
        <w:rPr>
          <w:rFonts w:hint="eastAsia" w:ascii="Times New Roman" w:hAnsi="Times New Roman" w:cs="Times New Roman"/>
          <w:lang w:eastAsia="zh-CN"/>
        </w:rPr>
        <w:t>属于危</w:t>
      </w:r>
      <w:r>
        <w:rPr>
          <w:rFonts w:hint="eastAsia"/>
          <w:lang w:eastAsia="zh-CN"/>
        </w:rPr>
        <w:t>险废物，须妥善安全收储，落实专人管理，并严格执行转移联单制度，定期交有危废处理资质的单位处置，其暂存区须采取必要的防风、防晒、防雨、防漏、防渗、防腐以及其他环境污染防治措施；生活垃圾交环卫部门清运。</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eastAsia="zh-CN"/>
        </w:rPr>
      </w:pPr>
      <w:r>
        <w:rPr>
          <w:rFonts w:hint="eastAsia"/>
          <w:lang w:eastAsia="zh-CN"/>
        </w:rPr>
        <w:t>（七）严格落实并优化报告表提出的地下水和土壤污染防治措施。项</w:t>
      </w:r>
      <w:r>
        <w:rPr>
          <w:rFonts w:hint="eastAsia" w:ascii="Times New Roman" w:hAnsi="Times New Roman" w:cs="Times New Roman"/>
          <w:lang w:eastAsia="zh-CN"/>
        </w:rPr>
        <w:t>目将</w:t>
      </w:r>
      <w:r>
        <w:rPr>
          <w:rFonts w:hint="eastAsia" w:ascii="Times New Roman" w:hAnsi="Times New Roman" w:cs="Times New Roman"/>
          <w:lang w:val="en-US" w:eastAsia="zh-CN"/>
        </w:rPr>
        <w:t>危废暂存间、机加涉油区域</w:t>
      </w:r>
      <w:r>
        <w:rPr>
          <w:rFonts w:hint="eastAsia" w:ascii="Times New Roman" w:hAnsi="Times New Roman" w:cs="Times New Roman"/>
          <w:lang w:eastAsia="zh-CN"/>
        </w:rPr>
        <w:t>设置为重点防渗区，将</w:t>
      </w:r>
      <w:r>
        <w:rPr>
          <w:rFonts w:hint="eastAsia" w:ascii="Times New Roman" w:hAnsi="Times New Roman" w:cs="Times New Roman"/>
          <w:lang w:val="en-US" w:eastAsia="zh-CN"/>
        </w:rPr>
        <w:t>生产区域设置为一般防渗区，将</w:t>
      </w:r>
      <w:r>
        <w:rPr>
          <w:rFonts w:hint="eastAsia" w:ascii="Times New Roman" w:hAnsi="Times New Roman" w:cs="Times New Roman"/>
          <w:lang w:eastAsia="zh-CN"/>
        </w:rPr>
        <w:t>厂区道路、办公楼</w:t>
      </w:r>
      <w:r>
        <w:rPr>
          <w:rFonts w:hint="eastAsia" w:ascii="Times New Roman" w:hAnsi="Times New Roman" w:cs="Times New Roman"/>
          <w:lang w:val="en-US" w:eastAsia="zh-CN"/>
        </w:rPr>
        <w:t>设置为简单防渗区，</w:t>
      </w:r>
      <w:r>
        <w:rPr>
          <w:rFonts w:hint="eastAsia" w:ascii="Times New Roman" w:hAnsi="Times New Roman" w:cs="Times New Roman"/>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395D5F44">
      <w:pPr>
        <w:pStyle w:val="2"/>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（十）本项目以</w:t>
      </w:r>
      <w:r>
        <w:rPr>
          <w:rFonts w:hint="default" w:ascii="Times New Roman" w:hAnsi="Times New Roman" w:eastAsia="仿宋_GB2312" w:cs="Times New Roman"/>
          <w:kern w:val="2"/>
          <w:sz w:val="32"/>
          <w:szCs w:val="24"/>
          <w:lang w:val="en-US" w:eastAsia="zh-CN" w:bidi="ar-SA"/>
        </w:rPr>
        <w:t>钢管杆车间</w:t>
      </w:r>
      <w:r>
        <w:rPr>
          <w:rFonts w:hint="eastAsia" w:ascii="Times New Roman" w:hAnsi="Times New Roman" w:eastAsia="仿宋_GB2312" w:cs="Times New Roman"/>
          <w:kern w:val="2"/>
          <w:sz w:val="32"/>
          <w:szCs w:val="24"/>
          <w:lang w:val="en-US" w:eastAsia="zh-CN" w:bidi="ar-SA"/>
        </w:rPr>
        <w:t>向外划定50米范围为卫生防护距离控制区，与原环评卫生防护距离“钢管杆车间边界外50m、1#镀锌车间边界外100m、2#镀锌车间边界外100m、热浸镀锌车间酸洗池为中心50m”划定范围一致，该区域引进项目时应注意其环境相容性，并协助园区管委会监督项目卫生防护距离内不得新建居住、学校、医院等敏感建筑，发现问题及时向园区管委会和相关部门反映。</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r>
        <w:rPr>
          <w:rFonts w:hint="eastAsia"/>
          <w:lang w:eastAsia="zh-CN"/>
        </w:rPr>
        <w:t>三、该项目运营后，</w:t>
      </w:r>
      <w:r>
        <w:rPr>
          <w:rFonts w:hint="eastAsia"/>
          <w:lang w:val="en-US" w:eastAsia="zh-CN"/>
        </w:rPr>
        <w:t>挥发性有机物排放量为0.0245吨/年、氮氧化物排放量为0.0898吨/年，其总量控制指标由德阳市广汉生态环境局调剂。</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val="en-US" w:eastAsia="zh-CN"/>
        </w:rPr>
        <w:t>四、项目开工建设及投入运营前，应依法完备其</w:t>
      </w:r>
      <w:r>
        <w:rPr>
          <w:rFonts w:hint="eastAsia"/>
          <w:lang w:eastAsia="zh-CN"/>
        </w:rPr>
        <w:t>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9</w:t>
      </w:r>
      <w:r>
        <w:rPr>
          <w:rFonts w:hint="eastAsia"/>
          <w:lang w:eastAsia="zh-CN"/>
        </w:rPr>
        <w:t>月</w:t>
      </w:r>
      <w:r>
        <w:rPr>
          <w:rFonts w:hint="eastAsia"/>
          <w:lang w:val="en-US" w:eastAsia="zh-CN"/>
        </w:rPr>
        <w:t>18</w:t>
      </w:r>
      <w:r>
        <w:rPr>
          <w:rFonts w:hint="eastAsia"/>
          <w:lang w:eastAsia="zh-CN"/>
        </w:rPr>
        <w:t>日</w:t>
      </w:r>
    </w:p>
    <w:sectPr>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860D6"/>
    <w:rsid w:val="02A5454F"/>
    <w:rsid w:val="02AE534C"/>
    <w:rsid w:val="034F6F7F"/>
    <w:rsid w:val="03DF1EFE"/>
    <w:rsid w:val="0405687A"/>
    <w:rsid w:val="04B5068B"/>
    <w:rsid w:val="06C07F19"/>
    <w:rsid w:val="07EE52C1"/>
    <w:rsid w:val="0867330F"/>
    <w:rsid w:val="08E224A3"/>
    <w:rsid w:val="0C4A0047"/>
    <w:rsid w:val="0D8434C8"/>
    <w:rsid w:val="10476743"/>
    <w:rsid w:val="11A36E95"/>
    <w:rsid w:val="121F6F46"/>
    <w:rsid w:val="1336169A"/>
    <w:rsid w:val="172E0063"/>
    <w:rsid w:val="17722C48"/>
    <w:rsid w:val="17FF1243"/>
    <w:rsid w:val="1A5823C6"/>
    <w:rsid w:val="1B76387A"/>
    <w:rsid w:val="1DA61023"/>
    <w:rsid w:val="1EB01AEB"/>
    <w:rsid w:val="1F9D62EA"/>
    <w:rsid w:val="1FA7787B"/>
    <w:rsid w:val="207C77B4"/>
    <w:rsid w:val="20D941AC"/>
    <w:rsid w:val="233040CC"/>
    <w:rsid w:val="240472A7"/>
    <w:rsid w:val="24602490"/>
    <w:rsid w:val="25B23D47"/>
    <w:rsid w:val="25FF5535"/>
    <w:rsid w:val="29876B5F"/>
    <w:rsid w:val="29DF18C6"/>
    <w:rsid w:val="2A3732D1"/>
    <w:rsid w:val="2A8433D1"/>
    <w:rsid w:val="2B1D6405"/>
    <w:rsid w:val="2B4222FA"/>
    <w:rsid w:val="2C6B7FAD"/>
    <w:rsid w:val="2E624E98"/>
    <w:rsid w:val="30F523E0"/>
    <w:rsid w:val="31231C2B"/>
    <w:rsid w:val="342F5CDB"/>
    <w:rsid w:val="3511441F"/>
    <w:rsid w:val="35C30878"/>
    <w:rsid w:val="36BF255B"/>
    <w:rsid w:val="3847678F"/>
    <w:rsid w:val="38DB01DF"/>
    <w:rsid w:val="398E50E4"/>
    <w:rsid w:val="3A011631"/>
    <w:rsid w:val="3A6E4FAF"/>
    <w:rsid w:val="3B8A62BD"/>
    <w:rsid w:val="3C2A03C4"/>
    <w:rsid w:val="41A609A7"/>
    <w:rsid w:val="41B502FB"/>
    <w:rsid w:val="432F1B9E"/>
    <w:rsid w:val="449D70C1"/>
    <w:rsid w:val="452C1BB7"/>
    <w:rsid w:val="471A4C57"/>
    <w:rsid w:val="480852CD"/>
    <w:rsid w:val="490D1D9A"/>
    <w:rsid w:val="493B5434"/>
    <w:rsid w:val="4AB250DD"/>
    <w:rsid w:val="4C3F558F"/>
    <w:rsid w:val="4C7F0234"/>
    <w:rsid w:val="4C8A6F6D"/>
    <w:rsid w:val="4D2030ED"/>
    <w:rsid w:val="4E074F7B"/>
    <w:rsid w:val="4E20458D"/>
    <w:rsid w:val="4F74489F"/>
    <w:rsid w:val="52EB1116"/>
    <w:rsid w:val="545838A3"/>
    <w:rsid w:val="550F5283"/>
    <w:rsid w:val="55261924"/>
    <w:rsid w:val="55922BB8"/>
    <w:rsid w:val="5648005A"/>
    <w:rsid w:val="56EF32D7"/>
    <w:rsid w:val="59130E31"/>
    <w:rsid w:val="598E3781"/>
    <w:rsid w:val="5A282A37"/>
    <w:rsid w:val="5CE56F52"/>
    <w:rsid w:val="5E06623C"/>
    <w:rsid w:val="5E9643A4"/>
    <w:rsid w:val="5EFF032E"/>
    <w:rsid w:val="62544876"/>
    <w:rsid w:val="6356400A"/>
    <w:rsid w:val="63ED6FC7"/>
    <w:rsid w:val="6488096B"/>
    <w:rsid w:val="65AB4EFC"/>
    <w:rsid w:val="662B4514"/>
    <w:rsid w:val="66737356"/>
    <w:rsid w:val="67D747D7"/>
    <w:rsid w:val="6CC97B23"/>
    <w:rsid w:val="6D507C88"/>
    <w:rsid w:val="6DC03751"/>
    <w:rsid w:val="6F4577DC"/>
    <w:rsid w:val="709B28DF"/>
    <w:rsid w:val="71D36ECE"/>
    <w:rsid w:val="721553B9"/>
    <w:rsid w:val="73261DAF"/>
    <w:rsid w:val="7371085D"/>
    <w:rsid w:val="765B6ABB"/>
    <w:rsid w:val="77712936"/>
    <w:rsid w:val="77D93560"/>
    <w:rsid w:val="78901500"/>
    <w:rsid w:val="78A0421B"/>
    <w:rsid w:val="798B563F"/>
    <w:rsid w:val="7AC85181"/>
    <w:rsid w:val="7BD55DBA"/>
    <w:rsid w:val="7C326B40"/>
    <w:rsid w:val="7C4976F5"/>
    <w:rsid w:val="7C551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7"/>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6">
    <w:name w:val="Default Paragraph Font"/>
    <w:semiHidden/>
    <w:unhideWhenUsed/>
    <w:qFormat/>
    <w:uiPriority w:val="1"/>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ind w:firstLine="200" w:firstLineChars="200"/>
    </w:pPr>
    <w:rPr>
      <w:sz w:val="24"/>
      <w:szCs w:val="2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标题 1 字符"/>
    <w:basedOn w:val="6"/>
    <w:link w:val="3"/>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2749</Words>
  <Characters>2895</Characters>
  <Lines>0</Lines>
  <Paragraphs>0</Paragraphs>
  <TotalTime>33</TotalTime>
  <ScaleCrop>false</ScaleCrop>
  <LinksUpToDate>false</LinksUpToDate>
  <CharactersWithSpaces>2981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dcterms:modified xsi:type="dcterms:W3CDTF">2025-09-19T02:38:44Z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9949B1A7DFE54139A85B89835E903686_13</vt:lpwstr>
  </property>
  <property fmtid="{D5CDD505-2E9C-101B-9397-08002B2CF9AE}" pid="4" name="KSOTemplateDocerSaveRecord">
    <vt:lpwstr>eyJoZGlkIjoiYjY4MjgzNmVmYmQ5OThjNWZlOThjYzVkYjdkNWU4YWMiLCJ1c2VySWQiOiIxNjY0OTc3MjkxIn0=</vt:lpwstr>
  </property>
</Properties>
</file>