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jc w:val="right"/>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2025</w:t>
      </w:r>
      <w:r>
        <w:rPr>
          <w:rFonts w:eastAsia="仿宋_GB2312"/>
          <w:color w:val="000000"/>
          <w:sz w:val="32"/>
          <w:szCs w:val="32"/>
        </w:rPr>
        <w:t>〕</w:t>
      </w:r>
      <w:r>
        <w:rPr>
          <w:rFonts w:hint="eastAsia"/>
          <w:color w:val="000000"/>
          <w:sz w:val="32"/>
          <w:szCs w:val="32"/>
          <w:lang w:val="en-US" w:eastAsia="zh-CN"/>
        </w:rPr>
        <w:t>286</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3A7ECF7E">
      <w:pPr>
        <w:spacing w:line="600" w:lineRule="exact"/>
        <w:ind w:left="0" w:leftChars="0" w:firstLine="0" w:firstLineChars="0"/>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关于四川耀辰玻璃制品有限公司四川耀辰</w:t>
      </w:r>
    </w:p>
    <w:p w14:paraId="74B6D72B">
      <w:pPr>
        <w:spacing w:line="600" w:lineRule="exact"/>
        <w:ind w:left="0" w:leftChars="0" w:firstLine="0" w:firstLineChars="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玻璃制品项目</w:t>
      </w:r>
      <w:r>
        <w:rPr>
          <w:rFonts w:ascii="Times New Roman" w:hAnsi="Times New Roman" w:eastAsia="方正小标宋简体" w:cs="Times New Roman"/>
          <w:sz w:val="44"/>
          <w:szCs w:val="44"/>
        </w:rPr>
        <w:t>《环境影响报告表》</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的批复</w:t>
      </w:r>
    </w:p>
    <w:p w14:paraId="15EC028B">
      <w:pPr>
        <w:pStyle w:val="6"/>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eastAsia="仿宋_GB2312" w:cs="仿宋_GB2312"/>
          <w:sz w:val="32"/>
          <w:szCs w:val="32"/>
          <w:lang w:val="en-US" w:eastAsia="zh-CN"/>
        </w:rPr>
        <w:t>四川耀辰玻璃制品有限公司</w:t>
      </w:r>
      <w:r>
        <w:rPr>
          <w:rFonts w:hint="eastAsia" w:ascii="仿宋_GB2312" w:hAnsi="仿宋_GB2312" w:cs="仿宋_GB2312"/>
          <w:sz w:val="32"/>
          <w:szCs w:val="32"/>
          <w:lang w:eastAsia="zh-CN"/>
        </w:rPr>
        <w:t>：</w:t>
      </w:r>
    </w:p>
    <w:p w14:paraId="76AA114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你公司报送的</w:t>
      </w:r>
      <w:r>
        <w:rPr>
          <w:rFonts w:hint="eastAsia" w:ascii="仿宋_GB2312" w:hAnsi="仿宋_GB2312" w:eastAsia="仿宋_GB2312" w:cs="仿宋_GB2312"/>
          <w:sz w:val="32"/>
          <w:szCs w:val="32"/>
          <w:lang w:val="en-US" w:eastAsia="zh-CN"/>
        </w:rPr>
        <w:t>四川耀辰玻璃制品项目</w:t>
      </w:r>
      <w:r>
        <w:rPr>
          <w:rFonts w:hint="eastAsia"/>
          <w:lang w:eastAsia="zh-CN"/>
        </w:rPr>
        <w:t>《环境影响报告表》（以下简称“报告表”）收悉。经研究，批复如下：</w:t>
      </w:r>
    </w:p>
    <w:p w14:paraId="0C86FAB5">
      <w:pPr>
        <w:pStyle w:val="6"/>
        <w:numPr>
          <w:ilvl w:val="0"/>
          <w:numId w:val="1"/>
        </w:numPr>
        <w:spacing w:line="560" w:lineRule="exact"/>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该项目为新建项目,拟在广汉市潮州路一段7号租赁四川中昊长园高铁材料有限公司已建标准化厂房建设，用地面积10226平方米。项目内容及规模为：对现有厂房进行适应性改造，依托相关公辅设施，购置磨边机、清洗机、钢化炉、自动中空玻璃生产线、夹胶玻璃生产线等生产设备，布设钢化玻璃、中空玻璃和夹胶玻璃生产线，项目建成后形成年产钢化玻璃50万平</w:t>
      </w:r>
      <w:r>
        <w:rPr>
          <w:rFonts w:hint="eastAsia" w:ascii="仿宋_GB2312" w:hAnsi="仿宋_GB2312" w:cs="仿宋_GB2312"/>
          <w:kern w:val="2"/>
          <w:sz w:val="32"/>
          <w:szCs w:val="32"/>
          <w:lang w:val="en-US" w:eastAsia="zh-CN" w:bidi="ar-SA"/>
        </w:rPr>
        <w:t>方</w:t>
      </w:r>
      <w:r>
        <w:rPr>
          <w:rFonts w:hint="eastAsia" w:ascii="仿宋_GB2312" w:hAnsi="仿宋_GB2312" w:eastAsia="仿宋_GB2312" w:cs="仿宋_GB2312"/>
          <w:kern w:val="2"/>
          <w:sz w:val="32"/>
          <w:szCs w:val="32"/>
          <w:lang w:val="en-US" w:eastAsia="zh-CN" w:bidi="ar-SA"/>
        </w:rPr>
        <w:t>米、中空玻璃80万平</w:t>
      </w:r>
      <w:r>
        <w:rPr>
          <w:rFonts w:hint="eastAsia" w:ascii="仿宋_GB2312" w:hAnsi="仿宋_GB2312" w:cs="仿宋_GB2312"/>
          <w:kern w:val="2"/>
          <w:sz w:val="32"/>
          <w:szCs w:val="32"/>
          <w:lang w:val="en-US" w:eastAsia="zh-CN" w:bidi="ar-SA"/>
        </w:rPr>
        <w:t>方</w:t>
      </w:r>
      <w:r>
        <w:rPr>
          <w:rFonts w:hint="eastAsia" w:ascii="仿宋_GB2312" w:hAnsi="仿宋_GB2312" w:eastAsia="仿宋_GB2312" w:cs="仿宋_GB2312"/>
          <w:kern w:val="2"/>
          <w:sz w:val="32"/>
          <w:szCs w:val="32"/>
          <w:lang w:val="en-US" w:eastAsia="zh-CN" w:bidi="ar-SA"/>
        </w:rPr>
        <w:t>米、夹胶玻璃20万平</w:t>
      </w:r>
      <w:r>
        <w:rPr>
          <w:rFonts w:hint="eastAsia" w:ascii="仿宋_GB2312" w:hAnsi="仿宋_GB2312" w:cs="仿宋_GB2312"/>
          <w:kern w:val="2"/>
          <w:sz w:val="32"/>
          <w:szCs w:val="32"/>
          <w:lang w:val="en-US" w:eastAsia="zh-CN" w:bidi="ar-SA"/>
        </w:rPr>
        <w:t>方</w:t>
      </w:r>
      <w:r>
        <w:rPr>
          <w:rFonts w:hint="eastAsia" w:ascii="仿宋_GB2312" w:hAnsi="仿宋_GB2312" w:eastAsia="仿宋_GB2312" w:cs="仿宋_GB2312"/>
          <w:kern w:val="2"/>
          <w:sz w:val="32"/>
          <w:szCs w:val="32"/>
          <w:lang w:val="en-US" w:eastAsia="zh-CN" w:bidi="ar-SA"/>
        </w:rPr>
        <w:t>米的生产能力。项目总投资1000万元，其中环保投资52万元。</w:t>
      </w:r>
    </w:p>
    <w:p w14:paraId="5200CD3C">
      <w:pPr>
        <w:pStyle w:val="6"/>
        <w:numPr>
          <w:ilvl w:val="0"/>
          <w:numId w:val="0"/>
        </w:num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项目在四川省投资项目在线审批监管平台进行了备案（备案号：川投资备[2</w:t>
      </w:r>
      <w:r>
        <w:rPr>
          <w:rFonts w:hint="eastAsia" w:ascii="仿宋_GB2312" w:hAnsi="仿宋_GB2312" w:cs="仿宋_GB2312"/>
          <w:kern w:val="2"/>
          <w:sz w:val="32"/>
          <w:szCs w:val="32"/>
          <w:lang w:val="en-US" w:eastAsia="zh-CN" w:bidi="ar-SA"/>
        </w:rPr>
        <w:t>507</w:t>
      </w:r>
      <w:r>
        <w:rPr>
          <w:rFonts w:hint="eastAsia" w:ascii="仿宋_GB2312" w:hAnsi="仿宋_GB2312" w:eastAsia="仿宋_GB2312" w:cs="仿宋_GB2312"/>
          <w:kern w:val="2"/>
          <w:sz w:val="32"/>
          <w:szCs w:val="32"/>
          <w:lang w:val="en-US" w:eastAsia="zh-CN" w:bidi="ar-SA"/>
        </w:rPr>
        <w:t>-510681-04-01-</w:t>
      </w:r>
      <w:r>
        <w:rPr>
          <w:rFonts w:hint="eastAsia" w:ascii="仿宋_GB2312" w:hAnsi="仿宋_GB2312" w:cs="仿宋_GB2312"/>
          <w:kern w:val="2"/>
          <w:sz w:val="32"/>
          <w:szCs w:val="32"/>
          <w:lang w:val="en-US" w:eastAsia="zh-CN" w:bidi="ar-SA"/>
        </w:rPr>
        <w:t>372123</w:t>
      </w:r>
      <w:r>
        <w:rPr>
          <w:rFonts w:hint="eastAsia" w:ascii="仿宋_GB2312" w:hAnsi="仿宋_GB2312" w:eastAsia="仿宋_GB2312" w:cs="仿宋_GB2312"/>
          <w:kern w:val="2"/>
          <w:sz w:val="32"/>
          <w:szCs w:val="32"/>
          <w:lang w:val="en-US" w:eastAsia="zh-CN" w:bidi="ar-SA"/>
        </w:rPr>
        <w:t>]FGQB-0</w:t>
      </w:r>
      <w:r>
        <w:rPr>
          <w:rFonts w:hint="eastAsia" w:ascii="仿宋_GB2312" w:hAnsi="仿宋_GB2312" w:cs="仿宋_GB2312"/>
          <w:kern w:val="2"/>
          <w:sz w:val="32"/>
          <w:szCs w:val="32"/>
          <w:lang w:val="en-US" w:eastAsia="zh-CN" w:bidi="ar-SA"/>
        </w:rPr>
        <w:t>908</w:t>
      </w:r>
      <w:r>
        <w:rPr>
          <w:rFonts w:hint="eastAsia" w:ascii="仿宋_GB2312" w:hAnsi="仿宋_GB2312" w:eastAsia="仿宋_GB2312" w:cs="仿宋_GB2312"/>
          <w:kern w:val="2"/>
          <w:sz w:val="32"/>
          <w:szCs w:val="32"/>
          <w:lang w:val="en-US" w:eastAsia="zh-CN" w:bidi="ar-SA"/>
        </w:rPr>
        <w:t>号），符合国家现行产业政策</w:t>
      </w:r>
      <w:r>
        <w:rPr>
          <w:rFonts w:hint="eastAsia" w:ascii="仿宋_GB2312" w:hAnsi="仿宋_GB2312" w:eastAsia="仿宋_GB2312" w:cs="仿宋_GB2312"/>
          <w:kern w:val="2"/>
          <w:sz w:val="32"/>
          <w:szCs w:val="32"/>
          <w:lang w:val="zh-CN" w:eastAsia="zh-CN" w:bidi="ar-SA"/>
        </w:rPr>
        <w:t>；该项目符合德阳市生态环境分区管控相关要求，</w:t>
      </w:r>
      <w:r>
        <w:rPr>
          <w:rFonts w:hint="eastAsia" w:ascii="仿宋_GB2312" w:hAnsi="仿宋_GB2312" w:eastAsia="仿宋_GB2312" w:cs="仿宋_GB2312"/>
          <w:kern w:val="2"/>
          <w:sz w:val="32"/>
          <w:szCs w:val="32"/>
          <w:lang w:val="en-US" w:eastAsia="zh-CN" w:bidi="ar-SA"/>
        </w:rPr>
        <w:t>根据</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广汉市国土空间总体规划(2021-2035年)</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及四川中昊长园高铁材料有限公司取得的《不动产权证》，项目用地性质为工业用地，选址符合规划。</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二、项目建设及运行中应重点做好以下工作：</w:t>
      </w:r>
    </w:p>
    <w:p w14:paraId="42F37DF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（二）加强施工期管理，合理安排施工时段和施工场地布设，落实施工期各项环境保护措施，有效控制、减轻或消除施工期废水、废渣、噪声、扬尘等对周围环境的影响。</w:t>
      </w:r>
    </w:p>
    <w:p w14:paraId="40CA39A3">
      <w:pPr>
        <w:pStyle w:val="6"/>
        <w:spacing w:line="560" w:lineRule="exact"/>
        <w:ind w:firstLine="640"/>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kern w:val="2"/>
          <w:sz w:val="32"/>
          <w:szCs w:val="24"/>
          <w:lang w:val="en-US" w:eastAsia="zh-CN" w:bidi="ar-SA"/>
        </w:rPr>
        <w:t>（三）严格落实并优化报告表提出的各项废气处理措施。</w:t>
      </w:r>
      <w:r>
        <w:rPr>
          <w:rFonts w:hint="eastAsia" w:ascii="仿宋_GB2312" w:hAnsi="仿宋_GB2312" w:eastAsia="仿宋_GB2312" w:cs="仿宋_GB2312"/>
          <w:color w:val="000000"/>
          <w:sz w:val="32"/>
          <w:szCs w:val="32"/>
          <w:lang w:eastAsia="zh-CN"/>
        </w:rPr>
        <w:t>分别落实打胶、封胶工序的集气罩</w:t>
      </w:r>
      <w:r>
        <w:rPr>
          <w:rFonts w:hint="eastAsia" w:ascii="仿宋_GB2312" w:hAnsi="仿宋_GB2312" w:cs="仿宋_GB2312"/>
          <w:color w:val="000000"/>
          <w:sz w:val="32"/>
          <w:szCs w:val="32"/>
          <w:lang w:eastAsia="zh-CN"/>
        </w:rPr>
        <w:t>以及</w:t>
      </w:r>
      <w:r>
        <w:rPr>
          <w:rFonts w:hint="eastAsia" w:ascii="仿宋_GB2312" w:hAnsi="仿宋_GB2312" w:eastAsia="仿宋_GB2312" w:cs="仿宋_GB2312"/>
          <w:color w:val="000000"/>
          <w:sz w:val="32"/>
          <w:szCs w:val="32"/>
          <w:lang w:eastAsia="zh-CN"/>
        </w:rPr>
        <w:t>高压釜的密闭</w:t>
      </w:r>
      <w:r>
        <w:rPr>
          <w:rFonts w:hint="eastAsia" w:ascii="仿宋_GB2312" w:hAnsi="仿宋_GB2312" w:eastAsia="仿宋_GB2312" w:cs="仿宋_GB2312"/>
          <w:color w:val="000000"/>
          <w:sz w:val="32"/>
          <w:szCs w:val="32"/>
          <w:lang w:val="en-US" w:eastAsia="zh-CN"/>
        </w:rPr>
        <w:t>排气管，</w:t>
      </w:r>
      <w:r>
        <w:rPr>
          <w:rFonts w:hint="eastAsia" w:ascii="仿宋_GB2312" w:hAnsi="仿宋_GB2312" w:eastAsia="仿宋_GB2312" w:cs="仿宋_GB2312"/>
          <w:color w:val="000000"/>
          <w:sz w:val="32"/>
          <w:szCs w:val="32"/>
          <w:lang w:eastAsia="zh-CN"/>
        </w:rPr>
        <w:t>确保打胶、封胶和PVB膜热熔有机废气收集后经两级活性炭吸附装置处理后由</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根</w:t>
      </w:r>
      <w:r>
        <w:rPr>
          <w:rFonts w:hint="eastAsia" w:ascii="仿宋_GB2312" w:hAnsi="仿宋_GB2312" w:eastAsia="仿宋_GB2312" w:cs="仿宋_GB2312"/>
          <w:color w:val="000000"/>
          <w:sz w:val="32"/>
          <w:szCs w:val="32"/>
          <w:lang w:val="en-US" w:eastAsia="zh-CN"/>
        </w:rPr>
        <w:t>15高排气筒达标排放</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p>
    <w:p w14:paraId="12F09AF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（四）严格落实并优化报告表提出的各项废水处理措施。</w:t>
      </w:r>
      <w:r>
        <w:rPr>
          <w:rFonts w:hint="eastAsia" w:ascii="仿宋_GB2312" w:hAnsi="仿宋_GB2312" w:eastAsia="仿宋_GB2312" w:cs="仿宋_GB2312"/>
          <w:color w:val="000000"/>
          <w:sz w:val="32"/>
          <w:szCs w:val="32"/>
          <w:lang w:eastAsia="zh-CN"/>
        </w:rPr>
        <w:t>项目</w:t>
      </w:r>
      <w:r>
        <w:rPr>
          <w:rFonts w:hint="eastAsia" w:ascii="仿宋_GB2312" w:hAnsi="仿宋_GB2312" w:cs="仿宋_GB2312"/>
          <w:color w:val="000000"/>
          <w:sz w:val="32"/>
          <w:szCs w:val="32"/>
          <w:lang w:eastAsia="zh-CN"/>
        </w:rPr>
        <w:t>钢化加工线</w:t>
      </w:r>
      <w:r>
        <w:rPr>
          <w:rFonts w:hint="eastAsia" w:ascii="仿宋_GB2312" w:hAnsi="仿宋_GB2312" w:eastAsia="仿宋_GB2312" w:cs="仿宋_GB2312"/>
          <w:color w:val="000000"/>
          <w:sz w:val="32"/>
          <w:szCs w:val="32"/>
          <w:lang w:eastAsia="zh-CN"/>
        </w:rPr>
        <w:t>玻璃清洗、磨边、钻孔废水和</w:t>
      </w:r>
      <w:r>
        <w:rPr>
          <w:rFonts w:hint="eastAsia" w:ascii="仿宋_GB2312" w:hAnsi="仿宋_GB2312" w:cs="仿宋_GB2312"/>
          <w:color w:val="000000"/>
          <w:sz w:val="32"/>
          <w:szCs w:val="32"/>
          <w:lang w:eastAsia="zh-CN"/>
        </w:rPr>
        <w:t>中空</w:t>
      </w:r>
      <w:r>
        <w:rPr>
          <w:rFonts w:hint="eastAsia" w:ascii="仿宋_GB2312" w:hAnsi="仿宋_GB2312" w:eastAsia="仿宋_GB2312" w:cs="仿宋_GB2312"/>
          <w:color w:val="000000"/>
          <w:sz w:val="32"/>
          <w:szCs w:val="32"/>
          <w:lang w:eastAsia="zh-CN"/>
        </w:rPr>
        <w:t>玻璃</w:t>
      </w:r>
      <w:r>
        <w:rPr>
          <w:rFonts w:hint="eastAsia" w:ascii="仿宋_GB2312" w:hAnsi="仿宋_GB2312" w:cs="仿宋_GB2312"/>
          <w:color w:val="000000"/>
          <w:sz w:val="32"/>
          <w:szCs w:val="32"/>
          <w:lang w:eastAsia="zh-CN"/>
        </w:rPr>
        <w:t>加工线</w:t>
      </w:r>
      <w:r>
        <w:rPr>
          <w:rFonts w:hint="eastAsia" w:ascii="仿宋_GB2312" w:hAnsi="仿宋_GB2312" w:eastAsia="仿宋_GB2312" w:cs="仿宋_GB2312"/>
          <w:color w:val="000000"/>
          <w:sz w:val="32"/>
          <w:szCs w:val="32"/>
          <w:lang w:eastAsia="zh-CN"/>
        </w:rPr>
        <w:t>清洗废水经拟建污水净化设施处理后回用于</w:t>
      </w:r>
      <w:r>
        <w:rPr>
          <w:rFonts w:hint="eastAsia" w:ascii="仿宋_GB2312" w:hAnsi="仿宋_GB2312" w:cs="仿宋_GB2312"/>
          <w:color w:val="000000"/>
          <w:sz w:val="32"/>
          <w:szCs w:val="32"/>
          <w:lang w:eastAsia="zh-CN"/>
        </w:rPr>
        <w:t>钢化加工线</w:t>
      </w:r>
      <w:r>
        <w:rPr>
          <w:rFonts w:hint="eastAsia" w:ascii="仿宋_GB2312" w:hAnsi="仿宋_GB2312" w:eastAsia="仿宋_GB2312" w:cs="仿宋_GB2312"/>
          <w:color w:val="000000"/>
          <w:sz w:val="32"/>
          <w:szCs w:val="32"/>
          <w:lang w:eastAsia="zh-CN"/>
        </w:rPr>
        <w:t>玻璃清洗、磨边、钻孔，定期更换的玻璃加工清洗废水会同纯水制备浓水及</w:t>
      </w:r>
      <w:r>
        <w:rPr>
          <w:rFonts w:hint="eastAsia" w:ascii="仿宋_GB2312" w:hAnsi="仿宋_GB2312" w:cs="仿宋_GB2312"/>
          <w:color w:val="000000"/>
          <w:sz w:val="32"/>
          <w:szCs w:val="32"/>
          <w:lang w:eastAsia="zh-CN"/>
        </w:rPr>
        <w:t>反</w:t>
      </w:r>
      <w:r>
        <w:rPr>
          <w:rFonts w:hint="eastAsia" w:ascii="仿宋_GB2312" w:hAnsi="仿宋_GB2312" w:eastAsia="仿宋_GB2312" w:cs="仿宋_GB2312"/>
          <w:color w:val="000000"/>
          <w:sz w:val="32"/>
          <w:szCs w:val="32"/>
          <w:lang w:eastAsia="zh-CN"/>
        </w:rPr>
        <w:t>冲洗废水</w:t>
      </w:r>
      <w:r>
        <w:rPr>
          <w:rFonts w:hint="eastAsia" w:ascii="仿宋_GB2312" w:hAnsi="仿宋_GB2312" w:eastAsia="仿宋_GB2312" w:cs="仿宋_GB2312"/>
          <w:color w:val="000000"/>
          <w:sz w:val="32"/>
          <w:szCs w:val="32"/>
          <w:lang w:val="en-US" w:eastAsia="zh-CN"/>
        </w:rPr>
        <w:t>、预处理后的生活污水</w:t>
      </w:r>
      <w:r>
        <w:rPr>
          <w:rFonts w:hint="eastAsia" w:ascii="仿宋_GB2312" w:hAnsi="仿宋_GB2312" w:eastAsia="仿宋_GB2312" w:cs="仿宋_GB2312"/>
          <w:color w:val="000000"/>
          <w:sz w:val="32"/>
          <w:szCs w:val="32"/>
          <w:lang w:eastAsia="zh-CN"/>
        </w:rPr>
        <w:t>达到</w:t>
      </w:r>
      <w:r>
        <w:rPr>
          <w:rFonts w:hint="eastAsia"/>
          <w:lang w:eastAsia="zh-CN"/>
        </w:rPr>
        <w:t>《污水综合排放标准》（GB8978-1996）三级标准后排入市政污水管网，由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广汉市第</w:t>
      </w:r>
      <w:r>
        <w:rPr>
          <w:rFonts w:hint="eastAsia" w:ascii="仿宋_GB2312" w:hAnsi="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污水处理厂</w:t>
      </w:r>
      <w:r>
        <w:rPr>
          <w:rFonts w:hint="eastAsia"/>
          <w:lang w:eastAsia="zh-CN"/>
        </w:rPr>
        <w:t>处理达《四川省岷江、沱江流域水污染物排放标准》（DB51/2311-2016）中工业园区集中式污水处理厂标准后外排。</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widowControl/>
        <w:suppressLineNumbers w:val="0"/>
        <w:jc w:val="left"/>
        <w:rPr>
          <w:rFonts w:hint="eastAsia"/>
          <w:lang w:eastAsia="zh-CN"/>
        </w:rPr>
      </w:pPr>
      <w:r>
        <w:rPr>
          <w:rFonts w:hint="eastAsia"/>
          <w:lang w:eastAsia="zh-CN"/>
        </w:rPr>
        <w:t>（六）严格落实并优化报告表提出的各项固体废弃物处置措施。固体废物应按照“减量化、资源化、无害化”的原则进行分类收集和处置，提高回收利用率。加强固体废物产生、收集、贮存、运输、利用、处置全过程环境管理，避免二次污染。项目</w:t>
      </w:r>
      <w:r>
        <w:rPr>
          <w:rFonts w:hint="eastAsia" w:ascii="仿宋_GB2312" w:hAnsi="仿宋_GB2312" w:eastAsia="仿宋_GB2312" w:cs="仿宋_GB2312"/>
          <w:bCs/>
          <w:color w:val="000000"/>
          <w:sz w:val="32"/>
          <w:szCs w:val="32"/>
          <w:lang w:val="en-US" w:eastAsia="zh-CN"/>
        </w:rPr>
        <w:t>废玻璃和玻渣收集后售予玻璃厂利用；废树脂、废过滤膜收集后交予厂家回收；污泥交有处理能力的单位处置；废铝材、废胶皮、一般废包装材料</w:t>
      </w:r>
      <w:r>
        <w:rPr>
          <w:rFonts w:hint="default" w:ascii="仿宋_GB2312" w:hAnsi="仿宋_GB2312" w:eastAsia="仿宋_GB2312" w:cs="仿宋_GB2312"/>
          <w:bCs/>
          <w:color w:val="000000"/>
          <w:sz w:val="32"/>
          <w:szCs w:val="32"/>
          <w:lang w:val="en-US" w:eastAsia="zh-CN"/>
        </w:rPr>
        <w:t>外售废品回收站</w:t>
      </w:r>
      <w:r>
        <w:rPr>
          <w:rFonts w:hint="eastAsia" w:ascii="仿宋_GB2312" w:hAnsi="仿宋_GB2312" w:eastAsia="仿宋_GB2312" w:cs="仿宋_GB2312"/>
          <w:bCs/>
          <w:color w:val="000000"/>
          <w:sz w:val="32"/>
          <w:szCs w:val="32"/>
          <w:lang w:val="en-US" w:eastAsia="zh-CN"/>
        </w:rPr>
        <w:t>；项目废活性炭、废机油及废机油桶、废含油棉纱和手套、</w:t>
      </w:r>
      <w:r>
        <w:rPr>
          <w:rFonts w:hint="eastAsia" w:hAnsi="宋体"/>
          <w:szCs w:val="24"/>
        </w:rPr>
        <w:t>硅酮胶</w:t>
      </w:r>
      <w:r>
        <w:rPr>
          <w:rFonts w:hint="eastAsia" w:hAnsi="宋体"/>
          <w:szCs w:val="24"/>
          <w:lang w:eastAsia="zh-CN"/>
        </w:rPr>
        <w:t>及</w:t>
      </w:r>
      <w:r>
        <w:rPr>
          <w:rFonts w:hint="eastAsia" w:hAnsi="宋体"/>
          <w:szCs w:val="24"/>
        </w:rPr>
        <w:t>丁基胶</w:t>
      </w:r>
      <w:r>
        <w:rPr>
          <w:rFonts w:hint="eastAsia"/>
          <w:szCs w:val="24"/>
        </w:rPr>
        <w:t>内衬塑料袋和</w:t>
      </w:r>
      <w:r>
        <w:rPr>
          <w:rFonts w:hint="eastAsia" w:hAnsi="宋体"/>
          <w:szCs w:val="24"/>
        </w:rPr>
        <w:t>损坏包装桶</w:t>
      </w:r>
      <w:r>
        <w:rPr>
          <w:rFonts w:hint="eastAsia"/>
          <w:lang w:eastAsia="zh-CN"/>
        </w:rPr>
        <w:t>属于危险废物，须妥善安全收储，落实专人管理，并严格执行转移联单制度，定期交有危废处理资质的单位处置，其暂存区须采取必要的防风、防晒、防雨、防漏、防渗、防腐以及其他环境污染防治措施；生活垃圾交环卫部门清运。</w:t>
      </w:r>
    </w:p>
    <w:p w14:paraId="38747D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（七）严格落实并优化报告表提出的地下水和土壤污染防治措施。项目将</w:t>
      </w:r>
      <w:r>
        <w:rPr>
          <w:rFonts w:hint="eastAsia"/>
          <w:lang w:val="en-US" w:eastAsia="zh-CN"/>
        </w:rPr>
        <w:t>矿物油暂存间、危废暂存间、中空玻璃生产区设置为重点防渗区，将玻璃裁切和清洗区、水处理及循环设施区域、玻璃钢化区、铝框架生产区、夹胶玻璃生产区、一般固废暂存区设置为一般防渗区，将生产车间其他区域设置为简单防渗区，分别采取防渗措施。建立和完善地下水</w:t>
      </w:r>
      <w:r>
        <w:rPr>
          <w:rFonts w:hint="eastAsia"/>
          <w:lang w:eastAsia="zh-CN"/>
        </w:rPr>
        <w:t>、土壤污染监控制度和环境管理体系，发现问题及时采取措施，避免污染周边地下水和土壤环境。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62264AF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584B71B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val="en-US" w:eastAsia="zh-CN"/>
        </w:rPr>
      </w:pPr>
      <w:r>
        <w:rPr>
          <w:rFonts w:hint="eastAsia"/>
          <w:lang w:eastAsia="zh-CN"/>
        </w:rPr>
        <w:t>三、该项目运营后，</w:t>
      </w:r>
      <w:r>
        <w:rPr>
          <w:rFonts w:hint="eastAsia"/>
          <w:lang w:val="en-US" w:eastAsia="zh-CN"/>
        </w:rPr>
        <w:t>挥发性有机物排放量为</w:t>
      </w:r>
      <w:r>
        <w:rPr>
          <w:rFonts w:hint="eastAsia"/>
          <w:snapToGrid w:val="0"/>
        </w:rPr>
        <w:t>0.3</w:t>
      </w:r>
      <w:r>
        <w:rPr>
          <w:rFonts w:hint="eastAsia"/>
          <w:snapToGrid w:val="0"/>
          <w:lang w:val="en-US" w:eastAsia="zh-CN"/>
        </w:rPr>
        <w:t>83</w:t>
      </w:r>
      <w:r>
        <w:rPr>
          <w:rFonts w:hint="eastAsia"/>
          <w:lang w:val="en-US" w:eastAsia="zh-CN"/>
        </w:rPr>
        <w:t>吨/年，</w:t>
      </w:r>
      <w:r>
        <w:rPr>
          <w:rFonts w:ascii="仿宋_GB2312" w:hAnsi="仿宋_GB2312" w:eastAsia="仿宋_GB2312" w:cs="仿宋_GB2312"/>
          <w:sz w:val="32"/>
          <w:szCs w:val="32"/>
          <w:highlight w:val="none"/>
        </w:rPr>
        <w:t>化学需氧量</w:t>
      </w:r>
      <w:r>
        <w:rPr>
          <w:rFonts w:hint="eastAsia"/>
          <w:lang w:val="en-US" w:eastAsia="zh-CN"/>
        </w:rPr>
        <w:t>排放量为</w:t>
      </w:r>
      <w:r>
        <w:rPr>
          <w:rFonts w:hint="eastAsia"/>
          <w:snapToGrid w:val="0"/>
        </w:rPr>
        <w:t>0.08</w:t>
      </w:r>
      <w:r>
        <w:rPr>
          <w:rFonts w:ascii="仿宋_GB2312" w:hAnsi="仿宋_GB2312" w:eastAsia="仿宋_GB2312" w:cs="仿宋_GB2312"/>
          <w:sz w:val="32"/>
          <w:szCs w:val="32"/>
          <w:highlight w:val="none"/>
        </w:rPr>
        <w:t>吨/年</w:t>
      </w:r>
      <w:r>
        <w:rPr>
          <w:rFonts w:hint="eastAsia" w:ascii="仿宋_GB2312" w:hAnsi="仿宋_GB2312" w:cs="仿宋_GB2312"/>
          <w:sz w:val="32"/>
          <w:szCs w:val="32"/>
          <w:highlight w:val="none"/>
          <w:lang w:eastAsia="zh-CN"/>
        </w:rPr>
        <w:t>，</w:t>
      </w:r>
      <w:r>
        <w:rPr>
          <w:rFonts w:ascii="仿宋_GB2312" w:hAnsi="仿宋_GB2312" w:eastAsia="仿宋_GB2312" w:cs="仿宋_GB2312"/>
          <w:sz w:val="32"/>
          <w:szCs w:val="32"/>
          <w:highlight w:val="none"/>
        </w:rPr>
        <w:t>氨氮</w:t>
      </w:r>
      <w:r>
        <w:rPr>
          <w:rFonts w:hint="eastAsia"/>
          <w:lang w:val="en-US" w:eastAsia="zh-CN"/>
        </w:rPr>
        <w:t>排放量为</w:t>
      </w:r>
      <w:r>
        <w:rPr>
          <w:rFonts w:hint="eastAsia"/>
          <w:snapToGrid w:val="0"/>
        </w:rPr>
        <w:t>0.01</w:t>
      </w:r>
      <w:r>
        <w:rPr>
          <w:rFonts w:ascii="仿宋_GB2312" w:hAnsi="仿宋_GB2312" w:eastAsia="仿宋_GB2312" w:cs="仿宋_GB2312"/>
          <w:sz w:val="32"/>
          <w:szCs w:val="32"/>
          <w:highlight w:val="none"/>
        </w:rPr>
        <w:t>吨/年</w:t>
      </w:r>
      <w:r>
        <w:rPr>
          <w:rFonts w:hint="eastAsia"/>
          <w:lang w:eastAsia="zh-CN"/>
        </w:rPr>
        <w:t>，其总量控制指标</w:t>
      </w:r>
      <w:r>
        <w:rPr>
          <w:rFonts w:hint="eastAsia"/>
          <w:lang w:val="en-US" w:eastAsia="zh-CN"/>
        </w:rPr>
        <w:t>按</w:t>
      </w:r>
      <w:r>
        <w:rPr>
          <w:rFonts w:hint="eastAsia"/>
          <w:lang w:eastAsia="zh-CN"/>
        </w:rPr>
        <w:t>德阳市广汉生态环境局</w:t>
      </w:r>
      <w:r>
        <w:rPr>
          <w:rFonts w:hint="eastAsia"/>
          <w:lang w:val="en-US" w:eastAsia="zh-CN"/>
        </w:rPr>
        <w:t>总量文件执</w:t>
      </w:r>
      <w:r>
        <w:rPr>
          <w:rFonts w:hint="eastAsia" w:ascii="Times New Roman" w:hAnsi="Times New Roman" w:cs="Times New Roman"/>
          <w:lang w:val="en-US" w:eastAsia="zh-CN"/>
        </w:rPr>
        <w:t>行。</w:t>
      </w:r>
    </w:p>
    <w:p w14:paraId="4537D1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四、项目开工建设及投入运营前，应依法完备其他行政许可手续。</w:t>
      </w:r>
    </w:p>
    <w:p w14:paraId="71C3322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402E0F8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23F3261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63125A2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51BF54D0">
      <w:pPr>
        <w:bidi w:val="0"/>
        <w:rPr>
          <w:rFonts w:hint="eastAsia"/>
          <w:lang w:eastAsia="zh-CN"/>
        </w:rPr>
      </w:pPr>
      <w:r>
        <w:rPr>
          <w:rFonts w:hint="eastAsia"/>
          <w:lang w:eastAsia="zh-CN"/>
        </w:rPr>
        <w:t xml:space="preserve">                </w:t>
      </w:r>
    </w:p>
    <w:p w14:paraId="1CDF7A1C">
      <w:pPr>
        <w:bidi w:val="0"/>
        <w:rPr>
          <w:rFonts w:hint="eastAsia"/>
          <w:lang w:eastAsia="zh-CN"/>
        </w:rPr>
      </w:pPr>
      <w:r>
        <w:rPr>
          <w:rFonts w:hint="eastAsia"/>
          <w:lang w:eastAsia="zh-CN"/>
        </w:rPr>
        <w:t xml:space="preserve">                  </w:t>
      </w: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5</w:t>
      </w:r>
      <w:r>
        <w:rPr>
          <w:rFonts w:hint="eastAsia"/>
          <w:lang w:eastAsia="zh-CN"/>
        </w:rPr>
        <w:t>年</w:t>
      </w:r>
      <w:r>
        <w:rPr>
          <w:rFonts w:hint="eastAsia"/>
          <w:lang w:val="en-US" w:eastAsia="zh-CN"/>
        </w:rPr>
        <w:t>9</w:t>
      </w:r>
      <w:r>
        <w:rPr>
          <w:rFonts w:hint="eastAsia"/>
          <w:lang w:eastAsia="zh-CN"/>
        </w:rPr>
        <w:t>月</w:t>
      </w:r>
      <w:r>
        <w:rPr>
          <w:rFonts w:hint="eastAsia"/>
          <w:lang w:val="en-US" w:eastAsia="zh-CN"/>
        </w:rPr>
        <w:t>19</w:t>
      </w:r>
      <w:bookmarkStart w:id="0" w:name="_GoBack"/>
      <w:bookmarkEnd w:id="0"/>
      <w:r>
        <w:rPr>
          <w:rFonts w:hint="eastAsia"/>
          <w:lang w:eastAsia="zh-CN"/>
        </w:rPr>
        <w:t>日</w:t>
      </w:r>
    </w:p>
    <w:sectPr>
      <w:pgSz w:w="11906" w:h="16838"/>
      <w:pgMar w:top="1440" w:right="1587"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A3A83"/>
    <w:multiLevelType w:val="singleLevel"/>
    <w:tmpl w:val="82BA3A8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860D6"/>
    <w:rsid w:val="02AE534C"/>
    <w:rsid w:val="034F6F7F"/>
    <w:rsid w:val="03DF1EFE"/>
    <w:rsid w:val="0405687A"/>
    <w:rsid w:val="06C07F19"/>
    <w:rsid w:val="07EE52C1"/>
    <w:rsid w:val="08E224A3"/>
    <w:rsid w:val="0C4A0047"/>
    <w:rsid w:val="0D8434C8"/>
    <w:rsid w:val="10476743"/>
    <w:rsid w:val="10B04339"/>
    <w:rsid w:val="11A36E95"/>
    <w:rsid w:val="121F6F46"/>
    <w:rsid w:val="141B194C"/>
    <w:rsid w:val="172E0063"/>
    <w:rsid w:val="17722C48"/>
    <w:rsid w:val="17FF1243"/>
    <w:rsid w:val="1A5823C6"/>
    <w:rsid w:val="1DA61023"/>
    <w:rsid w:val="1F9D62EA"/>
    <w:rsid w:val="207C77B4"/>
    <w:rsid w:val="233040CC"/>
    <w:rsid w:val="240472A7"/>
    <w:rsid w:val="24602490"/>
    <w:rsid w:val="25B23D47"/>
    <w:rsid w:val="2A3732D1"/>
    <w:rsid w:val="2A8433D1"/>
    <w:rsid w:val="2B1D6405"/>
    <w:rsid w:val="2B4222FA"/>
    <w:rsid w:val="2B6C37C8"/>
    <w:rsid w:val="2C6B7FAD"/>
    <w:rsid w:val="2E624E98"/>
    <w:rsid w:val="30F523E0"/>
    <w:rsid w:val="31231C2B"/>
    <w:rsid w:val="3511441F"/>
    <w:rsid w:val="35C30878"/>
    <w:rsid w:val="36BF255B"/>
    <w:rsid w:val="3847678F"/>
    <w:rsid w:val="398E50E4"/>
    <w:rsid w:val="3A6E4FAF"/>
    <w:rsid w:val="3AFA05BA"/>
    <w:rsid w:val="3B8A62BD"/>
    <w:rsid w:val="41B502FB"/>
    <w:rsid w:val="432F1B9E"/>
    <w:rsid w:val="449D70C1"/>
    <w:rsid w:val="471A4C57"/>
    <w:rsid w:val="490D1D9A"/>
    <w:rsid w:val="493B5434"/>
    <w:rsid w:val="4AB250DD"/>
    <w:rsid w:val="4C3F558F"/>
    <w:rsid w:val="4E20458D"/>
    <w:rsid w:val="52EB1116"/>
    <w:rsid w:val="545838A3"/>
    <w:rsid w:val="550F5283"/>
    <w:rsid w:val="55922BB8"/>
    <w:rsid w:val="5648005A"/>
    <w:rsid w:val="56EF32D7"/>
    <w:rsid w:val="598E3781"/>
    <w:rsid w:val="5A282A37"/>
    <w:rsid w:val="62544876"/>
    <w:rsid w:val="63ED6FC7"/>
    <w:rsid w:val="6488096B"/>
    <w:rsid w:val="65AB4EFC"/>
    <w:rsid w:val="662B4514"/>
    <w:rsid w:val="66737356"/>
    <w:rsid w:val="67D747D7"/>
    <w:rsid w:val="6CC97B23"/>
    <w:rsid w:val="6F4577DC"/>
    <w:rsid w:val="70924242"/>
    <w:rsid w:val="709B28DF"/>
    <w:rsid w:val="71823CF1"/>
    <w:rsid w:val="71D36ECE"/>
    <w:rsid w:val="721553B9"/>
    <w:rsid w:val="73261DAF"/>
    <w:rsid w:val="74A42A0A"/>
    <w:rsid w:val="75102DA9"/>
    <w:rsid w:val="754937FF"/>
    <w:rsid w:val="765B6ABB"/>
    <w:rsid w:val="77712936"/>
    <w:rsid w:val="77D93560"/>
    <w:rsid w:val="78901500"/>
    <w:rsid w:val="78A0421B"/>
    <w:rsid w:val="78B97F84"/>
    <w:rsid w:val="7BD55DBA"/>
    <w:rsid w:val="7C326B40"/>
    <w:rsid w:val="7C4976F5"/>
    <w:rsid w:val="7F461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7"/>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5">
    <w:name w:val="Default Paragraph Font"/>
    <w:semiHidden/>
    <w:unhideWhenUsed/>
    <w:qFormat/>
    <w:uiPriority w:val="1"/>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jc w:val="left"/>
    </w:pPr>
    <w:rPr>
      <w:kern w:val="0"/>
      <w:sz w:val="24"/>
    </w:rPr>
  </w:style>
  <w:style w:type="paragraph" w:customStyle="1" w:styleId="6">
    <w:name w:val="+正文"/>
    <w:basedOn w:val="1"/>
    <w:qFormat/>
    <w:uiPriority w:val="0"/>
    <w:pPr>
      <w:spacing w:line="360" w:lineRule="auto"/>
      <w:ind w:firstLine="200" w:firstLineChars="200"/>
    </w:pPr>
    <w:rPr>
      <w:sz w:val="24"/>
      <w:szCs w:val="28"/>
    </w:rPr>
  </w:style>
  <w:style w:type="character" w:customStyle="1" w:styleId="7">
    <w:name w:val="标题 1 字符"/>
    <w:basedOn w:val="5"/>
    <w:link w:val="2"/>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2506</Words>
  <Characters>2603</Characters>
  <Lines>0</Lines>
  <Paragraphs>0</Paragraphs>
  <TotalTime>0</TotalTime>
  <ScaleCrop>false</ScaleCrop>
  <LinksUpToDate>false</LinksUpToDate>
  <CharactersWithSpaces>2689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2023-12-08T06:40:00Z</dcterms:created>
  <dc:creator>HY</dc:creator>
  <cp:lastModifiedBy>熊莉</cp:lastModifiedBy>
  <dcterms:modified xsi:type="dcterms:W3CDTF">2025-09-19T02:29:10Z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D7D2B16DD29F4F32B7E6D96B409ECADF_13</vt:lpwstr>
  </property>
  <property fmtid="{D5CDD505-2E9C-101B-9397-08002B2CF9AE}" pid="4" name="KSOTemplateDocerSaveRecord">
    <vt:lpwstr>eyJoZGlkIjoiZTcwY2IwODA0NjBmNjU3YzQ0NzhjZjQ5Nzc1ODVhMjUiLCJ1c2VySWQiOiIxNjYwNzk2ODQ1In0=</vt:lpwstr>
  </property>
</Properties>
</file>