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jc w:val="right"/>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2025</w:t>
      </w:r>
      <w:r>
        <w:rPr>
          <w:rFonts w:eastAsia="仿宋_GB2312"/>
          <w:color w:val="000000"/>
          <w:sz w:val="32"/>
          <w:szCs w:val="32"/>
        </w:rPr>
        <w:t>〕</w:t>
      </w:r>
      <w:r>
        <w:rPr>
          <w:rFonts w:hint="eastAsia"/>
          <w:color w:val="000000"/>
          <w:sz w:val="32"/>
          <w:szCs w:val="32"/>
          <w:lang w:val="en-US" w:eastAsia="zh-CN"/>
        </w:rPr>
        <w:t>288</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val="en-US" w:eastAsia="zh-CN"/>
        </w:rPr>
        <w:t>四川诺迪康威光制药有限公司药品结构调整技改项目</w:t>
      </w:r>
      <w:r>
        <w:rPr>
          <w:rFonts w:ascii="Times New Roman" w:hAnsi="Times New Roman" w:eastAsia="方正小标宋简体" w:cs="Times New Roman"/>
          <w:sz w:val="44"/>
          <w:szCs w:val="44"/>
        </w:rPr>
        <w:t>《环境影响报告表》的批复</w:t>
      </w:r>
    </w:p>
    <w:p w14:paraId="15EC028B">
      <w:pPr>
        <w:pStyle w:val="2"/>
        <w:rPr>
          <w:rFonts w:ascii="Times New Roman" w:hAnsi="Times New Roman" w:eastAsia="方正小标宋简体" w:cs="Times New Roman"/>
          <w:sz w:val="44"/>
          <w:szCs w:val="44"/>
        </w:rPr>
      </w:pPr>
    </w:p>
    <w:p w14:paraId="2C5025CA">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cs="仿宋_GB2312"/>
          <w:sz w:val="32"/>
          <w:szCs w:val="32"/>
          <w:lang w:eastAsia="zh-CN"/>
        </w:rPr>
      </w:pPr>
      <w:r>
        <w:rPr>
          <w:rFonts w:hint="eastAsia" w:ascii="仿宋_GB2312" w:hAnsi="仿宋_GB2312" w:eastAsia="仿宋_GB2312" w:cs="仿宋_GB2312"/>
          <w:sz w:val="32"/>
          <w:szCs w:val="32"/>
          <w:lang w:val="en-US" w:eastAsia="zh-CN"/>
        </w:rPr>
        <w:t>四川诺迪康威光制药有限公司</w:t>
      </w:r>
      <w:r>
        <w:rPr>
          <w:rFonts w:hint="eastAsia" w:ascii="仿宋_GB2312" w:hAnsi="仿宋_GB2312" w:cs="仿宋_GB2312"/>
          <w:sz w:val="32"/>
          <w:szCs w:val="32"/>
          <w:lang w:eastAsia="zh-CN"/>
        </w:rPr>
        <w:t>：</w:t>
      </w:r>
    </w:p>
    <w:p w14:paraId="76AA114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你公司报送的</w:t>
      </w:r>
      <w:r>
        <w:rPr>
          <w:rFonts w:hint="eastAsia" w:ascii="仿宋_GB2312" w:hAnsi="仿宋_GB2312" w:eastAsia="仿宋_GB2312" w:cs="仿宋_GB2312"/>
          <w:sz w:val="32"/>
          <w:szCs w:val="32"/>
          <w:lang w:val="en-US" w:eastAsia="zh-CN"/>
        </w:rPr>
        <w:t>药品结构调整技改项目</w:t>
      </w:r>
      <w:r>
        <w:rPr>
          <w:rFonts w:hint="eastAsia"/>
          <w:lang w:eastAsia="zh-CN"/>
        </w:rPr>
        <w:t>《环境影响报告表》（以下简称“报告表”）收悉。经研究，批复如下：</w:t>
      </w:r>
    </w:p>
    <w:p w14:paraId="537042FE">
      <w:pPr>
        <w:pStyle w:val="2"/>
        <w:numPr>
          <w:ilvl w:val="0"/>
          <w:numId w:val="1"/>
        </w:numPr>
        <w:spacing w:line="560" w:lineRule="exact"/>
        <w:ind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该项目为改扩建项目</w:t>
      </w:r>
      <w:r>
        <w:rPr>
          <w:rFonts w:hint="eastAsia"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拟在广汉市向阳镇向新路4号现有</w:t>
      </w:r>
      <w:r>
        <w:rPr>
          <w:rFonts w:hint="eastAsia" w:cs="Times New Roman"/>
          <w:kern w:val="2"/>
          <w:sz w:val="32"/>
          <w:szCs w:val="32"/>
          <w:lang w:val="en-US" w:eastAsia="zh-CN" w:bidi="ar-SA"/>
        </w:rPr>
        <w:t>厂区内</w:t>
      </w:r>
      <w:r>
        <w:rPr>
          <w:rFonts w:hint="default" w:ascii="Times New Roman" w:hAnsi="Times New Roman" w:eastAsia="仿宋_GB2312" w:cs="Times New Roman"/>
          <w:kern w:val="2"/>
          <w:sz w:val="32"/>
          <w:szCs w:val="32"/>
          <w:lang w:val="en-US" w:eastAsia="zh-CN" w:bidi="ar-SA"/>
        </w:rPr>
        <w:t>进行建设，不新增用地面积。项目内容及规模为：依托</w:t>
      </w:r>
      <w:r>
        <w:rPr>
          <w:rFonts w:hint="eastAsia" w:cs="Times New Roman"/>
          <w:kern w:val="2"/>
          <w:sz w:val="32"/>
          <w:szCs w:val="32"/>
          <w:lang w:val="en-US" w:eastAsia="zh-CN" w:bidi="ar-SA"/>
        </w:rPr>
        <w:t>现有</w:t>
      </w:r>
      <w:r>
        <w:rPr>
          <w:rFonts w:hint="default" w:ascii="Times New Roman" w:hAnsi="Times New Roman" w:eastAsia="仿宋_GB2312" w:cs="Times New Roman"/>
          <w:kern w:val="2"/>
          <w:sz w:val="32"/>
          <w:szCs w:val="32"/>
          <w:lang w:val="en-US" w:eastAsia="zh-CN" w:bidi="ar-SA"/>
        </w:rPr>
        <w:t>生产线</w:t>
      </w:r>
      <w:r>
        <w:rPr>
          <w:rFonts w:hint="eastAsia" w:cs="Times New Roman"/>
          <w:kern w:val="2"/>
          <w:sz w:val="32"/>
          <w:szCs w:val="32"/>
          <w:lang w:val="en-US" w:eastAsia="zh-CN" w:bidi="ar-SA"/>
        </w:rPr>
        <w:t>及</w:t>
      </w:r>
      <w:r>
        <w:rPr>
          <w:rFonts w:hint="default" w:ascii="Times New Roman" w:hAnsi="Times New Roman" w:eastAsia="仿宋_GB2312" w:cs="Times New Roman"/>
          <w:kern w:val="2"/>
          <w:sz w:val="32"/>
          <w:szCs w:val="32"/>
          <w:lang w:val="en-US" w:eastAsia="zh-CN" w:bidi="ar-SA"/>
        </w:rPr>
        <w:t>设备</w:t>
      </w:r>
      <w:r>
        <w:rPr>
          <w:rFonts w:hint="eastAsia" w:cs="Times New Roman"/>
          <w:kern w:val="2"/>
          <w:sz w:val="32"/>
          <w:szCs w:val="32"/>
          <w:lang w:val="en-US" w:eastAsia="zh-CN" w:bidi="ar-SA"/>
        </w:rPr>
        <w:t>和</w:t>
      </w:r>
      <w:r>
        <w:rPr>
          <w:rFonts w:hint="default" w:ascii="Times New Roman" w:hAnsi="Times New Roman" w:eastAsia="仿宋_GB2312" w:cs="Times New Roman"/>
          <w:kern w:val="2"/>
          <w:sz w:val="32"/>
          <w:szCs w:val="32"/>
          <w:lang w:val="en-US" w:eastAsia="zh-CN" w:bidi="ar-SA"/>
        </w:rPr>
        <w:t>相关公辅设施，</w:t>
      </w:r>
      <w:r>
        <w:rPr>
          <w:rFonts w:hint="eastAsia" w:cs="Times New Roman"/>
          <w:kern w:val="2"/>
          <w:sz w:val="32"/>
          <w:szCs w:val="32"/>
          <w:lang w:val="en-US" w:eastAsia="zh-CN" w:bidi="ar-SA"/>
        </w:rPr>
        <w:t>并</w:t>
      </w:r>
      <w:r>
        <w:rPr>
          <w:rFonts w:hint="default" w:ascii="Times New Roman" w:hAnsi="Times New Roman" w:eastAsia="仿宋_GB2312" w:cs="Times New Roman"/>
          <w:kern w:val="2"/>
          <w:sz w:val="32"/>
          <w:szCs w:val="32"/>
          <w:lang w:val="en-US" w:eastAsia="zh-CN" w:bidi="ar-SA"/>
        </w:rPr>
        <w:t>对现有污染防治措施进行以新带老</w:t>
      </w:r>
      <w:r>
        <w:rPr>
          <w:rFonts w:hint="eastAsia" w:cs="Times New Roman"/>
          <w:kern w:val="2"/>
          <w:sz w:val="32"/>
          <w:szCs w:val="32"/>
          <w:lang w:val="en-US" w:eastAsia="zh-CN" w:bidi="ar-SA"/>
        </w:rPr>
        <w:t>升级</w:t>
      </w:r>
      <w:r>
        <w:rPr>
          <w:rFonts w:hint="default" w:ascii="Times New Roman" w:hAnsi="Times New Roman" w:eastAsia="仿宋_GB2312" w:cs="Times New Roman"/>
          <w:kern w:val="2"/>
          <w:sz w:val="32"/>
          <w:szCs w:val="32"/>
          <w:lang w:val="en-US" w:eastAsia="zh-CN" w:bidi="ar-SA"/>
        </w:rPr>
        <w:t>改造，</w:t>
      </w:r>
      <w:r>
        <w:rPr>
          <w:rFonts w:hint="eastAsia" w:cs="Times New Roman"/>
          <w:kern w:val="2"/>
          <w:sz w:val="32"/>
          <w:szCs w:val="32"/>
          <w:lang w:val="en-US" w:eastAsia="zh-CN" w:bidi="ar-SA"/>
        </w:rPr>
        <w:t>增加生产时间</w:t>
      </w:r>
      <w:r>
        <w:rPr>
          <w:rFonts w:hint="default" w:ascii="Times New Roman" w:hAnsi="Times New Roman" w:eastAsia="仿宋_GB2312" w:cs="Times New Roman"/>
          <w:kern w:val="2"/>
          <w:sz w:val="32"/>
          <w:szCs w:val="32"/>
          <w:lang w:val="en-US" w:eastAsia="zh-CN" w:bidi="ar-SA"/>
        </w:rPr>
        <w:t>，调整产品结构，新增年产1亿粒胶囊剂的生产能力，</w:t>
      </w:r>
      <w:r>
        <w:rPr>
          <w:rFonts w:hint="eastAsia" w:cs="Times New Roman"/>
          <w:kern w:val="2"/>
          <w:sz w:val="32"/>
          <w:szCs w:val="32"/>
          <w:lang w:val="en-US" w:eastAsia="zh-CN" w:bidi="ar-SA"/>
        </w:rPr>
        <w:t>建成后形成全厂年产胶囊剂3亿粒的生产能力，原</w:t>
      </w:r>
      <w:r>
        <w:rPr>
          <w:rFonts w:hint="default" w:ascii="Times New Roman" w:hAnsi="Times New Roman" w:eastAsia="仿宋_GB2312" w:cs="Times New Roman"/>
          <w:kern w:val="2"/>
          <w:sz w:val="32"/>
          <w:szCs w:val="32"/>
          <w:lang w:val="en-US" w:eastAsia="zh-CN" w:bidi="ar-SA"/>
        </w:rPr>
        <w:t>项目年产颗粒剂3000万袋、片剂1亿片</w:t>
      </w:r>
      <w:r>
        <w:rPr>
          <w:rFonts w:hint="eastAsia" w:cs="Times New Roman"/>
          <w:kern w:val="2"/>
          <w:sz w:val="32"/>
          <w:szCs w:val="32"/>
          <w:lang w:val="en-US" w:eastAsia="zh-CN" w:bidi="ar-SA"/>
        </w:rPr>
        <w:t>的</w:t>
      </w:r>
      <w:r>
        <w:rPr>
          <w:rFonts w:hint="default" w:ascii="Times New Roman" w:hAnsi="Times New Roman" w:eastAsia="仿宋_GB2312" w:cs="Times New Roman"/>
          <w:kern w:val="2"/>
          <w:sz w:val="32"/>
          <w:szCs w:val="32"/>
          <w:lang w:val="en-US" w:eastAsia="zh-CN" w:bidi="ar-SA"/>
        </w:rPr>
        <w:t>产能不改变。项目总投资80万元，其中环保投资32万元。</w:t>
      </w:r>
    </w:p>
    <w:p w14:paraId="5200CD3C">
      <w:pPr>
        <w:keepNext w:val="0"/>
        <w:keepLines w:val="0"/>
        <w:widowControl/>
        <w:suppressLineNumbers w:val="0"/>
        <w:jc w:val="left"/>
        <w:rPr>
          <w:rFonts w:hint="eastAsia"/>
          <w:lang w:eastAsia="zh-CN"/>
        </w:rPr>
      </w:pPr>
      <w:r>
        <w:rPr>
          <w:rFonts w:hint="eastAsia"/>
          <w:lang w:eastAsia="zh-CN"/>
        </w:rPr>
        <w:t>项目在四川省投资项目在线审批监管平台进行了备案（备案号：川投资备[</w:t>
      </w:r>
      <w:r>
        <w:rPr>
          <w:rFonts w:hint="eastAsia"/>
          <w:lang w:val="en-US" w:eastAsia="zh-CN"/>
        </w:rPr>
        <w:t>2404-510681-07-02-870238</w:t>
      </w:r>
      <w:r>
        <w:rPr>
          <w:rFonts w:hint="eastAsia"/>
          <w:lang w:eastAsia="zh-CN"/>
        </w:rPr>
        <w:t>]</w:t>
      </w:r>
      <w:r>
        <w:rPr>
          <w:rFonts w:hint="eastAsia"/>
          <w:lang w:val="en-US" w:eastAsia="zh-CN"/>
        </w:rPr>
        <w:t>JXQB-0096</w:t>
      </w:r>
      <w:r>
        <w:rPr>
          <w:rFonts w:hint="eastAsia"/>
          <w:lang w:eastAsia="zh-CN"/>
        </w:rPr>
        <w:t>号），符合国家现行产业政策</w:t>
      </w:r>
      <w:r>
        <w:rPr>
          <w:rFonts w:hint="eastAsia"/>
          <w:lang w:val="zh-CN" w:eastAsia="zh-CN"/>
        </w:rPr>
        <w:t>；该项目符合德阳市生态环境分区管控相关要求，</w:t>
      </w:r>
      <w:r>
        <w:rPr>
          <w:rFonts w:hint="eastAsia"/>
          <w:lang w:eastAsia="zh-CN"/>
        </w:rPr>
        <w:t>根据</w:t>
      </w:r>
      <w:r>
        <w:rPr>
          <w:rFonts w:hint="eastAsia" w:ascii="Times New Roman" w:hAnsi="Times New Roman" w:cs="Times New Roman"/>
          <w:lang w:val="zh-CN" w:eastAsia="zh-CN"/>
        </w:rPr>
        <w:t>《</w:t>
      </w:r>
      <w:r>
        <w:rPr>
          <w:rFonts w:hint="eastAsia" w:cs="Times New Roman"/>
          <w:lang w:val="en-US" w:eastAsia="zh-CN"/>
        </w:rPr>
        <w:t>广汉市国土空间总体规划（2021-2035年）</w:t>
      </w:r>
      <w:r>
        <w:rPr>
          <w:rFonts w:hint="eastAsia" w:ascii="Times New Roman" w:hAnsi="Times New Roman" w:cs="Times New Roman"/>
          <w:lang w:val="zh-CN" w:eastAsia="zh-CN"/>
        </w:rPr>
        <w:t>》</w:t>
      </w:r>
      <w:r>
        <w:rPr>
          <w:rFonts w:hint="eastAsia" w:cs="Times New Roman"/>
          <w:lang w:val="en-US" w:eastAsia="zh-CN"/>
        </w:rPr>
        <w:t>及</w:t>
      </w:r>
      <w:r>
        <w:rPr>
          <w:rFonts w:hint="eastAsia" w:cs="Times New Roman"/>
          <w:kern w:val="2"/>
          <w:sz w:val="32"/>
          <w:szCs w:val="32"/>
          <w:lang w:val="en-US" w:eastAsia="zh-CN" w:bidi="ar-SA"/>
        </w:rPr>
        <w:t>西藏诺迪康药业股份有限公司</w:t>
      </w:r>
      <w:r>
        <w:rPr>
          <w:rFonts w:hint="eastAsia" w:ascii="Times New Roman" w:hAnsi="Times New Roman" w:cs="Times New Roman"/>
          <w:kern w:val="2"/>
          <w:sz w:val="32"/>
          <w:szCs w:val="32"/>
          <w:lang w:val="en-US" w:eastAsia="zh-CN" w:bidi="ar-SA"/>
        </w:rPr>
        <w:t>取得的《</w:t>
      </w:r>
      <w:r>
        <w:rPr>
          <w:rFonts w:hint="eastAsia" w:cs="Times New Roman"/>
          <w:kern w:val="2"/>
          <w:sz w:val="32"/>
          <w:szCs w:val="32"/>
          <w:lang w:val="en-US" w:eastAsia="zh-CN" w:bidi="ar-SA"/>
        </w:rPr>
        <w:t>国有土地使用证</w:t>
      </w:r>
      <w:r>
        <w:rPr>
          <w:rFonts w:hint="eastAsia" w:ascii="Times New Roman" w:hAnsi="Times New Roman" w:cs="Times New Roman"/>
          <w:kern w:val="2"/>
          <w:sz w:val="32"/>
          <w:szCs w:val="32"/>
          <w:lang w:val="en-US" w:eastAsia="zh-CN" w:bidi="ar-SA"/>
        </w:rPr>
        <w:t>》</w:t>
      </w:r>
      <w:r>
        <w:rPr>
          <w:rFonts w:hint="eastAsia" w:ascii="Times New Roman" w:hAnsi="Times New Roman" w:cs="Times New Roman"/>
          <w:lang w:val="en-US" w:eastAsia="zh-CN"/>
        </w:rPr>
        <w:t>，项</w:t>
      </w:r>
      <w:r>
        <w:rPr>
          <w:rFonts w:hint="eastAsia"/>
          <w:lang w:val="en-US" w:eastAsia="zh-CN"/>
        </w:rPr>
        <w:t>目</w:t>
      </w:r>
      <w:r>
        <w:rPr>
          <w:rFonts w:hint="eastAsia"/>
          <w:lang w:eastAsia="zh-CN"/>
        </w:rPr>
        <w:t>用地性质为工业用地，选址</w:t>
      </w:r>
      <w:r>
        <w:rPr>
          <w:rFonts w:hint="eastAsia"/>
          <w:lang w:val="en-US" w:eastAsia="zh-CN"/>
        </w:rPr>
        <w:t>符合规划</w:t>
      </w:r>
      <w:r>
        <w:rPr>
          <w:rFonts w:hint="eastAsia"/>
          <w:lang w:eastAsia="zh-CN"/>
        </w:rPr>
        <w:t>。</w:t>
      </w:r>
    </w:p>
    <w:p w14:paraId="682DCC1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二、项目建设及运行中应重点做好以下工作：</w:t>
      </w:r>
    </w:p>
    <w:p w14:paraId="1D1FB80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6323F051">
      <w:pPr>
        <w:keepNext w:val="0"/>
        <w:keepLines w:val="0"/>
        <w:widowControl/>
        <w:suppressLineNumbers w:val="0"/>
        <w:jc w:val="left"/>
        <w:rPr>
          <w:rFonts w:hint="eastAsia"/>
          <w:lang w:val="en-US" w:eastAsia="zh-CN"/>
        </w:rPr>
      </w:pPr>
      <w:r>
        <w:rPr>
          <w:rFonts w:hint="eastAsia"/>
          <w:lang w:eastAsia="zh-CN"/>
        </w:rPr>
        <w:t>（</w:t>
      </w:r>
      <w:r>
        <w:rPr>
          <w:rFonts w:hint="eastAsia"/>
          <w:lang w:val="en-US" w:eastAsia="zh-CN"/>
        </w:rPr>
        <w:t>二</w:t>
      </w:r>
      <w:r>
        <w:rPr>
          <w:rFonts w:hint="eastAsia"/>
          <w:lang w:eastAsia="zh-CN"/>
        </w:rPr>
        <w:t>）严格落实并优化报告表提出的各项废气处理措施。</w:t>
      </w:r>
      <w:r>
        <w:rPr>
          <w:rFonts w:hint="eastAsia"/>
          <w:lang w:val="en-US" w:eastAsia="zh-CN"/>
        </w:rPr>
        <w:t>设置密闭的药材前处理车间，落实集气罩+袋式除尘装置，确保药材前处理粉尘经</w:t>
      </w:r>
      <w:r>
        <w:rPr>
          <w:rFonts w:hint="eastAsia"/>
          <w:lang w:eastAsia="zh-CN"/>
        </w:rPr>
        <w:t>收集处理后由1根</w:t>
      </w:r>
      <w:r>
        <w:rPr>
          <w:rFonts w:hint="eastAsia"/>
          <w:lang w:val="en-US" w:eastAsia="zh-CN"/>
        </w:rPr>
        <w:t>15</w:t>
      </w:r>
      <w:r>
        <w:rPr>
          <w:rFonts w:hint="eastAsia"/>
          <w:lang w:eastAsia="zh-CN"/>
        </w:rPr>
        <w:t>m高排气筒（</w:t>
      </w:r>
      <w:r>
        <w:rPr>
          <w:rFonts w:hint="eastAsia"/>
          <w:lang w:val="en-US" w:eastAsia="zh-CN"/>
        </w:rPr>
        <w:t>DA001</w:t>
      </w:r>
      <w:r>
        <w:rPr>
          <w:rFonts w:hint="eastAsia"/>
          <w:lang w:eastAsia="zh-CN"/>
        </w:rPr>
        <w:t>）达标排放；</w:t>
      </w:r>
      <w:r>
        <w:rPr>
          <w:rFonts w:hint="eastAsia"/>
          <w:lang w:val="en-US" w:eastAsia="zh-CN"/>
        </w:rPr>
        <w:t>落实制粒工序的密闭干燥机+旋风+袋式除尘器，确保制粒干燥粉尘经</w:t>
      </w:r>
      <w:r>
        <w:rPr>
          <w:rFonts w:hint="eastAsia"/>
          <w:lang w:eastAsia="zh-CN"/>
        </w:rPr>
        <w:t>收集处理后由1根</w:t>
      </w:r>
      <w:r>
        <w:rPr>
          <w:rFonts w:hint="eastAsia"/>
          <w:lang w:val="en-US" w:eastAsia="zh-CN"/>
        </w:rPr>
        <w:t>15</w:t>
      </w:r>
      <w:r>
        <w:rPr>
          <w:rFonts w:hint="eastAsia"/>
          <w:lang w:eastAsia="zh-CN"/>
        </w:rPr>
        <w:t>m高排气筒（</w:t>
      </w:r>
      <w:r>
        <w:rPr>
          <w:rFonts w:hint="eastAsia"/>
          <w:lang w:val="en-US" w:eastAsia="zh-CN"/>
        </w:rPr>
        <w:t>DA002</w:t>
      </w:r>
      <w:r>
        <w:rPr>
          <w:rFonts w:hint="eastAsia"/>
          <w:lang w:eastAsia="zh-CN"/>
        </w:rPr>
        <w:t>）达标排放；</w:t>
      </w:r>
      <w:r>
        <w:rPr>
          <w:rFonts w:hint="eastAsia"/>
          <w:lang w:val="en-US" w:eastAsia="zh-CN"/>
        </w:rPr>
        <w:t>确保压片粉尘经设备自带布袋除尘器+洁净车间净化设施处理后达标排放；落实燃气锅炉低氮改造，确保锅炉燃烧废气</w:t>
      </w:r>
      <w:r>
        <w:rPr>
          <w:rFonts w:hint="eastAsia"/>
          <w:lang w:eastAsia="zh-CN"/>
        </w:rPr>
        <w:t>由1根</w:t>
      </w:r>
      <w:r>
        <w:rPr>
          <w:rFonts w:hint="eastAsia"/>
          <w:lang w:val="en-US" w:eastAsia="zh-CN"/>
        </w:rPr>
        <w:t>15</w:t>
      </w:r>
      <w:r>
        <w:rPr>
          <w:rFonts w:hint="eastAsia"/>
          <w:lang w:eastAsia="zh-CN"/>
        </w:rPr>
        <w:t>m高排气筒（</w:t>
      </w:r>
      <w:r>
        <w:rPr>
          <w:rFonts w:hint="eastAsia"/>
          <w:lang w:val="en-US" w:eastAsia="zh-CN"/>
        </w:rPr>
        <w:t>DA003</w:t>
      </w:r>
      <w:r>
        <w:rPr>
          <w:rFonts w:hint="eastAsia"/>
          <w:lang w:eastAsia="zh-CN"/>
        </w:rPr>
        <w:t>）达标排放；</w:t>
      </w:r>
      <w:r>
        <w:rPr>
          <w:rFonts w:hint="eastAsia"/>
          <w:lang w:val="en-US" w:eastAsia="zh-CN"/>
        </w:rPr>
        <w:t>落实全密闭的乙醇回收系统，确保水环真空泵呼吸口、排气口、中转储罐泄压阀的乙醇回收废气经导气管输送至水封罐处理后无组织达标排放；落实污水处理站池体密封加盖+负压收集+碱洗洗涤塔+生物滤池处理措施，确保污水处理站废气经</w:t>
      </w:r>
      <w:r>
        <w:rPr>
          <w:rFonts w:hint="eastAsia"/>
          <w:lang w:eastAsia="zh-CN"/>
        </w:rPr>
        <w:t>收集处理后由1根</w:t>
      </w:r>
      <w:r>
        <w:rPr>
          <w:rFonts w:hint="eastAsia"/>
          <w:lang w:val="en-US" w:eastAsia="zh-CN"/>
        </w:rPr>
        <w:t>15</w:t>
      </w:r>
      <w:r>
        <w:rPr>
          <w:rFonts w:hint="eastAsia"/>
          <w:lang w:eastAsia="zh-CN"/>
        </w:rPr>
        <w:t>m高排气筒（</w:t>
      </w:r>
      <w:r>
        <w:rPr>
          <w:rFonts w:hint="eastAsia"/>
          <w:lang w:val="en-US" w:eastAsia="zh-CN"/>
        </w:rPr>
        <w:t>DA004</w:t>
      </w:r>
      <w:r>
        <w:rPr>
          <w:rFonts w:hint="eastAsia"/>
          <w:lang w:eastAsia="zh-CN"/>
        </w:rPr>
        <w:t>）达标排放；</w:t>
      </w:r>
      <w:r>
        <w:rPr>
          <w:rFonts w:hint="eastAsia"/>
          <w:lang w:val="en-US" w:eastAsia="zh-CN"/>
        </w:rPr>
        <w:t>确保食堂油烟经油烟净化器处理后由专用管道引至楼顶达标排放，对周边环境不产生影响。</w:t>
      </w:r>
    </w:p>
    <w:p w14:paraId="4EC1BD2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三</w:t>
      </w:r>
      <w:r>
        <w:rPr>
          <w:rFonts w:hint="eastAsia"/>
          <w:lang w:eastAsia="zh-CN"/>
        </w:rPr>
        <w:t>）严格落实并优化报告表提出的各项废水处理措施。项目设备清洗废水、纯水制备废水、锅炉软水</w:t>
      </w:r>
      <w:r>
        <w:rPr>
          <w:rFonts w:hint="eastAsia"/>
          <w:lang w:val="en-US" w:eastAsia="zh-CN"/>
        </w:rPr>
        <w:t>制备</w:t>
      </w:r>
      <w:r>
        <w:rPr>
          <w:rFonts w:hint="eastAsia"/>
          <w:lang w:eastAsia="zh-CN"/>
        </w:rPr>
        <w:t>废水、提取废水、地面清洗废水、实验室清洗废水、水封罐废水和水环真空泵废水</w:t>
      </w:r>
      <w:r>
        <w:rPr>
          <w:rFonts w:hint="eastAsia"/>
          <w:lang w:val="en-US" w:eastAsia="zh-CN"/>
        </w:rPr>
        <w:t>等生产废水与</w:t>
      </w:r>
      <w:r>
        <w:rPr>
          <w:rFonts w:hint="eastAsia"/>
          <w:lang w:eastAsia="zh-CN"/>
        </w:rPr>
        <w:t>经</w:t>
      </w:r>
      <w:r>
        <w:rPr>
          <w:rFonts w:hint="eastAsia"/>
          <w:lang w:val="en-US" w:eastAsia="zh-CN"/>
        </w:rPr>
        <w:t>预处理后的</w:t>
      </w:r>
      <w:r>
        <w:rPr>
          <w:rFonts w:hint="eastAsia"/>
          <w:lang w:eastAsia="zh-CN"/>
        </w:rPr>
        <w:t>食堂废水、生活污水</w:t>
      </w:r>
      <w:r>
        <w:rPr>
          <w:rFonts w:hint="eastAsia"/>
          <w:lang w:val="en-US" w:eastAsia="zh-CN"/>
        </w:rPr>
        <w:t>一并排入厂区已建污水处理站，处理达《污水综合排放标准》（GB8978-1996）中</w:t>
      </w:r>
      <w:r>
        <w:rPr>
          <w:rFonts w:hint="eastAsia"/>
          <w:color w:val="auto"/>
          <w:lang w:val="en-US" w:eastAsia="zh-CN"/>
        </w:rPr>
        <w:t>三级标准及《四川省中药类制药工业水污染物排放标准》（DB51/3205-2024）</w:t>
      </w:r>
      <w:r>
        <w:rPr>
          <w:rFonts w:hint="eastAsia"/>
          <w:lang w:val="en-US" w:eastAsia="zh-CN"/>
        </w:rPr>
        <w:t>标准后排入市政污水管网，再经广汉市第二污水处理厂处理达《四川省岷江、沱江流域水污染物排放标准》（DB51/2311-2016）中工业园区集中式污水处理厂标准后外排。</w:t>
      </w:r>
    </w:p>
    <w:p w14:paraId="22F0817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四</w:t>
      </w:r>
      <w:r>
        <w:rPr>
          <w:rFonts w:hint="eastAsia"/>
          <w:lang w:eastAsia="zh-CN"/>
        </w:rPr>
        <w:t>）严格落实并优化报告表提出的噪声污染防治措施。合理布局生产车间产噪设施，对高噪作业点和高噪设备配套有效的隔音、降噪及减振设施，确保厂界噪声达标排放不扰民。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widowControl/>
        <w:suppressLineNumbers w:val="0"/>
        <w:jc w:val="left"/>
        <w:rPr>
          <w:rFonts w:hint="eastAsia"/>
          <w:lang w:eastAsia="zh-CN"/>
        </w:rPr>
      </w:pPr>
      <w:r>
        <w:rPr>
          <w:rFonts w:hint="eastAsia"/>
          <w:lang w:eastAsia="zh-CN"/>
        </w:rPr>
        <w:t>（</w:t>
      </w:r>
      <w:r>
        <w:rPr>
          <w:rFonts w:hint="eastAsia"/>
          <w:lang w:val="en-US" w:eastAsia="zh-CN"/>
        </w:rPr>
        <w:t>五</w:t>
      </w:r>
      <w:r>
        <w:rPr>
          <w:rFonts w:hint="eastAsia"/>
          <w:lang w:eastAsia="zh-CN"/>
        </w:rPr>
        <w:t>）严格落实并优化报告表提出的各项固体废弃物处置措施。固体废物应按照“减量化、资源化、无害化”的原则进行分类收集和处置，提高回收利用率。加强固体废物产生、收集、贮存、运输、利用、处置全过程环境管理，避免二次污染。药渣经安全评估通过后转运给相关单位用于有机肥料生产；拣选、切制杂质和收尘灰、污水处理站污泥定期交有处理能力的单位处理；废RO膜、废包装材料定期出售给废品回收站；食堂</w:t>
      </w:r>
      <w:r>
        <w:rPr>
          <w:rFonts w:hint="eastAsia"/>
          <w:lang w:val="en-US" w:eastAsia="zh-CN"/>
        </w:rPr>
        <w:t>餐厨垃圾和</w:t>
      </w:r>
      <w:r>
        <w:rPr>
          <w:rFonts w:hint="eastAsia"/>
          <w:lang w:eastAsia="zh-CN"/>
        </w:rPr>
        <w:t>隔油池废油</w:t>
      </w:r>
      <w:r>
        <w:rPr>
          <w:rFonts w:hint="eastAsia"/>
          <w:lang w:val="en-US" w:eastAsia="zh-CN"/>
        </w:rPr>
        <w:t>交由</w:t>
      </w:r>
      <w:r>
        <w:rPr>
          <w:rFonts w:hint="eastAsia"/>
          <w:lang w:eastAsia="zh-CN"/>
        </w:rPr>
        <w:t>餐厨垃圾回收单位</w:t>
      </w:r>
      <w:r>
        <w:rPr>
          <w:rFonts w:hint="eastAsia"/>
          <w:lang w:val="en-US" w:eastAsia="zh-CN"/>
        </w:rPr>
        <w:t>处置</w:t>
      </w:r>
      <w:r>
        <w:rPr>
          <w:rFonts w:hint="eastAsia"/>
          <w:lang w:eastAsia="zh-CN"/>
        </w:rPr>
        <w:t>；实验废弃物、实验废液、废药物、药品、废化学试剂包装材料属于危险废物，须妥善安全收储，落实专人管理，并严格执行转移联单制度，定期交有危废处理资质的单位处置，其暂存区须采取必要的防风、防晒、防雨、防漏、防渗、防腐以及其他环境污染防治措施；生活垃圾交环卫部门清运。</w:t>
      </w:r>
    </w:p>
    <w:p w14:paraId="38747D6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六</w:t>
      </w:r>
      <w:r>
        <w:rPr>
          <w:rFonts w:hint="eastAsia"/>
          <w:lang w:eastAsia="zh-CN"/>
        </w:rPr>
        <w:t>）严格落实并优化报告表提出的地下水和土壤污染防治措施。项目将</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污水处理站</w:t>
      </w:r>
      <w:r>
        <w:rPr>
          <w:rFonts w:hint="eastAsia"/>
          <w:lang w:eastAsia="zh-CN"/>
        </w:rPr>
        <w:t>设置</w:t>
      </w:r>
      <w:r>
        <w:rPr>
          <w:rFonts w:hint="eastAsia"/>
          <w:highlight w:val="none"/>
          <w:lang w:eastAsia="zh-CN"/>
        </w:rPr>
        <w:t>为重点防渗区</w:t>
      </w:r>
      <w:r>
        <w:rPr>
          <w:rFonts w:hint="eastAsia"/>
          <w:lang w:eastAsia="zh-CN"/>
        </w:rPr>
        <w:t>，将</w:t>
      </w:r>
      <w:r>
        <w:rPr>
          <w:rFonts w:hint="eastAsia"/>
          <w:lang w:val="en-US" w:eastAsia="zh-CN"/>
        </w:rPr>
        <w:t>提取车间、制剂车间、乙醇贮罐区、废水收集沟、危废暂存间（办公室3楼）、实验室、一般固废暂存间等设置为一般防渗区，将办公生活区、厂区道路、雨水收集沟设置为简单防渗区，</w:t>
      </w:r>
      <w:r>
        <w:rPr>
          <w:rFonts w:hint="eastAsia"/>
          <w:lang w:eastAsia="zh-CN"/>
        </w:rPr>
        <w:t>分别采取防渗措施。建立和完善地下水、土壤污染监控制度和环境管理体系，发现问题及时采取措施，避免污染周边地下水和土壤环境。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七</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584B71B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）按照相关要求规范设置各类排污口和标志标牌，落实报告表提出的环境管理要求和监测计划。</w:t>
      </w:r>
    </w:p>
    <w:p w14:paraId="0B8B60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val="en-US" w:eastAsia="zh-CN"/>
        </w:rPr>
      </w:pPr>
      <w:r>
        <w:rPr>
          <w:rFonts w:hint="eastAsia"/>
          <w:lang w:eastAsia="zh-CN"/>
        </w:rPr>
        <w:t>三、该项目运营后，</w:t>
      </w:r>
      <w:r>
        <w:rPr>
          <w:rFonts w:hint="eastAsia"/>
          <w:lang w:val="en-US" w:eastAsia="zh-CN"/>
        </w:rPr>
        <w:t>全厂挥发性有机物排放量为</w:t>
      </w:r>
      <w:r>
        <w:rPr>
          <w:rFonts w:hint="default" w:ascii="Times New Roman" w:hAnsi="Times New Roman" w:cs="Times New Roman"/>
          <w:lang w:val="en-US" w:eastAsia="zh-CN"/>
        </w:rPr>
        <w:t>2.76</w:t>
      </w:r>
      <w:r>
        <w:rPr>
          <w:rFonts w:hint="eastAsia" w:ascii="Times New Roman" w:hAnsi="Times New Roman" w:cs="Times New Roman"/>
          <w:lang w:val="en-US" w:eastAsia="zh-CN"/>
        </w:rPr>
        <w:t>吨</w:t>
      </w:r>
      <w:r>
        <w:rPr>
          <w:rFonts w:hint="eastAsia"/>
          <w:lang w:val="en-US" w:eastAsia="zh-CN"/>
        </w:rPr>
        <w:t>/年，氮氧化物排放量为0.84</w:t>
      </w:r>
      <w:r>
        <w:rPr>
          <w:rFonts w:hint="eastAsia" w:ascii="Times New Roman" w:hAnsi="Times New Roman" w:cs="Times New Roman"/>
          <w:lang w:val="en-US" w:eastAsia="zh-CN"/>
        </w:rPr>
        <w:t>吨</w:t>
      </w:r>
      <w:r>
        <w:rPr>
          <w:rFonts w:hint="eastAsia"/>
          <w:lang w:val="en-US" w:eastAsia="zh-CN"/>
        </w:rPr>
        <w:t>/年，化学需氧量排放量为0.1055吨/年，氨氮排放量为0.01562吨/年，不新增总量指标</w:t>
      </w:r>
      <w:r>
        <w:rPr>
          <w:rFonts w:hint="eastAsia" w:ascii="Times New Roman" w:hAnsi="Times New Roman" w:cs="Times New Roman"/>
          <w:lang w:val="en-US" w:eastAsia="zh-CN"/>
        </w:rPr>
        <w:t>。</w:t>
      </w:r>
    </w:p>
    <w:p w14:paraId="1AAA78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四、项目开工建设及投入运营前，应依法完备其他行政许可手续。</w:t>
      </w:r>
    </w:p>
    <w:p w14:paraId="25EEB10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5444C51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477938B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04E511A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51BF54D0">
      <w:pPr>
        <w:bidi w:val="0"/>
        <w:rPr>
          <w:rFonts w:hint="eastAsia"/>
          <w:lang w:eastAsia="zh-CN"/>
        </w:rPr>
      </w:pPr>
      <w:r>
        <w:rPr>
          <w:rFonts w:hint="eastAsia"/>
          <w:lang w:eastAsia="zh-CN"/>
        </w:rPr>
        <w:t xml:space="preserve">                </w:t>
      </w:r>
    </w:p>
    <w:p w14:paraId="1CDF7A1C">
      <w:pPr>
        <w:bidi w:val="0"/>
        <w:rPr>
          <w:rFonts w:hint="eastAsia"/>
          <w:lang w:eastAsia="zh-CN"/>
        </w:rPr>
      </w:pPr>
      <w:r>
        <w:rPr>
          <w:rFonts w:hint="eastAsia"/>
          <w:lang w:eastAsia="zh-CN"/>
        </w:rPr>
        <w:t xml:space="preserve">                  </w:t>
      </w: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5</w:t>
      </w:r>
      <w:r>
        <w:rPr>
          <w:rFonts w:hint="eastAsia"/>
          <w:lang w:eastAsia="zh-CN"/>
        </w:rPr>
        <w:t>年</w:t>
      </w:r>
      <w:r>
        <w:rPr>
          <w:rFonts w:hint="eastAsia"/>
          <w:lang w:val="en-US" w:eastAsia="zh-CN"/>
        </w:rPr>
        <w:t>9</w:t>
      </w:r>
      <w:r>
        <w:rPr>
          <w:rFonts w:hint="eastAsia"/>
          <w:lang w:eastAsia="zh-CN"/>
        </w:rPr>
        <w:t>月</w:t>
      </w:r>
      <w:r>
        <w:rPr>
          <w:rFonts w:hint="eastAsia"/>
          <w:lang w:val="en-US" w:eastAsia="zh-CN"/>
        </w:rPr>
        <w:t>24</w:t>
      </w:r>
      <w:bookmarkStart w:id="0" w:name="_GoBack"/>
      <w:bookmarkEnd w:id="0"/>
      <w:r>
        <w:rPr>
          <w:rFonts w:hint="eastAsia"/>
          <w:lang w:eastAsia="zh-CN"/>
        </w:rPr>
        <w:t>日</w:t>
      </w:r>
    </w:p>
    <w:sectPr>
      <w:pgSz w:w="11906" w:h="16838"/>
      <w:pgMar w:top="1440" w:right="1587" w:bottom="1440"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996F9"/>
    <w:multiLevelType w:val="singleLevel"/>
    <w:tmpl w:val="5C0996F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F4487"/>
    <w:rsid w:val="017860D6"/>
    <w:rsid w:val="02A5454F"/>
    <w:rsid w:val="02AE534C"/>
    <w:rsid w:val="034F6F7F"/>
    <w:rsid w:val="03DF1EFE"/>
    <w:rsid w:val="0405687A"/>
    <w:rsid w:val="04FF0791"/>
    <w:rsid w:val="06C07F19"/>
    <w:rsid w:val="07EE52C1"/>
    <w:rsid w:val="08E224A3"/>
    <w:rsid w:val="0C4A0047"/>
    <w:rsid w:val="0D8434C8"/>
    <w:rsid w:val="0EB01991"/>
    <w:rsid w:val="10476743"/>
    <w:rsid w:val="11A36E95"/>
    <w:rsid w:val="121F6F46"/>
    <w:rsid w:val="172E0063"/>
    <w:rsid w:val="17722C48"/>
    <w:rsid w:val="17FF1243"/>
    <w:rsid w:val="1A5823C6"/>
    <w:rsid w:val="1DA61023"/>
    <w:rsid w:val="1F9D62EA"/>
    <w:rsid w:val="1FA7787B"/>
    <w:rsid w:val="207C77B4"/>
    <w:rsid w:val="233040CC"/>
    <w:rsid w:val="240472A7"/>
    <w:rsid w:val="24602490"/>
    <w:rsid w:val="25B23D47"/>
    <w:rsid w:val="25FF5535"/>
    <w:rsid w:val="2A3732D1"/>
    <w:rsid w:val="2A8433D1"/>
    <w:rsid w:val="2B1D6405"/>
    <w:rsid w:val="2B4222FA"/>
    <w:rsid w:val="2B444859"/>
    <w:rsid w:val="2C6B7FAD"/>
    <w:rsid w:val="2E624E98"/>
    <w:rsid w:val="30F523E0"/>
    <w:rsid w:val="31231C2B"/>
    <w:rsid w:val="323C08F4"/>
    <w:rsid w:val="342F5CDB"/>
    <w:rsid w:val="3511441F"/>
    <w:rsid w:val="353D16A3"/>
    <w:rsid w:val="35C30878"/>
    <w:rsid w:val="36BF255B"/>
    <w:rsid w:val="3847678F"/>
    <w:rsid w:val="398E50E4"/>
    <w:rsid w:val="3A6E4FAF"/>
    <w:rsid w:val="3B8A62BD"/>
    <w:rsid w:val="3C2A03C4"/>
    <w:rsid w:val="3C7E27A6"/>
    <w:rsid w:val="400438B7"/>
    <w:rsid w:val="41A609A7"/>
    <w:rsid w:val="41B502FB"/>
    <w:rsid w:val="432F1B9E"/>
    <w:rsid w:val="449D70C1"/>
    <w:rsid w:val="452C1BB7"/>
    <w:rsid w:val="471A4C57"/>
    <w:rsid w:val="490D1D9A"/>
    <w:rsid w:val="493B5434"/>
    <w:rsid w:val="4AB250DD"/>
    <w:rsid w:val="4C3F558F"/>
    <w:rsid w:val="4C8A6F6D"/>
    <w:rsid w:val="4E074F7B"/>
    <w:rsid w:val="4E20458D"/>
    <w:rsid w:val="4F74489F"/>
    <w:rsid w:val="52EB1116"/>
    <w:rsid w:val="545838A3"/>
    <w:rsid w:val="550F5283"/>
    <w:rsid w:val="55922BB8"/>
    <w:rsid w:val="5648005A"/>
    <w:rsid w:val="56EF32D7"/>
    <w:rsid w:val="589C3484"/>
    <w:rsid w:val="598E3781"/>
    <w:rsid w:val="5A282A37"/>
    <w:rsid w:val="5E06623C"/>
    <w:rsid w:val="5EFF032E"/>
    <w:rsid w:val="5F567AEE"/>
    <w:rsid w:val="62544876"/>
    <w:rsid w:val="6356400A"/>
    <w:rsid w:val="63ED6FC7"/>
    <w:rsid w:val="6488096B"/>
    <w:rsid w:val="65AB4EFC"/>
    <w:rsid w:val="662B4514"/>
    <w:rsid w:val="66737356"/>
    <w:rsid w:val="67D747D7"/>
    <w:rsid w:val="68522FD5"/>
    <w:rsid w:val="6CC97B23"/>
    <w:rsid w:val="6D507C88"/>
    <w:rsid w:val="6E0F0E25"/>
    <w:rsid w:val="6F4577DC"/>
    <w:rsid w:val="709B28DF"/>
    <w:rsid w:val="71D36ECE"/>
    <w:rsid w:val="721553B9"/>
    <w:rsid w:val="73261DAF"/>
    <w:rsid w:val="765B6ABB"/>
    <w:rsid w:val="77712936"/>
    <w:rsid w:val="77D93560"/>
    <w:rsid w:val="78901500"/>
    <w:rsid w:val="78A0421B"/>
    <w:rsid w:val="7AC85181"/>
    <w:rsid w:val="7BD55DBA"/>
    <w:rsid w:val="7C326B40"/>
    <w:rsid w:val="7C497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7"/>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6">
    <w:name w:val="Default Paragraph Font"/>
    <w:semiHidden/>
    <w:unhideWhenUsed/>
    <w:qFormat/>
    <w:uiPriority w:val="1"/>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2">
    <w:name w:val="+正文"/>
    <w:basedOn w:val="1"/>
    <w:qFormat/>
    <w:uiPriority w:val="0"/>
    <w:pPr>
      <w:spacing w:line="360" w:lineRule="auto"/>
      <w:ind w:firstLine="200" w:firstLineChars="200"/>
    </w:pPr>
    <w:rPr>
      <w:sz w:val="24"/>
      <w:szCs w:val="28"/>
    </w:rPr>
  </w:style>
  <w:style w:type="paragraph" w:styleId="4">
    <w:name w:val="Normal (Web)"/>
    <w:basedOn w:val="1"/>
    <w:qFormat/>
    <w:uiPriority w:val="0"/>
    <w:pPr>
      <w:spacing w:before="100" w:beforeAutospacing="1" w:after="100" w:afterAutospacing="1"/>
      <w:jc w:val="left"/>
    </w:pPr>
    <w:rPr>
      <w:kern w:val="0"/>
      <w:sz w:val="24"/>
    </w:rPr>
  </w:style>
  <w:style w:type="character" w:customStyle="1" w:styleId="7">
    <w:name w:val="标题 1 字符"/>
    <w:basedOn w:val="6"/>
    <w:link w:val="3"/>
    <w:autoRedefine/>
    <w:qFormat/>
    <w:uiPriority w:val="9"/>
    <w:rPr>
      <w:rFonts w:ascii="Times New Roman" w:hAnsi="Times New Roman" w:eastAsia="方正小标宋简体"/>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634</Words>
  <Characters>684</Characters>
  <Lines>0</Lines>
  <Paragraphs>0</Paragraphs>
  <TotalTime>70</TotalTime>
  <ScaleCrop>false</ScaleCrop>
  <LinksUpToDate>false</LinksUpToDate>
  <CharactersWithSpaces>684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2023-12-08T06:40:00Z</dcterms:created>
  <dc:creator>HY</dc:creator>
  <cp:lastModifiedBy>熊莉</cp:lastModifiedBy>
  <dcterms:modified xsi:type="dcterms:W3CDTF">2025-09-24T07:25:43Z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524D172BF17C4B79BE2583EDD8279972_13</vt:lpwstr>
  </property>
  <property fmtid="{D5CDD505-2E9C-101B-9397-08002B2CF9AE}" pid="4" name="KSOTemplateDocerSaveRecord">
    <vt:lpwstr>eyJoZGlkIjoiZTcwY2IwODA0NjBmNjU3YzQ0NzhjZjQ5Nzc1ODVhMjUiLCJ1c2VySWQiOiIxNjYwNzk2ODQ1In0=</vt:lpwstr>
  </property>
</Properties>
</file>