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302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关于广汉市航锐科技有限公司航锐科技改装车生产项目</w:t>
      </w:r>
      <w:r>
        <w:rPr>
          <w:rFonts w:ascii="Times New Roman" w:hAnsi="Times New Roman" w:eastAsia="方正小标宋简体" w:cs="Times New Roman"/>
          <w:sz w:val="44"/>
          <w:szCs w:val="44"/>
        </w:rPr>
        <w:t>《环境影响报告表》的批复</w:t>
      </w:r>
    </w:p>
    <w:p w14:paraId="15EC028B">
      <w:pPr>
        <w:pStyle w:val="7"/>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广汉市航锐科技有限公司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航锐科技改装车生产项目</w:t>
      </w:r>
      <w:r>
        <w:rPr>
          <w:rFonts w:hint="eastAsia"/>
          <w:lang w:eastAsia="zh-CN"/>
        </w:rPr>
        <w:t>《环境影响报告表》（以下简称“报告表”）收悉。经研究，批复如下：</w:t>
      </w:r>
    </w:p>
    <w:p w14:paraId="0C86FAB5">
      <w:pPr>
        <w:pStyle w:val="7"/>
        <w:numPr>
          <w:ilvl w:val="0"/>
          <w:numId w:val="1"/>
        </w:numPr>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该项目为新建项目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拟在广汉市湘潭路七段东侧征地进行建设，用地</w:t>
      </w:r>
      <w:r>
        <w:rPr>
          <w:rFonts w:hint="default" w:ascii="Times New Roman" w:hAnsi="Times New Roman" w:eastAsia="仿宋_GB2312" w:cs="Times New Roman"/>
          <w:kern w:val="2"/>
          <w:sz w:val="32"/>
          <w:szCs w:val="32"/>
          <w:lang w:val="en-US" w:eastAsia="zh-CN" w:bidi="ar-SA"/>
        </w:rPr>
        <w:t>面积35948.61平方米。项目内容及规模为：新建2栋标准厂房及相关公辅设施，购置喷漆室、喷塑房及回收系统、塑粉固化炉、火焰切割机、喷砂机、前处理线、PVC挤塑线等生产设备，布设1条改装车车厢生产线和1条配套PVC板材生产线，建成后形成年产改装车5000辆的生产能力。项目总投资10000万元，其中环保投资61万元。</w:t>
      </w:r>
    </w:p>
    <w:p w14:paraId="5200CD3C">
      <w:pPr>
        <w:pStyle w:val="7"/>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lang w:val="en-US" w:eastAsia="zh-CN" w:bidi="ar-SA"/>
        </w:rPr>
        <w:t>备[2507-510698-04-01-923420]FGQB-0029号</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及广汉市航锐科技有限公司取得的《不动产权证》，项目用地性质为工业用地，选址符合规划。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7"/>
        <w:spacing w:line="560" w:lineRule="exact"/>
        <w:ind w:firstLine="640"/>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Times New Roman" w:hAnsi="Times New Roman" w:eastAsia="仿宋_GB2312" w:cs="Times New Roman"/>
          <w:kern w:val="2"/>
          <w:sz w:val="32"/>
          <w:szCs w:val="32"/>
          <w:lang w:val="en-US" w:eastAsia="zh-CN" w:bidi="ar-SA"/>
        </w:rPr>
        <w:t>落实切割工序集气罩+布袋除尘装置，确保切割粉尘经收集处理后由1根15m高排气筒（DA001）达标排放；落实喷砂室负压捕集+布袋除尘装置，确保喷砂粉尘经收集处理后由1根15m高排气筒（DA002）达标排放；设置半封闭的喷塑房（仅预留工件进出口），落实负压抽风+旋风+滤芯除尘装置，确保喷塑粉尘经收集处理后由1根15m高排气筒（DA003）达标排放；落实密闭喷塑固化房</w:t>
      </w:r>
      <w:r>
        <w:rPr>
          <w:rFonts w:hint="eastAsia" w:cs="Times New Roman"/>
          <w:kern w:val="2"/>
          <w:sz w:val="32"/>
          <w:szCs w:val="32"/>
          <w:lang w:val="en-US" w:eastAsia="zh-CN" w:bidi="ar-SA"/>
        </w:rPr>
        <w:t>负压抽风</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密闭喷漆房的</w:t>
      </w:r>
      <w:r>
        <w:rPr>
          <w:rFonts w:hint="eastAsia" w:cs="Times New Roman"/>
          <w:kern w:val="2"/>
          <w:sz w:val="32"/>
          <w:szCs w:val="32"/>
          <w:lang w:val="en-US" w:eastAsia="zh-CN" w:bidi="ar-SA"/>
        </w:rPr>
        <w:t>水帘柜+</w:t>
      </w:r>
      <w:r>
        <w:rPr>
          <w:rFonts w:hint="eastAsia" w:ascii="Times New Roman" w:hAnsi="Times New Roman" w:eastAsia="仿宋_GB2312" w:cs="Times New Roman"/>
          <w:kern w:val="2"/>
          <w:sz w:val="32"/>
          <w:szCs w:val="32"/>
          <w:lang w:val="en-US" w:eastAsia="zh-CN" w:bidi="ar-SA"/>
        </w:rPr>
        <w:t>负压抽风</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挤塑机上方的集气罩收集措施，</w:t>
      </w:r>
      <w:r>
        <w:rPr>
          <w:rFonts w:hint="eastAsia" w:cs="Times New Roman"/>
          <w:kern w:val="2"/>
          <w:sz w:val="32"/>
          <w:szCs w:val="32"/>
          <w:lang w:val="en-US" w:eastAsia="zh-CN" w:bidi="ar-SA"/>
        </w:rPr>
        <w:t>落实固化炉低氮燃烧，</w:t>
      </w:r>
      <w:r>
        <w:rPr>
          <w:rFonts w:hint="eastAsia" w:ascii="Times New Roman" w:hAnsi="Times New Roman" w:eastAsia="仿宋_GB2312" w:cs="Times New Roman"/>
          <w:kern w:val="2"/>
          <w:sz w:val="32"/>
          <w:szCs w:val="32"/>
          <w:lang w:val="en-US" w:eastAsia="zh-CN" w:bidi="ar-SA"/>
        </w:rPr>
        <w:t>确保漆雾</w:t>
      </w:r>
      <w:r>
        <w:rPr>
          <w:rFonts w:hint="eastAsia" w:cs="Times New Roman"/>
          <w:kern w:val="2"/>
          <w:sz w:val="32"/>
          <w:szCs w:val="32"/>
          <w:lang w:val="en-US" w:eastAsia="zh-CN" w:bidi="ar-SA"/>
        </w:rPr>
        <w:t>被</w:t>
      </w:r>
      <w:r>
        <w:rPr>
          <w:rFonts w:hint="eastAsia" w:ascii="Times New Roman" w:hAnsi="Times New Roman" w:eastAsia="仿宋_GB2312" w:cs="Times New Roman"/>
          <w:kern w:val="2"/>
          <w:sz w:val="32"/>
          <w:szCs w:val="32"/>
          <w:lang w:val="en-US" w:eastAsia="zh-CN" w:bidi="ar-SA"/>
        </w:rPr>
        <w:t>水帘柜过滤</w:t>
      </w:r>
      <w:r>
        <w:rPr>
          <w:rFonts w:hint="eastAsia" w:cs="Times New Roman"/>
          <w:kern w:val="2"/>
          <w:sz w:val="32"/>
          <w:szCs w:val="32"/>
          <w:lang w:val="en-US" w:eastAsia="zh-CN" w:bidi="ar-SA"/>
        </w:rPr>
        <w:t>和沉降于漆房内</w:t>
      </w:r>
      <w:r>
        <w:rPr>
          <w:rFonts w:hint="eastAsia" w:ascii="Times New Roman" w:hAnsi="Times New Roman" w:cs="Times New Roman"/>
          <w:kern w:val="2"/>
          <w:sz w:val="32"/>
          <w:szCs w:val="32"/>
          <w:lang w:val="en-US" w:eastAsia="zh-CN" w:bidi="ar-SA"/>
        </w:rPr>
        <w:t>，确保</w:t>
      </w:r>
      <w:r>
        <w:rPr>
          <w:rFonts w:hint="eastAsia" w:ascii="Times New Roman" w:hAnsi="Times New Roman" w:eastAsia="仿宋_GB2312" w:cs="Times New Roman"/>
          <w:kern w:val="2"/>
          <w:sz w:val="32"/>
          <w:szCs w:val="32"/>
          <w:lang w:val="en-US" w:eastAsia="zh-CN" w:bidi="ar-SA"/>
        </w:rPr>
        <w:t>固化天然气燃烧烟气</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固化有机废气、喷漆</w:t>
      </w:r>
      <w:r>
        <w:rPr>
          <w:rFonts w:hint="eastAsia" w:cs="Times New Roman"/>
          <w:kern w:val="2"/>
          <w:sz w:val="32"/>
          <w:szCs w:val="32"/>
          <w:lang w:val="en-US" w:eastAsia="zh-CN" w:bidi="ar-SA"/>
        </w:rPr>
        <w:t>房</w:t>
      </w:r>
      <w:r>
        <w:rPr>
          <w:rFonts w:hint="eastAsia" w:ascii="Times New Roman" w:hAnsi="Times New Roman" w:eastAsia="仿宋_GB2312" w:cs="Times New Roman"/>
          <w:kern w:val="2"/>
          <w:sz w:val="32"/>
          <w:szCs w:val="32"/>
          <w:lang w:val="en-US" w:eastAsia="zh-CN" w:bidi="ar-SA"/>
        </w:rPr>
        <w:t>有机废气、挤塑有机废气一同经1套除湿降温+两级活性炭吸附装置处理后由1根15m高排气筒（DA004）达标排放；设置封闭的混料区，落实负压抽风+布袋除尘装置，确保混料粉尘经收集处理后由1根15m高排气筒（DA005）达标排放；设置三面封闭的焊接区，落实工位处的吸气臂+焊烟净化器，确保焊接烟尘经收集处理后无组织达标排放，对周边环境不产生影响</w:t>
      </w:r>
      <w:r>
        <w:rPr>
          <w:rFonts w:hint="eastAsia" w:ascii="仿宋_GB2312" w:hAnsi="仿宋_GB2312" w:eastAsia="仿宋_GB2312" w:cs="仿宋_GB2312"/>
          <w:color w:val="000000"/>
          <w:sz w:val="32"/>
          <w:szCs w:val="32"/>
          <w:lang w:eastAsia="zh-CN"/>
        </w:rPr>
        <w:t>。</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sz w:val="32"/>
          <w:szCs w:val="32"/>
          <w:lang w:eastAsia="zh-CN"/>
        </w:rPr>
        <w:t>项目</w:t>
      </w:r>
      <w:r>
        <w:rPr>
          <w:rFonts w:hint="eastAsia" w:ascii="Times New Roman" w:hAnsi="Times New Roman" w:eastAsia="仿宋_GB2312" w:cs="Times New Roman"/>
          <w:kern w:val="2"/>
          <w:sz w:val="32"/>
          <w:szCs w:val="32"/>
          <w:lang w:val="en-US" w:eastAsia="zh-CN" w:bidi="ar-SA"/>
        </w:rPr>
        <w:t>冷却废水、水帘柜废水定期打捞杂质后循环使用，不外排；脱脂清洗废水、陶化清洗废水由厂区新建污水处理站处理、生活污水经预处理池处理达《污水综合排放标准》（GB8978-1996）中三级标准后排入市政污水管网，再经广汉市第二污水处理厂处理达《四川省岷江、沱江流域水污染物排放标准》（DB51/2311-2016）中工业园区集中式污水处</w:t>
      </w:r>
      <w:r>
        <w:rPr>
          <w:rFonts w:hint="eastAsia" w:ascii="仿宋_GB2312" w:hAnsi="仿宋_GB2312" w:eastAsia="仿宋_GB2312" w:cs="仿宋_GB2312"/>
          <w:color w:val="000000"/>
          <w:sz w:val="32"/>
          <w:szCs w:val="32"/>
          <w:lang w:eastAsia="zh-CN"/>
        </w:rPr>
        <w:t>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lang w:val="en-US" w:eastAsia="zh-CN"/>
        </w:rPr>
        <w:t>废边角料、收尘灰、废焊丝焊渣交予固废处置公司处理</w:t>
      </w:r>
      <w:r>
        <w:rPr>
          <w:rFonts w:hint="eastAsia"/>
          <w:lang w:eastAsia="zh-CN"/>
        </w:rPr>
        <w:t>；废塑粉作为原始用途由粉末涂料供应厂家回收利用；废除尘滤芯由厂家回收利用；</w:t>
      </w:r>
      <w:r>
        <w:rPr>
          <w:rFonts w:hint="eastAsia"/>
          <w:lang w:val="en-US" w:eastAsia="zh-CN"/>
        </w:rPr>
        <w:t>废水性漆桶暂按危废管理，鉴别后若属一般固废交原厂家回收处理</w:t>
      </w:r>
      <w:r>
        <w:rPr>
          <w:rFonts w:hint="eastAsia"/>
          <w:lang w:eastAsia="zh-CN"/>
        </w:rPr>
        <w:t>；</w:t>
      </w:r>
      <w:r>
        <w:rPr>
          <w:rFonts w:hint="eastAsia"/>
          <w:lang w:val="en-US" w:eastAsia="zh-CN"/>
        </w:rPr>
        <w:t>污水处理站污泥、废漆渣、废油性漆桶、废槽渣、废化学品包装容器、含油废棉纱和手套、废矿物油、废油桶、废活性炭、废乳化液、含油、乳化液金属屑</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lang w:val="en-US" w:eastAsia="zh-CN"/>
        </w:rPr>
        <w:t>危废暂存间、化学品库、前处理区（脱脂陶化）、喷漆房、污水站水处理站设置为重点防渗区，将生产车间其他区域、一般固废暂存间设置为一般防渗区，将除重点防渗及一般防渗外的其他区域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1FC25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val="en-US" w:eastAsia="zh-CN"/>
        </w:rPr>
        <w:t>（十）本项目以改装车厢生产车间和板材生产车间边界为起点向外划定50米范围为卫生防护距离控制区，该区域引进项目时应注意其环境相容性，并协助园区管委会监督项目卫生防护距离内不得新建居住、学校、医院等敏感建筑，发现问题及时向园区管委会和相关部门反映。</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挥发性有机物排放量为</w:t>
      </w:r>
      <w:r>
        <w:rPr>
          <w:rFonts w:hint="eastAsia"/>
          <w:snapToGrid w:val="0"/>
        </w:rPr>
        <w:t>0.3</w:t>
      </w:r>
      <w:r>
        <w:rPr>
          <w:rFonts w:hint="eastAsia"/>
          <w:snapToGrid w:val="0"/>
          <w:lang w:val="en-US" w:eastAsia="zh-CN"/>
        </w:rPr>
        <w:t>82</w:t>
      </w:r>
      <w:r>
        <w:rPr>
          <w:rFonts w:hint="eastAsia"/>
          <w:lang w:val="en-US" w:eastAsia="zh-CN"/>
        </w:rPr>
        <w:t>吨/年，氮氧化物排放量为</w:t>
      </w:r>
      <w:r>
        <w:rPr>
          <w:rFonts w:hint="eastAsia"/>
          <w:snapToGrid w:val="0"/>
        </w:rPr>
        <w:t>0.</w:t>
      </w:r>
      <w:r>
        <w:rPr>
          <w:rFonts w:hint="eastAsia"/>
          <w:snapToGrid w:val="0"/>
          <w:lang w:val="en-US" w:eastAsia="zh-CN"/>
        </w:rPr>
        <w:t>058</w:t>
      </w:r>
      <w:r>
        <w:rPr>
          <w:rFonts w:hint="eastAsia"/>
          <w:lang w:val="en-US" w:eastAsia="zh-CN"/>
        </w:rPr>
        <w:t>吨/年，</w:t>
      </w:r>
      <w:r>
        <w:rPr>
          <w:rFonts w:ascii="仿宋_GB2312" w:hAnsi="仿宋_GB2312" w:eastAsia="仿宋_GB2312" w:cs="仿宋_GB2312"/>
          <w:sz w:val="32"/>
          <w:szCs w:val="32"/>
          <w:highlight w:val="none"/>
        </w:rPr>
        <w:t>化学需氧量</w:t>
      </w:r>
      <w:r>
        <w:rPr>
          <w:rFonts w:hint="eastAsia"/>
          <w:lang w:val="en-US" w:eastAsia="zh-CN"/>
        </w:rPr>
        <w:t>排放量为</w:t>
      </w:r>
      <w:r>
        <w:rPr>
          <w:rFonts w:hint="eastAsia"/>
          <w:snapToGrid w:val="0"/>
        </w:rPr>
        <w:t>0.</w:t>
      </w:r>
      <w:r>
        <w:rPr>
          <w:rFonts w:hint="eastAsia"/>
          <w:snapToGrid w:val="0"/>
          <w:lang w:val="en-US" w:eastAsia="zh-CN"/>
        </w:rPr>
        <w:t>174</w:t>
      </w:r>
      <w:r>
        <w:rPr>
          <w:rFonts w:ascii="仿宋_GB2312" w:hAnsi="仿宋_GB2312" w:eastAsia="仿宋_GB2312" w:cs="仿宋_GB2312"/>
          <w:sz w:val="32"/>
          <w:szCs w:val="32"/>
          <w:highlight w:val="none"/>
        </w:rPr>
        <w:t>吨/年</w:t>
      </w:r>
      <w:r>
        <w:rPr>
          <w:rFonts w:hint="eastAsia" w:ascii="仿宋_GB2312" w:hAnsi="仿宋_GB2312" w:cs="仿宋_GB2312"/>
          <w:sz w:val="32"/>
          <w:szCs w:val="32"/>
          <w:highlight w:val="none"/>
          <w:lang w:eastAsia="zh-CN"/>
        </w:rPr>
        <w:t>，</w:t>
      </w:r>
      <w:r>
        <w:rPr>
          <w:rFonts w:ascii="仿宋_GB2312" w:hAnsi="仿宋_GB2312" w:eastAsia="仿宋_GB2312" w:cs="仿宋_GB2312"/>
          <w:sz w:val="32"/>
          <w:szCs w:val="32"/>
          <w:highlight w:val="none"/>
        </w:rPr>
        <w:t>氨氮</w:t>
      </w:r>
      <w:r>
        <w:rPr>
          <w:rFonts w:hint="eastAsia"/>
          <w:lang w:val="en-US" w:eastAsia="zh-CN"/>
        </w:rPr>
        <w:t>排放量为</w:t>
      </w:r>
      <w:r>
        <w:rPr>
          <w:rFonts w:hint="eastAsia"/>
          <w:snapToGrid w:val="0"/>
        </w:rPr>
        <w:t>0.0</w:t>
      </w:r>
      <w:r>
        <w:rPr>
          <w:rFonts w:hint="eastAsia"/>
          <w:snapToGrid w:val="0"/>
          <w:lang w:val="en-US" w:eastAsia="zh-CN"/>
        </w:rPr>
        <w:t>22</w:t>
      </w:r>
      <w:r>
        <w:rPr>
          <w:rFonts w:ascii="仿宋_GB2312" w:hAnsi="仿宋_GB2312" w:eastAsia="仿宋_GB2312" w:cs="仿宋_GB2312"/>
          <w:sz w:val="32"/>
          <w:szCs w:val="32"/>
          <w:highlight w:val="none"/>
        </w:rPr>
        <w:t>吨/年</w:t>
      </w:r>
      <w:r>
        <w:rPr>
          <w:rFonts w:hint="eastAsia"/>
          <w:lang w:eastAsia="zh-CN"/>
        </w:rPr>
        <w:t>，其总量控制指标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10</w:t>
      </w:r>
      <w:r>
        <w:rPr>
          <w:rFonts w:hint="eastAsia"/>
          <w:lang w:eastAsia="zh-CN"/>
        </w:rPr>
        <w:t>月</w:t>
      </w:r>
      <w:r>
        <w:rPr>
          <w:rFonts w:hint="eastAsia"/>
          <w:lang w:val="en-US" w:eastAsia="zh-CN"/>
        </w:rPr>
        <w:t>14</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C07F19"/>
    <w:rsid w:val="07EE52C1"/>
    <w:rsid w:val="08E224A3"/>
    <w:rsid w:val="0C4A0047"/>
    <w:rsid w:val="0CBC5D91"/>
    <w:rsid w:val="0D8434C8"/>
    <w:rsid w:val="10476743"/>
    <w:rsid w:val="10B04339"/>
    <w:rsid w:val="11A36E95"/>
    <w:rsid w:val="121F6F46"/>
    <w:rsid w:val="141B194C"/>
    <w:rsid w:val="172E0063"/>
    <w:rsid w:val="17722C48"/>
    <w:rsid w:val="17FF1243"/>
    <w:rsid w:val="1A5823C6"/>
    <w:rsid w:val="1D0B506B"/>
    <w:rsid w:val="1DA61023"/>
    <w:rsid w:val="1F9D62EA"/>
    <w:rsid w:val="207C77B4"/>
    <w:rsid w:val="20A0736A"/>
    <w:rsid w:val="20EE3BBC"/>
    <w:rsid w:val="233040CC"/>
    <w:rsid w:val="240472A7"/>
    <w:rsid w:val="24602490"/>
    <w:rsid w:val="25B23D47"/>
    <w:rsid w:val="2A3732D1"/>
    <w:rsid w:val="2A8433D1"/>
    <w:rsid w:val="2B1D6405"/>
    <w:rsid w:val="2B4222FA"/>
    <w:rsid w:val="2B6C37C8"/>
    <w:rsid w:val="2C6B7FAD"/>
    <w:rsid w:val="2E624E98"/>
    <w:rsid w:val="2F4838A9"/>
    <w:rsid w:val="30F523E0"/>
    <w:rsid w:val="31231C2B"/>
    <w:rsid w:val="3511441F"/>
    <w:rsid w:val="35C30878"/>
    <w:rsid w:val="36BF255B"/>
    <w:rsid w:val="3847678F"/>
    <w:rsid w:val="398E50E4"/>
    <w:rsid w:val="3A6E4FAF"/>
    <w:rsid w:val="3AFA05BA"/>
    <w:rsid w:val="3B8A62BD"/>
    <w:rsid w:val="41B502FB"/>
    <w:rsid w:val="432F1B9E"/>
    <w:rsid w:val="449D70C1"/>
    <w:rsid w:val="471A4C57"/>
    <w:rsid w:val="490D1D9A"/>
    <w:rsid w:val="493B5434"/>
    <w:rsid w:val="4AB250DD"/>
    <w:rsid w:val="4C3F558F"/>
    <w:rsid w:val="4E20458D"/>
    <w:rsid w:val="52EB1116"/>
    <w:rsid w:val="545838A3"/>
    <w:rsid w:val="550F5283"/>
    <w:rsid w:val="55922BB8"/>
    <w:rsid w:val="5648005A"/>
    <w:rsid w:val="56EF32D7"/>
    <w:rsid w:val="598E3781"/>
    <w:rsid w:val="5A282A37"/>
    <w:rsid w:val="5E923FC8"/>
    <w:rsid w:val="62544876"/>
    <w:rsid w:val="63ED6FC7"/>
    <w:rsid w:val="6488096B"/>
    <w:rsid w:val="65AB4EFC"/>
    <w:rsid w:val="662B4514"/>
    <w:rsid w:val="66737356"/>
    <w:rsid w:val="67D747D7"/>
    <w:rsid w:val="6CC97B23"/>
    <w:rsid w:val="6F4577DC"/>
    <w:rsid w:val="70924242"/>
    <w:rsid w:val="709B28DF"/>
    <w:rsid w:val="71823CF1"/>
    <w:rsid w:val="71D36ECE"/>
    <w:rsid w:val="721553B9"/>
    <w:rsid w:val="73261DAF"/>
    <w:rsid w:val="74A42A0A"/>
    <w:rsid w:val="75102DA9"/>
    <w:rsid w:val="754937FF"/>
    <w:rsid w:val="765B6ABB"/>
    <w:rsid w:val="77712936"/>
    <w:rsid w:val="77D93560"/>
    <w:rsid w:val="78901500"/>
    <w:rsid w:val="78A0421B"/>
    <w:rsid w:val="78B97F84"/>
    <w:rsid w:val="7BD55DBA"/>
    <w:rsid w:val="7C326B40"/>
    <w:rsid w:val="7C4976F5"/>
    <w:rsid w:val="7F46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6"/>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character" w:customStyle="1" w:styleId="6">
    <w:name w:val="标题 1 字符"/>
    <w:basedOn w:val="5"/>
    <w:link w:val="2"/>
    <w:autoRedefine/>
    <w:qFormat/>
    <w:uiPriority w:val="9"/>
    <w:rPr>
      <w:rFonts w:ascii="Times New Roman" w:hAnsi="Times New Roman" w:eastAsia="方正小标宋简体"/>
      <w:bCs/>
      <w:kern w:val="44"/>
      <w:sz w:val="44"/>
      <w:szCs w:val="44"/>
    </w:rPr>
  </w:style>
  <w:style w:type="paragraph" w:customStyle="1" w:styleId="7">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2933</Words>
  <Characters>3073</Characters>
  <Lines>0</Lines>
  <Paragraphs>0</Paragraphs>
  <TotalTime>4</TotalTime>
  <ScaleCrop>false</ScaleCrop>
  <LinksUpToDate>false</LinksUpToDate>
  <CharactersWithSpaces>3159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2025-10-13T02:55:00Z</cp:lastPrinted>
  <dcterms:modified xsi:type="dcterms:W3CDTF">2025-10-14T01:17:13Z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A012914399B345769E6C2E781B169991_13</vt:lpwstr>
  </property>
  <property fmtid="{D5CDD505-2E9C-101B-9397-08002B2CF9AE}" pid="4" name="KSOTemplateDocerSaveRecord">
    <vt:lpwstr>eyJoZGlkIjoiZTcwY2IwODA0NjBmNjU3YzQ0NzhjZjQ5Nzc1ODVhMjUiLCJ1c2VySWQiOiIxNjYwNzk2ODQ1In0=</vt:lpwstr>
  </property>
</Properties>
</file>