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871DA1">
      <w:pPr>
        <w:spacing w:line="60" w:lineRule="atLeast"/>
        <w:jc w:val="center"/>
        <w:rPr>
          <w:rFonts w:eastAsia="方正小标宋简体"/>
          <w:bCs/>
          <w:color w:val="FF0000"/>
          <w:spacing w:val="-57"/>
          <w:sz w:val="116"/>
          <w:szCs w:val="116"/>
        </w:rPr>
      </w:pPr>
    </w:p>
    <w:p w14:paraId="3788F440">
      <w:pPr>
        <w:jc w:val="right"/>
        <w:rPr>
          <w:rFonts w:eastAsia="仿宋_GB2312"/>
          <w:sz w:val="32"/>
          <w:szCs w:val="32"/>
        </w:rPr>
      </w:pPr>
    </w:p>
    <w:p w14:paraId="2026744F">
      <w:pPr>
        <w:wordWrap w:val="0"/>
        <w:jc w:val="right"/>
        <w:rPr>
          <w:bCs/>
          <w:sz w:val="44"/>
          <w:szCs w:val="44"/>
        </w:rPr>
      </w:pPr>
      <w:r>
        <w:rPr>
          <w:rFonts w:eastAsia="仿宋_GB2312"/>
          <w:sz w:val="32"/>
          <w:szCs w:val="32"/>
        </w:rPr>
        <w:t>德环审批</w:t>
      </w:r>
      <w:r>
        <w:rPr>
          <w:rFonts w:eastAsia="仿宋_GB2312"/>
          <w:color w:val="000000"/>
          <w:sz w:val="32"/>
          <w:szCs w:val="32"/>
        </w:rPr>
        <w:t>〔</w:t>
      </w:r>
      <w:r>
        <w:rPr>
          <w:rFonts w:hint="eastAsia" w:eastAsia="仿宋_GB2312"/>
          <w:color w:val="000000"/>
          <w:sz w:val="32"/>
          <w:szCs w:val="32"/>
          <w:lang w:val="en-US" w:eastAsia="zh-CN"/>
        </w:rPr>
        <w:t>2025</w:t>
      </w:r>
      <w:r>
        <w:rPr>
          <w:rFonts w:eastAsia="仿宋_GB2312"/>
          <w:color w:val="000000"/>
          <w:sz w:val="32"/>
          <w:szCs w:val="32"/>
        </w:rPr>
        <w:t>〕</w:t>
      </w:r>
      <w:r>
        <w:rPr>
          <w:rFonts w:hint="eastAsia"/>
          <w:color w:val="000000"/>
          <w:sz w:val="32"/>
          <w:szCs w:val="32"/>
          <w:lang w:val="en-US" w:eastAsia="zh-CN"/>
        </w:rPr>
        <w:t>317</w:t>
      </w:r>
      <w:bookmarkStart w:id="0" w:name="_GoBack"/>
      <w:bookmarkEnd w:id="0"/>
      <w:r>
        <w:rPr>
          <w:rFonts w:eastAsia="仿宋_GB2312"/>
          <w:sz w:val="32"/>
          <w:szCs w:val="32"/>
        </w:rPr>
        <w:t>号</w:t>
      </w:r>
    </w:p>
    <w:p w14:paraId="721E273E">
      <w:pPr>
        <w:spacing w:line="0" w:lineRule="atLeast"/>
        <w:jc w:val="center"/>
        <w:rPr>
          <w:rFonts w:eastAsia="方正小标宋简体"/>
          <w:sz w:val="44"/>
          <w:szCs w:val="44"/>
        </w:rPr>
      </w:pPr>
    </w:p>
    <w:p w14:paraId="739349AC">
      <w:pPr>
        <w:spacing w:line="600" w:lineRule="exact"/>
        <w:ind w:left="0" w:leftChars="0" w:firstLine="0" w:firstLineChars="0"/>
        <w:jc w:val="center"/>
        <w:rPr>
          <w:rFonts w:eastAsia="方正小标宋简体"/>
          <w:sz w:val="44"/>
          <w:szCs w:val="44"/>
        </w:rPr>
      </w:pPr>
      <w:r>
        <w:rPr>
          <w:rFonts w:eastAsia="方正小标宋简体"/>
          <w:sz w:val="44"/>
          <w:szCs w:val="44"/>
        </w:rPr>
        <w:t>德阳市生态环境局</w:t>
      </w:r>
    </w:p>
    <w:p w14:paraId="73E77FF1">
      <w:pPr>
        <w:spacing w:line="600" w:lineRule="exact"/>
        <w:ind w:left="0" w:leftChars="0" w:firstLine="0" w:firstLineChars="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关于四川味觉食品有限公司香辛料生产线扩建项目</w:t>
      </w:r>
      <w:r>
        <w:rPr>
          <w:rFonts w:ascii="Times New Roman" w:hAnsi="Times New Roman" w:eastAsia="方正小标宋简体" w:cs="Times New Roman"/>
          <w:sz w:val="44"/>
          <w:szCs w:val="44"/>
        </w:rPr>
        <w:t>《环境影响报告表》的批复</w:t>
      </w:r>
    </w:p>
    <w:p w14:paraId="15EC028B">
      <w:pPr>
        <w:pStyle w:val="2"/>
        <w:rPr>
          <w:rFonts w:ascii="Times New Roman" w:hAnsi="Times New Roman" w:eastAsia="方正小标宋简体" w:cs="Times New Roman"/>
          <w:sz w:val="44"/>
          <w:szCs w:val="44"/>
        </w:rPr>
      </w:pPr>
    </w:p>
    <w:p w14:paraId="2C5025CA">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四川味觉食品有限公司</w:t>
      </w:r>
      <w:r>
        <w:rPr>
          <w:rFonts w:hint="eastAsia" w:ascii="仿宋_GB2312" w:hAnsi="仿宋_GB2312" w:cs="仿宋_GB2312"/>
          <w:sz w:val="32"/>
          <w:szCs w:val="32"/>
          <w:lang w:eastAsia="zh-CN"/>
        </w:rPr>
        <w:t>：</w:t>
      </w:r>
    </w:p>
    <w:p w14:paraId="76AA114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你公司报送的</w:t>
      </w:r>
      <w:r>
        <w:rPr>
          <w:rFonts w:hint="eastAsia" w:ascii="仿宋_GB2312" w:hAnsi="仿宋_GB2312" w:eastAsia="仿宋_GB2312" w:cs="仿宋_GB2312"/>
          <w:sz w:val="32"/>
          <w:szCs w:val="32"/>
        </w:rPr>
        <w:t>香辛料生产线扩建项目</w:t>
      </w:r>
      <w:r>
        <w:rPr>
          <w:rFonts w:hint="eastAsia"/>
          <w:lang w:eastAsia="zh-CN"/>
        </w:rPr>
        <w:t>《环境影响报告表》（以下简称“报告表”）收悉。经研究，批复如下：</w:t>
      </w:r>
    </w:p>
    <w:p w14:paraId="537042FE">
      <w:pPr>
        <w:pStyle w:val="2"/>
        <w:numPr>
          <w:ilvl w:val="0"/>
          <w:numId w:val="1"/>
        </w:numPr>
        <w:spacing w:line="560" w:lineRule="exact"/>
        <w:ind w:firstLine="64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该项目为</w:t>
      </w:r>
      <w:r>
        <w:rPr>
          <w:rFonts w:hint="eastAsia" w:cs="Times New Roman"/>
          <w:kern w:val="2"/>
          <w:sz w:val="32"/>
          <w:szCs w:val="32"/>
          <w:lang w:val="en-US" w:eastAsia="zh-CN" w:bidi="ar-SA"/>
        </w:rPr>
        <w:t>扩</w:t>
      </w:r>
      <w:r>
        <w:rPr>
          <w:rFonts w:hint="default" w:ascii="Times New Roman" w:hAnsi="Times New Roman" w:eastAsia="仿宋_GB2312" w:cs="Times New Roman"/>
          <w:kern w:val="2"/>
          <w:sz w:val="32"/>
          <w:szCs w:val="32"/>
          <w:lang w:val="en-US" w:eastAsia="zh-CN" w:bidi="ar-SA"/>
        </w:rPr>
        <w:t>建项目，拟在广汉市小汉镇兴汉路东二段22号租赁四川皇承记食品有限公司现有厂房进行建设，用地面积1900平方米。项目内容及规模为：对生产车间进行适应性改造，依托相关公辅设施，购置比重去石机、振动筛、粉粹机、混合机等生产设备，布设1条香辛料生产线，建成后</w:t>
      </w:r>
      <w:r>
        <w:rPr>
          <w:rFonts w:hint="eastAsia" w:cs="Times New Roman"/>
          <w:kern w:val="2"/>
          <w:sz w:val="32"/>
          <w:szCs w:val="32"/>
          <w:lang w:val="en-US" w:eastAsia="zh-CN" w:bidi="ar-SA"/>
        </w:rPr>
        <w:t>新增</w:t>
      </w:r>
      <w:r>
        <w:rPr>
          <w:rFonts w:hint="default" w:ascii="Times New Roman" w:hAnsi="Times New Roman" w:eastAsia="仿宋_GB2312" w:cs="Times New Roman"/>
          <w:kern w:val="2"/>
          <w:sz w:val="32"/>
          <w:szCs w:val="32"/>
          <w:lang w:val="en-US" w:eastAsia="zh-CN" w:bidi="ar-SA"/>
        </w:rPr>
        <w:t>年产香辛料1500吨的生产能力</w:t>
      </w:r>
      <w:r>
        <w:rPr>
          <w:rFonts w:hint="eastAsia" w:cs="Times New Roman"/>
          <w:kern w:val="2"/>
          <w:sz w:val="32"/>
          <w:szCs w:val="32"/>
          <w:lang w:val="en-US" w:eastAsia="zh-CN" w:bidi="ar-SA"/>
        </w:rPr>
        <w:t>，原项目生产设备及产能不改变</w:t>
      </w:r>
      <w:r>
        <w:rPr>
          <w:rFonts w:hint="default" w:ascii="Times New Roman" w:hAnsi="Times New Roman" w:eastAsia="仿宋_GB2312" w:cs="Times New Roman"/>
          <w:kern w:val="2"/>
          <w:sz w:val="32"/>
          <w:szCs w:val="32"/>
          <w:lang w:val="en-US" w:eastAsia="zh-CN" w:bidi="ar-SA"/>
        </w:rPr>
        <w:t>。项目总投资300万元，其中环保投资27万元。</w:t>
      </w:r>
    </w:p>
    <w:p w14:paraId="5200CD3C">
      <w:pPr>
        <w:keepNext w:val="0"/>
        <w:keepLines w:val="0"/>
        <w:widowControl/>
        <w:suppressLineNumbers w:val="0"/>
        <w:jc w:val="left"/>
        <w:rPr>
          <w:rFonts w:hint="eastAsia"/>
          <w:lang w:eastAsia="zh-CN"/>
        </w:rPr>
      </w:pPr>
      <w:r>
        <w:rPr>
          <w:rFonts w:hint="eastAsia"/>
          <w:lang w:eastAsia="zh-CN"/>
        </w:rPr>
        <w:t>项目在四川省投资项目在线审批监管平台进行了备案（备案号：川投资备[</w:t>
      </w:r>
      <w:r>
        <w:rPr>
          <w:rFonts w:hint="eastAsia"/>
          <w:lang w:val="en-US" w:eastAsia="zh-CN"/>
        </w:rPr>
        <w:t>2508-510681-07-02-350685</w:t>
      </w:r>
      <w:r>
        <w:rPr>
          <w:rFonts w:hint="eastAsia"/>
          <w:lang w:eastAsia="zh-CN"/>
        </w:rPr>
        <w:t>]</w:t>
      </w:r>
      <w:r>
        <w:rPr>
          <w:rFonts w:hint="eastAsia"/>
          <w:lang w:val="en-US" w:eastAsia="zh-CN"/>
        </w:rPr>
        <w:t>JXQB-0998</w:t>
      </w:r>
      <w:r>
        <w:rPr>
          <w:rFonts w:hint="eastAsia"/>
          <w:lang w:eastAsia="zh-CN"/>
        </w:rPr>
        <w:t>号），符合国家现行产业政策</w:t>
      </w:r>
      <w:r>
        <w:rPr>
          <w:rFonts w:hint="eastAsia"/>
          <w:lang w:val="zh-CN" w:eastAsia="zh-CN"/>
        </w:rPr>
        <w:t>；该项目符合德阳市生态环境分区管控相关要求，</w:t>
      </w:r>
      <w:r>
        <w:rPr>
          <w:rFonts w:hint="eastAsia"/>
          <w:lang w:eastAsia="zh-CN"/>
        </w:rPr>
        <w:t>根据</w:t>
      </w:r>
      <w:r>
        <w:rPr>
          <w:rFonts w:hint="eastAsia" w:ascii="Times New Roman" w:hAnsi="Times New Roman" w:cs="Times New Roman"/>
          <w:lang w:val="zh-CN" w:eastAsia="zh-CN"/>
        </w:rPr>
        <w:t>《</w:t>
      </w:r>
      <w:r>
        <w:rPr>
          <w:rFonts w:hint="eastAsia" w:cs="Times New Roman"/>
          <w:lang w:val="en-US" w:eastAsia="zh-CN"/>
        </w:rPr>
        <w:t>天府旌城南片区国土空间总体规划（2021-2035年）</w:t>
      </w:r>
      <w:r>
        <w:rPr>
          <w:rFonts w:hint="eastAsia" w:ascii="Times New Roman" w:hAnsi="Times New Roman" w:cs="Times New Roman"/>
          <w:lang w:val="zh-CN" w:eastAsia="zh-CN"/>
        </w:rPr>
        <w:t>》</w:t>
      </w:r>
      <w:r>
        <w:rPr>
          <w:rFonts w:hint="eastAsia" w:cs="Times New Roman"/>
          <w:lang w:val="en-US" w:eastAsia="zh-CN"/>
        </w:rPr>
        <w:t>及</w:t>
      </w:r>
      <w:r>
        <w:rPr>
          <w:rFonts w:hint="default" w:ascii="Times New Roman" w:hAnsi="Times New Roman" w:eastAsia="仿宋_GB2312" w:cs="Times New Roman"/>
          <w:kern w:val="2"/>
          <w:sz w:val="32"/>
          <w:szCs w:val="32"/>
          <w:lang w:val="en-US" w:eastAsia="zh-CN" w:bidi="ar-SA"/>
        </w:rPr>
        <w:t>四川皇承记食品有限公司</w:t>
      </w:r>
      <w:r>
        <w:rPr>
          <w:rFonts w:hint="eastAsia" w:ascii="Times New Roman" w:hAnsi="Times New Roman" w:cs="Times New Roman"/>
          <w:kern w:val="2"/>
          <w:sz w:val="32"/>
          <w:szCs w:val="32"/>
          <w:lang w:val="en-US" w:eastAsia="zh-CN" w:bidi="ar-SA"/>
        </w:rPr>
        <w:t>取得的《</w:t>
      </w:r>
      <w:r>
        <w:rPr>
          <w:rFonts w:hint="eastAsia" w:cs="Times New Roman"/>
          <w:kern w:val="2"/>
          <w:sz w:val="32"/>
          <w:szCs w:val="32"/>
          <w:lang w:val="en-US" w:eastAsia="zh-CN" w:bidi="ar-SA"/>
        </w:rPr>
        <w:t>国有土地使用证</w:t>
      </w:r>
      <w:r>
        <w:rPr>
          <w:rFonts w:hint="eastAsia" w:ascii="Times New Roman" w:hAnsi="Times New Roman" w:cs="Times New Roman"/>
          <w:kern w:val="2"/>
          <w:sz w:val="32"/>
          <w:szCs w:val="32"/>
          <w:lang w:val="en-US" w:eastAsia="zh-CN" w:bidi="ar-SA"/>
        </w:rPr>
        <w:t>》</w:t>
      </w:r>
      <w:r>
        <w:rPr>
          <w:rFonts w:hint="eastAsia" w:ascii="Times New Roman" w:hAnsi="Times New Roman" w:cs="Times New Roman"/>
          <w:lang w:val="en-US" w:eastAsia="zh-CN"/>
        </w:rPr>
        <w:t>，项</w:t>
      </w:r>
      <w:r>
        <w:rPr>
          <w:rFonts w:hint="eastAsia"/>
          <w:lang w:val="en-US" w:eastAsia="zh-CN"/>
        </w:rPr>
        <w:t>目</w:t>
      </w:r>
      <w:r>
        <w:rPr>
          <w:rFonts w:hint="eastAsia"/>
          <w:lang w:eastAsia="zh-CN"/>
        </w:rPr>
        <w:t>用地性质为工业用地，选址</w:t>
      </w:r>
      <w:r>
        <w:rPr>
          <w:rFonts w:hint="eastAsia"/>
          <w:lang w:val="en-US" w:eastAsia="zh-CN"/>
        </w:rPr>
        <w:t>符合规划</w:t>
      </w:r>
      <w:r>
        <w:rPr>
          <w:rFonts w:hint="eastAsia"/>
          <w:lang w:eastAsia="zh-CN"/>
        </w:rPr>
        <w:t>。</w:t>
      </w:r>
    </w:p>
    <w:p w14:paraId="682DCC1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项目在受理和拟批公示期间未收到任何意见反馈，根据专家对《报告表》的审查意见、《报告表》的评价结论，在落实报告表中提出的各项环保对策措施和环境风险防范措施后，项目对环境的不利影响能够得到缓解和控制，项目实施不存在明显的环境制约因素，污染物可以达标排放并符合总量控制要求，原则同意该项目按报告表中所列建设性质、地点、内容、规模、工艺及环保对策措施和风险防范措施进行建设。</w:t>
      </w:r>
    </w:p>
    <w:p w14:paraId="48AFCA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二、项目建设及运行中应重点做好以下工作：</w:t>
      </w:r>
    </w:p>
    <w:p w14:paraId="1D1FB80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3A73D6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eastAsia="zh-CN"/>
        </w:rPr>
      </w:pPr>
      <w:r>
        <w:rPr>
          <w:rFonts w:hint="eastAsia" w:ascii="Times New Roman" w:hAnsi="Times New Roman" w:cs="Times New Roman"/>
          <w:lang w:eastAsia="zh-CN"/>
        </w:rPr>
        <w:t>（二）加强施工期管理，合理安排施工时段和施工场地布设，落实施工期各项环境保护措施，有效控制、减轻或消除施工期废水、废渣、噪声、扬尘等对周围环境的影响。</w:t>
      </w:r>
    </w:p>
    <w:p w14:paraId="6323F051">
      <w:pPr>
        <w:keepNext w:val="0"/>
        <w:keepLines w:val="0"/>
        <w:widowControl/>
        <w:suppressLineNumbers w:val="0"/>
        <w:jc w:val="left"/>
        <w:rPr>
          <w:rFonts w:hint="eastAsia"/>
          <w:lang w:val="en-US" w:eastAsia="zh-CN"/>
        </w:rPr>
      </w:pPr>
      <w:r>
        <w:rPr>
          <w:rFonts w:hint="eastAsia"/>
          <w:lang w:eastAsia="zh-CN"/>
        </w:rPr>
        <w:t>（</w:t>
      </w:r>
      <w:r>
        <w:rPr>
          <w:rFonts w:hint="eastAsia"/>
          <w:lang w:val="en-US" w:eastAsia="zh-CN"/>
        </w:rPr>
        <w:t>三</w:t>
      </w:r>
      <w:r>
        <w:rPr>
          <w:rFonts w:hint="eastAsia"/>
          <w:lang w:eastAsia="zh-CN"/>
        </w:rPr>
        <w:t>）严格落实并优化报告表提出的各项废气处理措施。</w:t>
      </w:r>
      <w:r>
        <w:rPr>
          <w:rFonts w:hint="eastAsia"/>
          <w:lang w:val="en-US" w:eastAsia="zh-CN"/>
        </w:rPr>
        <w:t>设置全密闭的生产车间，落实比重去石机顶部、粉碎机顶部的抽尘支管，确保粉尘、异味经收集后汇入废气主管+脉冲布袋除尘器+UV光氧催化器处理后由1根15m高排气筒达标排放；确保其他区域（震动筛、混合机、脱包区、人工挑选区、包装）微量粉尘经厂房空滤系统处理后无组织达标排放；确保食堂油烟依托现有油烟净化装置处理后引至屋顶排放，对周边环境不产生影响。</w:t>
      </w:r>
    </w:p>
    <w:p w14:paraId="4EC1BD2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四</w:t>
      </w:r>
      <w:r>
        <w:rPr>
          <w:rFonts w:hint="eastAsia"/>
          <w:lang w:eastAsia="zh-CN"/>
        </w:rPr>
        <w:t>）严格落实并优化报告表提出的各项废水处理措施。项目生活污水依托</w:t>
      </w:r>
      <w:r>
        <w:rPr>
          <w:rFonts w:hint="eastAsia" w:ascii="仿宋_GB2312" w:hAnsi="仿宋_GB2312" w:eastAsia="仿宋_GB2312" w:cs="仿宋_GB2312"/>
          <w:sz w:val="32"/>
          <w:szCs w:val="32"/>
        </w:rPr>
        <w:t>四川味觉食品有限公司</w:t>
      </w:r>
      <w:r>
        <w:rPr>
          <w:rFonts w:hint="eastAsia"/>
          <w:lang w:eastAsia="zh-CN"/>
        </w:rPr>
        <w:t>现有预处理池处理、车间地坪清洁废水依托四川皇承记食品有限公司现有预处理池处理达《污水综合排放标准》（GB8978-1996）中三级标准后，</w:t>
      </w:r>
      <w:r>
        <w:rPr>
          <w:rFonts w:hint="eastAsia"/>
          <w:lang w:val="en-US" w:eastAsia="zh-CN"/>
        </w:rPr>
        <w:t>分别</w:t>
      </w:r>
      <w:r>
        <w:rPr>
          <w:rFonts w:hint="eastAsia"/>
          <w:lang w:eastAsia="zh-CN"/>
        </w:rPr>
        <w:t>排入市政污水管网，再经广汉市第四污水处理厂处理达《四川省岷江、沱江流域水污染物排放标准》（DB51/2311-2016）中工业园区集中式污水处理厂标准后外排。</w:t>
      </w:r>
    </w:p>
    <w:p w14:paraId="22F0817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五</w:t>
      </w:r>
      <w:r>
        <w:rPr>
          <w:rFonts w:hint="eastAsia"/>
          <w:lang w:eastAsia="zh-CN"/>
        </w:rPr>
        <w:t>）严格落实并优化报告表提出的噪声污染防治措施。合理布局生产车间产噪设施，对高噪作业点和高噪设备配套有效的隔音、降噪及减振设施，确保厂界噪声达标排放不扰民。</w:t>
      </w:r>
    </w:p>
    <w:p w14:paraId="67E758FB">
      <w:pPr>
        <w:keepNext w:val="0"/>
        <w:keepLines w:val="0"/>
        <w:widowControl/>
        <w:suppressLineNumbers w:val="0"/>
        <w:jc w:val="left"/>
        <w:rPr>
          <w:rFonts w:hint="eastAsia"/>
          <w:lang w:eastAsia="zh-CN"/>
        </w:rPr>
      </w:pPr>
      <w:r>
        <w:rPr>
          <w:rFonts w:hint="eastAsia"/>
          <w:lang w:eastAsia="zh-CN"/>
        </w:rPr>
        <w:t>（</w:t>
      </w:r>
      <w:r>
        <w:rPr>
          <w:rFonts w:hint="eastAsia"/>
          <w:lang w:val="en-US" w:eastAsia="zh-CN"/>
        </w:rPr>
        <w:t>六</w:t>
      </w:r>
      <w:r>
        <w:rPr>
          <w:rFonts w:hint="eastAsia"/>
          <w:lang w:eastAsia="zh-CN"/>
        </w:rPr>
        <w:t>）严格落实并优化报告表提出的各项固体废弃物处置措施。固体废物应按照“减量化、资源化、无害化”的原则进行分类收集和处置，提高回收利用率。加强固体废物产生、收集、贮存、运输、利用、处置全过程环境管理，避免二次污染。废包装材料交废品回收企业回收；原料废料及杂质、收尘灰、生产设备清理残渣交废旧资源回收利用企业处置；废滤芯、废布袋交设备厂家回收；生活垃圾交环卫部门清运。</w:t>
      </w:r>
    </w:p>
    <w:p w14:paraId="38747D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七</w:t>
      </w:r>
      <w:r>
        <w:rPr>
          <w:rFonts w:hint="eastAsia"/>
          <w:lang w:eastAsia="zh-CN"/>
        </w:rPr>
        <w:t>）严格落实并优化报告表提出的地下水和土壤污染防治措施。项目</w:t>
      </w:r>
      <w:r>
        <w:rPr>
          <w:rFonts w:hint="eastAsia"/>
          <w:highlight w:val="none"/>
          <w:lang w:eastAsia="zh-CN"/>
        </w:rPr>
        <w:t>将</w:t>
      </w:r>
      <w:r>
        <w:rPr>
          <w:rFonts w:hint="eastAsia"/>
          <w:highlight w:val="none"/>
          <w:lang w:val="en-US" w:eastAsia="zh-CN"/>
        </w:rPr>
        <w:t>生产车间所有区域、预处理</w:t>
      </w:r>
      <w:r>
        <w:rPr>
          <w:rFonts w:hint="eastAsia"/>
          <w:lang w:val="en-US" w:eastAsia="zh-CN"/>
        </w:rPr>
        <w:t>池设置为一般防渗区，将办公区设置为简单防渗区，</w:t>
      </w:r>
      <w:r>
        <w:rPr>
          <w:rFonts w:hint="eastAsia"/>
          <w:lang w:eastAsia="zh-CN"/>
        </w:rPr>
        <w:t>分别采取防渗措施。建立和完善地下水、土壤污染监控制度和环境管理体系，发现问题及时采取措施，避免污染周边地下水和土壤环境。</w:t>
      </w:r>
    </w:p>
    <w:p w14:paraId="1BE524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八</w:t>
      </w:r>
      <w:r>
        <w:rPr>
          <w:rFonts w:hint="eastAsia"/>
          <w:lang w:eastAsia="zh-CN"/>
        </w:rPr>
        <w:t>）高度重视并全面加强环境风险管理工作。建立健全环境风险防控和环境应急保障体系，严格按照报告表要求，落实并不断优化各项环境风险防范措施，确保环境安全。</w:t>
      </w:r>
    </w:p>
    <w:p w14:paraId="584B71B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w:t>
      </w:r>
      <w:r>
        <w:rPr>
          <w:rFonts w:hint="eastAsia"/>
          <w:lang w:val="en-US" w:eastAsia="zh-CN"/>
        </w:rPr>
        <w:t>九</w:t>
      </w:r>
      <w:r>
        <w:rPr>
          <w:rFonts w:hint="eastAsia"/>
          <w:lang w:eastAsia="zh-CN"/>
        </w:rPr>
        <w:t>）按照相关要求规范设置各类排污口和标志标牌，落实报告表提出的环境管理要求和监测计划。</w:t>
      </w:r>
    </w:p>
    <w:p w14:paraId="0B8B603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cs="Times New Roman"/>
          <w:lang w:val="en-US" w:eastAsia="zh-CN"/>
        </w:rPr>
      </w:pPr>
      <w:r>
        <w:rPr>
          <w:rFonts w:hint="eastAsia"/>
          <w:lang w:eastAsia="zh-CN"/>
        </w:rPr>
        <w:t>三、该项目运营后，</w:t>
      </w:r>
      <w:r>
        <w:rPr>
          <w:rFonts w:hint="eastAsia"/>
          <w:lang w:val="en-US" w:eastAsia="zh-CN"/>
        </w:rPr>
        <w:t>全厂氮氧化物排放量为</w:t>
      </w:r>
      <w:r>
        <w:rPr>
          <w:rFonts w:hint="eastAsia" w:cs="Times New Roman"/>
          <w:lang w:val="en-US" w:eastAsia="zh-CN"/>
        </w:rPr>
        <w:t>0.2435</w:t>
      </w:r>
      <w:r>
        <w:rPr>
          <w:rFonts w:hint="eastAsia" w:ascii="Times New Roman" w:hAnsi="Times New Roman" w:cs="Times New Roman"/>
          <w:lang w:val="en-US" w:eastAsia="zh-CN"/>
        </w:rPr>
        <w:t>吨</w:t>
      </w:r>
      <w:r>
        <w:rPr>
          <w:rFonts w:hint="eastAsia"/>
          <w:lang w:val="en-US" w:eastAsia="zh-CN"/>
        </w:rPr>
        <w:t>/年，化学需氧量排放量为0.2129吨/年，氨氮排放量为0.0266吨/年，其新增化学需氧量、氨氮总量指标由德阳市广汉生态环境局调剂</w:t>
      </w:r>
      <w:r>
        <w:rPr>
          <w:rFonts w:hint="eastAsia" w:ascii="Times New Roman" w:hAnsi="Times New Roman" w:cs="Times New Roman"/>
          <w:lang w:val="en-US" w:eastAsia="zh-CN"/>
        </w:rPr>
        <w:t>。</w:t>
      </w:r>
    </w:p>
    <w:p w14:paraId="1AAA788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四、项目开工建设及投入运营前，应依法完备其他行政许可手续。</w:t>
      </w:r>
    </w:p>
    <w:p w14:paraId="25EEB10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444C51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六、纳入排污许可管理的行业，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477938B3">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七、高度重视安全生产工作，并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04E511A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lang w:eastAsia="zh-CN"/>
        </w:rPr>
      </w:pPr>
      <w:r>
        <w:rPr>
          <w:rFonts w:hint="eastAsia"/>
          <w:lang w:eastAsia="zh-CN"/>
        </w:rPr>
        <w:t>八、该项目的“三同时”监督检查、排污许可监管、日常环境保护监管工作由德阳市广汉生态环境保护综合行政执法大队负责，并接受各级生态环境部门的监督管理。</w:t>
      </w:r>
    </w:p>
    <w:p w14:paraId="51BF54D0">
      <w:pPr>
        <w:bidi w:val="0"/>
        <w:rPr>
          <w:rFonts w:hint="eastAsia"/>
          <w:lang w:eastAsia="zh-CN"/>
        </w:rPr>
      </w:pPr>
      <w:r>
        <w:rPr>
          <w:rFonts w:hint="eastAsia"/>
          <w:lang w:eastAsia="zh-CN"/>
        </w:rPr>
        <w:t xml:space="preserve">                </w:t>
      </w:r>
    </w:p>
    <w:p w14:paraId="1CDF7A1C">
      <w:pPr>
        <w:bidi w:val="0"/>
        <w:rPr>
          <w:rFonts w:hint="eastAsia"/>
          <w:lang w:eastAsia="zh-CN"/>
        </w:rPr>
      </w:pPr>
      <w:r>
        <w:rPr>
          <w:rFonts w:hint="eastAsia"/>
          <w:lang w:eastAsia="zh-CN"/>
        </w:rPr>
        <w:t xml:space="preserve">                  </w:t>
      </w:r>
    </w:p>
    <w:p w14:paraId="07FFB9EB">
      <w:pPr>
        <w:bidi w:val="0"/>
        <w:jc w:val="center"/>
        <w:rPr>
          <w:rFonts w:hint="eastAsia"/>
          <w:lang w:eastAsia="zh-CN"/>
        </w:rPr>
      </w:pPr>
      <w:r>
        <w:rPr>
          <w:rFonts w:hint="eastAsia"/>
          <w:lang w:val="en-US" w:eastAsia="zh-CN"/>
        </w:rPr>
        <w:t xml:space="preserve">                          </w:t>
      </w:r>
      <w:r>
        <w:rPr>
          <w:rFonts w:hint="eastAsia"/>
          <w:lang w:eastAsia="zh-CN"/>
        </w:rPr>
        <w:t>德阳市生态环境局</w:t>
      </w:r>
    </w:p>
    <w:p w14:paraId="5B7DA9F3">
      <w:pPr>
        <w:bidi w:val="0"/>
        <w:jc w:val="center"/>
        <w:rPr>
          <w:rFonts w:hint="eastAsia"/>
          <w:lang w:eastAsia="zh-CN"/>
        </w:rPr>
      </w:pPr>
      <w:r>
        <w:rPr>
          <w:rFonts w:hint="eastAsia"/>
          <w:lang w:val="en-US" w:eastAsia="zh-CN"/>
        </w:rPr>
        <w:t xml:space="preserve">                          </w:t>
      </w:r>
      <w:r>
        <w:rPr>
          <w:rFonts w:hint="eastAsia"/>
          <w:lang w:eastAsia="zh-CN"/>
        </w:rPr>
        <w:t>202</w:t>
      </w:r>
      <w:r>
        <w:rPr>
          <w:rFonts w:hint="eastAsia"/>
          <w:lang w:val="en-US" w:eastAsia="zh-CN"/>
        </w:rPr>
        <w:t>5</w:t>
      </w:r>
      <w:r>
        <w:rPr>
          <w:rFonts w:hint="eastAsia"/>
          <w:lang w:eastAsia="zh-CN"/>
        </w:rPr>
        <w:t>年</w:t>
      </w:r>
      <w:r>
        <w:rPr>
          <w:rFonts w:hint="eastAsia"/>
          <w:lang w:val="en-US" w:eastAsia="zh-CN"/>
        </w:rPr>
        <w:t>10</w:t>
      </w:r>
      <w:r>
        <w:rPr>
          <w:rFonts w:hint="eastAsia"/>
          <w:lang w:eastAsia="zh-CN"/>
        </w:rPr>
        <w:t>月</w:t>
      </w:r>
      <w:r>
        <w:rPr>
          <w:rFonts w:hint="eastAsia"/>
          <w:lang w:val="en-US" w:eastAsia="zh-CN"/>
        </w:rPr>
        <w:t>24</w:t>
      </w:r>
      <w:r>
        <w:rPr>
          <w:rFonts w:hint="eastAsia"/>
          <w:lang w:eastAsia="zh-CN"/>
        </w:rPr>
        <w:t>日</w:t>
      </w:r>
    </w:p>
    <w:sectPr>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996F9"/>
    <w:multiLevelType w:val="singleLevel"/>
    <w:tmpl w:val="5C0996F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F4487"/>
    <w:rsid w:val="017860D6"/>
    <w:rsid w:val="02A5454F"/>
    <w:rsid w:val="02AE534C"/>
    <w:rsid w:val="034F6F7F"/>
    <w:rsid w:val="03DF1EFE"/>
    <w:rsid w:val="0405687A"/>
    <w:rsid w:val="04FF0791"/>
    <w:rsid w:val="06C07F19"/>
    <w:rsid w:val="07EE52C1"/>
    <w:rsid w:val="08E224A3"/>
    <w:rsid w:val="0C4A0047"/>
    <w:rsid w:val="0D8434C8"/>
    <w:rsid w:val="0EB01991"/>
    <w:rsid w:val="10476743"/>
    <w:rsid w:val="11A36E95"/>
    <w:rsid w:val="121F6F46"/>
    <w:rsid w:val="172E0063"/>
    <w:rsid w:val="17425E71"/>
    <w:rsid w:val="17722C48"/>
    <w:rsid w:val="17FF1243"/>
    <w:rsid w:val="1A5823C6"/>
    <w:rsid w:val="1DA61023"/>
    <w:rsid w:val="1F9D62EA"/>
    <w:rsid w:val="1FA7787B"/>
    <w:rsid w:val="207C77B4"/>
    <w:rsid w:val="233040CC"/>
    <w:rsid w:val="240472A7"/>
    <w:rsid w:val="24602490"/>
    <w:rsid w:val="25B23D47"/>
    <w:rsid w:val="25FF5535"/>
    <w:rsid w:val="26742EA2"/>
    <w:rsid w:val="297C0388"/>
    <w:rsid w:val="2A3732D1"/>
    <w:rsid w:val="2A8433D1"/>
    <w:rsid w:val="2B1D6405"/>
    <w:rsid w:val="2B4222FA"/>
    <w:rsid w:val="2B444859"/>
    <w:rsid w:val="2C6B7FAD"/>
    <w:rsid w:val="2E624E98"/>
    <w:rsid w:val="30F523E0"/>
    <w:rsid w:val="31231C2B"/>
    <w:rsid w:val="323C08F4"/>
    <w:rsid w:val="342F5CDB"/>
    <w:rsid w:val="3511441F"/>
    <w:rsid w:val="353D16A3"/>
    <w:rsid w:val="35C30878"/>
    <w:rsid w:val="36BF255B"/>
    <w:rsid w:val="3847678F"/>
    <w:rsid w:val="398E50E4"/>
    <w:rsid w:val="3A6E4FAF"/>
    <w:rsid w:val="3B8A62BD"/>
    <w:rsid w:val="3C2A03C4"/>
    <w:rsid w:val="3C7E27A6"/>
    <w:rsid w:val="3DD23BF8"/>
    <w:rsid w:val="400438B7"/>
    <w:rsid w:val="41A609A7"/>
    <w:rsid w:val="41B502FB"/>
    <w:rsid w:val="432F1B9E"/>
    <w:rsid w:val="449D70C1"/>
    <w:rsid w:val="452C1BB7"/>
    <w:rsid w:val="471A4C57"/>
    <w:rsid w:val="490D1D9A"/>
    <w:rsid w:val="493B5434"/>
    <w:rsid w:val="4AB250DD"/>
    <w:rsid w:val="4C3F558F"/>
    <w:rsid w:val="4C8A6F6D"/>
    <w:rsid w:val="4E074F7B"/>
    <w:rsid w:val="4E20458D"/>
    <w:rsid w:val="4F74489F"/>
    <w:rsid w:val="52EB1116"/>
    <w:rsid w:val="545838A3"/>
    <w:rsid w:val="550F5283"/>
    <w:rsid w:val="55922BB8"/>
    <w:rsid w:val="5648005A"/>
    <w:rsid w:val="56EF32D7"/>
    <w:rsid w:val="589C3484"/>
    <w:rsid w:val="598E3781"/>
    <w:rsid w:val="5A282A37"/>
    <w:rsid w:val="5E06623C"/>
    <w:rsid w:val="5EFF032E"/>
    <w:rsid w:val="5F567AEE"/>
    <w:rsid w:val="62544876"/>
    <w:rsid w:val="6356400A"/>
    <w:rsid w:val="63ED6FC7"/>
    <w:rsid w:val="6488096B"/>
    <w:rsid w:val="65AB4EFC"/>
    <w:rsid w:val="662B4514"/>
    <w:rsid w:val="66737356"/>
    <w:rsid w:val="67AB7A58"/>
    <w:rsid w:val="67D747D7"/>
    <w:rsid w:val="68522FD5"/>
    <w:rsid w:val="6CC97B23"/>
    <w:rsid w:val="6D507C88"/>
    <w:rsid w:val="6E0F0E25"/>
    <w:rsid w:val="6F4577DC"/>
    <w:rsid w:val="709B28DF"/>
    <w:rsid w:val="71531534"/>
    <w:rsid w:val="71D36ECE"/>
    <w:rsid w:val="721553B9"/>
    <w:rsid w:val="73261DAF"/>
    <w:rsid w:val="765B6ABB"/>
    <w:rsid w:val="76E64C26"/>
    <w:rsid w:val="77712936"/>
    <w:rsid w:val="77D93560"/>
    <w:rsid w:val="78901500"/>
    <w:rsid w:val="78A0421B"/>
    <w:rsid w:val="7AC85181"/>
    <w:rsid w:val="7BD55DBA"/>
    <w:rsid w:val="7C326B40"/>
    <w:rsid w:val="7C49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2092"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7"/>
    <w:autoRedefine/>
    <w:qFormat/>
    <w:uiPriority w:val="0"/>
    <w:pPr>
      <w:keepNext/>
      <w:keepLines/>
      <w:spacing w:line="720" w:lineRule="exact"/>
      <w:ind w:firstLine="0" w:firstLineChars="0"/>
      <w:jc w:val="center"/>
      <w:outlineLvl w:val="0"/>
    </w:pPr>
    <w:rPr>
      <w:rFonts w:ascii="Times New Roman" w:hAnsi="Times New Roman" w:eastAsia="方正小标宋简体"/>
      <w:bCs/>
      <w:kern w:val="44"/>
      <w:sz w:val="44"/>
      <w:szCs w:val="44"/>
    </w:rPr>
  </w:style>
  <w:style w:type="character" w:default="1" w:styleId="6">
    <w:name w:val="Default Paragraph Font"/>
    <w:semiHidden/>
    <w:unhideWhenUsed/>
    <w:qFormat/>
    <w:uiPriority w:val="1"/>
  </w:style>
  <w:style w:type="table" w:default="1" w:styleId="5">
    <w:name w:val="Normal Table"/>
    <w:autoRedefin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360" w:lineRule="auto"/>
      <w:ind w:firstLine="200" w:firstLineChars="200"/>
    </w:pPr>
    <w:rPr>
      <w:sz w:val="24"/>
      <w:szCs w:val="28"/>
    </w:rPr>
  </w:style>
  <w:style w:type="paragraph" w:styleId="4">
    <w:name w:val="Normal (Web)"/>
    <w:basedOn w:val="1"/>
    <w:qFormat/>
    <w:uiPriority w:val="0"/>
    <w:pPr>
      <w:spacing w:before="100" w:beforeAutospacing="1" w:after="100" w:afterAutospacing="1"/>
      <w:jc w:val="left"/>
    </w:pPr>
    <w:rPr>
      <w:kern w:val="0"/>
      <w:sz w:val="24"/>
    </w:rPr>
  </w:style>
  <w:style w:type="character" w:customStyle="1" w:styleId="7">
    <w:name w:val="标题 1 字符"/>
    <w:basedOn w:val="6"/>
    <w:link w:val="3"/>
    <w:autoRedefine/>
    <w:qFormat/>
    <w:uiPriority w:val="9"/>
    <w:rPr>
      <w:rFonts w:ascii="Times New Roman" w:hAnsi="Times New Roman" w:eastAsia="方正小标宋简体"/>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2319</Words>
  <Characters>2421</Characters>
  <Lines>0</Lines>
  <Paragraphs>0</Paragraphs>
  <TotalTime>0</TotalTime>
  <ScaleCrop>false</ScaleCrop>
  <LinksUpToDate>false</LinksUpToDate>
  <CharactersWithSpaces>2507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2023-12-08T06:40:00Z</dcterms:created>
  <dc:creator>HY</dc:creator>
  <cp:lastModifiedBy>熊莉</cp:lastModifiedBy>
  <dcterms:modified xsi:type="dcterms:W3CDTF">2025-10-27T01:20:24Z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66D0DE0C05344CB7AA43AEC30617C919_13</vt:lpwstr>
  </property>
  <property fmtid="{D5CDD505-2E9C-101B-9397-08002B2CF9AE}" pid="4" name="KSOTemplateDocerSaveRecord">
    <vt:lpwstr>eyJoZGlkIjoiZTcwY2IwODA0NjBmNjU3YzQ0NzhjZjQ5Nzc1ODVhMjUiLCJ1c2VySWQiOiIxNjYwNzk2ODQ1In0=</vt:lpwstr>
  </property>
</Properties>
</file>