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356</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四川蜀之味食品有限公司调味品、调味料加工项目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bookmarkStart w:id="0" w:name="_GoBack"/>
      <w:r>
        <w:rPr>
          <w:rFonts w:hint="eastAsia" w:ascii="仿宋_GB2312" w:hAnsi="仿宋_GB2312" w:eastAsia="仿宋_GB2312" w:cs="仿宋_GB2312"/>
          <w:sz w:val="32"/>
          <w:szCs w:val="32"/>
        </w:rPr>
        <w:t>四川蜀之味食品有限公司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调味品、调味料加工项目</w:t>
      </w:r>
      <w:r>
        <w:rPr>
          <w:rFonts w:hint="eastAsia"/>
          <w:lang w:eastAsia="zh-CN"/>
        </w:rPr>
        <w:t>《环境影响报告表》（以下简称“报告表”）收悉。经研究，批复如下：</w:t>
      </w:r>
    </w:p>
    <w:p w14:paraId="537042F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该项目为新建项目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拟在广汉市南丰镇建新社区3组租赁四川弘茂制药有限公司闲置厂房进行建设，用地面积3300平方米。项目内容及规模为：对生产车间进行适应性改造，依托相关公辅设施，购置风运去杂机</w:t>
      </w:r>
      <w:r>
        <w:rPr>
          <w:rFonts w:hint="eastAsia" w:cs="Times New Roman"/>
          <w:kern w:val="2"/>
          <w:sz w:val="32"/>
          <w:szCs w:val="32"/>
          <w:lang w:val="en-US" w:eastAsia="zh-CN" w:bidi="ar-SA"/>
        </w:rPr>
        <w:t>、辣椒干洗机、</w:t>
      </w:r>
      <w:r>
        <w:rPr>
          <w:rFonts w:hint="default" w:ascii="Times New Roman" w:hAnsi="Times New Roman" w:eastAsia="仿宋_GB2312" w:cs="Times New Roman"/>
          <w:kern w:val="2"/>
          <w:sz w:val="32"/>
          <w:szCs w:val="32"/>
          <w:lang w:val="en-US" w:eastAsia="zh-CN" w:bidi="ar-SA"/>
        </w:rPr>
        <w:t>色选机、粉碎卸料一体机、辣椒炒制机、辣椒面舂制机、立式混料机、炒锅、离心机等生产设备，布设调味品、调味料生产线，建成后形成年生产火锅底料2000吨、辣椒产品500吨、辣椒面360吨、花椒果产品30吨、调味粉150吨的生产能力。项目总投资500万元，其中环保投资51.8万元。</w:t>
      </w:r>
    </w:p>
    <w:p w14:paraId="5200CD3C">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2509-510681-04-01-402829</w:t>
      </w:r>
      <w:r>
        <w:rPr>
          <w:rFonts w:hint="eastAsia"/>
          <w:lang w:eastAsia="zh-CN"/>
        </w:rPr>
        <w:t>]</w:t>
      </w:r>
      <w:r>
        <w:rPr>
          <w:rFonts w:hint="eastAsia"/>
          <w:lang w:val="en-US" w:eastAsia="zh-CN"/>
        </w:rPr>
        <w:t>FGQB-1200</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三星堆国家文物保护利用片区国土空间总体规划（2021-2035）</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四川弘茂制药有限公司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落实风运去杂、干洗、色选等设备封闭式操作+集尘管道+脉冲布袋除尘器，确保辣椒初加工粉尘经</w:t>
      </w:r>
      <w:r>
        <w:rPr>
          <w:rFonts w:hint="eastAsia"/>
          <w:lang w:eastAsia="zh-CN"/>
        </w:rPr>
        <w:t>收集处理后由1根</w:t>
      </w:r>
      <w:r>
        <w:rPr>
          <w:rFonts w:hint="eastAsia"/>
          <w:lang w:val="en-US" w:eastAsia="zh-CN"/>
        </w:rPr>
        <w:t>15</w:t>
      </w:r>
      <w:r>
        <w:rPr>
          <w:rFonts w:hint="eastAsia"/>
          <w:lang w:eastAsia="zh-CN"/>
        </w:rPr>
        <w:t>m高排气筒（DA001）达标排放；</w:t>
      </w:r>
      <w:r>
        <w:rPr>
          <w:rFonts w:hint="eastAsia"/>
          <w:lang w:val="en-US" w:eastAsia="zh-CN"/>
        </w:rPr>
        <w:t>设置密闭的粉碎间，落实密闭粉碎机出气口的管道+布袋收尘器装置，确保辣椒面、调味料粉碎工序粉尘经处理后无组织达标排放；落实蒸汽发生器低氮燃烧装置，确保天然气燃烧废气</w:t>
      </w:r>
      <w:r>
        <w:rPr>
          <w:rFonts w:hint="eastAsia"/>
          <w:lang w:eastAsia="zh-CN"/>
        </w:rPr>
        <w:t>由1根</w:t>
      </w:r>
      <w:r>
        <w:rPr>
          <w:rFonts w:hint="eastAsia"/>
          <w:lang w:val="en-US" w:eastAsia="zh-CN"/>
        </w:rPr>
        <w:t>8</w:t>
      </w:r>
      <w:r>
        <w:rPr>
          <w:rFonts w:hint="eastAsia"/>
          <w:lang w:eastAsia="zh-CN"/>
        </w:rPr>
        <w:t>m高排气筒（</w:t>
      </w:r>
      <w:r>
        <w:rPr>
          <w:rFonts w:hint="eastAsia"/>
          <w:lang w:val="en-US" w:eastAsia="zh-CN"/>
        </w:rPr>
        <w:t>DA004</w:t>
      </w:r>
      <w:r>
        <w:rPr>
          <w:rFonts w:hint="eastAsia"/>
          <w:lang w:eastAsia="zh-CN"/>
        </w:rPr>
        <w:t>）达标排放</w:t>
      </w:r>
      <w:r>
        <w:rPr>
          <w:rFonts w:hint="eastAsia"/>
          <w:lang w:val="en-US" w:eastAsia="zh-CN"/>
        </w:rPr>
        <w:t>；落实炒锅上方的集气罩、炒制天然气燃烧废气的收集管道以及油渣分离机的集气罩，确保炒制油烟及异味、炒制天然气燃烧废气、油渣分离异味收集后经高效油烟净化装置+喷淋塔处理后由1根15m高排气筒（DA002）达标排放；确保研发厨房油烟经抽油烟机+高效静电式油烟净化处理装置处理后经专用烟道引至屋顶排放</w:t>
      </w:r>
      <w:r>
        <w:rPr>
          <w:rFonts w:hint="eastAsia"/>
          <w:lang w:eastAsia="zh-CN"/>
        </w:rPr>
        <w:t>；</w:t>
      </w:r>
      <w:r>
        <w:rPr>
          <w:rFonts w:hint="eastAsia"/>
          <w:lang w:val="en-US" w:eastAsia="zh-CN"/>
        </w:rPr>
        <w:t>落实</w:t>
      </w:r>
      <w:r>
        <w:rPr>
          <w:rFonts w:hint="eastAsia"/>
          <w:b w:val="0"/>
          <w:bCs/>
          <w:kern w:val="0"/>
          <w:lang w:val="en-US" w:eastAsia="zh-CN"/>
        </w:rPr>
        <w:t>煮椒机上方的集气罩+喷淋塔装置，确保煮椒异味</w:t>
      </w:r>
      <w:r>
        <w:rPr>
          <w:rFonts w:hint="eastAsia"/>
          <w:lang w:val="en-US" w:eastAsia="zh-CN"/>
        </w:rPr>
        <w:t>经</w:t>
      </w:r>
      <w:r>
        <w:rPr>
          <w:rFonts w:hint="eastAsia"/>
          <w:lang w:eastAsia="zh-CN"/>
        </w:rPr>
        <w:t>收集处理后由1根</w:t>
      </w:r>
      <w:r>
        <w:rPr>
          <w:rFonts w:hint="eastAsia"/>
          <w:lang w:val="en-US" w:eastAsia="zh-CN"/>
        </w:rPr>
        <w:t>15</w:t>
      </w:r>
      <w:r>
        <w:rPr>
          <w:rFonts w:hint="eastAsia"/>
          <w:lang w:eastAsia="zh-CN"/>
        </w:rPr>
        <w:t>m高排气筒（DA00</w:t>
      </w:r>
      <w:r>
        <w:rPr>
          <w:rFonts w:hint="eastAsia"/>
          <w:lang w:val="en-US" w:eastAsia="zh-CN"/>
        </w:rPr>
        <w:t>3</w:t>
      </w:r>
      <w:r>
        <w:rPr>
          <w:rFonts w:hint="eastAsia"/>
          <w:lang w:eastAsia="zh-CN"/>
        </w:rPr>
        <w:t>）达标排放；</w:t>
      </w:r>
      <w:r>
        <w:rPr>
          <w:rFonts w:hint="eastAsia"/>
          <w:lang w:val="en-US" w:eastAsia="zh-CN"/>
        </w:rPr>
        <w:t>设置</w:t>
      </w:r>
      <w:r>
        <w:rPr>
          <w:rFonts w:hint="eastAsia"/>
          <w:lang w:eastAsia="zh-CN"/>
        </w:rPr>
        <w:t>理化室通风橱</w:t>
      </w:r>
      <w:r>
        <w:rPr>
          <w:rFonts w:hint="eastAsia"/>
          <w:lang w:val="en-US" w:eastAsia="zh-CN"/>
        </w:rPr>
        <w:t>及独立密闭的微生物检测实验室，落实排风系统的紫外光灭菌+两级高效过滤器及生物安全柜，确保质检室废气无组织达标排放，对周边环境不产生影响。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设备清洗废水、煮椒废水、地面清洁废水、喷淋塔废水、质检室废水等生产废水经自建隔油池处理、生活污水依托厂区现有化粪池处理后一同排入四川弘茂制药有限公司污水处理站进一步处理达《提取类制药工业水污染物排放标准》（GB21905-2008）中表2排放标准后，进入广汉市第八污水处理站处理达到《城镇污水处理厂污染物排放标准》（GB18918-2002）一级A标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初加工筛选的废料及杂质、</w:t>
      </w:r>
      <w:r>
        <w:rPr>
          <w:rFonts w:hint="eastAsia"/>
          <w:lang w:val="en-US" w:eastAsia="zh-CN"/>
        </w:rPr>
        <w:t>收集粉尘委托专门公司拉运进行分类无害化处置；火锅底料过滤废渣、隔油池废油脂由专门的公司回收处置</w:t>
      </w:r>
      <w:r>
        <w:rPr>
          <w:rFonts w:hint="eastAsia"/>
          <w:lang w:eastAsia="zh-CN"/>
        </w:rPr>
        <w:t>；</w:t>
      </w:r>
      <w:r>
        <w:rPr>
          <w:rFonts w:hint="eastAsia"/>
          <w:lang w:val="en-US" w:eastAsia="zh-CN"/>
        </w:rPr>
        <w:t>废包装材料外售废品回收商</w:t>
      </w:r>
      <w:r>
        <w:rPr>
          <w:rFonts w:hint="eastAsia"/>
          <w:lang w:eastAsia="zh-CN"/>
        </w:rPr>
        <w:t>；</w:t>
      </w:r>
      <w:r>
        <w:rPr>
          <w:rFonts w:hint="eastAsia"/>
          <w:lang w:val="en-US" w:eastAsia="zh-CN"/>
        </w:rPr>
        <w:t>废布袋由厂家回收；污水处理设施污泥由专业公司清运；实验室固废、实验废液、变质或失效的实验试剂、废润滑油、废润滑油桶、含油棉纱手套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Times New Roman" w:hAnsi="Times New Roman" w:cs="Times New Roman"/>
          <w:lang w:val="en-US" w:eastAsia="zh-CN"/>
        </w:rPr>
        <w:t>质检室、</w:t>
      </w:r>
      <w:r>
        <w:rPr>
          <w:rFonts w:hint="eastAsia" w:ascii="Times New Roman" w:hAnsi="Times New Roman" w:cs="Times New Roman"/>
          <w:lang w:eastAsia="zh-CN"/>
        </w:rPr>
        <w:t>危废暂存间、</w:t>
      </w:r>
      <w:r>
        <w:rPr>
          <w:rFonts w:hint="eastAsia" w:ascii="Times New Roman" w:hAnsi="Times New Roman" w:cs="Times New Roman"/>
          <w:lang w:val="en-US" w:eastAsia="zh-CN"/>
        </w:rPr>
        <w:t>化粪池、隔油池</w:t>
      </w:r>
      <w:r>
        <w:rPr>
          <w:rFonts w:hint="eastAsia" w:ascii="Times New Roman" w:hAnsi="Times New Roman" w:cs="Times New Roman"/>
          <w:lang w:eastAsia="zh-CN"/>
        </w:rPr>
        <w:t>设置为重点防渗区，</w:t>
      </w:r>
      <w:r>
        <w:rPr>
          <w:rFonts w:hint="eastAsia"/>
          <w:highlight w:val="none"/>
          <w:lang w:eastAsia="zh-CN"/>
        </w:rPr>
        <w:t>将</w:t>
      </w:r>
      <w:r>
        <w:rPr>
          <w:rFonts w:hint="eastAsia"/>
          <w:highlight w:val="none"/>
          <w:lang w:val="en-US" w:eastAsia="zh-CN"/>
        </w:rPr>
        <w:t>生产车间、仓库、一般固废暂存间</w:t>
      </w:r>
      <w:r>
        <w:rPr>
          <w:rFonts w:hint="eastAsia"/>
          <w:lang w:val="en-US" w:eastAsia="zh-CN"/>
        </w:rPr>
        <w:t>设置为一般防渗区，将厂房其他区域办公室等地面设置为简单防渗区，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03B06AE">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（十）项目以辣椒初加工车间边界为起点向外划定50米范围为卫生防护距离控制区，该区域引进项目时应注意其环境相容性，并协助</w:t>
      </w:r>
      <w:r>
        <w:rPr>
          <w:rFonts w:hint="eastAsia" w:ascii="Times New Roman" w:hAnsi="Times New Roman" w:cs="Times New Roman"/>
          <w:kern w:val="2"/>
          <w:sz w:val="32"/>
          <w:szCs w:val="24"/>
          <w:lang w:val="en-US" w:eastAsia="zh-CN" w:bidi="ar-SA"/>
        </w:rPr>
        <w:t>乡镇</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w:t>
      </w:r>
      <w:r>
        <w:rPr>
          <w:rFonts w:hint="eastAsia" w:ascii="Times New Roman" w:hAnsi="Times New Roman" w:cs="Times New Roman"/>
          <w:kern w:val="2"/>
          <w:sz w:val="32"/>
          <w:szCs w:val="24"/>
          <w:lang w:val="en-US" w:eastAsia="zh-CN" w:bidi="ar-SA"/>
        </w:rPr>
        <w:t>乡镇</w:t>
      </w:r>
      <w:r>
        <w:rPr>
          <w:rFonts w:hint="eastAsia" w:ascii="Times New Roman" w:hAnsi="Times New Roman" w:eastAsia="仿宋_GB2312" w:cs="Times New Roman"/>
          <w:kern w:val="2"/>
          <w:sz w:val="32"/>
          <w:szCs w:val="24"/>
          <w:lang w:val="en-US" w:eastAsia="zh-CN" w:bidi="ar-SA"/>
        </w:rPr>
        <w:t>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三、该目运营</w:t>
      </w:r>
      <w:r>
        <w:rPr>
          <w:rFonts w:hint="eastAsia"/>
          <w:lang w:val="en-US" w:eastAsia="zh-CN"/>
        </w:rPr>
        <w:t>后</w:t>
      </w:r>
      <w:r>
        <w:rPr>
          <w:rFonts w:hint="eastAsia"/>
          <w:lang w:eastAsia="zh-CN"/>
        </w:rPr>
        <w:t>，</w:t>
      </w:r>
      <w:r>
        <w:rPr>
          <w:rFonts w:hint="eastAsia"/>
          <w:lang w:val="en-US" w:eastAsia="zh-CN"/>
        </w:rPr>
        <w:t>氮氧化物排放量为</w:t>
      </w:r>
      <w:r>
        <w:rPr>
          <w:rFonts w:hint="eastAsia" w:cs="Times New Roman"/>
          <w:lang w:val="en-US" w:eastAsia="zh-CN"/>
        </w:rPr>
        <w:t>0.2637</w:t>
      </w:r>
      <w:r>
        <w:rPr>
          <w:rFonts w:hint="eastAsia" w:ascii="Times New Roman" w:hAnsi="Times New Roman" w:cs="Times New Roman"/>
          <w:lang w:val="en-US" w:eastAsia="zh-CN"/>
        </w:rPr>
        <w:t>吨</w:t>
      </w:r>
      <w:r>
        <w:rPr>
          <w:rFonts w:hint="eastAsia"/>
          <w:lang w:val="en-US" w:eastAsia="zh-CN"/>
        </w:rPr>
        <w:t>/年，化学需氧量排放量为0.0486吨/年，氨氮排放量为0.0029吨/年，其总量指标按德阳市广汉生态环境局总量文件执行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bookmarkEnd w:id="0"/>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20</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7BD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F613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F613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DB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2C57BB"/>
    <w:rsid w:val="0C4A0047"/>
    <w:rsid w:val="0C58618F"/>
    <w:rsid w:val="0D8434C8"/>
    <w:rsid w:val="0EB01991"/>
    <w:rsid w:val="10476743"/>
    <w:rsid w:val="11A36E95"/>
    <w:rsid w:val="121F6F46"/>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4222FA"/>
    <w:rsid w:val="2B444859"/>
    <w:rsid w:val="2C6B7FAD"/>
    <w:rsid w:val="2E624E98"/>
    <w:rsid w:val="30F523E0"/>
    <w:rsid w:val="31231C2B"/>
    <w:rsid w:val="323C08F4"/>
    <w:rsid w:val="342F5CDB"/>
    <w:rsid w:val="3511441F"/>
    <w:rsid w:val="353D16A3"/>
    <w:rsid w:val="35C30878"/>
    <w:rsid w:val="36BF255B"/>
    <w:rsid w:val="3847678F"/>
    <w:rsid w:val="398E50E4"/>
    <w:rsid w:val="3A6E4FAF"/>
    <w:rsid w:val="3B8A62BD"/>
    <w:rsid w:val="3C2A03C4"/>
    <w:rsid w:val="3C7E27A6"/>
    <w:rsid w:val="3DD23BF8"/>
    <w:rsid w:val="400438B7"/>
    <w:rsid w:val="41A609A7"/>
    <w:rsid w:val="41B46534"/>
    <w:rsid w:val="41B502FB"/>
    <w:rsid w:val="432F1B9E"/>
    <w:rsid w:val="449D70C1"/>
    <w:rsid w:val="452C1BB7"/>
    <w:rsid w:val="471A4C57"/>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CC97B23"/>
    <w:rsid w:val="6D507C88"/>
    <w:rsid w:val="6E0F0E25"/>
    <w:rsid w:val="6F4577DC"/>
    <w:rsid w:val="709B28DF"/>
    <w:rsid w:val="71D36ECE"/>
    <w:rsid w:val="71DE1EAC"/>
    <w:rsid w:val="72017C6B"/>
    <w:rsid w:val="721553B9"/>
    <w:rsid w:val="72F02A90"/>
    <w:rsid w:val="73261DAF"/>
    <w:rsid w:val="765B6ABB"/>
    <w:rsid w:val="76E64C26"/>
    <w:rsid w:val="77712936"/>
    <w:rsid w:val="77D93560"/>
    <w:rsid w:val="78901500"/>
    <w:rsid w:val="78A0421B"/>
    <w:rsid w:val="7AC85181"/>
    <w:rsid w:val="7BD55DBA"/>
    <w:rsid w:val="7C326B40"/>
    <w:rsid w:val="7C4976F5"/>
    <w:rsid w:val="7EBB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2942</Words>
  <Characters>3073</Characters>
  <Lines>0</Lines>
  <Paragraphs>0</Paragraphs>
  <TotalTime>24</TotalTime>
  <ScaleCrop>false</ScaleCrop>
  <LinksUpToDate>false</LinksUpToDate>
  <CharactersWithSpaces>3159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2025-11-20T07:44:07Z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FA1B1E2A7C904193A090642DA735C398_13</vt:lpwstr>
  </property>
  <property fmtid="{D5CDD505-2E9C-101B-9397-08002B2CF9AE}" pid="4" name="KSOTemplateDocerSaveRecord">
    <vt:lpwstr>eyJoZGlkIjoiZTcwY2IwODA0NjBmNjU3YzQ0NzhjZjQ5Nzc1ODVhMjUiLCJ1c2VySWQiOiIxNjYwNzk2ODQ1In0=</vt:lpwstr>
  </property>
</Properties>
</file>