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370</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四川袋兜兜科技有限公司无纺布手提袋生产项目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四川袋兜兜科技有限公司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无纺布手提袋生产项目</w:t>
      </w:r>
      <w:r>
        <w:rPr>
          <w:rFonts w:hint="eastAsia"/>
          <w:lang w:eastAsia="zh-CN"/>
        </w:rPr>
        <w:t>《环境影响报告表》（以下简称“报告表”）收悉。经研究，批复如下：</w:t>
      </w:r>
    </w:p>
    <w:p w14:paraId="537042FE">
      <w:pPr>
        <w:pStyle w:val="2"/>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该项目为新建项目</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拟在广汉市玉溪路四段36号租赁四川省广汉市向阳加气砖厂闲置厂房进行建设，用地面积2800平方米。项目内容及规模为：依托生产车间及相关公辅设施，购置凹版印刷机、双面淋膜机、无纺布立体制袋机、无纺布生产线、冷水机等生产设备，布设无纺布手提袋生产线，建成后形成年生产无纺布手提袋1.2亿条的生产能力。项目总投资1500万元，其中环保投资63万元。</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2511-510681-04-01-358576</w:t>
      </w:r>
      <w:r>
        <w:rPr>
          <w:rFonts w:hint="eastAsia"/>
          <w:lang w:eastAsia="zh-CN"/>
        </w:rPr>
        <w:t>]</w:t>
      </w:r>
      <w:r>
        <w:rPr>
          <w:rFonts w:hint="eastAsia"/>
          <w:lang w:val="en-US" w:eastAsia="zh-CN"/>
        </w:rPr>
        <w:t>FGQB-1293</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广汉市国土空间总体规划（2021-2035）</w:t>
      </w:r>
      <w:r>
        <w:rPr>
          <w:rFonts w:hint="eastAsia" w:ascii="Times New Roman" w:hAnsi="Times New Roman" w:cs="Times New Roman"/>
          <w:lang w:val="zh-CN" w:eastAsia="zh-CN"/>
        </w:rPr>
        <w:t>》</w:t>
      </w:r>
      <w:r>
        <w:rPr>
          <w:rFonts w:hint="eastAsia" w:cs="Times New Roman"/>
          <w:lang w:val="en-US" w:eastAsia="zh-CN"/>
        </w:rPr>
        <w:t>及</w:t>
      </w:r>
      <w:r>
        <w:rPr>
          <w:rFonts w:hint="default" w:ascii="Times New Roman" w:hAnsi="Times New Roman" w:eastAsia="仿宋_GB2312" w:cs="Times New Roman"/>
          <w:kern w:val="2"/>
          <w:sz w:val="32"/>
          <w:szCs w:val="32"/>
          <w:lang w:val="en-US" w:eastAsia="zh-CN" w:bidi="ar-SA"/>
        </w:rPr>
        <w:t>四川省广汉市向阳加气砖厂</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国有土地使用证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lang w:val="en-US" w:eastAsia="zh-CN"/>
        </w:rPr>
        <w:t>设置独立封闭的印刷区域，落实印刷房负压抽风、无纺布生产线及淋膜机设备末端出口的集气罩收集措施，确保印刷、织布、淋膜工序有机废气经</w:t>
      </w:r>
      <w:r>
        <w:rPr>
          <w:rFonts w:hint="eastAsia"/>
          <w:lang w:eastAsia="zh-CN"/>
        </w:rPr>
        <w:t>收集</w:t>
      </w:r>
      <w:r>
        <w:rPr>
          <w:rFonts w:hint="eastAsia"/>
          <w:lang w:val="en-US" w:eastAsia="zh-CN"/>
        </w:rPr>
        <w:t>至一套干式过滤器+活性炭吸附浓缩+催化燃烧装置</w:t>
      </w:r>
      <w:r>
        <w:rPr>
          <w:rFonts w:hint="eastAsia"/>
          <w:lang w:eastAsia="zh-CN"/>
        </w:rPr>
        <w:t>处理后由1根</w:t>
      </w:r>
      <w:r>
        <w:rPr>
          <w:rFonts w:hint="eastAsia"/>
          <w:lang w:val="en-US" w:eastAsia="zh-CN"/>
        </w:rPr>
        <w:t>15</w:t>
      </w:r>
      <w:r>
        <w:rPr>
          <w:rFonts w:hint="eastAsia"/>
          <w:lang w:eastAsia="zh-CN"/>
        </w:rPr>
        <w:t>m高排气筒（</w:t>
      </w:r>
      <w:r>
        <w:rPr>
          <w:rFonts w:hint="eastAsia"/>
          <w:lang w:val="en-US" w:eastAsia="zh-CN"/>
        </w:rPr>
        <w:t>DA001</w:t>
      </w:r>
      <w:r>
        <w:rPr>
          <w:rFonts w:hint="eastAsia"/>
          <w:lang w:eastAsia="zh-CN"/>
        </w:rPr>
        <w:t>）达标排放；</w:t>
      </w:r>
      <w:r>
        <w:rPr>
          <w:rFonts w:hint="eastAsia"/>
          <w:lang w:val="en-US" w:eastAsia="zh-CN"/>
        </w:rPr>
        <w:t>落实液体原料密闭存放</w:t>
      </w:r>
      <w:r>
        <w:rPr>
          <w:rFonts w:hint="eastAsia"/>
          <w:highlight w:val="none"/>
          <w:lang w:val="en-US" w:eastAsia="zh-CN"/>
        </w:rPr>
        <w:t>、废包装桶加盖密封暂存，定期交由资质单位、</w:t>
      </w:r>
      <w:r>
        <w:rPr>
          <w:rFonts w:hint="eastAsia"/>
          <w:lang w:val="en-US" w:eastAsia="zh-CN"/>
        </w:rPr>
        <w:t>加强车间密闭管理措施，确保原料存放、加热环节产生的少量异味、臭气及少量制袋工序废气无组织达标排放；确保危险废物暂存间少量废气经通风口设置活性炭吸附处理后无组织达标排放</w:t>
      </w:r>
      <w:r>
        <w:rPr>
          <w:rFonts w:hint="eastAsia"/>
          <w:lang w:eastAsia="zh-CN"/>
        </w:rPr>
        <w:t>，</w:t>
      </w:r>
      <w:r>
        <w:rPr>
          <w:rFonts w:hint="eastAsia"/>
          <w:lang w:val="en-US" w:eastAsia="zh-CN"/>
        </w:rPr>
        <w:t>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设备冷却水循环使用，每季度更换一次，生活废水与更换的冷却废水依托厂区内已建预处理池达《污水综合排放标准》（GB8978-1996）中三级标准后排入市政污水管网，再经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边角料收集后回用于生产；</w:t>
      </w:r>
      <w:r>
        <w:rPr>
          <w:rFonts w:hint="eastAsia"/>
          <w:highlight w:val="none"/>
          <w:lang w:eastAsia="zh-CN"/>
        </w:rPr>
        <w:t>包装垃圾（聚乙烯原料废包装、聚丙烯原料废包装、BOPP膜废包装）</w:t>
      </w:r>
      <w:r>
        <w:rPr>
          <w:rFonts w:hint="eastAsia"/>
          <w:lang w:val="en-US" w:eastAsia="zh-CN"/>
        </w:rPr>
        <w:t>及不合格产品</w:t>
      </w:r>
      <w:r>
        <w:rPr>
          <w:rFonts w:hint="eastAsia"/>
          <w:lang w:eastAsia="zh-CN"/>
        </w:rPr>
        <w:t>交由资源回收公司回收；废润滑油、废润滑油桶、废含油抹布和手套、废油墨、废油墨桶</w:t>
      </w:r>
      <w:r>
        <w:rPr>
          <w:rFonts w:hint="eastAsia"/>
          <w:highlight w:val="none"/>
          <w:lang w:eastAsia="zh-CN"/>
        </w:rPr>
        <w:t>、</w:t>
      </w:r>
      <w:r>
        <w:rPr>
          <w:rFonts w:hint="eastAsia"/>
          <w:highlight w:val="none"/>
          <w:lang w:val="en-US" w:eastAsia="zh-CN"/>
        </w:rPr>
        <w:t>废印版、废墨辊、</w:t>
      </w:r>
      <w:r>
        <w:rPr>
          <w:rFonts w:hint="eastAsia"/>
          <w:highlight w:val="none"/>
          <w:lang w:eastAsia="zh-CN"/>
        </w:rPr>
        <w:t>废擦</w:t>
      </w:r>
      <w:r>
        <w:rPr>
          <w:rFonts w:hint="eastAsia"/>
          <w:lang w:eastAsia="zh-CN"/>
        </w:rPr>
        <w:t>洗抹布手套（擦洗印刷机墨辊、印版）、</w:t>
      </w:r>
      <w:r>
        <w:rPr>
          <w:rFonts w:hint="eastAsia"/>
          <w:lang w:val="en-US" w:eastAsia="zh-CN"/>
        </w:rPr>
        <w:t>废催化剂、</w:t>
      </w:r>
      <w:r>
        <w:rPr>
          <w:rFonts w:hint="eastAsia"/>
          <w:lang w:eastAsia="zh-CN"/>
        </w:rPr>
        <w:t>废活性炭</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Times New Roman" w:hAnsi="Times New Roman" w:cs="Times New Roman"/>
          <w:lang w:val="en-US" w:eastAsia="zh-CN"/>
        </w:rPr>
        <w:t>车间涉及液体原材料（油墨、润滑油、洗车水等）堆放区、</w:t>
      </w:r>
      <w:r>
        <w:rPr>
          <w:rFonts w:hint="eastAsia" w:cs="Times New Roman"/>
          <w:lang w:val="en-US" w:eastAsia="zh-CN"/>
        </w:rPr>
        <w:t>印刷区、</w:t>
      </w:r>
      <w:r>
        <w:rPr>
          <w:rFonts w:hint="eastAsia" w:ascii="Times New Roman" w:hAnsi="Times New Roman" w:cs="Times New Roman"/>
          <w:lang w:val="en-US" w:eastAsia="zh-CN"/>
        </w:rPr>
        <w:t>危废暂存间</w:t>
      </w:r>
      <w:r>
        <w:rPr>
          <w:rFonts w:hint="eastAsia" w:ascii="Times New Roman" w:hAnsi="Times New Roman" w:cs="Times New Roman"/>
          <w:lang w:eastAsia="zh-CN"/>
        </w:rPr>
        <w:t>设置为重点防渗区，</w:t>
      </w:r>
      <w:r>
        <w:rPr>
          <w:rFonts w:hint="eastAsia"/>
          <w:highlight w:val="none"/>
          <w:lang w:eastAsia="zh-CN"/>
        </w:rPr>
        <w:t>将</w:t>
      </w:r>
      <w:r>
        <w:rPr>
          <w:rFonts w:hint="eastAsia"/>
          <w:highlight w:val="none"/>
          <w:lang w:val="en-US" w:eastAsia="zh-CN"/>
        </w:rPr>
        <w:t>车间内除重点防渗的其他区域</w:t>
      </w:r>
      <w:r>
        <w:rPr>
          <w:rFonts w:hint="eastAsia"/>
          <w:lang w:val="en-US" w:eastAsia="zh-CN"/>
        </w:rPr>
        <w:t>设置为一般防渗区，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03B06A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三、该目运营</w:t>
      </w:r>
      <w:r>
        <w:rPr>
          <w:rFonts w:hint="eastAsia"/>
          <w:lang w:val="en-US" w:eastAsia="zh-CN"/>
        </w:rPr>
        <w:t>后</w:t>
      </w:r>
      <w:r>
        <w:rPr>
          <w:rFonts w:hint="eastAsia"/>
          <w:lang w:eastAsia="zh-CN"/>
        </w:rPr>
        <w:t>，</w:t>
      </w:r>
      <w:r>
        <w:rPr>
          <w:rFonts w:hint="eastAsia"/>
          <w:lang w:val="en-US" w:eastAsia="zh-CN"/>
        </w:rPr>
        <w:t>挥发性有机物排放量为</w:t>
      </w:r>
      <w:r>
        <w:rPr>
          <w:rFonts w:hint="eastAsia" w:cs="Times New Roman"/>
          <w:lang w:val="en-US" w:eastAsia="zh-CN"/>
        </w:rPr>
        <w:t>0.76</w:t>
      </w:r>
      <w:r>
        <w:rPr>
          <w:rFonts w:hint="eastAsia" w:ascii="Times New Roman" w:hAnsi="Times New Roman" w:cs="Times New Roman"/>
          <w:lang w:val="en-US" w:eastAsia="zh-CN"/>
        </w:rPr>
        <w:t>吨</w:t>
      </w:r>
      <w:r>
        <w:rPr>
          <w:rFonts w:hint="eastAsia"/>
          <w:lang w:val="en-US" w:eastAsia="zh-CN"/>
        </w:rPr>
        <w:t>/年，化学需氧量排放量为0.0216吨/年，氨氮排放量为0.0027吨/年，其总量指标按德阳市广汉生态环境局总量文件执行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12</w:t>
      </w:r>
      <w:r>
        <w:rPr>
          <w:rFonts w:hint="eastAsia"/>
          <w:lang w:eastAsia="zh-CN"/>
        </w:rPr>
        <w:t>月</w:t>
      </w:r>
      <w:r>
        <w:rPr>
          <w:rFonts w:hint="eastAsia"/>
          <w:lang w:val="en-US" w:eastAsia="zh-CN"/>
        </w:rPr>
        <w:t>11</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3BF4">
    <w:pPr>
      <w:pStyle w:val="4"/>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9AC75C">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9AC75C">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4EE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C2C57BB"/>
    <w:rsid w:val="0C4A0047"/>
    <w:rsid w:val="0D8434C8"/>
    <w:rsid w:val="0EB01991"/>
    <w:rsid w:val="0ECD6460"/>
    <w:rsid w:val="10476743"/>
    <w:rsid w:val="11A36E95"/>
    <w:rsid w:val="121F6F46"/>
    <w:rsid w:val="172E0063"/>
    <w:rsid w:val="17425E71"/>
    <w:rsid w:val="17722C48"/>
    <w:rsid w:val="17FF1243"/>
    <w:rsid w:val="190A6EA1"/>
    <w:rsid w:val="1A5823C6"/>
    <w:rsid w:val="1DA61023"/>
    <w:rsid w:val="1F9D62EA"/>
    <w:rsid w:val="1FA7787B"/>
    <w:rsid w:val="205339ED"/>
    <w:rsid w:val="207C77B4"/>
    <w:rsid w:val="233040CC"/>
    <w:rsid w:val="240472A7"/>
    <w:rsid w:val="24602490"/>
    <w:rsid w:val="25B23D47"/>
    <w:rsid w:val="25FF5535"/>
    <w:rsid w:val="26742EA2"/>
    <w:rsid w:val="297C0388"/>
    <w:rsid w:val="2A3732D1"/>
    <w:rsid w:val="2A8433D1"/>
    <w:rsid w:val="2B1D6405"/>
    <w:rsid w:val="2B4222FA"/>
    <w:rsid w:val="2B444859"/>
    <w:rsid w:val="2C6B7FAD"/>
    <w:rsid w:val="2CF34E80"/>
    <w:rsid w:val="2E624E98"/>
    <w:rsid w:val="30F523E0"/>
    <w:rsid w:val="31231C2B"/>
    <w:rsid w:val="323C08F4"/>
    <w:rsid w:val="342F5CDB"/>
    <w:rsid w:val="3511441F"/>
    <w:rsid w:val="353D16A3"/>
    <w:rsid w:val="35C30878"/>
    <w:rsid w:val="35F737C6"/>
    <w:rsid w:val="36BF255B"/>
    <w:rsid w:val="3847678F"/>
    <w:rsid w:val="398E50E4"/>
    <w:rsid w:val="3A6E4FAF"/>
    <w:rsid w:val="3B2E67B5"/>
    <w:rsid w:val="3B8A62BD"/>
    <w:rsid w:val="3C2A03C4"/>
    <w:rsid w:val="3C7E27A6"/>
    <w:rsid w:val="3DD23BF8"/>
    <w:rsid w:val="400438B7"/>
    <w:rsid w:val="415E47D5"/>
    <w:rsid w:val="41A609A7"/>
    <w:rsid w:val="41B502FB"/>
    <w:rsid w:val="432F1B9E"/>
    <w:rsid w:val="449D70C1"/>
    <w:rsid w:val="452C1BB7"/>
    <w:rsid w:val="471A4C57"/>
    <w:rsid w:val="490D1D9A"/>
    <w:rsid w:val="493B5434"/>
    <w:rsid w:val="4AB250DD"/>
    <w:rsid w:val="4BBE6DAD"/>
    <w:rsid w:val="4C3F558F"/>
    <w:rsid w:val="4C8A6F6D"/>
    <w:rsid w:val="4E074F7B"/>
    <w:rsid w:val="4E20458D"/>
    <w:rsid w:val="4E573B0F"/>
    <w:rsid w:val="4F74489F"/>
    <w:rsid w:val="52EB1116"/>
    <w:rsid w:val="534E63A1"/>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A02147A"/>
    <w:rsid w:val="6CC97B23"/>
    <w:rsid w:val="6D507C88"/>
    <w:rsid w:val="6E0F0E25"/>
    <w:rsid w:val="6F4577DC"/>
    <w:rsid w:val="709B28DF"/>
    <w:rsid w:val="71D36ECE"/>
    <w:rsid w:val="72017C6B"/>
    <w:rsid w:val="721553B9"/>
    <w:rsid w:val="72F02A90"/>
    <w:rsid w:val="73261DAF"/>
    <w:rsid w:val="765B6ABB"/>
    <w:rsid w:val="76E64C26"/>
    <w:rsid w:val="77712936"/>
    <w:rsid w:val="77D93560"/>
    <w:rsid w:val="78901500"/>
    <w:rsid w:val="78A0421B"/>
    <w:rsid w:val="7AC85181"/>
    <w:rsid w:val="7BD55DBA"/>
    <w:rsid w:val="7C326B40"/>
    <w:rsid w:val="7C4976F5"/>
    <w:rsid w:val="7EBB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2539</Words>
  <Characters>2644</Characters>
  <Lines>0</Lines>
  <Paragraphs>0</Paragraphs>
  <TotalTime>20</TotalTime>
  <ScaleCrop>false</ScaleCrop>
  <LinksUpToDate>false</LinksUpToDate>
  <CharactersWithSpaces>2730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2025-12-11T05:13:57Z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B6A4635AA6934F07886A38780EE337E3_13</vt:lpwstr>
  </property>
  <property fmtid="{D5CDD505-2E9C-101B-9397-08002B2CF9AE}" pid="4" name="KSOTemplateDocerSaveRecord">
    <vt:lpwstr>eyJoZGlkIjoiZTcwY2IwODA0NjBmNjU3YzQ0NzhjZjQ5Nzc1ODVhMjUiLCJ1c2VySWQiOiIxNjYwNzk2ODQ1In0=</vt:lpwstr>
  </property>
</Properties>
</file>