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8</w:t>
      </w:r>
      <w:bookmarkStart w:id="0" w:name="_GoBack"/>
      <w:bookmarkEnd w:id="0"/>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6C58DB77">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z w:val="44"/>
          <w:szCs w:val="44"/>
        </w:rPr>
        <w:t>关</w:t>
      </w:r>
      <w:r>
        <w:rPr>
          <w:rFonts w:hint="eastAsia" w:ascii="Times New Roman" w:hAnsi="Times New Roman" w:eastAsia="方正小标宋简体" w:cs="Times New Roman"/>
          <w:kern w:val="2"/>
          <w:sz w:val="44"/>
          <w:szCs w:val="44"/>
          <w:lang w:val="en-US" w:eastAsia="zh-CN" w:bidi="ar-SA"/>
        </w:rPr>
        <w:t>于</w:t>
      </w:r>
      <w:r>
        <w:rPr>
          <w:rFonts w:ascii="Times New Roman" w:hAnsi="Times New Roman" w:eastAsia="方正小标宋简体" w:cs="Times New Roman"/>
          <w:kern w:val="2"/>
          <w:sz w:val="44"/>
          <w:szCs w:val="44"/>
          <w:lang w:val="en-US" w:eastAsia="zh-CN" w:bidi="ar-SA"/>
        </w:rPr>
        <w:t>四川岐凤生物科技有限公司</w:t>
      </w:r>
    </w:p>
    <w:p w14:paraId="4FE603DF">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ascii="Times New Roman" w:hAnsi="Times New Roman" w:eastAsia="方正小标宋简体" w:cs="Times New Roman"/>
          <w:kern w:val="2"/>
          <w:sz w:val="44"/>
          <w:szCs w:val="44"/>
          <w:lang w:val="en-US" w:eastAsia="zh-CN" w:bidi="ar-SA"/>
        </w:rPr>
        <w:t>岐凤生物混合型饲料添加剂生产项目</w:t>
      </w:r>
    </w:p>
    <w:p w14:paraId="73E77FF1">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kern w:val="2"/>
          <w:sz w:val="44"/>
          <w:szCs w:val="44"/>
          <w:lang w:val="en-US" w:eastAsia="zh-CN" w:bidi="ar-SA"/>
        </w:rPr>
        <w:t>《环境影响报告表》</w:t>
      </w:r>
      <w:r>
        <w:rPr>
          <w:rFonts w:ascii="Times New Roman" w:hAnsi="Times New Roman" w:eastAsia="方正小标宋简体" w:cs="Times New Roman"/>
          <w:sz w:val="44"/>
          <w:szCs w:val="44"/>
        </w:rPr>
        <w:t>的批复</w:t>
      </w:r>
    </w:p>
    <w:p w14:paraId="15EC028B">
      <w:pPr>
        <w:pStyle w:val="9"/>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四川岐凤生物科技有限公司</w:t>
      </w:r>
      <w:r>
        <w:rPr>
          <w:rFonts w:hint="eastAsia" w:ascii="Times New Roman" w:hAnsi="Times New Roman" w:eastAsia="仿宋_GB2312" w:cs="Times New Roman"/>
          <w:color w:val="000000"/>
          <w:kern w:val="2"/>
          <w:sz w:val="32"/>
          <w:szCs w:val="32"/>
          <w:lang w:val="en-US" w:eastAsia="zh-CN" w:bidi="ar-SA"/>
        </w:rPr>
        <w:t>：</w:t>
      </w:r>
    </w:p>
    <w:p w14:paraId="76AA11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你公司报送的</w:t>
      </w:r>
      <w:r>
        <w:rPr>
          <w:rFonts w:hint="default" w:ascii="Times New Roman" w:hAnsi="Times New Roman" w:eastAsia="仿宋_GB2312" w:cs="Times New Roman"/>
          <w:color w:val="000000"/>
          <w:kern w:val="2"/>
          <w:sz w:val="32"/>
          <w:szCs w:val="32"/>
          <w:lang w:val="en-US" w:eastAsia="zh-CN" w:bidi="ar-SA"/>
        </w:rPr>
        <w:t>岐凤生物混合型饲料添加剂生产项目</w:t>
      </w:r>
      <w:r>
        <w:rPr>
          <w:rFonts w:hint="eastAsia" w:ascii="Times New Roman" w:hAnsi="Times New Roman" w:eastAsia="仿宋_GB2312" w:cs="Times New Roman"/>
          <w:color w:val="000000"/>
          <w:kern w:val="2"/>
          <w:sz w:val="32"/>
          <w:szCs w:val="32"/>
          <w:lang w:val="en-US" w:eastAsia="zh-CN" w:bidi="ar-SA"/>
        </w:rPr>
        <w:t>《环境影响报告表》（以下简称“报告表”）收悉。经研究，批复如下：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迁</w:t>
      </w:r>
      <w:r>
        <w:rPr>
          <w:rFonts w:hint="eastAsia" w:ascii="仿宋_GB2312" w:hAnsi="Times New Roman" w:eastAsia="仿宋_GB2312" w:cs="Times New Roman"/>
          <w:color w:val="000000"/>
          <w:sz w:val="32"/>
          <w:szCs w:val="32"/>
        </w:rPr>
        <w:t>建项目,拟</w:t>
      </w:r>
      <w:r>
        <w:rPr>
          <w:rFonts w:hint="eastAsia" w:ascii="仿宋_GB2312" w:hAnsi="Times New Roman" w:eastAsia="仿宋_GB2312" w:cs="Times New Roman"/>
          <w:color w:val="000000"/>
          <w:sz w:val="32"/>
          <w:szCs w:val="32"/>
          <w:lang w:eastAsia="zh-CN"/>
        </w:rPr>
        <w:t>从</w:t>
      </w:r>
      <w:r>
        <w:rPr>
          <w:rFonts w:hint="eastAsia" w:ascii="仿宋_GB2312" w:hAnsi="Times New Roman" w:eastAsia="仿宋_GB2312" w:cs="Times New Roman"/>
          <w:color w:val="000000"/>
          <w:sz w:val="32"/>
          <w:szCs w:val="32"/>
          <w:lang w:val="en-US" w:eastAsia="zh-CN"/>
        </w:rPr>
        <w:t>广汉市金鱼镇九高路9号搬迁至广汉市金鱼镇凉水井社区1组租赁四川成双防腐材料有限公司已建标准化厂房</w:t>
      </w:r>
      <w:r>
        <w:rPr>
          <w:rFonts w:hint="eastAsia" w:ascii="仿宋_GB2312" w:hAnsi="Times New Roman" w:eastAsia="仿宋_GB2312" w:cs="Times New Roman"/>
          <w:color w:val="000000"/>
          <w:sz w:val="32"/>
          <w:szCs w:val="32"/>
        </w:rPr>
        <w:t>建</w:t>
      </w:r>
      <w:r>
        <w:rPr>
          <w:rFonts w:hint="eastAsia" w:ascii="仿宋_GB2312" w:hAnsi="Times New Roman" w:eastAsia="仿宋_GB2312" w:cs="Times New Roman"/>
          <w:color w:val="000000"/>
          <w:sz w:val="32"/>
          <w:szCs w:val="32"/>
          <w:lang w:val="en-US" w:eastAsia="zh-CN"/>
        </w:rPr>
        <w:t>设，用地面积5280平方米。项目内</w:t>
      </w:r>
      <w:r>
        <w:rPr>
          <w:rFonts w:hint="eastAsia" w:ascii="仿宋_GB2312" w:hAnsi="仿宋_GB2312" w:eastAsia="仿宋_GB2312" w:cs="仿宋_GB2312"/>
          <w:kern w:val="2"/>
          <w:sz w:val="32"/>
          <w:szCs w:val="32"/>
          <w:lang w:val="en-US" w:eastAsia="zh-CN" w:bidi="ar-SA"/>
        </w:rPr>
        <w:t>容及规模为：对现有厂房进行适应性改造，依托相关公辅设施，利用原项目高速混合制粒机、摇摆式颗粒机、沸腾干燥机、收料机</w:t>
      </w:r>
      <w:r>
        <w:rPr>
          <w:rFonts w:hint="eastAsia" w:ascii="仿宋_GB2312" w:hAnsi="仿宋_GB2312" w:cs="仿宋_GB2312"/>
          <w:kern w:val="2"/>
          <w:sz w:val="32"/>
          <w:szCs w:val="32"/>
          <w:lang w:val="en-US" w:eastAsia="zh-CN" w:bidi="ar-SA"/>
        </w:rPr>
        <w:t>、混合分装生产线</w:t>
      </w:r>
      <w:r>
        <w:rPr>
          <w:rFonts w:hint="eastAsia" w:ascii="仿宋_GB2312" w:hAnsi="仿宋_GB2312" w:eastAsia="仿宋_GB2312" w:cs="仿宋_GB2312"/>
          <w:kern w:val="2"/>
          <w:sz w:val="32"/>
          <w:szCs w:val="32"/>
          <w:lang w:val="en-US" w:eastAsia="zh-CN" w:bidi="ar-SA"/>
        </w:rPr>
        <w:t>等生产设备，布设饲料添加剂生产线，项目建成后形成年产饲料添加剂3000吨的生产能力。项目总投资1000万元，其中环保投资23.7万元</w:t>
      </w:r>
      <w:r>
        <w:rPr>
          <w:rFonts w:hint="default" w:ascii="Times New Roman" w:hAnsi="Times New Roman" w:eastAsia="仿宋_GB2312" w:cs="Times New Roman"/>
          <w:color w:val="000000"/>
          <w:sz w:val="32"/>
          <w:szCs w:val="32"/>
        </w:rPr>
        <w:t>。</w:t>
      </w:r>
    </w:p>
    <w:p w14:paraId="5200CD3C">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w:t>
      </w:r>
      <w:r>
        <w:rPr>
          <w:rFonts w:hint="eastAsia" w:cs="Times New Roman"/>
          <w:kern w:val="2"/>
          <w:sz w:val="32"/>
          <w:szCs w:val="32"/>
          <w:highlight w:val="none"/>
          <w:lang w:val="en-US" w:eastAsia="zh-CN" w:bidi="ar-SA"/>
        </w:rPr>
        <w:t>10</w:t>
      </w:r>
      <w:r>
        <w:rPr>
          <w:rFonts w:hint="eastAsia" w:ascii="Times New Roman" w:hAnsi="Times New Roman" w:eastAsia="仿宋_GB2312" w:cs="Times New Roman"/>
          <w:kern w:val="2"/>
          <w:sz w:val="32"/>
          <w:szCs w:val="32"/>
          <w:highlight w:val="none"/>
          <w:lang w:val="en-US" w:eastAsia="zh-CN" w:bidi="ar-SA"/>
        </w:rPr>
        <w:t>-510681-0</w:t>
      </w:r>
      <w:r>
        <w:rPr>
          <w:rFonts w:hint="eastAsia"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891678</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FGQB-1232</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w:t>
      </w:r>
      <w:r>
        <w:rPr>
          <w:rFonts w:hint="eastAsia" w:ascii="仿宋_GB2312" w:hAnsi="仿宋_GB2312" w:cs="仿宋_GB2312"/>
          <w:kern w:val="2"/>
          <w:sz w:val="32"/>
          <w:szCs w:val="32"/>
          <w:lang w:val="en-US" w:eastAsia="zh-CN" w:bidi="ar-SA"/>
        </w:rPr>
        <w:t>国家现代农业产业园片区</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项目用地性质为工业用地</w:t>
      </w:r>
      <w:r>
        <w:rPr>
          <w:rFonts w:hint="eastAsia" w:ascii="仿宋_GB2312" w:hAnsi="仿宋_GB2312" w:cs="仿宋_GB2312"/>
          <w:kern w:val="2"/>
          <w:sz w:val="32"/>
          <w:szCs w:val="32"/>
          <w:lang w:val="en-US" w:eastAsia="zh-CN" w:bidi="ar-SA"/>
        </w:rPr>
        <w:t>（涉农）以</w:t>
      </w:r>
      <w:r>
        <w:rPr>
          <w:rFonts w:hint="eastAsia" w:ascii="仿宋_GB2312" w:hAnsi="仿宋_GB2312" w:eastAsia="仿宋_GB2312" w:cs="仿宋_GB2312"/>
          <w:kern w:val="2"/>
          <w:sz w:val="32"/>
          <w:szCs w:val="32"/>
          <w:lang w:val="en-US" w:eastAsia="zh-CN" w:bidi="ar-SA"/>
        </w:rPr>
        <w:t>及</w:t>
      </w:r>
      <w:r>
        <w:rPr>
          <w:rFonts w:hint="eastAsia" w:ascii="仿宋_GB2312" w:hAnsi="仿宋_GB2312" w:cs="仿宋_GB2312"/>
          <w:kern w:val="2"/>
          <w:sz w:val="32"/>
          <w:szCs w:val="32"/>
          <w:lang w:val="en-US" w:eastAsia="zh-CN" w:bidi="ar-SA"/>
        </w:rPr>
        <w:t>四川成双防腐材料</w:t>
      </w:r>
      <w:r>
        <w:rPr>
          <w:rFonts w:hint="eastAsia" w:ascii="仿宋_GB2312" w:hAnsi="Times New Roman" w:eastAsia="仿宋_GB2312" w:cs="Times New Roman"/>
          <w:color w:val="000000"/>
          <w:sz w:val="32"/>
          <w:szCs w:val="32"/>
          <w:lang w:val="en-US" w:eastAsia="zh-CN"/>
        </w:rPr>
        <w:t>有限公司</w:t>
      </w:r>
      <w:r>
        <w:rPr>
          <w:rFonts w:hint="eastAsia" w:ascii="仿宋_GB2312" w:hAnsi="仿宋_GB2312" w:eastAsia="仿宋_GB2312" w:cs="仿宋_GB2312"/>
          <w:kern w:val="2"/>
          <w:sz w:val="32"/>
          <w:szCs w:val="32"/>
          <w:lang w:val="en-US" w:eastAsia="zh-CN" w:bidi="ar-SA"/>
        </w:rPr>
        <w:t>取得的</w:t>
      </w:r>
      <w:r>
        <w:rPr>
          <w:rFonts w:hint="eastAsia" w:ascii="Times New Roman" w:hAnsi="Times New Roman" w:cs="Times New Roman"/>
          <w:kern w:val="2"/>
          <w:sz w:val="32"/>
          <w:szCs w:val="32"/>
          <w:lang w:val="en-US" w:eastAsia="zh-CN" w:bidi="ar-SA"/>
        </w:rPr>
        <w:t>《</w:t>
      </w:r>
      <w:r>
        <w:rPr>
          <w:rFonts w:hint="eastAsia" w:cs="Times New Roman"/>
          <w:kern w:val="2"/>
          <w:sz w:val="32"/>
          <w:szCs w:val="32"/>
          <w:lang w:val="en-US" w:eastAsia="zh-CN" w:bidi="ar-SA"/>
        </w:rPr>
        <w:t>国有土地使用证</w:t>
      </w:r>
      <w:r>
        <w:rPr>
          <w:rFonts w:hint="eastAsia" w:ascii="Times New Roman" w:hAnsi="Times New Roman"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，项目用地性质为工业用地，</w:t>
      </w:r>
      <w:r>
        <w:rPr>
          <w:rFonts w:hint="eastAsia" w:ascii="仿宋_GB2312" w:hAnsi="仿宋_GB2312" w:cs="仿宋_GB2312"/>
          <w:kern w:val="2"/>
          <w:sz w:val="32"/>
          <w:szCs w:val="32"/>
          <w:lang w:val="en-US" w:eastAsia="zh-CN" w:bidi="ar-SA"/>
        </w:rPr>
        <w:t>且该项目直接服务于畜牧养殖业，属于农业生产范畴，</w:t>
      </w:r>
      <w:r>
        <w:rPr>
          <w:rFonts w:hint="eastAsia" w:ascii="仿宋_GB2312" w:hAnsi="仿宋_GB2312" w:eastAsia="仿宋_GB2312" w:cs="仿宋_GB2312"/>
          <w:kern w:val="2"/>
          <w:sz w:val="32"/>
          <w:szCs w:val="32"/>
          <w:lang w:val="en-US" w:eastAsia="zh-CN" w:bidi="ar-SA"/>
        </w:rPr>
        <w:t>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分别落实混合分装生产线投料口、出料口以及湿法制粒生产线投料口、配制罐投料口、收料机的集气罩+布袋除尘器，确保</w:t>
      </w:r>
      <w:r>
        <w:rPr>
          <w:rFonts w:hint="eastAsia" w:ascii="仿宋_GB2312" w:hAnsi="仿宋_GB2312" w:cs="仿宋_GB2312"/>
          <w:color w:val="000000" w:themeColor="text1"/>
          <w:sz w:val="32"/>
          <w:szCs w:val="32"/>
          <w:lang w:val="en-US" w:eastAsia="zh-CN"/>
          <w14:textFill>
            <w14:solidFill>
              <w14:schemeClr w14:val="tx1"/>
            </w14:solidFill>
          </w14:textFill>
        </w:rPr>
        <w:t>混合分装及湿法制粒生产线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投料、</w:t>
      </w:r>
      <w:r>
        <w:rPr>
          <w:rFonts w:hint="eastAsia" w:ascii="仿宋_GB2312" w:hAnsi="仿宋_GB2312" w:cs="仿宋_GB2312"/>
          <w:color w:val="000000" w:themeColor="text1"/>
          <w:sz w:val="32"/>
          <w:szCs w:val="32"/>
          <w:lang w:val="en-US" w:eastAsia="zh-CN"/>
          <w14:textFill>
            <w14:solidFill>
              <w14:schemeClr w14:val="tx1"/>
            </w14:solidFill>
          </w14:textFill>
        </w:rPr>
        <w:t>出料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颗粒物经收集处理后由1根15米高排气筒达标排放；</w:t>
      </w:r>
      <w:r>
        <w:rPr>
          <w:rFonts w:hint="eastAsia" w:ascii="仿宋_GB2312" w:hAnsi="仿宋_GB2312" w:cs="仿宋_GB2312"/>
          <w:color w:val="000000" w:themeColor="text1"/>
          <w:sz w:val="32"/>
          <w:szCs w:val="32"/>
          <w:lang w:val="en-US" w:eastAsia="zh-CN"/>
          <w14:textFill>
            <w14:solidFill>
              <w14:schemeClr w14:val="tx1"/>
            </w14:solidFill>
          </w14:textFill>
        </w:rPr>
        <w:t>分别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落实沸腾干燥机的密闭管道收集+</w:t>
      </w:r>
      <w:r>
        <w:rPr>
          <w:rFonts w:hint="eastAsia" w:ascii="仿宋_GB2312" w:hAnsi="仿宋_GB2312" w:cs="仿宋_GB2312"/>
          <w:color w:val="000000" w:themeColor="text1"/>
          <w:sz w:val="32"/>
          <w:szCs w:val="32"/>
          <w:lang w:val="en-US" w:eastAsia="zh-CN"/>
          <w14:textFill>
            <w14:solidFill>
              <w14:schemeClr w14:val="tx1"/>
            </w14:solidFill>
          </w14:textFill>
        </w:rPr>
        <w:t>自带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脉冲除尘器，确保干燥颗粒物经收集处理后由1根15米高排气筒达标排放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项目不产生生产废水；少量生活污水</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依托</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成</w:t>
      </w:r>
      <w:r>
        <w:rPr>
          <w:rFonts w:hint="eastAsia" w:ascii="仿宋_GB2312" w:hAnsi="Times New Roman" w:eastAsia="仿宋_GB2312" w:cs="Times New Roman"/>
          <w:color w:val="000000"/>
          <w:sz w:val="32"/>
          <w:szCs w:val="32"/>
          <w:lang w:val="en-US" w:eastAsia="zh-CN"/>
        </w:rPr>
        <w:t>四川成双防腐材料有限公司厂区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内</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已建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化粪池处理后，用作厂区绿化，不外排。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除尘灰定期清理后回到生产线再利用或作为产品；不合格产品收集后返回生产线再利用；废包装袋、废布袋</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外售废品回收站</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；项目废矿物油、</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废油桶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含油废棉纱和手套</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lang w:val="en-US" w:eastAsia="zh-CN"/>
        </w:rPr>
        <w:t>设置为重点防渗区，将生产车间设置为一般防渗区，将办公生活区及道路设置为简单防渗区，分别采取防渗措施。建立和完善地下水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三、项目开工建设及投入运营前，应依法完备其他行政许可手续。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6</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FD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599CF">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B599CF">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CB2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C07F19"/>
    <w:rsid w:val="07EE52C1"/>
    <w:rsid w:val="08E224A3"/>
    <w:rsid w:val="0C4A0047"/>
    <w:rsid w:val="0C8F08DD"/>
    <w:rsid w:val="0CBC5D91"/>
    <w:rsid w:val="0D8434C8"/>
    <w:rsid w:val="0F3FA236"/>
    <w:rsid w:val="10476743"/>
    <w:rsid w:val="10B04339"/>
    <w:rsid w:val="10BE0F8E"/>
    <w:rsid w:val="11A36E95"/>
    <w:rsid w:val="11AF7E92"/>
    <w:rsid w:val="121F6F46"/>
    <w:rsid w:val="13CF6689"/>
    <w:rsid w:val="141B194C"/>
    <w:rsid w:val="14857F30"/>
    <w:rsid w:val="172E0063"/>
    <w:rsid w:val="17722C48"/>
    <w:rsid w:val="17FF1243"/>
    <w:rsid w:val="185660F9"/>
    <w:rsid w:val="1A5823C6"/>
    <w:rsid w:val="1BE51593"/>
    <w:rsid w:val="1D0B506B"/>
    <w:rsid w:val="1DA61023"/>
    <w:rsid w:val="1F9D62EA"/>
    <w:rsid w:val="207C77B4"/>
    <w:rsid w:val="20A0736A"/>
    <w:rsid w:val="20EE3BBC"/>
    <w:rsid w:val="233040CC"/>
    <w:rsid w:val="240472A7"/>
    <w:rsid w:val="24602490"/>
    <w:rsid w:val="25B23D47"/>
    <w:rsid w:val="27CF70BB"/>
    <w:rsid w:val="285E0D94"/>
    <w:rsid w:val="2A3732D1"/>
    <w:rsid w:val="2A8433D1"/>
    <w:rsid w:val="2AAF10C9"/>
    <w:rsid w:val="2B1D6405"/>
    <w:rsid w:val="2B4222FA"/>
    <w:rsid w:val="2B6C37C8"/>
    <w:rsid w:val="2C6B7FAD"/>
    <w:rsid w:val="2E624E98"/>
    <w:rsid w:val="2F4838A9"/>
    <w:rsid w:val="2FFF6B90"/>
    <w:rsid w:val="30F523E0"/>
    <w:rsid w:val="31231C2B"/>
    <w:rsid w:val="3511441F"/>
    <w:rsid w:val="35C30878"/>
    <w:rsid w:val="36BF255B"/>
    <w:rsid w:val="377FFDE7"/>
    <w:rsid w:val="37BD6F38"/>
    <w:rsid w:val="3847678F"/>
    <w:rsid w:val="395D29A2"/>
    <w:rsid w:val="398E50E4"/>
    <w:rsid w:val="3A6E4FAF"/>
    <w:rsid w:val="3AFA05BA"/>
    <w:rsid w:val="3B8A62BD"/>
    <w:rsid w:val="3D359DE2"/>
    <w:rsid w:val="3F7DE031"/>
    <w:rsid w:val="41B502FB"/>
    <w:rsid w:val="432F1B9E"/>
    <w:rsid w:val="449D70C1"/>
    <w:rsid w:val="471A4C57"/>
    <w:rsid w:val="490D1D9A"/>
    <w:rsid w:val="493B5434"/>
    <w:rsid w:val="4AB250DD"/>
    <w:rsid w:val="4C3F558F"/>
    <w:rsid w:val="4C9C01FD"/>
    <w:rsid w:val="4DE3CE52"/>
    <w:rsid w:val="4E20458D"/>
    <w:rsid w:val="50AE4753"/>
    <w:rsid w:val="52EB1116"/>
    <w:rsid w:val="545838A3"/>
    <w:rsid w:val="550F5283"/>
    <w:rsid w:val="55922BB8"/>
    <w:rsid w:val="55F61131"/>
    <w:rsid w:val="5648005A"/>
    <w:rsid w:val="56EF32D7"/>
    <w:rsid w:val="595B8B56"/>
    <w:rsid w:val="598E3781"/>
    <w:rsid w:val="5A282A37"/>
    <w:rsid w:val="5B9E1A76"/>
    <w:rsid w:val="5E923FC8"/>
    <w:rsid w:val="5FE37766"/>
    <w:rsid w:val="622C0699"/>
    <w:rsid w:val="62544876"/>
    <w:rsid w:val="62711A47"/>
    <w:rsid w:val="63ED6FC7"/>
    <w:rsid w:val="6488096B"/>
    <w:rsid w:val="65555212"/>
    <w:rsid w:val="65AB4EFC"/>
    <w:rsid w:val="662B4514"/>
    <w:rsid w:val="66737356"/>
    <w:rsid w:val="67D747D7"/>
    <w:rsid w:val="67FB3202"/>
    <w:rsid w:val="69CF40DE"/>
    <w:rsid w:val="6CC97B23"/>
    <w:rsid w:val="6EF72978"/>
    <w:rsid w:val="6F4577DC"/>
    <w:rsid w:val="6F9F05A3"/>
    <w:rsid w:val="6FFB407A"/>
    <w:rsid w:val="70924242"/>
    <w:rsid w:val="709B28DF"/>
    <w:rsid w:val="71823CF1"/>
    <w:rsid w:val="71D36ECE"/>
    <w:rsid w:val="71F3106C"/>
    <w:rsid w:val="721553B9"/>
    <w:rsid w:val="72FBA947"/>
    <w:rsid w:val="73261DAF"/>
    <w:rsid w:val="73FD1375"/>
    <w:rsid w:val="74242AB0"/>
    <w:rsid w:val="74A42A0A"/>
    <w:rsid w:val="75102DA9"/>
    <w:rsid w:val="754937FF"/>
    <w:rsid w:val="765B6ABB"/>
    <w:rsid w:val="76E67707"/>
    <w:rsid w:val="776E3ADC"/>
    <w:rsid w:val="77712936"/>
    <w:rsid w:val="77D93560"/>
    <w:rsid w:val="78901500"/>
    <w:rsid w:val="78A0421B"/>
    <w:rsid w:val="78B97F84"/>
    <w:rsid w:val="7BD55DBA"/>
    <w:rsid w:val="7C326B40"/>
    <w:rsid w:val="7C4976F5"/>
    <w:rsid w:val="7DF729DE"/>
    <w:rsid w:val="7F3F363A"/>
    <w:rsid w:val="7F461315"/>
    <w:rsid w:val="7F9D6217"/>
    <w:rsid w:val="7FFF656D"/>
    <w:rsid w:val="8FFDDCAA"/>
    <w:rsid w:val="99FB7845"/>
    <w:rsid w:val="BACD1C0F"/>
    <w:rsid w:val="BEED6AF8"/>
    <w:rsid w:val="CBD7D858"/>
    <w:rsid w:val="DF8DCF15"/>
    <w:rsid w:val="EAEF28EF"/>
    <w:rsid w:val="EF7C4A63"/>
    <w:rsid w:val="F36FACF2"/>
    <w:rsid w:val="F4B7869E"/>
    <w:rsid w:val="F7F93113"/>
    <w:rsid w:val="F9FFE24D"/>
    <w:rsid w:val="FCEBB938"/>
    <w:rsid w:val="FE4F7DCC"/>
    <w:rsid w:val="FEFF9927"/>
    <w:rsid w:val="FF5DFB11"/>
    <w:rsid w:val="FFBF9CBB"/>
    <w:rsid w:val="FFCB4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2329</Words>
  <Characters>2392</Characters>
  <Lines>0</Lines>
  <Paragraphs>0</Paragraphs>
  <TotalTime>69</TotalTime>
  <ScaleCrop>false</ScaleCrop>
  <LinksUpToDate>false</LinksUpToDate>
  <CharactersWithSpaces>2478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2023-12-11T06:40:00Z</dcterms:created>
  <dc:creator>HY</dc:creator>
  <cp:lastModifiedBy>user</cp:lastModifiedBy>
  <cp:lastPrinted>2026-01-05T18:05:00Z</cp:lastPrinted>
  <dcterms:modified xsi:type="dcterms:W3CDTF">2026-01-06T13:07:12Z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2DC99696E5D0266E93EE4C69C2C47E27_43</vt:lpwstr>
  </property>
  <property fmtid="{D5CDD505-2E9C-101B-9397-08002B2CF9AE}" pid="4" name="KSOTemplateDocerSaveRecord">
    <vt:lpwstr>eyJoZGlkIjoiZTcwY2IwODA0NjBmNjU3YzQ0NzhjZjQ5Nzc1ODVhMjUiLCJ1c2VySWQiOiIxNjYwNzk2ODQ1In0=</vt:lpwstr>
  </property>
</Properties>
</file>