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14</w:t>
      </w:r>
      <w:bookmarkStart w:id="0" w:name="_GoBack"/>
      <w:bookmarkEnd w:id="0"/>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2EDBB4EB">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四川成德预拌砂浆有限公司年产30万吨干混砂浆和20万立方米湿拌砂浆技改项目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四川成德预拌砂浆有限公司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年产</w:t>
      </w:r>
      <w:r>
        <w:rPr>
          <w:rFonts w:hint="eastAsia" w:ascii="Times New Roman" w:hAnsi="Times New Roman" w:eastAsia="仿宋_GB2312" w:cs="Times New Roman"/>
          <w:kern w:val="2"/>
          <w:sz w:val="32"/>
          <w:szCs w:val="32"/>
          <w:lang w:val="en-US" w:eastAsia="zh-CN" w:bidi="ar-SA"/>
        </w:rPr>
        <w:t>30万吨干混砂浆和20万立方米湿拌砂浆技改项目《环境影响报告表》（以下简称“报告表”）</w:t>
      </w:r>
      <w:r>
        <w:rPr>
          <w:rFonts w:hint="eastAsia"/>
          <w:lang w:eastAsia="zh-CN"/>
        </w:rPr>
        <w:t>收悉。经研究，批复如下：</w:t>
      </w:r>
    </w:p>
    <w:p w14:paraId="0CDE3CD1">
      <w:pPr>
        <w:pStyle w:val="2"/>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eastAsia"/>
          <w:lang w:eastAsia="zh-CN"/>
        </w:rPr>
      </w:pPr>
      <w:r>
        <w:rPr>
          <w:rFonts w:hint="default" w:ascii="Times New Roman" w:hAnsi="Times New Roman" w:eastAsia="仿宋_GB2312" w:cs="Times New Roman"/>
          <w:kern w:val="2"/>
          <w:sz w:val="32"/>
          <w:szCs w:val="32"/>
          <w:lang w:val="en-US" w:eastAsia="zh-CN" w:bidi="ar-SA"/>
        </w:rPr>
        <w:t>该项目为改建项目，拟在广汉市向阳镇胜利村四组现有厂房进行建设，不新增用地面积。项目内容及规模为：依托生产车间、现有项目生产线及相关公辅设施，新购置干式电磁除铁器等生产设备，拟将现有项目所用原辅料中30万吨矿石骨料（总用量50万吨）替代为30万吨建筑垃圾资源化利用厂的产品建筑骨料进行生产，建成后全厂年产30万吨干混砂浆和20万立方米湿拌砂浆的生产能力不改变。项目总投资1000万元，其中环保投资50万元。</w:t>
      </w:r>
    </w:p>
    <w:p w14:paraId="5200CD3C">
      <w:pPr>
        <w:pStyle w:val="2"/>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项目在四川省投资项目在线审批监管平台进行了备案（备案号：川投资备[2511-510681-07-02-175134]JXQB-0880号），符合国家现行产业政策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《德阳国家高新技术产业发展片区国土空间总体规划（2021-2035年）》</w:t>
      </w:r>
      <w:r>
        <w:rPr>
          <w:rFonts w:hint="eastAsia" w:ascii="Times New Roman" w:hAnsi="Times New Roman" w:eastAsia="仿宋_GB2312" w:cs="Times New Roman"/>
          <w:kern w:val="2"/>
          <w:sz w:val="32"/>
          <w:szCs w:val="32"/>
          <w:lang w:val="en-US" w:eastAsia="zh-CN" w:bidi="ar-SA"/>
        </w:rPr>
        <w:t>及德阳湔江水泥有限公司取得的《不动产权证》，项目用地性质为工业用地，选址符合规划。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）严格落实并优化报告表提出的各项废气处理措施。设置全封闭的</w:t>
      </w:r>
      <w:r>
        <w:rPr>
          <w:rFonts w:hint="eastAsia"/>
          <w:lang w:val="en-US" w:eastAsia="zh-CN"/>
        </w:rPr>
        <w:t>骨料堆场，落实喷雾降尘、及时清扫地面粉尘、设置环厂绿化带、落实清洁生产管理要求等治理措施，确保骨料卸料堆放粉尘经处理后无组织达标排放；设置全密闭的免烘干骨料制备系统，落实颚式破碎工序负压收集+单机脉冲布袋除尘器，确保鄂式破碎粉尘经收集处理后由1根15米高排气筒（DA001）达标排放，落实圆锥破碎和筛分工序负压收集+气箱脉冲除尘器，确保圆锥破碎及筛分粉尘经收集处理后由1根15米高排气筒（DA002）达标排放；落实干混砂浆生产线粉料筒仓密闭负压收集+气箱脉冲布袋除尘器，确保粉尘经收集处理后由1根15米高排气筒（DA003）达标排放，落实湿拌砂浆生产线粉料筒仓密闭负压收集+单机脉冲布袋除尘器，确保粉尘经收集处理后由1根15米高排气筒（DA004）达标排放；落实干混砂浆拌合工序密闭负压收集+气箱脉冲布袋除尘器，确保拌和粉尘经收集处理后由1根15米高排气筒（DA005）达标排放；分别落实干混砂浆两套散装系统的密闭负压收集+单机脉冲布除尘器，确保两套散装系统产生的粉尘分别经收集处理后各经1根15米高排气筒（DA006、DA007）达标排放；落实包装系统密闭负压收集+气箱脉冲布袋除尘器，确保包装粉尘经收集处理后由1根15米高排气筒（DA008）达标排放；落实道路硬化、限制车速、定期清扫路面、洒水、运输车辆加盖篷布封闭运输、设置洗车平台等措施，确保车辆运输扬尘无组织达标排放</w:t>
      </w:r>
      <w:r>
        <w:rPr>
          <w:rFonts w:hint="eastAsia"/>
          <w:lang w:eastAsia="zh-CN"/>
        </w:rPr>
        <w:t>，</w:t>
      </w:r>
      <w:r>
        <w:rPr>
          <w:rFonts w:hint="eastAsia"/>
          <w:lang w:val="en-US" w:eastAsia="zh-CN"/>
        </w:rPr>
        <w:t>不影响周边环境。</w:t>
      </w:r>
    </w:p>
    <w:p w14:paraId="4EC1BD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本项目不新增生活污水，初期雨水及车辆冲洗废水、湿拌砂浆设备冲洗废水、试验废水等生产废水经沉淀池处理后回用于生产，定期打捞沉渣，循环使用不外排。</w:t>
      </w:r>
    </w:p>
    <w:p w14:paraId="22F081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废钢筋、铁丝等金属杂质外售废品回收站；除尘器收灰尘、循环水池沉渣、沉淀池沉渣收集后回用于生产；实验室固废经破碎后回用于生产；废润滑油、废润滑油桶、废含油棉纱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项目将危废暂存间设置为重点防渗区，</w:t>
      </w:r>
      <w:r>
        <w:rPr>
          <w:rFonts w:hint="eastAsia"/>
          <w:highlight w:val="none"/>
          <w:lang w:eastAsia="zh-CN"/>
        </w:rPr>
        <w:t>将</w:t>
      </w:r>
      <w:r>
        <w:rPr>
          <w:rFonts w:hint="eastAsia"/>
          <w:color w:val="000000" w:themeColor="text1"/>
          <w:szCs w:val="24"/>
          <w14:textFill>
            <w14:solidFill>
              <w14:schemeClr w14:val="tx1"/>
            </w14:solidFill>
          </w14:textFill>
        </w:rPr>
        <w:t>骨料堆棚区、生产车间及沉淀池</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除重点防渗及一般防渗以外的其他区域</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042299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全厂化学需氧量排放量为0.192吨/年，氨氮排放量为0.017吨/年，不新增总量指标</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8</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13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8580">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A8580">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642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847678F"/>
    <w:rsid w:val="398E50E4"/>
    <w:rsid w:val="3A6E4FAF"/>
    <w:rsid w:val="3B8A62BD"/>
    <w:rsid w:val="3C2A03C4"/>
    <w:rsid w:val="3C7E27A6"/>
    <w:rsid w:val="3DA314CE"/>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BD00737"/>
    <w:rsid w:val="6CC97B23"/>
    <w:rsid w:val="6D507C88"/>
    <w:rsid w:val="6E0F0E25"/>
    <w:rsid w:val="6F4577DC"/>
    <w:rsid w:val="709B28DF"/>
    <w:rsid w:val="71D36ECE"/>
    <w:rsid w:val="72017C6B"/>
    <w:rsid w:val="721553B9"/>
    <w:rsid w:val="72F02A90"/>
    <w:rsid w:val="73261DAF"/>
    <w:rsid w:val="765B6ABB"/>
    <w:rsid w:val="76E64C26"/>
    <w:rsid w:val="77712936"/>
    <w:rsid w:val="77D93560"/>
    <w:rsid w:val="78901500"/>
    <w:rsid w:val="78A0421B"/>
    <w:rsid w:val="7AC85181"/>
    <w:rsid w:val="7BD55DBA"/>
    <w:rsid w:val="7C326B40"/>
    <w:rsid w:val="7C4976F5"/>
    <w:rsid w:val="7EBB25C1"/>
    <w:rsid w:val="7FBF8298"/>
    <w:rsid w:val="B7FE93CE"/>
    <w:rsid w:val="CF34AB87"/>
    <w:rsid w:val="E17F8CE5"/>
    <w:rsid w:val="EC8B1F2A"/>
    <w:rsid w:val="FC1F9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2688</Words>
  <Characters>2789</Characters>
  <Lines>0</Lines>
  <Paragraphs>0</Paragraphs>
  <TotalTime>24</TotalTime>
  <ScaleCrop>false</ScaleCrop>
  <LinksUpToDate>false</LinksUpToDate>
  <CharactersWithSpaces>2875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2023-12-10T06:40:00Z</dcterms:created>
  <dc:creator>HY</dc:creator>
  <cp:lastModifiedBy>user</cp:lastModifiedBy>
  <dcterms:modified xsi:type="dcterms:W3CDTF">2026-01-08T14:34:49Z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DFEF8E5C9C40403DA18A0143FD45650C_13</vt:lpwstr>
  </property>
  <property fmtid="{D5CDD505-2E9C-101B-9397-08002B2CF9AE}" pid="4" name="KSOTemplateDocerSaveRecord">
    <vt:lpwstr>eyJoZGlkIjoiYjY4MjgzNmVmYmQ5OThjNWZlOThjYzVkYjdkNWU4YWMiLCJ1c2VySWQiOiIxNjY0OTc3MjkxIn0=</vt:lpwstr>
  </property>
</Properties>
</file>