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eastAsia="仿宋_GB2312"/>
          <w:sz w:val="32"/>
          <w:szCs w:val="32"/>
        </w:rPr>
      </w:pPr>
    </w:p>
    <w:p w14:paraId="2026744F">
      <w:pPr>
        <w:wordWrap w:val="0"/>
        <w:jc w:val="center"/>
        <w:rPr>
          <w:bCs/>
          <w:sz w:val="44"/>
          <w:szCs w:val="44"/>
        </w:rPr>
      </w:pPr>
      <w:r>
        <w:rPr>
          <w:rFonts w:hint="eastAsia"/>
          <w:sz w:val="32"/>
          <w:szCs w:val="32"/>
          <w:lang w:val="en-US" w:eastAsia="zh-CN"/>
        </w:rPr>
        <w:t xml:space="preserve">                              </w:t>
      </w: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15</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13D96BAD">
      <w:pPr>
        <w:pStyle w:val="5"/>
        <w:keepNext w:val="0"/>
        <w:keepLines w:val="0"/>
        <w:widowControl/>
        <w:suppressLineNumbers w:val="0"/>
        <w:spacing w:before="0" w:beforeAutospacing="0" w:after="0" w:afterAutospacing="0"/>
        <w:ind w:left="0" w:leftChars="0" w:right="0" w:firstLine="0" w:firstLineChars="0"/>
        <w:jc w:val="center"/>
        <w:rPr>
          <w:rFonts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sz w:val="44"/>
          <w:szCs w:val="44"/>
        </w:rPr>
        <w:t>关</w:t>
      </w:r>
      <w:r>
        <w:rPr>
          <w:rFonts w:hint="eastAsia" w:ascii="Times New Roman" w:hAnsi="Times New Roman" w:eastAsia="方正小标宋简体" w:cs="Times New Roman"/>
          <w:kern w:val="2"/>
          <w:sz w:val="44"/>
          <w:szCs w:val="44"/>
          <w:lang w:val="en-US" w:eastAsia="zh-CN" w:bidi="ar-SA"/>
        </w:rPr>
        <w:t>于</w:t>
      </w:r>
      <w:r>
        <w:rPr>
          <w:rFonts w:ascii="Times New Roman" w:hAnsi="Times New Roman" w:eastAsia="方正小标宋简体" w:cs="Times New Roman"/>
          <w:kern w:val="2"/>
          <w:sz w:val="44"/>
          <w:szCs w:val="44"/>
          <w:lang w:val="en-US" w:eastAsia="zh-CN" w:bidi="ar-SA"/>
        </w:rPr>
        <w:t>四川万卷盛锦科技有限公司</w:t>
      </w:r>
      <w:bookmarkStart w:id="0" w:name="_GoBack"/>
      <w:bookmarkEnd w:id="0"/>
    </w:p>
    <w:p w14:paraId="6B4C11D6">
      <w:pPr>
        <w:pStyle w:val="5"/>
        <w:keepNext w:val="0"/>
        <w:keepLines w:val="0"/>
        <w:widowControl/>
        <w:suppressLineNumbers w:val="0"/>
        <w:spacing w:before="0" w:beforeAutospacing="0" w:after="0" w:afterAutospacing="0"/>
        <w:ind w:left="0" w:leftChars="0" w:right="0" w:firstLine="0" w:firstLineChars="0"/>
        <w:jc w:val="center"/>
        <w:rPr>
          <w:rFonts w:ascii="Times New Roman" w:hAnsi="Times New Roman" w:eastAsia="方正小标宋简体" w:cs="Times New Roman"/>
          <w:kern w:val="2"/>
          <w:sz w:val="44"/>
          <w:szCs w:val="44"/>
          <w:lang w:val="en-US" w:eastAsia="zh-CN" w:bidi="ar-SA"/>
        </w:rPr>
      </w:pPr>
      <w:r>
        <w:rPr>
          <w:rFonts w:ascii="Times New Roman" w:hAnsi="Times New Roman" w:eastAsia="方正小标宋简体" w:cs="Times New Roman"/>
          <w:kern w:val="2"/>
          <w:sz w:val="44"/>
          <w:szCs w:val="44"/>
          <w:lang w:val="en-US" w:eastAsia="zh-CN" w:bidi="ar-SA"/>
        </w:rPr>
        <w:t>万卷交通应急设施项目</w:t>
      </w:r>
    </w:p>
    <w:p w14:paraId="73E77FF1">
      <w:pPr>
        <w:pStyle w:val="5"/>
        <w:keepNext w:val="0"/>
        <w:keepLines w:val="0"/>
        <w:widowControl/>
        <w:suppressLineNumbers w:val="0"/>
        <w:spacing w:before="0" w:beforeAutospacing="0" w:after="0" w:afterAutospacing="0"/>
        <w:ind w:left="0" w:leftChars="0" w:right="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kern w:val="2"/>
          <w:sz w:val="44"/>
          <w:szCs w:val="44"/>
          <w:lang w:val="en-US" w:eastAsia="zh-CN" w:bidi="ar-SA"/>
        </w:rPr>
        <w:t>《环境影响报告表》</w:t>
      </w:r>
      <w:r>
        <w:rPr>
          <w:rFonts w:ascii="Times New Roman" w:hAnsi="Times New Roman" w:eastAsia="方正小标宋简体" w:cs="Times New Roman"/>
          <w:sz w:val="44"/>
          <w:szCs w:val="44"/>
        </w:rPr>
        <w:t>的批复</w:t>
      </w:r>
    </w:p>
    <w:p w14:paraId="15EC028B">
      <w:pPr>
        <w:pStyle w:val="9"/>
        <w:rPr>
          <w:rFonts w:ascii="Times New Roman" w:hAnsi="Times New Roman" w:eastAsia="方正小标宋简体" w:cs="Times New Roman"/>
          <w:sz w:val="44"/>
          <w:szCs w:val="44"/>
        </w:rPr>
      </w:pPr>
    </w:p>
    <w:p w14:paraId="2C5025C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四川万卷盛锦科技有限公司：</w:t>
      </w:r>
    </w:p>
    <w:p w14:paraId="76AA114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你公司报送</w:t>
      </w:r>
      <w:r>
        <w:rPr>
          <w:rFonts w:hint="eastAsia" w:ascii="仿宋_GB2312" w:hAnsi="Times New Roman" w:eastAsia="仿宋_GB2312" w:cs="Times New Roman"/>
          <w:color w:val="000000"/>
          <w:kern w:val="2"/>
          <w:sz w:val="32"/>
          <w:szCs w:val="32"/>
          <w:lang w:val="en-US" w:eastAsia="zh-CN" w:bidi="ar-SA"/>
        </w:rPr>
        <w:t>的万卷交通应急设施项目《环境影</w:t>
      </w:r>
      <w:r>
        <w:rPr>
          <w:rFonts w:hint="eastAsia" w:ascii="Times New Roman" w:hAnsi="Times New Roman" w:eastAsia="仿宋_GB2312" w:cs="Times New Roman"/>
          <w:color w:val="000000"/>
          <w:kern w:val="2"/>
          <w:sz w:val="32"/>
          <w:szCs w:val="32"/>
          <w:lang w:val="en-US" w:eastAsia="zh-CN" w:bidi="ar-SA"/>
        </w:rPr>
        <w:t>响报告表》（以下简称“报告表”）收悉。经研究，批复如下：</w:t>
      </w:r>
    </w:p>
    <w:p w14:paraId="0C86FAB5">
      <w:pPr>
        <w:pStyle w:val="9"/>
        <w:keepNext w:val="0"/>
        <w:keepLines w:val="0"/>
        <w:pageBreakBefore w:val="0"/>
        <w:numPr>
          <w:ilvl w:val="0"/>
          <w:numId w:val="1"/>
        </w:numPr>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kern w:val="2"/>
          <w:sz w:val="32"/>
          <w:szCs w:val="32"/>
          <w:lang w:val="en-US" w:eastAsia="zh-CN" w:bidi="ar-SA"/>
        </w:rPr>
      </w:pPr>
      <w:r>
        <w:rPr>
          <w:rFonts w:hint="eastAsia" w:ascii="仿宋_GB2312" w:hAnsi="Times New Roman" w:eastAsia="仿宋_GB2312" w:cs="Times New Roman"/>
          <w:color w:val="000000"/>
          <w:sz w:val="32"/>
          <w:szCs w:val="32"/>
        </w:rPr>
        <w:t>该项目为</w:t>
      </w:r>
      <w:r>
        <w:rPr>
          <w:rFonts w:hint="eastAsia" w:ascii="仿宋_GB2312" w:eastAsia="仿宋_GB2312" w:cs="Times New Roman"/>
          <w:color w:val="000000"/>
          <w:sz w:val="32"/>
          <w:szCs w:val="32"/>
          <w:lang w:eastAsia="zh-CN"/>
        </w:rPr>
        <w:t>新</w:t>
      </w:r>
      <w:r>
        <w:rPr>
          <w:rFonts w:hint="eastAsia" w:ascii="仿宋_GB2312" w:hAnsi="Times New Roman" w:eastAsia="仿宋_GB2312" w:cs="Times New Roman"/>
          <w:color w:val="000000"/>
          <w:sz w:val="32"/>
          <w:szCs w:val="32"/>
        </w:rPr>
        <w:t>建项目,拟</w:t>
      </w:r>
      <w:r>
        <w:rPr>
          <w:rFonts w:hint="eastAsia" w:ascii="仿宋_GB2312" w:eastAsia="仿宋_GB2312" w:cs="Times New Roman"/>
          <w:color w:val="000000"/>
          <w:sz w:val="32"/>
          <w:szCs w:val="32"/>
          <w:lang w:eastAsia="zh-CN"/>
        </w:rPr>
        <w:t>在</w:t>
      </w:r>
      <w:r>
        <w:rPr>
          <w:rFonts w:hint="eastAsia" w:ascii="仿宋_GB2312" w:hAnsi="仿宋_GB2312" w:eastAsia="仿宋_GB2312" w:cs="仿宋_GB2312"/>
          <w:sz w:val="32"/>
          <w:szCs w:val="32"/>
          <w:lang w:val="en-US" w:eastAsia="zh-CN"/>
        </w:rPr>
        <w:t>德阳市广汉市清远路西侧</w:t>
      </w:r>
      <w:r>
        <w:rPr>
          <w:rFonts w:hint="eastAsia" w:ascii="仿宋_GB2312" w:hAnsi="Times New Roman" w:eastAsia="仿宋_GB2312" w:cs="Times New Roman"/>
          <w:color w:val="000000"/>
          <w:sz w:val="32"/>
          <w:szCs w:val="32"/>
          <w:lang w:val="en-US" w:eastAsia="zh-CN"/>
        </w:rPr>
        <w:t>已建标准化厂房</w:t>
      </w:r>
      <w:r>
        <w:rPr>
          <w:rFonts w:hint="eastAsia" w:ascii="仿宋_GB2312" w:hAnsi="Times New Roman" w:eastAsia="仿宋_GB2312" w:cs="Times New Roman"/>
          <w:color w:val="000000"/>
          <w:sz w:val="32"/>
          <w:szCs w:val="32"/>
        </w:rPr>
        <w:t>建</w:t>
      </w:r>
      <w:r>
        <w:rPr>
          <w:rFonts w:hint="eastAsia" w:ascii="仿宋_GB2312" w:hAnsi="Times New Roman" w:eastAsia="仿宋_GB2312" w:cs="Times New Roman"/>
          <w:color w:val="000000"/>
          <w:sz w:val="32"/>
          <w:szCs w:val="32"/>
          <w:lang w:val="en-US" w:eastAsia="zh-CN"/>
        </w:rPr>
        <w:t>设，用地面积</w:t>
      </w:r>
      <w:r>
        <w:rPr>
          <w:rFonts w:hint="eastAsia" w:ascii="仿宋_GB2312" w:eastAsia="仿宋_GB2312" w:cs="Times New Roman"/>
          <w:color w:val="000000"/>
          <w:sz w:val="32"/>
          <w:szCs w:val="32"/>
          <w:lang w:val="en-US" w:eastAsia="zh-CN"/>
        </w:rPr>
        <w:t>20028.28</w:t>
      </w:r>
      <w:r>
        <w:rPr>
          <w:rFonts w:hint="eastAsia" w:ascii="仿宋_GB2312" w:hAnsi="Times New Roman" w:eastAsia="仿宋_GB2312" w:cs="Times New Roman"/>
          <w:color w:val="000000"/>
          <w:sz w:val="32"/>
          <w:szCs w:val="32"/>
          <w:lang w:val="en-US" w:eastAsia="zh-CN"/>
        </w:rPr>
        <w:t>平方米。项目内</w:t>
      </w:r>
      <w:r>
        <w:rPr>
          <w:rFonts w:hint="eastAsia" w:ascii="仿宋_GB2312" w:hAnsi="仿宋_GB2312" w:eastAsia="仿宋_GB2312" w:cs="仿宋_GB2312"/>
          <w:kern w:val="2"/>
          <w:sz w:val="32"/>
          <w:szCs w:val="32"/>
          <w:lang w:val="en-US" w:eastAsia="zh-CN" w:bidi="ar-SA"/>
        </w:rPr>
        <w:t>容及规模为：对现有厂房进行适应性改造，依托相关公辅设施，购置冲床、剪板机、激光切割机、二保焊、编织网机、全自动浸塑流水线、半自动浸塑流水线等生产设备，布设交通应急设施生产线，项目建成后形成年产防护网230万平方米、隔离栅网200万平方米、公路护栏网100万平方米、铁路护栏网120万平方米、市政隔离网80万平方米、冲孔网60万平方米、格宾石笼网60</w:t>
      </w:r>
      <w:r>
        <w:rPr>
          <w:rFonts w:hint="eastAsia" w:ascii="仿宋_GB2312" w:hAnsi="仿宋_GB2312" w:cs="仿宋_GB2312"/>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万平方米、钢管1.26万吨的生产能力。项目总投资7680万元，其中环保投资100万元</w:t>
      </w:r>
      <w:r>
        <w:rPr>
          <w:rFonts w:hint="default" w:ascii="Times New Roman" w:hAnsi="Times New Roman" w:eastAsia="仿宋_GB2312" w:cs="Times New Roman"/>
          <w:color w:val="000000"/>
          <w:sz w:val="32"/>
          <w:szCs w:val="32"/>
        </w:rPr>
        <w:t>。</w:t>
      </w:r>
    </w:p>
    <w:p w14:paraId="5200CD3C">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highlight w:val="none"/>
          <w:lang w:val="en-US" w:eastAsia="zh-CN" w:bidi="ar-SA"/>
        </w:rPr>
        <w:t>项目在四川省投资项目在线审批监管平台进行了备案（备案号：川投资</w:t>
      </w:r>
      <w:r>
        <w:rPr>
          <w:rFonts w:hint="eastAsia" w:ascii="Times New Roman" w:hAnsi="Times New Roman" w:eastAsia="仿宋_GB2312" w:cs="Times New Roman"/>
          <w:kern w:val="2"/>
          <w:sz w:val="32"/>
          <w:szCs w:val="32"/>
          <w:highlight w:val="none"/>
          <w:lang w:val="en-US" w:eastAsia="zh-CN" w:bidi="ar-SA"/>
        </w:rPr>
        <w:t>备[25</w:t>
      </w:r>
      <w:r>
        <w:rPr>
          <w:rFonts w:hint="eastAsia" w:cs="Times New Roman"/>
          <w:kern w:val="2"/>
          <w:sz w:val="32"/>
          <w:szCs w:val="32"/>
          <w:highlight w:val="none"/>
          <w:lang w:val="en-US" w:eastAsia="zh-CN" w:bidi="ar-SA"/>
        </w:rPr>
        <w:t>12</w:t>
      </w:r>
      <w:r>
        <w:rPr>
          <w:rFonts w:hint="eastAsia" w:ascii="Times New Roman" w:hAnsi="Times New Roman" w:eastAsia="仿宋_GB2312" w:cs="Times New Roman"/>
          <w:kern w:val="2"/>
          <w:sz w:val="32"/>
          <w:szCs w:val="32"/>
          <w:highlight w:val="none"/>
          <w:lang w:val="en-US" w:eastAsia="zh-CN" w:bidi="ar-SA"/>
        </w:rPr>
        <w:t>-510681-0</w:t>
      </w:r>
      <w:r>
        <w:rPr>
          <w:rFonts w:hint="eastAsia" w:cs="Times New Roman"/>
          <w:kern w:val="2"/>
          <w:sz w:val="32"/>
          <w:szCs w:val="32"/>
          <w:highlight w:val="none"/>
          <w:lang w:val="en-US" w:eastAsia="zh-CN" w:bidi="ar-SA"/>
        </w:rPr>
        <w:t>4</w:t>
      </w:r>
      <w:r>
        <w:rPr>
          <w:rFonts w:hint="eastAsia" w:ascii="Times New Roman" w:hAnsi="Times New Roman" w:eastAsia="仿宋_GB2312" w:cs="Times New Roman"/>
          <w:kern w:val="2"/>
          <w:sz w:val="32"/>
          <w:szCs w:val="32"/>
          <w:highlight w:val="none"/>
          <w:lang w:val="en-US" w:eastAsia="zh-CN" w:bidi="ar-SA"/>
        </w:rPr>
        <w:t>-0</w:t>
      </w:r>
      <w:r>
        <w:rPr>
          <w:rFonts w:hint="eastAsia" w:cs="Times New Roman"/>
          <w:kern w:val="2"/>
          <w:sz w:val="32"/>
          <w:szCs w:val="32"/>
          <w:highlight w:val="none"/>
          <w:lang w:val="en-US" w:eastAsia="zh-CN" w:bidi="ar-SA"/>
        </w:rPr>
        <w:t>1</w:t>
      </w:r>
      <w:r>
        <w:rPr>
          <w:rFonts w:hint="eastAsia" w:ascii="Times New Roman" w:hAnsi="Times New Roman" w:eastAsia="仿宋_GB2312" w:cs="Times New Roman"/>
          <w:kern w:val="2"/>
          <w:sz w:val="32"/>
          <w:szCs w:val="32"/>
          <w:highlight w:val="none"/>
          <w:lang w:val="en-US" w:eastAsia="zh-CN" w:bidi="ar-SA"/>
        </w:rPr>
        <w:t>-</w:t>
      </w:r>
      <w:r>
        <w:rPr>
          <w:rFonts w:hint="eastAsia" w:cs="Times New Roman"/>
          <w:kern w:val="2"/>
          <w:sz w:val="32"/>
          <w:szCs w:val="32"/>
          <w:highlight w:val="none"/>
          <w:lang w:val="en-US" w:eastAsia="zh-CN" w:bidi="ar-SA"/>
        </w:rPr>
        <w:t>524099</w:t>
      </w:r>
      <w:r>
        <w:rPr>
          <w:rFonts w:hint="eastAsia" w:ascii="Times New Roman" w:hAnsi="Times New Roman" w:eastAsia="仿宋_GB2312" w:cs="Times New Roman"/>
          <w:kern w:val="2"/>
          <w:sz w:val="32"/>
          <w:szCs w:val="32"/>
          <w:highlight w:val="none"/>
          <w:lang w:val="en-US" w:eastAsia="zh-CN" w:bidi="ar-SA"/>
        </w:rPr>
        <w:t>]</w:t>
      </w:r>
      <w:r>
        <w:rPr>
          <w:rFonts w:hint="eastAsia" w:cs="Times New Roman"/>
          <w:kern w:val="2"/>
          <w:sz w:val="32"/>
          <w:szCs w:val="32"/>
          <w:highlight w:val="none"/>
          <w:lang w:val="en-US" w:eastAsia="zh-CN" w:bidi="ar-SA"/>
        </w:rPr>
        <w:t>FGQB-1408</w:t>
      </w:r>
      <w:r>
        <w:rPr>
          <w:rFonts w:hint="eastAsia" w:ascii="Times New Roman" w:hAnsi="Times New Roman" w:eastAsia="仿宋_GB2312" w:cs="Times New Roman"/>
          <w:kern w:val="2"/>
          <w:sz w:val="32"/>
          <w:szCs w:val="32"/>
          <w:highlight w:val="none"/>
          <w:lang w:val="en-US" w:eastAsia="zh-CN" w:bidi="ar-SA"/>
        </w:rPr>
        <w:t>号</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lang w:val="en-US" w:eastAsia="zh-CN" w:bidi="ar-SA"/>
        </w:rPr>
        <w:t>符合国家现行产业政策</w:t>
      </w:r>
      <w:r>
        <w:rPr>
          <w:rFonts w:hint="eastAsia" w:ascii="仿宋_GB2312" w:hAnsi="仿宋_GB2312" w:eastAsia="仿宋_GB2312" w:cs="仿宋_GB2312"/>
          <w:kern w:val="2"/>
          <w:sz w:val="32"/>
          <w:szCs w:val="32"/>
          <w:lang w:val="zh-CN" w:eastAsia="zh-CN" w:bidi="ar-SA"/>
        </w:rPr>
        <w:t>；该项目符合德阳市生态环境分区管控相关要求，</w:t>
      </w:r>
      <w:r>
        <w:rPr>
          <w:rFonts w:hint="eastAsia" w:ascii="仿宋_GB2312" w:hAnsi="仿宋_GB2312" w:eastAsia="仿宋_GB2312" w:cs="仿宋_GB2312"/>
          <w:kern w:val="2"/>
          <w:sz w:val="32"/>
          <w:szCs w:val="32"/>
          <w:lang w:val="en-US" w:eastAsia="zh-CN" w:bidi="ar-SA"/>
        </w:rPr>
        <w:t>根据</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广汉</w:t>
      </w:r>
      <w:r>
        <w:rPr>
          <w:rFonts w:hint="eastAsia" w:ascii="仿宋_GB2312" w:hAnsi="仿宋_GB2312" w:cs="仿宋_GB2312"/>
          <w:kern w:val="2"/>
          <w:sz w:val="32"/>
          <w:szCs w:val="32"/>
          <w:lang w:val="en-US" w:eastAsia="zh-CN" w:bidi="ar-SA"/>
        </w:rPr>
        <w:t>市</w:t>
      </w:r>
      <w:r>
        <w:rPr>
          <w:rFonts w:hint="eastAsia" w:ascii="仿宋_GB2312" w:hAnsi="仿宋_GB2312" w:eastAsia="仿宋_GB2312" w:cs="仿宋_GB2312"/>
          <w:kern w:val="2"/>
          <w:sz w:val="32"/>
          <w:szCs w:val="32"/>
          <w:lang w:val="en-US" w:eastAsia="zh-CN" w:bidi="ar-SA"/>
        </w:rPr>
        <w:t>国土空间总体规</w:t>
      </w:r>
      <w:r>
        <w:rPr>
          <w:rFonts w:hint="eastAsia" w:ascii="Times New Roman" w:hAnsi="Times New Roman" w:eastAsia="仿宋_GB2312" w:cs="Times New Roman"/>
          <w:kern w:val="2"/>
          <w:sz w:val="32"/>
          <w:szCs w:val="32"/>
          <w:lang w:val="en-US" w:eastAsia="zh-CN" w:bidi="ar-SA"/>
        </w:rPr>
        <w:t>划(2021-2035年)</w:t>
      </w:r>
      <w:r>
        <w:rPr>
          <w:rFonts w:hint="eastAsia" w:ascii="仿宋_GB2312" w:hAnsi="仿宋_GB2312" w:eastAsia="仿宋_GB2312" w:cs="仿宋_GB2312"/>
          <w:kern w:val="2"/>
          <w:sz w:val="32"/>
          <w:szCs w:val="32"/>
          <w:lang w:val="zh-CN" w:eastAsia="zh-CN" w:bidi="ar-SA"/>
        </w:rPr>
        <w:t>》</w:t>
      </w:r>
      <w:r>
        <w:rPr>
          <w:rFonts w:hint="eastAsia" w:ascii="仿宋_GB2312" w:hAnsi="仿宋_GB2312" w:cs="仿宋_GB2312"/>
          <w:kern w:val="2"/>
          <w:sz w:val="32"/>
          <w:szCs w:val="32"/>
          <w:lang w:val="en-US" w:eastAsia="zh-CN" w:bidi="ar-SA"/>
        </w:rPr>
        <w:t>和</w:t>
      </w:r>
      <w:r>
        <w:rPr>
          <w:rFonts w:hint="eastAsia" w:ascii="Times New Roman" w:hAnsi="Times New Roman" w:eastAsia="仿宋_GB2312" w:cs="Times New Roman"/>
          <w:color w:val="000000"/>
          <w:kern w:val="2"/>
          <w:sz w:val="32"/>
          <w:szCs w:val="32"/>
          <w:lang w:val="en-US" w:eastAsia="zh-CN" w:bidi="ar-SA"/>
        </w:rPr>
        <w:t>四川万卷盛锦科技有限公司</w:t>
      </w:r>
      <w:r>
        <w:rPr>
          <w:rFonts w:hint="eastAsia" w:ascii="仿宋_GB2312" w:hAnsi="仿宋_GB2312" w:eastAsia="仿宋_GB2312" w:cs="仿宋_GB2312"/>
          <w:kern w:val="2"/>
          <w:sz w:val="32"/>
          <w:szCs w:val="32"/>
          <w:lang w:val="en-US" w:eastAsia="zh-CN" w:bidi="ar-SA"/>
        </w:rPr>
        <w:t>取得的</w:t>
      </w:r>
      <w:r>
        <w:rPr>
          <w:rFonts w:hint="eastAsia" w:ascii="Times New Roman" w:hAnsi="Times New Roman" w:cs="Times New Roman"/>
          <w:kern w:val="2"/>
          <w:sz w:val="32"/>
          <w:szCs w:val="32"/>
          <w:lang w:val="en-US" w:eastAsia="zh-CN" w:bidi="ar-SA"/>
        </w:rPr>
        <w:t>《</w:t>
      </w:r>
      <w:r>
        <w:rPr>
          <w:rFonts w:hint="eastAsia" w:cs="Times New Roman"/>
          <w:kern w:val="2"/>
          <w:sz w:val="32"/>
          <w:szCs w:val="32"/>
          <w:lang w:val="en-US" w:eastAsia="zh-CN" w:bidi="ar-SA"/>
        </w:rPr>
        <w:t>不动产权证</w:t>
      </w:r>
      <w:r>
        <w:rPr>
          <w:rFonts w:hint="eastAsia" w:ascii="Times New Roman" w:hAnsi="Times New Roman" w:cs="Times New Roman"/>
          <w:kern w:val="2"/>
          <w:sz w:val="32"/>
          <w:szCs w:val="32"/>
          <w:lang w:val="en-US" w:eastAsia="zh-CN" w:bidi="ar-SA"/>
        </w:rPr>
        <w:t>》</w:t>
      </w:r>
      <w:r>
        <w:rPr>
          <w:rFonts w:hint="eastAsia" w:cs="Times New Roman"/>
          <w:kern w:val="2"/>
          <w:sz w:val="32"/>
          <w:szCs w:val="32"/>
          <w:lang w:val="en-US" w:eastAsia="zh-CN" w:bidi="ar-SA"/>
        </w:rPr>
        <w:t>以及广汉市自然资源局出具的该地块的规划条件通知书</w:t>
      </w:r>
      <w:r>
        <w:rPr>
          <w:rFonts w:hint="eastAsia" w:ascii="仿宋_GB2312" w:hAnsi="仿宋_GB2312" w:eastAsia="仿宋_GB2312" w:cs="仿宋_GB2312"/>
          <w:kern w:val="2"/>
          <w:sz w:val="32"/>
          <w:szCs w:val="32"/>
          <w:lang w:val="en-US" w:eastAsia="zh-CN" w:bidi="ar-SA"/>
        </w:rPr>
        <w:t>，项目用地性质为</w:t>
      </w:r>
      <w:r>
        <w:rPr>
          <w:rFonts w:hint="eastAsia" w:ascii="仿宋_GB2312" w:hAnsi="仿宋_GB2312" w:cs="仿宋_GB2312"/>
          <w:kern w:val="2"/>
          <w:sz w:val="32"/>
          <w:szCs w:val="32"/>
          <w:lang w:val="en-US" w:eastAsia="zh-CN" w:bidi="ar-SA"/>
        </w:rPr>
        <w:t>二类物流仓储用地</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并根据《广汉市规划管理技术规定》（2025年修订版）中表2-1城市建设用地兼容性一览表规定，二类物流仓储用地100%兼容一、二类工业用地，</w:t>
      </w:r>
      <w:r>
        <w:rPr>
          <w:rFonts w:hint="eastAsia" w:ascii="仿宋_GB2312" w:hAnsi="仿宋_GB2312" w:eastAsia="仿宋_GB2312" w:cs="仿宋_GB2312"/>
          <w:kern w:val="2"/>
          <w:sz w:val="32"/>
          <w:szCs w:val="32"/>
          <w:lang w:val="en-US" w:eastAsia="zh-CN" w:bidi="ar-SA"/>
        </w:rPr>
        <w:t>选址符合规划。</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42F37DF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40CA39A3">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kern w:val="2"/>
          <w:sz w:val="32"/>
          <w:szCs w:val="24"/>
          <w:lang w:val="en-US" w:eastAsia="zh-CN" w:bidi="ar-SA"/>
        </w:rPr>
        <w:t>（三）严格落实并优化报告表提出的各项废气处理措施。</w:t>
      </w:r>
      <w:r>
        <w:rPr>
          <w:rFonts w:hint="eastAsia" w:cs="Times New Roman"/>
          <w:kern w:val="2"/>
          <w:sz w:val="32"/>
          <w:szCs w:val="24"/>
          <w:lang w:val="en-US" w:eastAsia="zh-CN" w:bidi="ar-SA"/>
        </w:rPr>
        <w:t>分别</w:t>
      </w:r>
      <w:r>
        <w:rPr>
          <w:rFonts w:hint="eastAsia" w:ascii="仿宋_GB2312" w:hAnsi="仿宋_GB2312" w:eastAsia="仿宋_GB2312" w:cs="仿宋_GB2312"/>
          <w:color w:val="000000" w:themeColor="text1"/>
          <w:sz w:val="32"/>
          <w:szCs w:val="32"/>
          <w:lang w:eastAsia="zh-CN"/>
          <w14:textFill>
            <w14:solidFill>
              <w14:schemeClr w14:val="tx1"/>
            </w14:solidFill>
          </w14:textFill>
        </w:rPr>
        <w:t>落实焊接</w:t>
      </w:r>
      <w:r>
        <w:rPr>
          <w:rFonts w:hint="eastAsia" w:ascii="仿宋_GB2312" w:hAnsi="仿宋_GB2312" w:cs="仿宋_GB2312"/>
          <w:color w:val="000000" w:themeColor="text1"/>
          <w:sz w:val="32"/>
          <w:szCs w:val="32"/>
          <w:lang w:eastAsia="zh-CN"/>
          <w14:textFill>
            <w14:solidFill>
              <w14:schemeClr w14:val="tx1"/>
            </w14:solidFill>
          </w14:textFill>
        </w:rPr>
        <w:t>工序的</w:t>
      </w:r>
      <w:r>
        <w:rPr>
          <w:rFonts w:hint="eastAsia" w:ascii="仿宋_GB2312" w:hAnsi="仿宋_GB2312" w:eastAsia="仿宋_GB2312" w:cs="仿宋_GB2312"/>
          <w:color w:val="000000" w:themeColor="text1"/>
          <w:sz w:val="32"/>
          <w:szCs w:val="32"/>
          <w:lang w:eastAsia="zh-CN"/>
          <w14:textFill>
            <w14:solidFill>
              <w14:schemeClr w14:val="tx1"/>
            </w14:solidFill>
          </w14:textFill>
        </w:rPr>
        <w:t>集气罩</w:t>
      </w:r>
      <w:r>
        <w:rPr>
          <w:rFonts w:hint="eastAsia" w:ascii="仿宋_GB2312" w:hAnsi="仿宋_GB2312" w:cs="仿宋_GB2312"/>
          <w:color w:val="000000" w:themeColor="text1"/>
          <w:sz w:val="32"/>
          <w:szCs w:val="32"/>
          <w:lang w:eastAsia="zh-CN"/>
          <w14:textFill>
            <w14:solidFill>
              <w14:schemeClr w14:val="tx1"/>
            </w14:solidFill>
          </w14:textFill>
        </w:rPr>
        <w:t>和激光切割机下方自带吸风装置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，确保焊接、切割烟尘</w:t>
      </w:r>
      <w:r>
        <w:rPr>
          <w:rFonts w:hint="eastAsia" w:ascii="仿宋_GB2312" w:hAnsi="仿宋_GB2312" w:cs="仿宋_GB2312"/>
          <w:color w:val="000000" w:themeColor="text1"/>
          <w:sz w:val="32"/>
          <w:szCs w:val="32"/>
          <w:lang w:val="en-US" w:eastAsia="zh-CN"/>
          <w14:textFill>
            <w14:solidFill>
              <w14:schemeClr w14:val="tx1"/>
            </w14:solidFill>
          </w14:textFill>
        </w:rPr>
        <w:t>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焊烟净化器</w:t>
      </w:r>
      <w:r>
        <w:rPr>
          <w:rFonts w:hint="eastAsia" w:ascii="仿宋_GB2312" w:hAnsi="仿宋_GB2312" w:cs="仿宋_GB2312"/>
          <w:color w:val="000000" w:themeColor="text1"/>
          <w:sz w:val="32"/>
          <w:szCs w:val="32"/>
          <w:lang w:val="en-US" w:eastAsia="zh-CN"/>
          <w14:textFill>
            <w14:solidFill>
              <w14:schemeClr w14:val="tx1"/>
            </w14:solidFill>
          </w14:textFill>
        </w:rPr>
        <w:t>处理后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1根15米高排气筒达标排放；分别落实全自动浸塑工序的集气罩和半自动浸塑工序的屋顶罩以及固化工序出口的集气罩，确保浸塑粉尘、固化有机废气、天然气燃烧废气经袋式除尘器+二级活性炭吸附装置处理后由1根15米高排气筒达标排放</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p>
    <w:p w14:paraId="76E4720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sz w:val="32"/>
          <w:szCs w:val="32"/>
          <w:lang w:eastAsia="zh-CN"/>
        </w:rPr>
      </w:pPr>
      <w:r>
        <w:rPr>
          <w:rFonts w:hint="eastAsia"/>
          <w:lang w:eastAsia="zh-CN"/>
        </w:rPr>
        <w:t>（四）严格落实并优化报告表提出的各项废水处理措施。</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项目冷却水循环使用，定期更换时会同生活污水</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依托</w:t>
      </w:r>
      <w:r>
        <w:rPr>
          <w:rFonts w:hint="eastAsia" w:ascii="仿宋_GB2312" w:hAnsi="Times New Roman" w:eastAsia="仿宋_GB2312" w:cs="Times New Roman"/>
          <w:color w:val="000000"/>
          <w:sz w:val="32"/>
          <w:szCs w:val="32"/>
          <w:lang w:val="en-US" w:eastAsia="zh-CN"/>
        </w:rPr>
        <w:t>厂区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内</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已建</w:t>
      </w:r>
      <w:r>
        <w:rPr>
          <w:rFonts w:hint="eastAsia" w:ascii="仿宋_GB2312" w:hAnsi="仿宋_GB2312" w:cs="仿宋_GB2312"/>
          <w:bCs/>
          <w:color w:val="000000" w:themeColor="text1"/>
          <w:sz w:val="32"/>
          <w:szCs w:val="32"/>
          <w:lang w:val="en-US" w:eastAsia="zh-CN"/>
          <w14:textFill>
            <w14:solidFill>
              <w14:schemeClr w14:val="tx1"/>
            </w14:solidFill>
          </w14:textFill>
        </w:rPr>
        <w:t>预处理池</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处理</w:t>
      </w:r>
      <w:r>
        <w:rPr>
          <w:rFonts w:hint="eastAsia" w:ascii="仿宋_GB2312" w:hAnsi="仿宋_GB2312" w:cs="仿宋_GB2312"/>
          <w:bCs/>
          <w:color w:val="000000" w:themeColor="text1"/>
          <w:sz w:val="32"/>
          <w:szCs w:val="32"/>
          <w:lang w:val="en-US" w:eastAsia="zh-CN"/>
          <w14:textFill>
            <w14:solidFill>
              <w14:schemeClr w14:val="tx1"/>
            </w14:solidFill>
          </w14:textFill>
        </w:rPr>
        <w:t>达</w:t>
      </w:r>
      <w:r>
        <w:rPr>
          <w:rFonts w:hint="eastAsia" w:ascii="仿宋_GB2312" w:hAnsi="仿宋_GB2312" w:eastAsia="仿宋_GB2312" w:cs="仿宋_GB2312"/>
          <w:color w:val="000000"/>
          <w:sz w:val="32"/>
          <w:szCs w:val="32"/>
          <w:lang w:eastAsia="zh-CN"/>
        </w:rPr>
        <w:t>《污水综合排放标准》（GB8978-1996）中三级标准后排入市政污水管网，再经广汉市第二污水处理厂处理达《四川省岷江、沱江流域水污染物排放标准》（DB51/2311-2016）中工业园区集中式污水处理厂标准后外排</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六）严格落实并优化报告表提出的各项固体废弃物处置措施。固体废物应按照“减量化、资源化、无害化”的原则进行分类收集和处置，提高回收利用率。加强固体废物产生、收集、贮存、运输、利用、处置全过程环境管理，避免二次污染。项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废包装材料、边角料、不合格品外售废品回收单位；收集粉尘交由有处置能力的单位处置；项目废活性炭、废切削液、废机油、</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废油桶</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含油棉纱</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机抹布</w:t>
      </w:r>
      <w:r>
        <w:rPr>
          <w:rFonts w:hint="eastAsia"/>
          <w:lang w:eastAsia="zh-CN"/>
        </w:rPr>
        <w:t>属于危险废物，须妥善安全收储，落实专人管理，并严格执行转移联单制度，定期交有危废处理资质的单位处置，其暂存区须采取必要的防风、防晒、防雨、防漏、防渗、防腐以及其他环境污染防治措施；生活垃圾交环卫部门清运。</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（七）严格落实并优化报告表提出的地下水和土壤污染防治措施。项目将</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危废暂存间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、储油库房、涉及切削液的生产区</w:t>
      </w:r>
      <w:r>
        <w:rPr>
          <w:rFonts w:hint="eastAsia"/>
          <w:lang w:val="en-US" w:eastAsia="zh-CN"/>
        </w:rPr>
        <w:t>设置为重点防渗区，将除重点防渗区外的其他区域设置为一般防渗区，分别采取防渗措施。建立和完善地下水</w:t>
      </w:r>
      <w:r>
        <w:rPr>
          <w:rFonts w:hint="eastAsia"/>
          <w:lang w:eastAsia="zh-CN"/>
        </w:rPr>
        <w:t>、土壤污染监控制度和环境管理体系，发现问题及时采取措施，避免污染周边地下水和土壤环境。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24DAA22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三、该项目运营后，</w:t>
      </w:r>
      <w:r>
        <w:rPr>
          <w:rFonts w:hint="eastAsia"/>
          <w:lang w:val="en-US" w:eastAsia="zh-CN"/>
        </w:rPr>
        <w:t>全厂挥发性有机物排放量为</w:t>
      </w:r>
      <w:r>
        <w:rPr>
          <w:rFonts w:hint="eastAsia"/>
          <w:snapToGrid w:val="0"/>
          <w:lang w:val="en-US" w:eastAsia="zh-CN"/>
        </w:rPr>
        <w:t>0.0533</w:t>
      </w:r>
      <w:r>
        <w:rPr>
          <w:rFonts w:hint="eastAsia"/>
          <w:lang w:val="en-US" w:eastAsia="zh-CN"/>
        </w:rPr>
        <w:t>吨/年、氮氧化物排放量为</w:t>
      </w:r>
      <w:r>
        <w:rPr>
          <w:rFonts w:hint="eastAsia"/>
          <w:snapToGrid w:val="0"/>
          <w:lang w:val="en-US" w:eastAsia="zh-CN"/>
        </w:rPr>
        <w:t>0.0841</w:t>
      </w:r>
      <w:r>
        <w:rPr>
          <w:rFonts w:hint="eastAsia"/>
          <w:lang w:val="en-US" w:eastAsia="zh-CN"/>
        </w:rPr>
        <w:t>吨/年、化学需氧量排放量为</w:t>
      </w:r>
      <w:r>
        <w:rPr>
          <w:rFonts w:hint="eastAsia"/>
          <w:snapToGrid w:val="0"/>
          <w:lang w:val="en-US" w:eastAsia="zh-CN"/>
        </w:rPr>
        <w:t>0.0118</w:t>
      </w:r>
      <w:r>
        <w:rPr>
          <w:rFonts w:hint="eastAsia"/>
          <w:lang w:val="en-US" w:eastAsia="zh-CN"/>
        </w:rPr>
        <w:t>吨/年、氨氮排放量为</w:t>
      </w:r>
      <w:r>
        <w:rPr>
          <w:rFonts w:hint="eastAsia"/>
          <w:snapToGrid w:val="0"/>
          <w:lang w:val="en-US" w:eastAsia="zh-CN"/>
        </w:rPr>
        <w:t>0.0015</w:t>
      </w:r>
      <w:r>
        <w:rPr>
          <w:rFonts w:hint="eastAsia"/>
          <w:lang w:val="en-US" w:eastAsia="zh-CN"/>
        </w:rPr>
        <w:t>吨/年</w:t>
      </w:r>
      <w:r>
        <w:rPr>
          <w:rFonts w:hint="eastAsia"/>
          <w:lang w:eastAsia="zh-CN"/>
        </w:rPr>
        <w:t>，其</w:t>
      </w:r>
      <w:r>
        <w:rPr>
          <w:rFonts w:hint="eastAsia"/>
          <w:highlight w:val="none"/>
          <w:lang w:eastAsia="zh-CN"/>
        </w:rPr>
        <w:t>总</w:t>
      </w:r>
      <w:r>
        <w:rPr>
          <w:rFonts w:hint="eastAsia"/>
          <w:lang w:eastAsia="zh-CN"/>
        </w:rPr>
        <w:t>量控制指标</w:t>
      </w:r>
      <w:r>
        <w:rPr>
          <w:rFonts w:hint="eastAsia"/>
          <w:lang w:val="en-US" w:eastAsia="zh-CN"/>
        </w:rPr>
        <w:t>由德阳市</w:t>
      </w:r>
      <w:r>
        <w:rPr>
          <w:rFonts w:hint="eastAsia"/>
          <w:lang w:eastAsia="zh-CN"/>
        </w:rPr>
        <w:t>广汉生态环境局</w:t>
      </w:r>
      <w:r>
        <w:rPr>
          <w:rFonts w:hint="eastAsia"/>
          <w:lang w:val="en-US" w:eastAsia="zh-CN"/>
        </w:rPr>
        <w:t>调剂。</w:t>
      </w:r>
    </w:p>
    <w:p w14:paraId="4537D1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71C3322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402E0F8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23F3261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63125A2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eastAsia"/>
          <w:lang w:val="en-US" w:eastAsia="zh-CN"/>
        </w:rPr>
        <w:t>1</w:t>
      </w:r>
      <w:r>
        <w:rPr>
          <w:rFonts w:hint="eastAsia"/>
          <w:lang w:eastAsia="zh-CN"/>
        </w:rPr>
        <w:t>月</w:t>
      </w:r>
      <w:r>
        <w:rPr>
          <w:rFonts w:hint="eastAsia"/>
          <w:lang w:val="en-US" w:eastAsia="zh-CN"/>
        </w:rPr>
        <w:t>8</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CB77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7395A">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17395A">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A32E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A3A83"/>
    <w:multiLevelType w:val="singleLevel"/>
    <w:tmpl w:val="82BA3A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860D6"/>
    <w:rsid w:val="02AE534C"/>
    <w:rsid w:val="034F6F7F"/>
    <w:rsid w:val="03DF1EFE"/>
    <w:rsid w:val="0405687A"/>
    <w:rsid w:val="062C319A"/>
    <w:rsid w:val="06C07F19"/>
    <w:rsid w:val="07EE52C1"/>
    <w:rsid w:val="08E224A3"/>
    <w:rsid w:val="0C4A0047"/>
    <w:rsid w:val="0C8F08DD"/>
    <w:rsid w:val="0CBC5D91"/>
    <w:rsid w:val="0D8434C8"/>
    <w:rsid w:val="0F3FA236"/>
    <w:rsid w:val="10476743"/>
    <w:rsid w:val="10B04339"/>
    <w:rsid w:val="10BE0F8E"/>
    <w:rsid w:val="11A36E95"/>
    <w:rsid w:val="11AF7E92"/>
    <w:rsid w:val="121F6F46"/>
    <w:rsid w:val="13CF6689"/>
    <w:rsid w:val="141B194C"/>
    <w:rsid w:val="14857F30"/>
    <w:rsid w:val="172E0063"/>
    <w:rsid w:val="17722C48"/>
    <w:rsid w:val="17FF1243"/>
    <w:rsid w:val="185660F9"/>
    <w:rsid w:val="1A5823C6"/>
    <w:rsid w:val="1BE51593"/>
    <w:rsid w:val="1BFC0EC7"/>
    <w:rsid w:val="1D0B506B"/>
    <w:rsid w:val="1DA61023"/>
    <w:rsid w:val="1F9D62EA"/>
    <w:rsid w:val="207C77B4"/>
    <w:rsid w:val="20A0736A"/>
    <w:rsid w:val="20EE3BBC"/>
    <w:rsid w:val="233040CC"/>
    <w:rsid w:val="240472A7"/>
    <w:rsid w:val="24602490"/>
    <w:rsid w:val="25B23D47"/>
    <w:rsid w:val="27CF70BB"/>
    <w:rsid w:val="285E0D94"/>
    <w:rsid w:val="29DD4390"/>
    <w:rsid w:val="2A3732D1"/>
    <w:rsid w:val="2A8433D1"/>
    <w:rsid w:val="2AAF10C9"/>
    <w:rsid w:val="2B1D6405"/>
    <w:rsid w:val="2B4222FA"/>
    <w:rsid w:val="2B6C37C8"/>
    <w:rsid w:val="2C6B7FAD"/>
    <w:rsid w:val="2E624E98"/>
    <w:rsid w:val="2F4838A9"/>
    <w:rsid w:val="2FFF6B90"/>
    <w:rsid w:val="30F523E0"/>
    <w:rsid w:val="31231C2B"/>
    <w:rsid w:val="3511441F"/>
    <w:rsid w:val="35C30878"/>
    <w:rsid w:val="36BF255B"/>
    <w:rsid w:val="377FFDE7"/>
    <w:rsid w:val="37BD6F38"/>
    <w:rsid w:val="3847678F"/>
    <w:rsid w:val="395D29A2"/>
    <w:rsid w:val="398E50E4"/>
    <w:rsid w:val="3A6E4FAF"/>
    <w:rsid w:val="3AFA05BA"/>
    <w:rsid w:val="3B8A62BD"/>
    <w:rsid w:val="3D359DE2"/>
    <w:rsid w:val="3D7FFD1F"/>
    <w:rsid w:val="3F7DE031"/>
    <w:rsid w:val="41B502FB"/>
    <w:rsid w:val="432F1B9E"/>
    <w:rsid w:val="449D70C1"/>
    <w:rsid w:val="471A4C57"/>
    <w:rsid w:val="490D1D9A"/>
    <w:rsid w:val="493B5434"/>
    <w:rsid w:val="4AB250DD"/>
    <w:rsid w:val="4C3F558F"/>
    <w:rsid w:val="4C9C01FD"/>
    <w:rsid w:val="4DE3CE52"/>
    <w:rsid w:val="4E20458D"/>
    <w:rsid w:val="50AE4753"/>
    <w:rsid w:val="52EB1116"/>
    <w:rsid w:val="545838A3"/>
    <w:rsid w:val="550F5283"/>
    <w:rsid w:val="55922BB8"/>
    <w:rsid w:val="55F61131"/>
    <w:rsid w:val="5648005A"/>
    <w:rsid w:val="56EF32D7"/>
    <w:rsid w:val="595B8B56"/>
    <w:rsid w:val="598E3781"/>
    <w:rsid w:val="5A282A37"/>
    <w:rsid w:val="5B9E1A76"/>
    <w:rsid w:val="5BEF0997"/>
    <w:rsid w:val="5E923FC8"/>
    <w:rsid w:val="5FE37766"/>
    <w:rsid w:val="60F79DCC"/>
    <w:rsid w:val="622C0699"/>
    <w:rsid w:val="62544876"/>
    <w:rsid w:val="62711A47"/>
    <w:rsid w:val="63ED6FC7"/>
    <w:rsid w:val="6488096B"/>
    <w:rsid w:val="65555212"/>
    <w:rsid w:val="65AB4EFC"/>
    <w:rsid w:val="662B4514"/>
    <w:rsid w:val="66737356"/>
    <w:rsid w:val="67D747D7"/>
    <w:rsid w:val="67FB3202"/>
    <w:rsid w:val="69CF40DE"/>
    <w:rsid w:val="6CC97B23"/>
    <w:rsid w:val="6EF72978"/>
    <w:rsid w:val="6F4577DC"/>
    <w:rsid w:val="6FFB407A"/>
    <w:rsid w:val="70924242"/>
    <w:rsid w:val="709B28DF"/>
    <w:rsid w:val="71823CF1"/>
    <w:rsid w:val="71D36ECE"/>
    <w:rsid w:val="71F3106C"/>
    <w:rsid w:val="721553B9"/>
    <w:rsid w:val="72FBA947"/>
    <w:rsid w:val="73261DAF"/>
    <w:rsid w:val="73FD1375"/>
    <w:rsid w:val="74242AB0"/>
    <w:rsid w:val="74A42A0A"/>
    <w:rsid w:val="75102DA9"/>
    <w:rsid w:val="754937FF"/>
    <w:rsid w:val="75FF3374"/>
    <w:rsid w:val="765B6ABB"/>
    <w:rsid w:val="767E0781"/>
    <w:rsid w:val="76E67707"/>
    <w:rsid w:val="776E3ADC"/>
    <w:rsid w:val="77712936"/>
    <w:rsid w:val="77D93560"/>
    <w:rsid w:val="77FA57ED"/>
    <w:rsid w:val="78901500"/>
    <w:rsid w:val="78A0421B"/>
    <w:rsid w:val="78B97F84"/>
    <w:rsid w:val="7B6FC8CD"/>
    <w:rsid w:val="7BD55DBA"/>
    <w:rsid w:val="7C326B40"/>
    <w:rsid w:val="7C4976F5"/>
    <w:rsid w:val="7DF729DE"/>
    <w:rsid w:val="7EB93055"/>
    <w:rsid w:val="7ED38FD2"/>
    <w:rsid w:val="7F3F363A"/>
    <w:rsid w:val="7F461315"/>
    <w:rsid w:val="7F9D6217"/>
    <w:rsid w:val="7FFF656D"/>
    <w:rsid w:val="8FFDDCAA"/>
    <w:rsid w:val="99FB7845"/>
    <w:rsid w:val="9EAF247A"/>
    <w:rsid w:val="B3EF4CC4"/>
    <w:rsid w:val="BACD1C0F"/>
    <w:rsid w:val="BEED6AF8"/>
    <w:rsid w:val="BFFF3C65"/>
    <w:rsid w:val="C3955CC1"/>
    <w:rsid w:val="CBD7D858"/>
    <w:rsid w:val="DBFCA308"/>
    <w:rsid w:val="DF8DCF15"/>
    <w:rsid w:val="EAEF28EF"/>
    <w:rsid w:val="EF7C4A63"/>
    <w:rsid w:val="EF8E0A47"/>
    <w:rsid w:val="F36FACF2"/>
    <w:rsid w:val="F4B7869E"/>
    <w:rsid w:val="F58D8772"/>
    <w:rsid w:val="F5B91ABD"/>
    <w:rsid w:val="F7F93113"/>
    <w:rsid w:val="F7FF256A"/>
    <w:rsid w:val="FADC7300"/>
    <w:rsid w:val="FB162784"/>
    <w:rsid w:val="FCEBB938"/>
    <w:rsid w:val="FDDFD5E2"/>
    <w:rsid w:val="FE4F7DCC"/>
    <w:rsid w:val="FEBDC698"/>
    <w:rsid w:val="FEEF8449"/>
    <w:rsid w:val="FEFF9927"/>
    <w:rsid w:val="FF5DFB11"/>
    <w:rsid w:val="FF7F37F2"/>
    <w:rsid w:val="FFCB43F2"/>
    <w:rsid w:val="FFD5A9B2"/>
    <w:rsid w:val="FFEFD423"/>
    <w:rsid w:val="FFFA8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8"/>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标题 1 字符"/>
    <w:basedOn w:val="7"/>
    <w:link w:val="2"/>
    <w:autoRedefine/>
    <w:qFormat/>
    <w:uiPriority w:val="9"/>
    <w:rPr>
      <w:rFonts w:ascii="Times New Roman" w:hAnsi="Times New Roman" w:eastAsia="方正小标宋简体"/>
      <w:bCs/>
      <w:kern w:val="44"/>
      <w:sz w:val="44"/>
      <w:szCs w:val="44"/>
    </w:rPr>
  </w:style>
  <w:style w:type="paragraph" w:customStyle="1" w:styleId="9">
    <w:name w:val="+正文"/>
    <w:basedOn w:val="1"/>
    <w:qFormat/>
    <w:uiPriority w:val="0"/>
    <w:pPr>
      <w:spacing w:line="360" w:lineRule="auto"/>
      <w:ind w:firstLine="200" w:firstLineChars="200"/>
    </w:pPr>
    <w:rPr>
      <w:sz w:val="24"/>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2234</Words>
  <Characters>2338</Characters>
  <Lines>0</Lines>
  <Paragraphs>0</Paragraphs>
  <TotalTime>1</TotalTime>
  <ScaleCrop>false</ScaleCrop>
  <LinksUpToDate>false</LinksUpToDate>
  <CharactersWithSpaces>2424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2023-12-11T22:40:00Z</dcterms:created>
  <dc:creator>HY</dc:creator>
  <cp:lastModifiedBy>user</cp:lastModifiedBy>
  <cp:lastPrinted>2026-01-08T14:37:59Z</cp:lastPrinted>
  <dcterms:modified xsi:type="dcterms:W3CDTF">2026-01-08T14:38:12Z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2DC99696E5D0266E93EE4C69C2C47E27_43</vt:lpwstr>
  </property>
  <property fmtid="{D5CDD505-2E9C-101B-9397-08002B2CF9AE}" pid="4" name="KSOTemplateDocerSaveRecord">
    <vt:lpwstr>eyJoZGlkIjoiZTcwY2IwODA0NjBmNjU3YzQ0NzhjZjQ5Nzc1ODVhMjUiLCJ1c2VySWQiOiIxNjYwNzk2ODQ1In0=</vt:lpwstr>
  </property>
</Properties>
</file>