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1F860AA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sz w:val="32"/>
          <w:szCs w:val="32"/>
          <w:lang w:val="en-US" w:eastAsia="zh-CN"/>
        </w:rPr>
      </w:pPr>
      <w:r>
        <w:rPr>
          <w:rFonts w:hint="eastAsia"/>
          <w:sz w:val="32"/>
          <w:szCs w:val="32"/>
          <w:lang w:val="en-US" w:eastAsia="zh-CN"/>
        </w:rPr>
        <w:t xml:space="preserve">                                           </w:t>
      </w:r>
    </w:p>
    <w:p w14:paraId="1B5263E8">
      <w:pPr>
        <w:keepNext w:val="0"/>
        <w:keepLines w:val="0"/>
        <w:pageBreakBefore w:val="0"/>
        <w:widowControl w:val="0"/>
        <w:tabs>
          <w:tab w:val="right" w:pos="8732"/>
        </w:tabs>
        <w:kinsoku/>
        <w:wordWrap/>
        <w:overflowPunct/>
        <w:topLinePunct w:val="0"/>
        <w:autoSpaceDE/>
        <w:autoSpaceDN/>
        <w:bidi w:val="0"/>
        <w:adjustRightInd/>
        <w:snapToGrid/>
        <w:spacing w:line="360" w:lineRule="exact"/>
        <w:ind w:left="0" w:leftChars="0" w:firstLine="0" w:firstLineChars="0"/>
        <w:jc w:val="both"/>
        <w:textAlignment w:val="auto"/>
        <w:rPr>
          <w:rFonts w:hint="default" w:eastAsia="仿宋_GB2312"/>
          <w:sz w:val="32"/>
          <w:szCs w:val="32"/>
          <w:lang w:val="en-US" w:eastAsia="zh-CN"/>
        </w:rPr>
      </w:pPr>
      <w:r>
        <w:rPr>
          <w:rFonts w:hint="eastAsia"/>
          <w:sz w:val="32"/>
          <w:szCs w:val="32"/>
          <w:lang w:val="en-US" w:eastAsia="zh-CN"/>
        </w:rPr>
        <w:t xml:space="preserve">                                         </w:t>
      </w:r>
      <w:bookmarkStart w:id="0" w:name="_GoBack"/>
      <w:bookmarkEnd w:id="0"/>
      <w:r>
        <w:rPr>
          <w:rFonts w:hint="eastAsia"/>
          <w:sz w:val="32"/>
          <w:szCs w:val="32"/>
          <w:lang w:val="en-US" w:eastAsia="zh-CN"/>
        </w:rPr>
        <w:tab/>
        <w:t xml:space="preserve">                            </w:t>
      </w: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22</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42E45C1">
      <w:pPr>
        <w:spacing w:line="600" w:lineRule="exact"/>
        <w:ind w:left="0" w:leftChars="0" w:firstLine="0" w:firstLineChars="0"/>
        <w:jc w:val="center"/>
        <w:rPr>
          <w:rFonts w:hint="eastAsia" w:eastAsia="方正小标宋简体"/>
          <w:sz w:val="44"/>
          <w:szCs w:val="44"/>
        </w:rPr>
      </w:pPr>
      <w:r>
        <w:rPr>
          <w:rFonts w:hint="eastAsia" w:ascii="Times New Roman" w:hAnsi="Times New Roman" w:eastAsia="方正小标宋简体" w:cs="Times New Roman"/>
          <w:sz w:val="44"/>
          <w:szCs w:val="44"/>
        </w:rPr>
        <w:t>关于</w:t>
      </w:r>
      <w:r>
        <w:rPr>
          <w:rFonts w:hint="eastAsia" w:eastAsia="方正小标宋简体"/>
          <w:sz w:val="44"/>
          <w:szCs w:val="44"/>
        </w:rPr>
        <w:t>四川腾达线缆有限公司电线线缆扩建</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eastAsia="方正小标宋简体"/>
          <w:sz w:val="44"/>
          <w:szCs w:val="44"/>
        </w:rPr>
        <w:t>生产项目</w:t>
      </w:r>
      <w:r>
        <w:rPr>
          <w:rFonts w:ascii="Times New Roman" w:hAnsi="Times New Roman" w:eastAsia="方正小标宋简体" w:cs="Times New Roman"/>
          <w:sz w:val="44"/>
          <w:szCs w:val="44"/>
        </w:rPr>
        <w:t>《环境影响报告表》的批复</w:t>
      </w:r>
    </w:p>
    <w:p w14:paraId="15EC028B">
      <w:pPr>
        <w:pStyle w:val="9"/>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四川腾达线缆有限公司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rPr>
        <w:t>电线线缆扩建生产项目</w:t>
      </w:r>
      <w:r>
        <w:rPr>
          <w:rFonts w:hint="eastAsia"/>
          <w:lang w:eastAsia="zh-CN"/>
        </w:rPr>
        <w:t>《环境影响报告表》（以下简称“报告表”）收悉。经研究，批复如下：</w:t>
      </w:r>
    </w:p>
    <w:p w14:paraId="0C86FAB5">
      <w:pPr>
        <w:pStyle w:val="9"/>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改扩建</w:t>
      </w:r>
      <w:r>
        <w:rPr>
          <w:rFonts w:hint="eastAsia" w:ascii="仿宋_GB2312" w:hAnsi="Times New Roman" w:eastAsia="仿宋_GB2312" w:cs="Times New Roman"/>
          <w:color w:val="000000"/>
          <w:sz w:val="32"/>
          <w:szCs w:val="32"/>
        </w:rPr>
        <w:t>项目,拟</w:t>
      </w:r>
      <w:r>
        <w:rPr>
          <w:rFonts w:hint="eastAsia" w:ascii="仿宋_GB2312" w:eastAsia="仿宋_GB2312" w:cs="Times New Roman"/>
          <w:color w:val="000000"/>
          <w:sz w:val="32"/>
          <w:szCs w:val="32"/>
          <w:lang w:eastAsia="zh-CN"/>
        </w:rPr>
        <w:t>在</w:t>
      </w:r>
      <w:r>
        <w:rPr>
          <w:rFonts w:hint="eastAsia" w:ascii="仿宋_GB2312" w:hAnsi="仿宋_GB2312" w:eastAsia="仿宋_GB2312" w:cs="仿宋_GB2312"/>
          <w:sz w:val="32"/>
          <w:szCs w:val="32"/>
        </w:rPr>
        <w:t>德阳市广汉市阳江路16号</w:t>
      </w:r>
      <w:r>
        <w:rPr>
          <w:rFonts w:hint="eastAsia" w:ascii="仿宋_GB2312" w:hAnsi="仿宋_GB2312" w:eastAsia="仿宋_GB2312" w:cs="仿宋_GB2312"/>
          <w:sz w:val="32"/>
          <w:szCs w:val="32"/>
          <w:lang w:val="en-US" w:eastAsia="zh-CN"/>
        </w:rPr>
        <w:t>24-2号</w:t>
      </w:r>
      <w:r>
        <w:rPr>
          <w:rFonts w:hint="eastAsia" w:ascii="仿宋_GB2312" w:hAnsi="Times New Roman" w:eastAsia="仿宋_GB2312" w:cs="Times New Roman"/>
          <w:color w:val="000000"/>
          <w:sz w:val="32"/>
          <w:szCs w:val="32"/>
          <w:lang w:val="en-US" w:eastAsia="zh-CN"/>
        </w:rPr>
        <w:t>已建标准化厂房</w:t>
      </w:r>
      <w:r>
        <w:rPr>
          <w:rFonts w:hint="eastAsia" w:ascii="仿宋_GB2312" w:hAnsi="Times New Roman" w:eastAsia="仿宋_GB2312" w:cs="Times New Roman"/>
          <w:color w:val="000000"/>
          <w:sz w:val="32"/>
          <w:szCs w:val="32"/>
        </w:rPr>
        <w:t>建</w:t>
      </w:r>
      <w:r>
        <w:rPr>
          <w:rFonts w:hint="eastAsia" w:ascii="仿宋_GB2312" w:hAnsi="Times New Roman" w:eastAsia="仿宋_GB2312" w:cs="Times New Roman"/>
          <w:color w:val="000000"/>
          <w:sz w:val="32"/>
          <w:szCs w:val="32"/>
          <w:lang w:val="en-US" w:eastAsia="zh-CN"/>
        </w:rPr>
        <w:t>设，用地面积</w:t>
      </w:r>
      <w:r>
        <w:rPr>
          <w:rFonts w:hint="eastAsia" w:ascii="仿宋_GB2312" w:eastAsia="仿宋_GB2312" w:cs="Times New Roman"/>
          <w:color w:val="000000"/>
          <w:sz w:val="32"/>
          <w:szCs w:val="32"/>
          <w:lang w:val="en-US" w:eastAsia="zh-CN"/>
        </w:rPr>
        <w:t>2057.42</w:t>
      </w:r>
      <w:r>
        <w:rPr>
          <w:rFonts w:hint="eastAsia" w:ascii="仿宋_GB2312" w:hAnsi="Times New Roman" w:eastAsia="仿宋_GB2312" w:cs="Times New Roman"/>
          <w:color w:val="000000"/>
          <w:sz w:val="32"/>
          <w:szCs w:val="32"/>
          <w:lang w:val="en-US" w:eastAsia="zh-CN"/>
        </w:rPr>
        <w:t>平方米。项目内</w:t>
      </w:r>
      <w:r>
        <w:rPr>
          <w:rFonts w:hint="eastAsia" w:ascii="仿宋_GB2312" w:hAnsi="仿宋_GB2312" w:eastAsia="仿宋_GB2312" w:cs="仿宋_GB2312"/>
          <w:kern w:val="2"/>
          <w:sz w:val="32"/>
          <w:szCs w:val="32"/>
          <w:lang w:val="en-US" w:eastAsia="zh-CN" w:bidi="ar-SA"/>
        </w:rPr>
        <w:t>容及规模为：对现有厂房进行适应性改造，依托相关公辅设施，将原24-1号厂房的一台盘绞机、一台挤出机搬迁至24-2号厂房，并购置中拉连退机、管绞机、挤出机、成缆机、喷码机等生产设备，布设电线、电缆生产线，项目建成后新增年产电线1000吨、电缆1500吨的生产能力。原项目年产电线1000吨、电缆1500吨的生产能力保持不变。项目总投资550万元，其中环保投资40万元。</w:t>
      </w:r>
    </w:p>
    <w:p w14:paraId="5200CD3C">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项目在四川省投资项目在线审批监管平台进行了备案（备案号：川投资</w:t>
      </w:r>
      <w:r>
        <w:rPr>
          <w:rFonts w:hint="eastAsia" w:ascii="Times New Roman" w:hAnsi="Times New Roman" w:eastAsia="仿宋_GB2312" w:cs="Times New Roman"/>
          <w:kern w:val="2"/>
          <w:sz w:val="32"/>
          <w:szCs w:val="32"/>
          <w:highlight w:val="none"/>
          <w:lang w:val="en-US" w:eastAsia="zh-CN" w:bidi="ar-SA"/>
        </w:rPr>
        <w:t>备[25</w:t>
      </w:r>
      <w:r>
        <w:rPr>
          <w:rFonts w:hint="eastAsia" w:cs="Times New Roman"/>
          <w:kern w:val="2"/>
          <w:sz w:val="32"/>
          <w:szCs w:val="32"/>
          <w:highlight w:val="none"/>
          <w:lang w:val="en-US" w:eastAsia="zh-CN" w:bidi="ar-SA"/>
        </w:rPr>
        <w:t>11</w:t>
      </w:r>
      <w:r>
        <w:rPr>
          <w:rFonts w:hint="eastAsia" w:ascii="Times New Roman" w:hAnsi="Times New Roman" w:eastAsia="仿宋_GB2312" w:cs="Times New Roman"/>
          <w:kern w:val="2"/>
          <w:sz w:val="32"/>
          <w:szCs w:val="32"/>
          <w:highlight w:val="none"/>
          <w:lang w:val="en-US" w:eastAsia="zh-CN" w:bidi="ar-SA"/>
        </w:rPr>
        <w:t>-5106</w:t>
      </w:r>
      <w:r>
        <w:rPr>
          <w:rFonts w:hint="eastAsia" w:cs="Times New Roman"/>
          <w:kern w:val="2"/>
          <w:sz w:val="32"/>
          <w:szCs w:val="32"/>
          <w:highlight w:val="none"/>
          <w:lang w:val="en-US" w:eastAsia="zh-CN" w:bidi="ar-SA"/>
        </w:rPr>
        <w:t>81</w:t>
      </w:r>
      <w:r>
        <w:rPr>
          <w:rFonts w:hint="eastAsia" w:ascii="Times New Roman" w:hAnsi="Times New Roman" w:eastAsia="仿宋_GB2312" w:cs="Times New Roman"/>
          <w:kern w:val="2"/>
          <w:sz w:val="32"/>
          <w:szCs w:val="32"/>
          <w:highlight w:val="none"/>
          <w:lang w:val="en-US" w:eastAsia="zh-CN" w:bidi="ar-SA"/>
        </w:rPr>
        <w:t>-0</w:t>
      </w:r>
      <w:r>
        <w:rPr>
          <w:rFonts w:hint="eastAsia" w:cs="Times New Roman"/>
          <w:kern w:val="2"/>
          <w:sz w:val="32"/>
          <w:szCs w:val="32"/>
          <w:highlight w:val="none"/>
          <w:lang w:val="en-US" w:eastAsia="zh-CN" w:bidi="ar-SA"/>
        </w:rPr>
        <w:t>7</w:t>
      </w:r>
      <w:r>
        <w:rPr>
          <w:rFonts w:hint="eastAsia" w:ascii="Times New Roman" w:hAnsi="Times New Roman" w:eastAsia="仿宋_GB2312" w:cs="Times New Roman"/>
          <w:kern w:val="2"/>
          <w:sz w:val="32"/>
          <w:szCs w:val="32"/>
          <w:highlight w:val="none"/>
          <w:lang w:val="en-US" w:eastAsia="zh-CN" w:bidi="ar-SA"/>
        </w:rPr>
        <w:t>-0</w:t>
      </w:r>
      <w:r>
        <w:rPr>
          <w:rFonts w:hint="eastAsia"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300642</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JX</w:t>
      </w:r>
      <w:r>
        <w:rPr>
          <w:rFonts w:hint="eastAsia" w:ascii="Times New Roman" w:hAnsi="Times New Roman" w:eastAsia="仿宋_GB2312" w:cs="Times New Roman"/>
          <w:kern w:val="2"/>
          <w:sz w:val="32"/>
          <w:szCs w:val="32"/>
          <w:highlight w:val="none"/>
          <w:lang w:val="en-US" w:eastAsia="zh-CN" w:bidi="ar-SA"/>
        </w:rPr>
        <w:t>QB-</w:t>
      </w:r>
      <w:r>
        <w:rPr>
          <w:rFonts w:hint="eastAsia" w:cs="Times New Roman"/>
          <w:kern w:val="2"/>
          <w:sz w:val="32"/>
          <w:szCs w:val="32"/>
          <w:highlight w:val="none"/>
          <w:lang w:val="en-US" w:eastAsia="zh-CN" w:bidi="ar-SA"/>
        </w:rPr>
        <w:t>1346</w:t>
      </w:r>
      <w:r>
        <w:rPr>
          <w:rFonts w:hint="eastAsia" w:ascii="Times New Roman" w:hAnsi="Times New Roman" w:eastAsia="仿宋_GB2312" w:cs="Times New Roman"/>
          <w:kern w:val="2"/>
          <w:sz w:val="32"/>
          <w:szCs w:val="32"/>
          <w:highlight w:val="none"/>
          <w:lang w:val="en-US" w:eastAsia="zh-CN" w:bidi="ar-SA"/>
        </w:rPr>
        <w:t>号</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符合国家现行产业政策</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广汉市国土空间总体规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及</w:t>
      </w:r>
      <w:r>
        <w:rPr>
          <w:rFonts w:hint="eastAsia" w:ascii="仿宋_GB2312" w:hAnsi="仿宋_GB2312" w:cs="仿宋_GB2312"/>
          <w:kern w:val="2"/>
          <w:sz w:val="32"/>
          <w:szCs w:val="32"/>
          <w:lang w:val="en-US" w:eastAsia="zh-CN" w:bidi="ar-SA"/>
        </w:rPr>
        <w:t>德阳南控科技产业发展</w:t>
      </w:r>
      <w:r>
        <w:rPr>
          <w:rFonts w:hint="eastAsia" w:ascii="仿宋_GB2312" w:hAnsi="Times New Roman" w:eastAsia="仿宋_GB2312" w:cs="Times New Roman"/>
          <w:color w:val="000000"/>
          <w:sz w:val="32"/>
          <w:szCs w:val="32"/>
          <w:lang w:val="en-US" w:eastAsia="zh-CN"/>
        </w:rPr>
        <w:t>有限公司</w:t>
      </w:r>
      <w:r>
        <w:rPr>
          <w:rFonts w:hint="eastAsia" w:ascii="仿宋_GB2312" w:hAnsi="仿宋_GB2312" w:eastAsia="仿宋_GB2312" w:cs="仿宋_GB2312"/>
          <w:kern w:val="2"/>
          <w:sz w:val="32"/>
          <w:szCs w:val="32"/>
          <w:lang w:val="en-US" w:eastAsia="zh-CN" w:bidi="ar-SA"/>
        </w:rPr>
        <w:t>取得的《不动产权证》，项目用地性质为工业用地，选址符合规划。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（三）严格落实并优化报告表提出的各项废气处理措施。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落实挤出和喷码工序的集气罩</w:t>
      </w:r>
      <w:r>
        <w:rPr>
          <w:rFonts w:hint="eastAsia" w:ascii="仿宋_GB2312" w:hAnsi="仿宋_GB2312" w:cs="仿宋_GB2312"/>
          <w:color w:val="000000" w:themeColor="text1"/>
          <w:sz w:val="32"/>
          <w:szCs w:val="32"/>
          <w:lang w:val="en-US" w:eastAsia="zh-CN"/>
          <w14:textFill>
            <w14:solidFill>
              <w14:schemeClr w14:val="tx1"/>
            </w14:solidFill>
          </w14:textFill>
        </w:rPr>
        <w:t>+软帘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+二级活性炭吸附装置，确保挤出有机废气、氯化氢以及喷码有机废气经收集处理后由1根15米高排气筒达标排放</w:t>
      </w:r>
      <w:r>
        <w:rPr>
          <w:rFonts w:hint="eastAsia" w:ascii="Times New Roman" w:hAnsi="Times New Roman" w:eastAsia="仿宋_GB2312" w:cs="Times New Roman"/>
          <w:kern w:val="2"/>
          <w:sz w:val="32"/>
          <w:szCs w:val="24"/>
          <w:lang w:val="en-US" w:eastAsia="zh-CN" w:bidi="ar-SA"/>
        </w:rPr>
        <w:t>。</w:t>
      </w:r>
    </w:p>
    <w:p w14:paraId="76E472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lang w:eastAsia="zh-CN"/>
        </w:rPr>
      </w:pPr>
      <w:r>
        <w:rPr>
          <w:rFonts w:hint="eastAsia"/>
          <w:lang w:eastAsia="zh-CN"/>
        </w:rPr>
        <w:t>（四）严格落实并优化报告表提出的各项废水处理措施。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目冷却水、拉丝液用水循环使用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，不外排；生活污水依托中国南山德阳高新区产业园内</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已建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化粪池处理达到</w:t>
      </w:r>
      <w:r>
        <w:rPr>
          <w:rFonts w:hint="eastAsia" w:ascii="仿宋_GB2312" w:hAnsi="仿宋_GB2312" w:eastAsia="仿宋_GB2312" w:cs="仿宋_GB2312"/>
          <w:color w:val="000000"/>
          <w:sz w:val="32"/>
          <w:szCs w:val="32"/>
          <w:lang w:eastAsia="zh-CN"/>
        </w:rPr>
        <w:t>《污水综合排放标准》（GB8978-1996）中三级标准后排入市政污水管网，再经广汉市第二污水处理厂处理达《四川省岷江、沱江流域水污染物排放标准》（DB51/2311-2016）中工业园区集中式污水处理厂标准后外排。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废铜、不合格产品、废铝带、废钢、废填充绳、废焊渣、废包装材料、废绕包带外售废品回收单位；项目废机油、废机油桶、废拉丝渣、废拉丝液、废拉丝液桶、废油墨桶、废活性炭、含油墨及机油的抹布、手套、废紫外灯管属</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危废暂存间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、冷却水循环水池、拉丝液池</w:t>
      </w:r>
      <w:r>
        <w:rPr>
          <w:rFonts w:hint="eastAsia"/>
          <w:lang w:val="en-US" w:eastAsia="zh-CN"/>
        </w:rPr>
        <w:t>设置为重点防渗区，将生产车间其他区域设置为一般防渗区，将办公区、其余区域设置为简单防渗区，分别采取防渗措施。建立和完善地下水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62264A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全厂挥发性有机物排放量为</w:t>
      </w:r>
      <w:r>
        <w:rPr>
          <w:rFonts w:hint="eastAsia"/>
          <w:snapToGrid w:val="0"/>
          <w:lang w:val="en-US" w:eastAsia="zh-CN"/>
        </w:rPr>
        <w:t>0.2335</w:t>
      </w:r>
      <w:r>
        <w:rPr>
          <w:rFonts w:hint="eastAsia"/>
          <w:lang w:val="en-US" w:eastAsia="zh-CN"/>
        </w:rPr>
        <w:t>吨/年</w:t>
      </w:r>
      <w:r>
        <w:rPr>
          <w:rFonts w:hint="eastAsia"/>
          <w:lang w:eastAsia="zh-CN"/>
        </w:rPr>
        <w:t>，其</w:t>
      </w:r>
      <w:r>
        <w:rPr>
          <w:rFonts w:hint="eastAsia"/>
          <w:highlight w:val="none"/>
          <w:lang w:eastAsia="zh-CN"/>
        </w:rPr>
        <w:t>总</w:t>
      </w:r>
      <w:r>
        <w:rPr>
          <w:rFonts w:hint="eastAsia"/>
          <w:lang w:eastAsia="zh-CN"/>
        </w:rPr>
        <w:t>量控制指标</w:t>
      </w:r>
      <w:r>
        <w:rPr>
          <w:rFonts w:hint="eastAsia"/>
          <w:lang w:val="en-US" w:eastAsia="zh-CN"/>
        </w:rPr>
        <w:t>按</w:t>
      </w:r>
      <w:r>
        <w:rPr>
          <w:rFonts w:hint="eastAsia"/>
          <w:lang w:eastAsia="zh-CN"/>
        </w:rPr>
        <w:t>德阳市广汉生态环境局</w:t>
      </w:r>
      <w:r>
        <w:rPr>
          <w:rFonts w:hint="eastAsia"/>
          <w:lang w:val="en-US" w:eastAsia="zh-CN"/>
        </w:rPr>
        <w:t>总量文件执</w:t>
      </w:r>
      <w:r>
        <w:rPr>
          <w:rFonts w:hint="eastAsia" w:ascii="Times New Roman" w:hAnsi="Times New Roman" w:cs="Times New Roman"/>
          <w:lang w:val="en-US" w:eastAsia="zh-CN"/>
        </w:rPr>
        <w:t>行。</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1</w:t>
      </w:r>
      <w:r>
        <w:rPr>
          <w:rFonts w:hint="eastAsia"/>
          <w:lang w:eastAsia="zh-CN"/>
        </w:rPr>
        <w:t>月</w:t>
      </w:r>
      <w:r>
        <w:rPr>
          <w:rFonts w:hint="eastAsia"/>
          <w:lang w:val="en-US" w:eastAsia="zh-CN"/>
        </w:rPr>
        <w:t>20</w:t>
      </w:r>
      <w:r>
        <w:rPr>
          <w:rFonts w:hint="eastAsia"/>
          <w:lang w:eastAsia="zh-CN"/>
        </w:rPr>
        <w:t>日</w:t>
      </w:r>
    </w:p>
    <w:sectPr>
      <w:footerReference r:id="rId5"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CC6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70F5ED">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770F5ED">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2C319A"/>
    <w:rsid w:val="068D1F71"/>
    <w:rsid w:val="06C07F19"/>
    <w:rsid w:val="07EE52C1"/>
    <w:rsid w:val="08E224A3"/>
    <w:rsid w:val="0C4A0047"/>
    <w:rsid w:val="0C8F08DD"/>
    <w:rsid w:val="0CBC5D91"/>
    <w:rsid w:val="0D8434C8"/>
    <w:rsid w:val="10476743"/>
    <w:rsid w:val="10B04339"/>
    <w:rsid w:val="10BE0F8E"/>
    <w:rsid w:val="11A36E95"/>
    <w:rsid w:val="11AF7E92"/>
    <w:rsid w:val="121F6F46"/>
    <w:rsid w:val="141B194C"/>
    <w:rsid w:val="14857F30"/>
    <w:rsid w:val="172E0063"/>
    <w:rsid w:val="17722C48"/>
    <w:rsid w:val="17FF1243"/>
    <w:rsid w:val="185660F9"/>
    <w:rsid w:val="1A5823C6"/>
    <w:rsid w:val="1D0B506B"/>
    <w:rsid w:val="1DA61023"/>
    <w:rsid w:val="1F9D62EA"/>
    <w:rsid w:val="207C77B4"/>
    <w:rsid w:val="20A0736A"/>
    <w:rsid w:val="20EE3BBC"/>
    <w:rsid w:val="233040CC"/>
    <w:rsid w:val="240472A7"/>
    <w:rsid w:val="24602490"/>
    <w:rsid w:val="25B23D47"/>
    <w:rsid w:val="27CF70BB"/>
    <w:rsid w:val="285E0D94"/>
    <w:rsid w:val="2A3732D1"/>
    <w:rsid w:val="2A8433D1"/>
    <w:rsid w:val="2B1D6405"/>
    <w:rsid w:val="2B4222FA"/>
    <w:rsid w:val="2B6C37C8"/>
    <w:rsid w:val="2C6B7FAD"/>
    <w:rsid w:val="2E624E98"/>
    <w:rsid w:val="2F4838A9"/>
    <w:rsid w:val="30F523E0"/>
    <w:rsid w:val="31231C2B"/>
    <w:rsid w:val="3511441F"/>
    <w:rsid w:val="35C30878"/>
    <w:rsid w:val="36BF255B"/>
    <w:rsid w:val="37BD6F38"/>
    <w:rsid w:val="3847678F"/>
    <w:rsid w:val="395D29A2"/>
    <w:rsid w:val="398E50E4"/>
    <w:rsid w:val="39D12496"/>
    <w:rsid w:val="3A6E4FAF"/>
    <w:rsid w:val="3AFA05BA"/>
    <w:rsid w:val="3B8A62BD"/>
    <w:rsid w:val="41B502FB"/>
    <w:rsid w:val="432F1B9E"/>
    <w:rsid w:val="449D70C1"/>
    <w:rsid w:val="471A4C57"/>
    <w:rsid w:val="47E30E5E"/>
    <w:rsid w:val="490D1D9A"/>
    <w:rsid w:val="493B5434"/>
    <w:rsid w:val="4AB250DD"/>
    <w:rsid w:val="4C3F558F"/>
    <w:rsid w:val="4E20458D"/>
    <w:rsid w:val="50AE4753"/>
    <w:rsid w:val="52EB1116"/>
    <w:rsid w:val="545838A3"/>
    <w:rsid w:val="550F5283"/>
    <w:rsid w:val="55922BB8"/>
    <w:rsid w:val="55A41A97"/>
    <w:rsid w:val="5648005A"/>
    <w:rsid w:val="56EF32D7"/>
    <w:rsid w:val="598E3781"/>
    <w:rsid w:val="5A282A37"/>
    <w:rsid w:val="5B9E1A76"/>
    <w:rsid w:val="5E923FC8"/>
    <w:rsid w:val="61A94127"/>
    <w:rsid w:val="622C0699"/>
    <w:rsid w:val="62544876"/>
    <w:rsid w:val="62711A47"/>
    <w:rsid w:val="63ED6FC7"/>
    <w:rsid w:val="6488096B"/>
    <w:rsid w:val="65555212"/>
    <w:rsid w:val="65AB4EFC"/>
    <w:rsid w:val="662B4514"/>
    <w:rsid w:val="66737356"/>
    <w:rsid w:val="67D747D7"/>
    <w:rsid w:val="67FB3202"/>
    <w:rsid w:val="69CF40DE"/>
    <w:rsid w:val="6CC97B23"/>
    <w:rsid w:val="6EF72978"/>
    <w:rsid w:val="6F4577DC"/>
    <w:rsid w:val="70924242"/>
    <w:rsid w:val="709B28DF"/>
    <w:rsid w:val="71823CF1"/>
    <w:rsid w:val="71D36ECE"/>
    <w:rsid w:val="721553B9"/>
    <w:rsid w:val="73261DAF"/>
    <w:rsid w:val="74242AB0"/>
    <w:rsid w:val="74A42A0A"/>
    <w:rsid w:val="75102DA9"/>
    <w:rsid w:val="754937FF"/>
    <w:rsid w:val="765B6ABB"/>
    <w:rsid w:val="76E67707"/>
    <w:rsid w:val="776E3ADC"/>
    <w:rsid w:val="77712936"/>
    <w:rsid w:val="77D93560"/>
    <w:rsid w:val="77ED1ADC"/>
    <w:rsid w:val="78901500"/>
    <w:rsid w:val="78A0421B"/>
    <w:rsid w:val="78B97F84"/>
    <w:rsid w:val="7BD55DBA"/>
    <w:rsid w:val="7C326B40"/>
    <w:rsid w:val="7C4976F5"/>
    <w:rsid w:val="7D8FDBA7"/>
    <w:rsid w:val="7F461315"/>
    <w:rsid w:val="7F5B9543"/>
    <w:rsid w:val="7FF80B8D"/>
    <w:rsid w:val="93EA4663"/>
    <w:rsid w:val="9FFE50CB"/>
    <w:rsid w:val="AFFFCEB7"/>
    <w:rsid w:val="B2DFDB88"/>
    <w:rsid w:val="D7FD64A0"/>
    <w:rsid w:val="E5FFE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标题 1 字符"/>
    <w:basedOn w:val="7"/>
    <w:link w:val="2"/>
    <w:autoRedefine/>
    <w:qFormat/>
    <w:uiPriority w:val="9"/>
    <w:rPr>
      <w:rFonts w:ascii="Times New Roman" w:hAnsi="Times New Roman" w:eastAsia="方正小标宋简体"/>
      <w:bCs/>
      <w:kern w:val="44"/>
      <w:sz w:val="44"/>
      <w:szCs w:val="44"/>
    </w:rPr>
  </w:style>
  <w:style w:type="paragraph" w:customStyle="1" w:styleId="9">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2279</Words>
  <Characters>2375</Characters>
  <Lines>0</Lines>
  <Paragraphs>0</Paragraphs>
  <TotalTime>17</TotalTime>
  <ScaleCrop>false</ScaleCrop>
  <LinksUpToDate>false</LinksUpToDate>
  <CharactersWithSpaces>2461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2023-12-08T22:40:00Z</dcterms:created>
  <dc:creator>HY</dc:creator>
  <cp:lastModifiedBy>user</cp:lastModifiedBy>
  <cp:lastPrinted>2026-01-20T11:48:24Z</cp:lastPrinted>
  <dcterms:modified xsi:type="dcterms:W3CDTF">2026-01-20T11:48:27Z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FDB9B0D3E96B4612B4631ACA395E4DE9_13</vt:lpwstr>
  </property>
  <property fmtid="{D5CDD505-2E9C-101B-9397-08002B2CF9AE}" pid="4" name="KSOTemplateDocerSaveRecord">
    <vt:lpwstr>eyJoZGlkIjoiZTcwY2IwODA0NjBmNjU3YzQ0NzhjZjQ5Nzc1ODVhMjUiLCJ1c2VySWQiOiIxNjYwNzk2ODQ1In0=</vt:lpwstr>
  </property>
</Properties>
</file>