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8" w:lineRule="auto"/>
        <w:rPr>
          <w:rStyle w:val="37"/>
          <w:rFonts w:hint="eastAsia"/>
          <w:highlight w:val="yellow"/>
          <w:lang w:val="en-US" w:eastAsia="zh-CN"/>
        </w:rPr>
      </w:pPr>
    </w:p>
    <w:p>
      <w:pPr>
        <w:spacing w:line="268" w:lineRule="auto"/>
        <w:rPr>
          <w:rFonts w:ascii="Arial"/>
          <w:sz w:val="21"/>
          <w:highlight w:val="yellow"/>
        </w:rPr>
      </w:pPr>
    </w:p>
    <w:p>
      <w:pPr>
        <w:spacing w:line="269" w:lineRule="auto"/>
        <w:rPr>
          <w:rFonts w:ascii="Arial"/>
          <w:sz w:val="21"/>
          <w:highlight w:val="yellow"/>
        </w:rPr>
      </w:pPr>
    </w:p>
    <w:p>
      <w:pPr>
        <w:spacing w:line="269" w:lineRule="auto"/>
        <w:rPr>
          <w:rFonts w:ascii="Arial"/>
          <w:sz w:val="21"/>
          <w:highlight w:val="yellow"/>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2"/>
          <w:sz w:val="55"/>
          <w:szCs w:val="55"/>
          <w:highlight w:val="none"/>
          <w:lang w:val="en-US" w:eastAsia="zh-CN"/>
        </w:rPr>
      </w:pPr>
      <w:r>
        <w:rPr>
          <w:rFonts w:hint="eastAsia" w:ascii="宋体" w:hAnsi="宋体" w:eastAsia="宋体" w:cs="宋体"/>
          <w:spacing w:val="2"/>
          <w:sz w:val="55"/>
          <w:szCs w:val="55"/>
          <w:highlight w:val="none"/>
          <w:lang w:val="en-US" w:eastAsia="zh-CN"/>
        </w:rPr>
        <w:t>广汉龙泉等3座水库存量资产暨淤积物资源化利用经营权盘活项目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ascii="宋体" w:hAnsi="宋体" w:eastAsia="宋体" w:cs="宋体"/>
          <w:sz w:val="55"/>
          <w:szCs w:val="55"/>
          <w:highlight w:val="none"/>
        </w:rPr>
      </w:pPr>
      <w:r>
        <w:rPr>
          <w:rFonts w:hint="eastAsia" w:ascii="宋体" w:hAnsi="宋体" w:eastAsia="宋体" w:cs="宋体"/>
          <w:spacing w:val="2"/>
          <w:sz w:val="55"/>
          <w:szCs w:val="55"/>
          <w:highlight w:val="none"/>
          <w:lang w:val="en-US" w:eastAsia="zh-CN"/>
        </w:rPr>
        <w:t>经营方案</w:t>
      </w:r>
    </w:p>
    <w:p>
      <w:pPr>
        <w:rPr>
          <w:rFonts w:ascii="Arial"/>
          <w:sz w:val="21"/>
          <w:highlight w:val="none"/>
        </w:rPr>
      </w:pPr>
    </w:p>
    <w:p>
      <w:pPr>
        <w:rPr>
          <w:rFonts w:ascii="Arial"/>
          <w:sz w:val="21"/>
          <w:highlight w:val="none"/>
        </w:rPr>
      </w:pPr>
    </w:p>
    <w:p>
      <w:pPr>
        <w:rPr>
          <w:rFonts w:ascii="Arial"/>
          <w:sz w:val="21"/>
          <w:highlight w:val="none"/>
        </w:rPr>
      </w:pPr>
    </w:p>
    <w:p>
      <w:pPr>
        <w:rPr>
          <w:rFonts w:ascii="Arial"/>
          <w:sz w:val="21"/>
          <w:highlight w:val="none"/>
        </w:rPr>
      </w:pPr>
    </w:p>
    <w:p>
      <w:pPr>
        <w:rPr>
          <w:rFonts w:ascii="Arial"/>
          <w:sz w:val="21"/>
          <w:highlight w:val="none"/>
        </w:rPr>
      </w:pPr>
    </w:p>
    <w:p>
      <w:pPr>
        <w:rPr>
          <w:rFonts w:ascii="Arial"/>
          <w:sz w:val="21"/>
          <w:highlight w:val="none"/>
        </w:rPr>
      </w:pPr>
    </w:p>
    <w:p>
      <w:pPr>
        <w:spacing w:line="241"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highlight w:val="none"/>
        </w:rPr>
      </w:pPr>
    </w:p>
    <w:p>
      <w:pPr>
        <w:pStyle w:val="22"/>
        <w:rPr>
          <w:rFonts w:ascii="Arial"/>
          <w:sz w:val="21"/>
          <w:highlight w:val="none"/>
        </w:rPr>
      </w:pPr>
    </w:p>
    <w:p>
      <w:pPr>
        <w:rPr>
          <w:rFonts w:ascii="Arial"/>
          <w:sz w:val="21"/>
          <w:highlight w:val="none"/>
        </w:rPr>
      </w:pPr>
    </w:p>
    <w:p>
      <w:pPr>
        <w:pStyle w:val="22"/>
        <w:rPr>
          <w:rFonts w:ascii="Arial"/>
          <w:sz w:val="21"/>
          <w:highlight w:val="none"/>
        </w:rPr>
      </w:pPr>
    </w:p>
    <w:p>
      <w:pPr>
        <w:rPr>
          <w:rFonts w:ascii="Arial"/>
          <w:sz w:val="21"/>
          <w:highlight w:val="none"/>
        </w:rPr>
      </w:pPr>
    </w:p>
    <w:p>
      <w:pPr>
        <w:rPr>
          <w:rFonts w:ascii="Arial"/>
          <w:sz w:val="21"/>
          <w:highlight w:val="none"/>
        </w:rPr>
      </w:pPr>
    </w:p>
    <w:p>
      <w:pPr>
        <w:pStyle w:val="22"/>
        <w:rPr>
          <w:rFonts w:ascii="Arial"/>
          <w:sz w:val="21"/>
          <w:highlight w:val="none"/>
        </w:rPr>
      </w:pPr>
    </w:p>
    <w:p>
      <w:pPr>
        <w:rPr>
          <w:rFonts w:ascii="Arial"/>
          <w:sz w:val="21"/>
          <w:highlight w:val="none"/>
        </w:rPr>
      </w:pPr>
    </w:p>
    <w:p>
      <w:pPr>
        <w:pStyle w:val="22"/>
        <w:rPr>
          <w:rFonts w:ascii="Arial"/>
          <w:sz w:val="21"/>
          <w:highlight w:val="none"/>
        </w:rPr>
      </w:pPr>
    </w:p>
    <w:p>
      <w:pPr>
        <w:rPr>
          <w:highlight w:val="none"/>
        </w:rPr>
      </w:pPr>
    </w:p>
    <w:p>
      <w:pPr>
        <w:spacing w:line="241" w:lineRule="auto"/>
        <w:rPr>
          <w:rFonts w:ascii="Arial"/>
          <w:sz w:val="21"/>
          <w:highlight w:val="none"/>
        </w:rPr>
      </w:pPr>
    </w:p>
    <w:p>
      <w:pPr>
        <w:spacing w:line="241"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实施单位：广汉市水利局</w:t>
      </w:r>
    </w:p>
    <w:p>
      <w:pPr>
        <w:spacing w:line="241"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二〇二</w:t>
      </w:r>
      <w:r>
        <w:rPr>
          <w:rFonts w:hint="eastAsia" w:ascii="宋体" w:hAnsi="宋体" w:eastAsia="宋体" w:cs="宋体"/>
          <w:b w:val="0"/>
          <w:bCs w:val="0"/>
          <w:sz w:val="28"/>
          <w:szCs w:val="28"/>
          <w:highlight w:val="none"/>
          <w:lang w:val="en-US" w:eastAsia="zh-CN"/>
        </w:rPr>
        <w:t>六</w:t>
      </w:r>
      <w:r>
        <w:rPr>
          <w:rFonts w:hint="eastAsia" w:ascii="宋体" w:hAnsi="宋体" w:eastAsia="宋体" w:cs="宋体"/>
          <w:b w:val="0"/>
          <w:bCs w:val="0"/>
          <w:sz w:val="28"/>
          <w:szCs w:val="28"/>
          <w:highlight w:val="none"/>
          <w:lang w:eastAsia="zh-CN"/>
        </w:rPr>
        <w:t>年</w:t>
      </w:r>
      <w:r>
        <w:rPr>
          <w:rFonts w:hint="eastAsia" w:ascii="宋体" w:hAnsi="宋体" w:eastAsia="宋体" w:cs="宋体"/>
          <w:b w:val="0"/>
          <w:bCs w:val="0"/>
          <w:sz w:val="28"/>
          <w:szCs w:val="28"/>
          <w:highlight w:val="none"/>
          <w:lang w:val="en-US" w:eastAsia="zh-CN"/>
        </w:rPr>
        <w:t>一</w:t>
      </w:r>
      <w:r>
        <w:rPr>
          <w:rFonts w:hint="eastAsia" w:ascii="宋体" w:hAnsi="宋体" w:eastAsia="宋体" w:cs="宋体"/>
          <w:b w:val="0"/>
          <w:bCs w:val="0"/>
          <w:sz w:val="28"/>
          <w:szCs w:val="28"/>
          <w:highlight w:val="none"/>
          <w:lang w:eastAsia="zh-CN"/>
        </w:rPr>
        <w:t>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840" w:firstLineChars="300"/>
        <w:jc w:val="center"/>
        <w:textAlignment w:val="baseline"/>
        <w:rPr>
          <w:rFonts w:hint="eastAsia" w:ascii="宋体" w:hAnsi="宋体" w:eastAsia="宋体" w:cs="宋体"/>
          <w:b w:val="0"/>
          <w:bCs w:val="0"/>
          <w:sz w:val="28"/>
          <w:szCs w:val="28"/>
          <w:highlight w:val="yellow"/>
          <w:lang w:eastAsia="zh-CN"/>
        </w:rPr>
        <w:sectPr>
          <w:pgSz w:w="11906" w:h="16839"/>
          <w:pgMar w:top="1440" w:right="1803" w:bottom="1440" w:left="1803" w:header="850" w:footer="1134" w:gutter="0"/>
          <w:pgBorders>
            <w:top w:val="none" w:sz="0" w:space="0"/>
            <w:left w:val="none" w:sz="0" w:space="0"/>
            <w:bottom w:val="none" w:sz="0" w:space="0"/>
            <w:right w:val="none" w:sz="0" w:space="0"/>
          </w:pgBorders>
          <w:pgNumType w:fmt="decimal" w:start="1"/>
          <w:cols w:space="720" w:num="1"/>
          <w:rtlGutter w:val="0"/>
          <w:docGrid w:linePitch="1" w:charSpace="0"/>
        </w:sectPr>
      </w:pP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z w:val="32"/>
          <w:szCs w:val="32"/>
          <w:highlight w:val="none"/>
        </w:rPr>
      </w:pPr>
      <w:bookmarkStart w:id="0" w:name="_bookmark1"/>
      <w:bookmarkEnd w:id="0"/>
      <w:r>
        <w:rPr>
          <w:rFonts w:hint="eastAsia" w:ascii="仿宋" w:hAnsi="仿宋" w:eastAsia="仿宋" w:cs="仿宋"/>
          <w:b/>
          <w:bCs/>
          <w:sz w:val="32"/>
          <w:szCs w:val="32"/>
          <w:highlight w:val="none"/>
        </w:rPr>
        <w:t>目录</w:t>
      </w:r>
    </w:p>
    <w:p>
      <w:pPr>
        <w:pStyle w:val="9"/>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_Toc26250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第一章概述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_Toc26250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_Toc29291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1.1项目概括</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_Toc29291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_Toc1949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1.2项目实施机构等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_Toc1949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_Toc32756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1.3经营主要内容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_Toc32756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_Toc2004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1.4政府承诺和保障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_Toc2004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9"/>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_Toc4983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第二章经营权主要内容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_Toc4983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_Toc25848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2.1经营权范围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_Toc25848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_Toc14503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2.2实施方式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_Toc14503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_Toc13495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2.3经营期限和资产权属</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_Toc13495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_Toc11289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2.4主要原则和合作边界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_Toc11289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_Toc20590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2.5成交经营者选择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_Toc20590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_Toc7279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2.6交易结构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_Toc7279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_Toc17443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2.7监督管理和项目运营评价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_Toc17443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_Toc17875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2.8风险管控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_Toc17875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_Toc17035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2.9政府承诺和保障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_Toc17035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_Toc17020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2.10调整、变更等其他要求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_Toc17020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9"/>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_Toc11793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第三章结论与建议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_Toc11793 \h </w:instrText>
      </w:r>
      <w:r>
        <w:rPr>
          <w:rFonts w:hint="eastAsia" w:ascii="仿宋" w:hAnsi="仿宋" w:eastAsia="仿宋" w:cs="仿宋"/>
          <w:sz w:val="24"/>
          <w:szCs w:val="24"/>
        </w:rPr>
        <w:fldChar w:fldCharType="separate"/>
      </w:r>
      <w:r>
        <w:rPr>
          <w:rFonts w:hint="eastAsia" w:ascii="仿宋" w:hAnsi="仿宋" w:eastAsia="仿宋" w:cs="仿宋"/>
          <w:sz w:val="24"/>
          <w:szCs w:val="24"/>
        </w:rPr>
        <w:t>36</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_Toc8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3.1主要研究结论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 \h </w:instrText>
      </w:r>
      <w:r>
        <w:rPr>
          <w:rFonts w:hint="eastAsia" w:ascii="仿宋" w:hAnsi="仿宋" w:eastAsia="仿宋" w:cs="仿宋"/>
          <w:sz w:val="24"/>
          <w:szCs w:val="24"/>
        </w:rPr>
        <w:fldChar w:fldCharType="separate"/>
      </w:r>
      <w:r>
        <w:rPr>
          <w:rFonts w:hint="eastAsia" w:ascii="仿宋" w:hAnsi="仿宋" w:eastAsia="仿宋" w:cs="仿宋"/>
          <w:sz w:val="24"/>
          <w:szCs w:val="24"/>
        </w:rPr>
        <w:t>36</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_Toc1844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3.2建议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_Toc1844 \h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highlight w:val="yellow"/>
        </w:rPr>
      </w:pPr>
      <w:r>
        <w:rPr>
          <w:rFonts w:hint="eastAsia" w:ascii="仿宋" w:hAnsi="仿宋" w:eastAsia="仿宋" w:cs="仿宋"/>
          <w:sz w:val="24"/>
          <w:szCs w:val="24"/>
          <w:highlight w:val="none"/>
        </w:rPr>
        <w:fldChar w:fldCharType="end"/>
      </w:r>
    </w:p>
    <w:p>
      <w:pPr>
        <w:pStyle w:val="3"/>
        <w:keepNext/>
        <w:keepLines/>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rPr>
          <w:rFonts w:hint="eastAsia" w:ascii="黑体" w:hAnsi="黑体" w:eastAsia="黑体" w:cs="黑体"/>
          <w:b/>
          <w:bCs w:val="0"/>
          <w:highlight w:val="yellow"/>
          <w:lang w:val="en-US" w:eastAsia="zh-CN"/>
        </w:rPr>
        <w:sectPr>
          <w:headerReference r:id="rId5" w:type="default"/>
          <w:footerReference r:id="rId6" w:type="default"/>
          <w:pgSz w:w="11906" w:h="16839"/>
          <w:pgMar w:top="1431" w:right="1785" w:bottom="1180" w:left="1785" w:header="850" w:footer="1134" w:gutter="0"/>
          <w:pgBorders>
            <w:top w:val="none" w:sz="0" w:space="0"/>
            <w:left w:val="none" w:sz="0" w:space="0"/>
            <w:bottom w:val="none" w:sz="0" w:space="0"/>
            <w:right w:val="none" w:sz="0" w:space="0"/>
          </w:pgBorders>
          <w:pgNumType w:fmt="decimal"/>
          <w:cols w:space="720" w:num="1"/>
        </w:sectPr>
      </w:pPr>
      <w:bookmarkStart w:id="1" w:name="_Toc23004"/>
    </w:p>
    <w:p>
      <w:pPr>
        <w:pStyle w:val="3"/>
        <w:keepNext/>
        <w:keepLines/>
        <w:pageBreakBefore w:val="0"/>
        <w:widowControl/>
        <w:kinsoku w:val="0"/>
        <w:wordWrap/>
        <w:overflowPunct/>
        <w:topLinePunct w:val="0"/>
        <w:autoSpaceDE w:val="0"/>
        <w:autoSpaceDN w:val="0"/>
        <w:bidi w:val="0"/>
        <w:adjustRightInd/>
        <w:snapToGrid/>
        <w:spacing w:before="0" w:beforeLines="0" w:after="0" w:afterLines="0" w:line="600" w:lineRule="exact"/>
        <w:jc w:val="center"/>
        <w:textAlignment w:val="baseline"/>
        <w:rPr>
          <w:rFonts w:hint="eastAsia" w:ascii="方正小标宋简体" w:hAnsi="方正小标宋简体" w:eastAsia="方正小标宋简体" w:cs="方正小标宋简体"/>
          <w:b w:val="0"/>
          <w:bCs/>
          <w:highlight w:val="none"/>
          <w:lang w:val="en-US" w:eastAsia="zh-CN"/>
        </w:rPr>
      </w:pPr>
      <w:bookmarkStart w:id="2" w:name="_Toc26250"/>
      <w:r>
        <w:rPr>
          <w:rFonts w:hint="eastAsia" w:ascii="方正小标宋简体" w:hAnsi="方正小标宋简体" w:eastAsia="方正小标宋简体" w:cs="方正小标宋简体"/>
          <w:b w:val="0"/>
          <w:bCs/>
          <w:highlight w:val="none"/>
          <w:lang w:val="en-US" w:eastAsia="zh-CN"/>
        </w:rPr>
        <w:t>第一章概述</w:t>
      </w:r>
      <w:bookmarkEnd w:id="2"/>
    </w:p>
    <w:p>
      <w:pPr>
        <w:keepNext w:val="0"/>
        <w:keepLines w:val="0"/>
        <w:pageBreakBefore w:val="0"/>
        <w:widowControl w:val="0"/>
        <w:kinsoku w:val="0"/>
        <w:wordWrap/>
        <w:overflowPunct/>
        <w:topLinePunct w:val="0"/>
        <w:autoSpaceDE/>
        <w:autoSpaceDN/>
        <w:bidi w:val="0"/>
        <w:adjustRightInd/>
        <w:snapToGrid/>
        <w:spacing w:before="0" w:beforeAutospacing="0" w:after="0" w:afterAutospacing="0" w:line="600" w:lineRule="exact"/>
        <w:ind w:firstLine="420" w:firstLineChars="200"/>
        <w:jc w:val="both"/>
        <w:textAlignment w:val="baseline"/>
        <w:outlineLvl w:val="9"/>
        <w:rPr>
          <w:rFonts w:hint="default"/>
          <w:lang w:val="en-US" w:eastAsia="zh-CN"/>
        </w:rPr>
      </w:pPr>
    </w:p>
    <w:p>
      <w:pPr>
        <w:pStyle w:val="4"/>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textAlignment w:val="baseline"/>
        <w:rPr>
          <w:rFonts w:hint="eastAsia" w:ascii="黑体" w:hAnsi="黑体" w:eastAsia="黑体" w:cs="黑体"/>
          <w:b w:val="0"/>
          <w:bCs w:val="0"/>
          <w:sz w:val="32"/>
          <w:szCs w:val="32"/>
          <w:highlight w:val="none"/>
          <w:lang w:val="en-US" w:eastAsia="zh-CN"/>
        </w:rPr>
      </w:pPr>
      <w:bookmarkStart w:id="3" w:name="_Toc29291"/>
      <w:r>
        <w:rPr>
          <w:rFonts w:hint="eastAsia" w:ascii="黑体" w:hAnsi="黑体" w:eastAsia="黑体" w:cs="黑体"/>
          <w:b w:val="0"/>
          <w:bCs w:val="0"/>
          <w:sz w:val="32"/>
          <w:szCs w:val="32"/>
          <w:highlight w:val="none"/>
          <w:lang w:val="en-US" w:eastAsia="zh-CN"/>
        </w:rPr>
        <w:t>1.1项目概括</w:t>
      </w:r>
      <w:bookmarkEnd w:id="3"/>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1.1.1项目名称</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广汉龙泉等3座水库存量资产暨淤积物资源化利用经营权盘活项目</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default"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1.1.2建设目标和任务</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提高广汉龙泉等3座水库的经营效率和服务水平；保护广汉龙泉等3座水库资源，实现水资源效益最大化；采取“生态环境导向开发（EOD）”模式，开拓生态治理新范式；盘活存量资产降低政府债务压力、扩大有效投资，形成存量资产和新增投资的良性循环，激发市场活力，推动全市经济社会高质量发展。</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1.1.3项目功能和定位</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1.项目功能</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防洪功能：通过滞洪和蓄洪的方式，来减少下游河道洪峰流量，保持河道安全泄量，从而保护下游防洪保护区的安全。</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灌溉功能：可以储存和调节水资源，用于农业灌溉，以支持农业生产和保障粮食安全。</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节水功能：项目通过开展剩余水权交易，可促进区域总体水资源利用率的提高。</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生态环保功能：水库淤积物资源化利用是探索生态产品价值实现机制的一次实践，为全市河湖库生态治理与绿色产业发展协同推进提供了参考。</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附加功能：围绕水库进行文旅开发，并利用水库周边可利用土地进行附加项目开发，有效推动了乡村旅游协同发展。</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2.项目各水库功能定位</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sectPr>
          <w:footerReference r:id="rId7" w:type="default"/>
          <w:pgSz w:w="11906" w:h="16839"/>
          <w:pgMar w:top="1431" w:right="1785" w:bottom="1180" w:left="1785" w:header="850" w:footer="1134" w:gutter="0"/>
          <w:pgBorders>
            <w:top w:val="none" w:sz="0" w:space="0"/>
            <w:left w:val="none" w:sz="0" w:space="0"/>
            <w:bottom w:val="none" w:sz="0" w:space="0"/>
            <w:right w:val="none" w:sz="0" w:space="0"/>
          </w:pgBorders>
          <w:pgNumType w:fmt="decimal" w:start="1"/>
          <w:cols w:space="720" w:num="1"/>
        </w:sectPr>
      </w:pPr>
      <w:r>
        <w:rPr>
          <w:rFonts w:hint="eastAsia" w:ascii="仿宋" w:hAnsi="仿宋" w:eastAsia="仿宋" w:cs="仿宋"/>
          <w:snapToGrid/>
          <w:color w:val="auto"/>
          <w:kern w:val="2"/>
          <w:sz w:val="32"/>
          <w:szCs w:val="32"/>
          <w:highlight w:val="none"/>
          <w:u w:val="none"/>
          <w:lang w:val="en-US" w:eastAsia="zh-CN" w:bidi="ar-SA"/>
        </w:rPr>
        <w:t>基本情况及明细功能详见下表。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Calibri" w:hAnsi="Calibri" w:eastAsia="宋体" w:cs="Times New Roman"/>
          <w:b/>
          <w:bCs/>
          <w:snapToGrid/>
          <w:color w:val="auto"/>
          <w:kern w:val="2"/>
          <w:sz w:val="24"/>
          <w:szCs w:val="22"/>
          <w:highlight w:val="none"/>
          <w:u w:val="none"/>
          <w:lang w:val="en-US" w:eastAsia="zh-CN" w:bidi="ar-SA"/>
        </w:rPr>
      </w:pP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center"/>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表－水库基本信息表</w:t>
      </w:r>
    </w:p>
    <w:tbl>
      <w:tblPr>
        <w:tblStyle w:val="2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3"/>
        <w:gridCol w:w="1046"/>
        <w:gridCol w:w="1116"/>
        <w:gridCol w:w="1419"/>
        <w:gridCol w:w="2353"/>
        <w:gridCol w:w="2353"/>
        <w:gridCol w:w="1673"/>
        <w:gridCol w:w="2353"/>
        <w:gridCol w:w="1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序号</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名称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工程规模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库容（万m</w:t>
            </w:r>
            <w:r>
              <w:rPr>
                <w:rFonts w:hint="eastAsia" w:ascii="仿宋" w:hAnsi="仿宋" w:eastAsia="仿宋" w:cs="仿宋"/>
                <w:i w:val="0"/>
                <w:iCs w:val="0"/>
                <w:snapToGrid w:val="0"/>
                <w:color w:val="000000"/>
                <w:kern w:val="0"/>
                <w:sz w:val="20"/>
                <w:szCs w:val="20"/>
                <w:u w:val="none"/>
                <w:vertAlign w:val="superscript"/>
                <w:lang w:val="en-US" w:eastAsia="zh-CN" w:bidi="ar"/>
              </w:rPr>
              <w:t>3</w:t>
            </w:r>
            <w:r>
              <w:rPr>
                <w:rFonts w:hint="eastAsia" w:ascii="仿宋" w:hAnsi="仿宋" w:eastAsia="仿宋" w:cs="仿宋"/>
                <w:i w:val="0"/>
                <w:iCs w:val="0"/>
                <w:snapToGrid w:val="0"/>
                <w:color w:val="000000"/>
                <w:kern w:val="0"/>
                <w:sz w:val="20"/>
                <w:szCs w:val="20"/>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设计灌溉面积（万亩）</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实际灌溉面积（万亩）</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水面面积（亩）</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周边可种植面积（亩）</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所在地址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凤型水库</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小（2）型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0.16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0.16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35.3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9.13</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广汉市连山镇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龙泉水库</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小（1）型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267.14</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0.66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0.66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773.42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241.54</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广汉市连山镇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泰山水库</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小（2）型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31.46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0.15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0.15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62.79</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23.44</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广汉市连山镇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合计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319.1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0.97</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0.97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871.51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274.11</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Calibri" w:hAnsi="Calibri" w:eastAsia="宋体" w:cs="Times New Roman"/>
          <w:b/>
          <w:bCs/>
          <w:snapToGrid/>
          <w:color w:val="auto"/>
          <w:kern w:val="2"/>
          <w:sz w:val="24"/>
          <w:szCs w:val="22"/>
          <w:highlight w:val="none"/>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Calibri" w:hAnsi="Calibri" w:eastAsia="宋体" w:cs="Times New Roman"/>
          <w:b/>
          <w:bCs/>
          <w:snapToGrid/>
          <w:color w:val="auto"/>
          <w:kern w:val="2"/>
          <w:sz w:val="24"/>
          <w:szCs w:val="22"/>
          <w:highlight w:val="none"/>
          <w:u w:val="none"/>
          <w:lang w:val="en-US" w:eastAsia="zh-CN" w:bidi="ar-SA"/>
        </w:rPr>
      </w:pPr>
    </w:p>
    <w:p>
      <w:pPr>
        <w:pStyle w:val="2"/>
        <w:rPr>
          <w:rFonts w:hint="eastAsia" w:ascii="Calibri" w:hAnsi="Calibri" w:eastAsia="宋体" w:cs="Times New Roman"/>
          <w:b/>
          <w:bCs/>
          <w:snapToGrid/>
          <w:color w:val="auto"/>
          <w:kern w:val="2"/>
          <w:sz w:val="24"/>
          <w:szCs w:val="22"/>
          <w:highlight w:val="none"/>
          <w:u w:val="none"/>
          <w:lang w:val="en-US" w:eastAsia="zh-CN" w:bidi="ar-SA"/>
        </w:rPr>
      </w:pPr>
    </w:p>
    <w:p>
      <w:pPr>
        <w:pStyle w:val="2"/>
        <w:rPr>
          <w:rFonts w:hint="eastAsia" w:ascii="Calibri" w:hAnsi="Calibri" w:eastAsia="宋体" w:cs="Times New Roman"/>
          <w:b/>
          <w:bCs/>
          <w:snapToGrid/>
          <w:color w:val="auto"/>
          <w:kern w:val="2"/>
          <w:sz w:val="24"/>
          <w:szCs w:val="22"/>
          <w:highlight w:val="none"/>
          <w:u w:val="none"/>
          <w:lang w:val="en-US" w:eastAsia="zh-CN" w:bidi="ar-SA"/>
        </w:rPr>
      </w:pP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center"/>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表－水库功能定位表</w:t>
      </w:r>
    </w:p>
    <w:tbl>
      <w:tblPr>
        <w:tblStyle w:val="2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49"/>
        <w:gridCol w:w="1149"/>
        <w:gridCol w:w="1150"/>
        <w:gridCol w:w="1150"/>
        <w:gridCol w:w="1268"/>
        <w:gridCol w:w="1023"/>
        <w:gridCol w:w="1306"/>
        <w:gridCol w:w="1707"/>
        <w:gridCol w:w="1078"/>
        <w:gridCol w:w="1147"/>
        <w:gridCol w:w="1147"/>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398"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序号</w:t>
            </w:r>
          </w:p>
        </w:tc>
        <w:tc>
          <w:tcPr>
            <w:tcW w:w="398"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工程名称</w:t>
            </w:r>
          </w:p>
        </w:tc>
        <w:tc>
          <w:tcPr>
            <w:tcW w:w="398"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工程地点</w:t>
            </w:r>
          </w:p>
        </w:tc>
        <w:tc>
          <w:tcPr>
            <w:tcW w:w="398"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产权人</w:t>
            </w:r>
          </w:p>
        </w:tc>
        <w:tc>
          <w:tcPr>
            <w:tcW w:w="439"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工程建设或整治时间</w:t>
            </w:r>
          </w:p>
        </w:tc>
        <w:tc>
          <w:tcPr>
            <w:tcW w:w="354"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产权年限</w:t>
            </w:r>
          </w:p>
        </w:tc>
        <w:tc>
          <w:tcPr>
            <w:tcW w:w="452"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规模</w:t>
            </w:r>
          </w:p>
        </w:tc>
        <w:tc>
          <w:tcPr>
            <w:tcW w:w="591"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总库容（万m³）</w:t>
            </w:r>
          </w:p>
        </w:tc>
        <w:tc>
          <w:tcPr>
            <w:tcW w:w="373" w:type="pct"/>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坝型</w:t>
            </w:r>
          </w:p>
        </w:tc>
        <w:tc>
          <w:tcPr>
            <w:tcW w:w="1195" w:type="pct"/>
            <w:gridSpan w:val="3"/>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功能定位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trPr>
        <w:tc>
          <w:tcPr>
            <w:tcW w:w="398"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8"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8" w:type="pct"/>
            <w:vMerge w:val="continue"/>
            <w:shd w:val="clear" w:color="auto" w:fill="auto"/>
            <w:vAlign w:val="center"/>
          </w:tcPr>
          <w:p>
            <w:pPr>
              <w:jc w:val="center"/>
              <w:rPr>
                <w:rFonts w:hint="eastAsia" w:ascii="仿宋" w:hAnsi="仿宋" w:eastAsia="仿宋" w:cs="仿宋"/>
                <w:i w:val="0"/>
                <w:iCs w:val="0"/>
                <w:color w:val="000000"/>
                <w:sz w:val="20"/>
                <w:szCs w:val="20"/>
                <w:highlight w:val="yellow"/>
                <w:u w:val="none"/>
              </w:rPr>
            </w:pPr>
          </w:p>
        </w:tc>
        <w:tc>
          <w:tcPr>
            <w:tcW w:w="398" w:type="pct"/>
            <w:vMerge w:val="continue"/>
            <w:shd w:val="clear" w:color="auto" w:fill="auto"/>
            <w:vAlign w:val="center"/>
          </w:tcPr>
          <w:p>
            <w:pPr>
              <w:jc w:val="center"/>
              <w:rPr>
                <w:rFonts w:hint="eastAsia" w:ascii="仿宋" w:hAnsi="仿宋" w:eastAsia="仿宋" w:cs="仿宋"/>
                <w:i w:val="0"/>
                <w:iCs w:val="0"/>
                <w:color w:val="000000"/>
                <w:sz w:val="20"/>
                <w:szCs w:val="20"/>
                <w:highlight w:val="yellow"/>
                <w:u w:val="none"/>
              </w:rPr>
            </w:pPr>
          </w:p>
        </w:tc>
        <w:tc>
          <w:tcPr>
            <w:tcW w:w="439" w:type="pct"/>
            <w:vMerge w:val="continue"/>
            <w:shd w:val="clear" w:color="auto" w:fill="auto"/>
            <w:vAlign w:val="center"/>
          </w:tcPr>
          <w:p>
            <w:pPr>
              <w:jc w:val="center"/>
              <w:rPr>
                <w:rFonts w:hint="eastAsia" w:ascii="仿宋" w:hAnsi="仿宋" w:eastAsia="仿宋" w:cs="仿宋"/>
                <w:i w:val="0"/>
                <w:iCs w:val="0"/>
                <w:color w:val="000000"/>
                <w:sz w:val="20"/>
                <w:szCs w:val="20"/>
                <w:highlight w:val="yellow"/>
                <w:u w:val="none"/>
              </w:rPr>
            </w:pPr>
          </w:p>
        </w:tc>
        <w:tc>
          <w:tcPr>
            <w:tcW w:w="354" w:type="pct"/>
            <w:vMerge w:val="continue"/>
            <w:shd w:val="clear" w:color="auto" w:fill="auto"/>
            <w:vAlign w:val="center"/>
          </w:tcPr>
          <w:p>
            <w:pPr>
              <w:jc w:val="center"/>
              <w:rPr>
                <w:rFonts w:hint="eastAsia" w:ascii="仿宋" w:hAnsi="仿宋" w:eastAsia="仿宋" w:cs="仿宋"/>
                <w:i w:val="0"/>
                <w:iCs w:val="0"/>
                <w:color w:val="000000"/>
                <w:sz w:val="20"/>
                <w:szCs w:val="20"/>
                <w:highlight w:val="yellow"/>
                <w:u w:val="none"/>
              </w:rPr>
            </w:pPr>
          </w:p>
        </w:tc>
        <w:tc>
          <w:tcPr>
            <w:tcW w:w="452" w:type="pct"/>
            <w:vMerge w:val="continue"/>
            <w:shd w:val="clear" w:color="auto" w:fill="auto"/>
            <w:vAlign w:val="center"/>
          </w:tcPr>
          <w:p>
            <w:pPr>
              <w:jc w:val="center"/>
              <w:rPr>
                <w:rFonts w:hint="eastAsia" w:ascii="仿宋" w:hAnsi="仿宋" w:eastAsia="仿宋" w:cs="仿宋"/>
                <w:i w:val="0"/>
                <w:iCs w:val="0"/>
                <w:color w:val="000000"/>
                <w:sz w:val="20"/>
                <w:szCs w:val="20"/>
                <w:highlight w:val="yellow"/>
                <w:u w:val="none"/>
              </w:rPr>
            </w:pPr>
          </w:p>
        </w:tc>
        <w:tc>
          <w:tcPr>
            <w:tcW w:w="591" w:type="pct"/>
            <w:vMerge w:val="continue"/>
            <w:shd w:val="clear" w:color="auto" w:fill="auto"/>
            <w:vAlign w:val="center"/>
          </w:tcPr>
          <w:p>
            <w:pPr>
              <w:jc w:val="center"/>
              <w:rPr>
                <w:rFonts w:hint="eastAsia" w:ascii="仿宋" w:hAnsi="仿宋" w:eastAsia="仿宋" w:cs="仿宋"/>
                <w:i w:val="0"/>
                <w:iCs w:val="0"/>
                <w:color w:val="000000"/>
                <w:sz w:val="20"/>
                <w:szCs w:val="20"/>
                <w:highlight w:val="yellow"/>
                <w:u w:val="none"/>
              </w:rPr>
            </w:pPr>
          </w:p>
        </w:tc>
        <w:tc>
          <w:tcPr>
            <w:tcW w:w="373" w:type="pct"/>
            <w:vMerge w:val="continue"/>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397"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防洪</w:t>
            </w:r>
          </w:p>
        </w:tc>
        <w:tc>
          <w:tcPr>
            <w:tcW w:w="397"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供水</w:t>
            </w:r>
          </w:p>
        </w:tc>
        <w:tc>
          <w:tcPr>
            <w:tcW w:w="40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灌溉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 w:hRule="atLeast"/>
        </w:trPr>
        <w:tc>
          <w:tcPr>
            <w:tcW w:w="39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1</w:t>
            </w:r>
          </w:p>
        </w:tc>
        <w:tc>
          <w:tcPr>
            <w:tcW w:w="39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highlight w:val="none"/>
                <w:u w:val="none"/>
                <w:lang w:val="en-US" w:eastAsia="zh-CN" w:bidi="ar"/>
              </w:rPr>
            </w:pPr>
            <w:r>
              <w:rPr>
                <w:rFonts w:hint="eastAsia" w:ascii="仿宋" w:hAnsi="仿宋" w:eastAsia="仿宋" w:cs="仿宋"/>
                <w:i w:val="0"/>
                <w:iCs w:val="0"/>
                <w:snapToGrid w:val="0"/>
                <w:color w:val="000000"/>
                <w:kern w:val="0"/>
                <w:sz w:val="20"/>
                <w:szCs w:val="20"/>
                <w:highlight w:val="none"/>
                <w:u w:val="none"/>
                <w:lang w:val="en-US" w:eastAsia="zh-CN" w:bidi="ar"/>
              </w:rPr>
              <w:t>凤型水库</w:t>
            </w:r>
          </w:p>
        </w:tc>
        <w:tc>
          <w:tcPr>
            <w:tcW w:w="39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rPr>
              <w:t>连山镇松林村</w:t>
            </w:r>
          </w:p>
        </w:tc>
        <w:tc>
          <w:tcPr>
            <w:tcW w:w="39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lang w:eastAsia="zh-CN"/>
              </w:rPr>
            </w:pPr>
            <w:r>
              <w:rPr>
                <w:rFonts w:hint="eastAsia" w:ascii="仿宋" w:hAnsi="仿宋" w:eastAsia="仿宋" w:cs="仿宋"/>
                <w:i w:val="0"/>
                <w:iCs w:val="0"/>
                <w:color w:val="000000"/>
                <w:sz w:val="20"/>
                <w:szCs w:val="20"/>
                <w:highlight w:val="none"/>
                <w:u w:val="none"/>
                <w:lang w:eastAsia="zh-CN"/>
              </w:rPr>
              <w:t>广汉市水利局</w:t>
            </w:r>
          </w:p>
        </w:tc>
        <w:tc>
          <w:tcPr>
            <w:tcW w:w="43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highlight w:val="none"/>
                <w:u w:val="none"/>
                <w:lang w:val="en-US" w:eastAsia="zh-CN" w:bidi="ar"/>
              </w:rPr>
            </w:pPr>
            <w:r>
              <w:rPr>
                <w:rFonts w:hint="eastAsia" w:ascii="仿宋" w:hAnsi="仿宋" w:eastAsia="仿宋" w:cs="仿宋"/>
                <w:i w:val="0"/>
                <w:iCs w:val="0"/>
                <w:snapToGrid w:val="0"/>
                <w:color w:val="000000"/>
                <w:kern w:val="0"/>
                <w:sz w:val="20"/>
                <w:szCs w:val="20"/>
                <w:highlight w:val="none"/>
                <w:u w:val="none"/>
                <w:lang w:val="en-US" w:eastAsia="zh-CN" w:bidi="ar"/>
              </w:rPr>
              <w:t>2020</w:t>
            </w:r>
          </w:p>
        </w:tc>
        <w:tc>
          <w:tcPr>
            <w:tcW w:w="354" w:type="pct"/>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45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highlight w:val="none"/>
                <w:u w:val="none"/>
                <w:lang w:val="en-US" w:eastAsia="zh-CN" w:bidi="ar"/>
              </w:rPr>
            </w:pPr>
            <w:r>
              <w:rPr>
                <w:rFonts w:hint="eastAsia" w:ascii="仿宋" w:hAnsi="仿宋" w:eastAsia="仿宋" w:cs="仿宋"/>
                <w:i w:val="0"/>
                <w:iCs w:val="0"/>
                <w:snapToGrid w:val="0"/>
                <w:color w:val="000000"/>
                <w:kern w:val="0"/>
                <w:sz w:val="20"/>
                <w:szCs w:val="20"/>
                <w:highlight w:val="none"/>
                <w:u w:val="none"/>
                <w:lang w:val="en-US" w:eastAsia="zh-CN" w:bidi="ar"/>
              </w:rPr>
              <w:t>小（2）型</w:t>
            </w:r>
          </w:p>
        </w:tc>
        <w:tc>
          <w:tcPr>
            <w:tcW w:w="5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20.5</w:t>
            </w:r>
          </w:p>
        </w:tc>
        <w:tc>
          <w:tcPr>
            <w:tcW w:w="373"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均质土坝</w:t>
            </w:r>
          </w:p>
        </w:tc>
        <w:tc>
          <w:tcPr>
            <w:tcW w:w="39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1</w:t>
            </w:r>
          </w:p>
        </w:tc>
        <w:tc>
          <w:tcPr>
            <w:tcW w:w="39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40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 w:hRule="atLeast"/>
        </w:trPr>
        <w:tc>
          <w:tcPr>
            <w:tcW w:w="39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2</w:t>
            </w:r>
          </w:p>
        </w:tc>
        <w:tc>
          <w:tcPr>
            <w:tcW w:w="39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highlight w:val="none"/>
                <w:u w:val="none"/>
                <w:lang w:val="en-US" w:eastAsia="zh-CN" w:bidi="ar"/>
              </w:rPr>
            </w:pPr>
            <w:r>
              <w:rPr>
                <w:rFonts w:hint="eastAsia" w:ascii="仿宋" w:hAnsi="仿宋" w:eastAsia="仿宋" w:cs="仿宋"/>
                <w:i w:val="0"/>
                <w:iCs w:val="0"/>
                <w:snapToGrid w:val="0"/>
                <w:color w:val="000000"/>
                <w:kern w:val="0"/>
                <w:sz w:val="20"/>
                <w:szCs w:val="20"/>
                <w:highlight w:val="none"/>
                <w:u w:val="none"/>
                <w:lang w:val="en-US" w:eastAsia="zh-CN" w:bidi="ar"/>
              </w:rPr>
              <w:t>龙泉水库</w:t>
            </w:r>
          </w:p>
        </w:tc>
        <w:tc>
          <w:tcPr>
            <w:tcW w:w="39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rPr>
              <w:t>连山镇龙泉村</w:t>
            </w:r>
          </w:p>
        </w:tc>
        <w:tc>
          <w:tcPr>
            <w:tcW w:w="39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广汉市水利局</w:t>
            </w:r>
          </w:p>
        </w:tc>
        <w:tc>
          <w:tcPr>
            <w:tcW w:w="43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highlight w:val="none"/>
                <w:u w:val="none"/>
                <w:lang w:val="en-US" w:eastAsia="zh-CN" w:bidi="ar"/>
              </w:rPr>
            </w:pPr>
            <w:r>
              <w:rPr>
                <w:rFonts w:hint="eastAsia" w:ascii="仿宋" w:hAnsi="仿宋" w:eastAsia="仿宋" w:cs="仿宋"/>
                <w:i w:val="0"/>
                <w:iCs w:val="0"/>
                <w:snapToGrid w:val="0"/>
                <w:color w:val="000000"/>
                <w:kern w:val="0"/>
                <w:sz w:val="20"/>
                <w:szCs w:val="20"/>
                <w:highlight w:val="none"/>
                <w:u w:val="none"/>
                <w:lang w:val="en-US" w:eastAsia="zh-CN" w:bidi="ar"/>
              </w:rPr>
              <w:t>2020</w:t>
            </w:r>
          </w:p>
        </w:tc>
        <w:tc>
          <w:tcPr>
            <w:tcW w:w="354" w:type="pct"/>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45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highlight w:val="none"/>
                <w:u w:val="none"/>
                <w:lang w:val="en-US" w:eastAsia="zh-CN" w:bidi="ar"/>
              </w:rPr>
            </w:pPr>
            <w:r>
              <w:rPr>
                <w:rFonts w:hint="eastAsia" w:ascii="仿宋" w:hAnsi="仿宋" w:eastAsia="仿宋" w:cs="仿宋"/>
                <w:i w:val="0"/>
                <w:iCs w:val="0"/>
                <w:snapToGrid w:val="0"/>
                <w:color w:val="000000"/>
                <w:kern w:val="0"/>
                <w:sz w:val="20"/>
                <w:szCs w:val="20"/>
                <w:highlight w:val="none"/>
                <w:u w:val="none"/>
                <w:lang w:val="en-US" w:eastAsia="zh-CN" w:bidi="ar"/>
              </w:rPr>
              <w:t>小（1）型</w:t>
            </w:r>
          </w:p>
        </w:tc>
        <w:tc>
          <w:tcPr>
            <w:tcW w:w="5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267.14</w:t>
            </w:r>
          </w:p>
        </w:tc>
        <w:tc>
          <w:tcPr>
            <w:tcW w:w="373"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均质土坝</w:t>
            </w:r>
          </w:p>
        </w:tc>
        <w:tc>
          <w:tcPr>
            <w:tcW w:w="39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1</w:t>
            </w:r>
          </w:p>
        </w:tc>
        <w:tc>
          <w:tcPr>
            <w:tcW w:w="39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40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 w:hRule="atLeast"/>
        </w:trPr>
        <w:tc>
          <w:tcPr>
            <w:tcW w:w="39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3</w:t>
            </w:r>
          </w:p>
        </w:tc>
        <w:tc>
          <w:tcPr>
            <w:tcW w:w="39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highlight w:val="none"/>
                <w:u w:val="none"/>
                <w:lang w:val="en-US" w:eastAsia="zh-CN" w:bidi="ar"/>
              </w:rPr>
            </w:pPr>
            <w:r>
              <w:rPr>
                <w:rFonts w:hint="eastAsia" w:ascii="仿宋" w:hAnsi="仿宋" w:eastAsia="仿宋" w:cs="仿宋"/>
                <w:i w:val="0"/>
                <w:iCs w:val="0"/>
                <w:snapToGrid w:val="0"/>
                <w:color w:val="000000"/>
                <w:kern w:val="0"/>
                <w:sz w:val="20"/>
                <w:szCs w:val="20"/>
                <w:highlight w:val="none"/>
                <w:u w:val="none"/>
                <w:lang w:val="en-US" w:eastAsia="zh-CN" w:bidi="ar"/>
              </w:rPr>
              <w:t>泰山水库</w:t>
            </w:r>
          </w:p>
        </w:tc>
        <w:tc>
          <w:tcPr>
            <w:tcW w:w="39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rPr>
              <w:t>连山镇松林村</w:t>
            </w:r>
          </w:p>
        </w:tc>
        <w:tc>
          <w:tcPr>
            <w:tcW w:w="39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广汉市水利局</w:t>
            </w:r>
          </w:p>
        </w:tc>
        <w:tc>
          <w:tcPr>
            <w:tcW w:w="43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highlight w:val="none"/>
                <w:u w:val="none"/>
                <w:lang w:val="en-US" w:eastAsia="zh-CN" w:bidi="ar"/>
              </w:rPr>
            </w:pPr>
            <w:r>
              <w:rPr>
                <w:rFonts w:hint="eastAsia" w:ascii="仿宋" w:hAnsi="仿宋" w:eastAsia="仿宋" w:cs="仿宋"/>
                <w:i w:val="0"/>
                <w:iCs w:val="0"/>
                <w:snapToGrid w:val="0"/>
                <w:color w:val="000000"/>
                <w:kern w:val="0"/>
                <w:sz w:val="20"/>
                <w:szCs w:val="20"/>
                <w:highlight w:val="none"/>
                <w:u w:val="none"/>
                <w:lang w:val="en-US" w:eastAsia="zh-CN" w:bidi="ar"/>
              </w:rPr>
              <w:t>2020</w:t>
            </w:r>
          </w:p>
        </w:tc>
        <w:tc>
          <w:tcPr>
            <w:tcW w:w="354" w:type="pct"/>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45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highlight w:val="none"/>
                <w:u w:val="none"/>
                <w:lang w:val="en-US" w:eastAsia="zh-CN" w:bidi="ar"/>
              </w:rPr>
            </w:pPr>
            <w:r>
              <w:rPr>
                <w:rFonts w:hint="eastAsia" w:ascii="仿宋" w:hAnsi="仿宋" w:eastAsia="仿宋" w:cs="仿宋"/>
                <w:i w:val="0"/>
                <w:iCs w:val="0"/>
                <w:snapToGrid w:val="0"/>
                <w:color w:val="000000"/>
                <w:kern w:val="0"/>
                <w:sz w:val="20"/>
                <w:szCs w:val="20"/>
                <w:highlight w:val="none"/>
                <w:u w:val="none"/>
                <w:lang w:val="en-US" w:eastAsia="zh-CN" w:bidi="ar"/>
              </w:rPr>
              <w:t>小（2）型</w:t>
            </w:r>
          </w:p>
        </w:tc>
        <w:tc>
          <w:tcPr>
            <w:tcW w:w="5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31.46</w:t>
            </w:r>
          </w:p>
        </w:tc>
        <w:tc>
          <w:tcPr>
            <w:tcW w:w="373"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均质土坝</w:t>
            </w:r>
          </w:p>
        </w:tc>
        <w:tc>
          <w:tcPr>
            <w:tcW w:w="39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1</w:t>
            </w:r>
          </w:p>
        </w:tc>
        <w:tc>
          <w:tcPr>
            <w:tcW w:w="39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40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snapToGrid w:val="0"/>
                <w:color w:val="000000"/>
                <w:kern w:val="0"/>
                <w:sz w:val="20"/>
                <w:szCs w:val="20"/>
                <w:highlight w:val="none"/>
                <w:u w:val="none"/>
                <w:lang w:val="en-US" w:eastAsia="zh-CN" w:bidi="ar"/>
              </w:rPr>
              <w:t>1</w:t>
            </w:r>
          </w:p>
        </w:tc>
      </w:tr>
    </w:tbl>
    <w:p>
      <w:pPr>
        <w:pStyle w:val="22"/>
        <w:rPr>
          <w:highlight w:val="none"/>
        </w:rPr>
      </w:pPr>
    </w:p>
    <w:p>
      <w:pPr>
        <w:pStyle w:val="5"/>
        <w:keepNext/>
        <w:keepLines/>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Fonts w:hint="eastAsia" w:ascii="黑体" w:hAnsi="黑体" w:eastAsia="黑体" w:cs="黑体"/>
          <w:b/>
          <w:sz w:val="30"/>
          <w:szCs w:val="30"/>
          <w:highlight w:val="yellow"/>
          <w:lang w:val="en-US" w:eastAsia="zh-CN"/>
        </w:rPr>
        <w:sectPr>
          <w:pgSz w:w="16838" w:h="11906" w:orient="landscape"/>
          <w:pgMar w:top="1786" w:right="1429" w:bottom="1786" w:left="1179" w:header="567" w:footer="969" w:gutter="0"/>
          <w:pgBorders>
            <w:top w:val="none" w:sz="0" w:space="0"/>
            <w:left w:val="none" w:sz="0" w:space="0"/>
            <w:bottom w:val="none" w:sz="0" w:space="0"/>
            <w:right w:val="none" w:sz="0" w:space="0"/>
          </w:pgBorders>
          <w:pgNumType w:fmt="decimal"/>
          <w:cols w:space="0" w:num="1"/>
          <w:rtlGutter w:val="0"/>
          <w:docGrid w:linePitch="0" w:charSpace="0"/>
        </w:sectPr>
      </w:pPr>
      <w:bookmarkStart w:id="4" w:name="_Toc29053"/>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1.1.4项目地址</w:t>
      </w:r>
      <w:bookmarkEnd w:id="4"/>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本项目位于四川省德阳市广汉市范围内连山镇，详见“水库功能定位表”。</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default"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1.1.5经营期限</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本项目参考相关政策规定，经营期限综合考虑为30年，自经营权协议生效之日起计算。</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1.1.6存量资产内容</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本项目存量资产为广汉龙泉等3座水库。经营者通过公开拍卖方式取得本项目3座水库经营权与淤积物资源化利用经营权，在经营期内提供运营维护本项目设施的服务，开展包括但不限于水库范围内的农业灌溉用水销售、剩余水权交易、淤积物资源化利用等经营业务，在保证水库满足基础供水功能的前提下可合理利用水资源开展经营附加业务（包括但不限于高值农产品种植、乡村旅游摊位租赁、生态渔业养殖业务及休闲垂钓业务等）并获得经营性收入。</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1.1.7资产价值</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根据财务模型计算结果，本项目资产使用价值共计21,690.32万元，项目资产使用价值为存量资产经营权出让价。资产挂网底价不得低于21,690.32万元，具体应以资产评估报告核定金额为准。实际成交价格不得低于挂网底价。成交经营者应当在经营期第一年内支付存量资产经营权取得费的全部款项。</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1.1.8资产权属</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广汉龙泉等3座水库的资产权属于广汉市人民政府。</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1.1.9存量债务情况</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广汉龙泉等3座水库不涉及存量债务。</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1.1.10投资规模</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项目为存量资产项目，不涉及新建或改造，项目投资仅为水库存量资产经营权以及淤积物资源化利用经营权的转让价值。</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1.1.11项目资产运营和效益情况</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经测算，经营者通过本项目的运营，在项目经营期内收入合计64,744.01万元，其中农业灌溉供水收入475.20万元，水权交易收入18,182.98万元，淤积物资源化利用收入11,874.82万元，高值农产品种植收入17,983.53万元，乡村旅游摊位租赁收入2,911.62万元，生态渔业养殖业务收入7,279.07万元，休闲垂钓业务收入6,036.79万元。运营成本共计8,874.90万元，包括燃料及动力费、人员工资及福利、设施设备维修、淤泥清理成本、高值农产品种植成本、生态渔业养殖成本、休闲垂钓经营成本和管理营业费用。投资财务内部收益率（所得税后）5.40%，具备盈利能力。</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1.1.12主要技术经济指标</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本项目中各水库主要经济技术指标和建设运营时间详见“水库功能定位表”。</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default"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1.1.13实施依据和编制原则</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1.实施依据</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（1）主要法律法规</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《中华人民共和国预算法》；</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《中华人民共和国土地管理法》；</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《中华人民共和国民法典》；</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《中华人民共和国水法》；</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《中华人民共和国水污染防治法》；</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《中华人民共和国企业所得税法》；</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w:t>
      </w:r>
      <w:r>
        <w:rPr>
          <w:rFonts w:hint="default" w:ascii="仿宋" w:hAnsi="仿宋" w:eastAsia="仿宋" w:cs="仿宋"/>
          <w:snapToGrid/>
          <w:color w:val="auto"/>
          <w:kern w:val="2"/>
          <w:sz w:val="32"/>
          <w:szCs w:val="32"/>
          <w:highlight w:val="none"/>
          <w:u w:val="none"/>
          <w:lang w:val="en-US" w:eastAsia="zh-CN" w:bidi="ar-SA"/>
        </w:rPr>
        <w:t>中华人民共和国增值税法</w:t>
      </w:r>
      <w:r>
        <w:rPr>
          <w:rFonts w:hint="eastAsia" w:ascii="仿宋" w:hAnsi="仿宋" w:eastAsia="仿宋" w:cs="仿宋"/>
          <w:snapToGrid/>
          <w:color w:val="auto"/>
          <w:kern w:val="2"/>
          <w:sz w:val="32"/>
          <w:szCs w:val="32"/>
          <w:highlight w:val="none"/>
          <w:u w:val="none"/>
          <w:lang w:val="en-US" w:eastAsia="zh-CN" w:bidi="ar-SA"/>
        </w:rPr>
        <w:t>》；</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《中华人民共和国行政许可法》；</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《中华人民共和国拍卖法》；</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《中华人民共和国资产评估法》；</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《国有资产评估管理办法》；</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《四川省水利工程管理条例》；</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《中华人民共和国防洪法》。</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（2）主要政策文件</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《国务院关于创新重点领域投融资机制鼓励社会投资的指导意见》（国发〔2014〕60号）；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《关于开展深化小型水库管理体制改革示范县创建的通知》（办运管函〔2019〕503号）；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《关于做好农村供水保障工作的指导意见》（水农〔2021〕244号）；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《关于加大开发性金融支持力度提升水安全保障能力的指导意见》（水财务〔2022〕228号）；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《关于推进水利基础设施政府和社会资本合作（PPP）模式发展的指导意见》（水规计〔2022〕239号）；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《关于加大开发性金融支持力度提升水安全保障能力的指导意见》（水财务〔2022〕228号）；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《关于切实加强高标准农田建设提升国家粮食安全保障能力的意见》（国办发〔2019〕50号）；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《国务院关于加强固定资产投资项目资本金管理的通知》（国发〔2019〕26号）；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《国务院办公厅关于进一步盘活存量资产扩大有效投资的意见》（国办发〔2022〕19号）；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《关于规范金融企业对地方政府和国有企业投融资行为有关问题的通知》（财金〔2018〕23号）；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《国家发展改革委办公厅关于做好盘活存量资产扩大有效投资有关工作的通知》（发改办投资〔2022〕561号）；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《四川省“十四五”水资源配置及供水规划》；</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《四川省人民政府办公厅转发国务院办公厅关于进一步做好盘活财政存量资金工作通知的通知》（川办发〔2015〕19号）；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《四川省贯彻落实〈国务院办公厅关于进一步盘活存量资产扩大有效投资的意见〉重点任务分工方案》的通知（川发改投资〔2022〕433号）；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《国务院办公厅关于农业水价综合改革的意见》（国办发〔2016〕2号）；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《政府采购公开招标采购方式管理暂行办法》（财库〔2014〕214号）；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default"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w:t>
      </w:r>
      <w:r>
        <w:rPr>
          <w:rFonts w:hint="default" w:ascii="仿宋" w:hAnsi="仿宋" w:eastAsia="仿宋" w:cs="仿宋"/>
          <w:snapToGrid/>
          <w:color w:val="auto"/>
          <w:kern w:val="2"/>
          <w:sz w:val="32"/>
          <w:szCs w:val="32"/>
          <w:highlight w:val="none"/>
          <w:u w:val="none"/>
          <w:lang w:val="en-US" w:eastAsia="zh-CN" w:bidi="ar-SA"/>
        </w:rPr>
        <w:t>四川省</w:t>
      </w:r>
      <w:r>
        <w:rPr>
          <w:rFonts w:hint="eastAsia" w:ascii="仿宋" w:hAnsi="仿宋" w:eastAsia="仿宋" w:cs="仿宋"/>
          <w:snapToGrid/>
          <w:color w:val="auto"/>
          <w:kern w:val="2"/>
          <w:sz w:val="32"/>
          <w:szCs w:val="32"/>
          <w:highlight w:val="none"/>
          <w:u w:val="none"/>
          <w:lang w:val="en-US" w:eastAsia="zh-CN" w:bidi="ar-SA"/>
        </w:rPr>
        <w:t>“</w:t>
      </w:r>
      <w:r>
        <w:rPr>
          <w:rFonts w:hint="default" w:ascii="仿宋" w:hAnsi="仿宋" w:eastAsia="仿宋" w:cs="仿宋"/>
          <w:snapToGrid/>
          <w:color w:val="auto"/>
          <w:kern w:val="2"/>
          <w:sz w:val="32"/>
          <w:szCs w:val="32"/>
          <w:highlight w:val="none"/>
          <w:u w:val="none"/>
          <w:lang w:val="en-US" w:eastAsia="zh-CN" w:bidi="ar-SA"/>
        </w:rPr>
        <w:t>十四五</w:t>
      </w:r>
      <w:r>
        <w:rPr>
          <w:rFonts w:hint="eastAsia" w:ascii="仿宋" w:hAnsi="仿宋" w:eastAsia="仿宋" w:cs="仿宋"/>
          <w:snapToGrid/>
          <w:color w:val="auto"/>
          <w:kern w:val="2"/>
          <w:sz w:val="32"/>
          <w:szCs w:val="32"/>
          <w:highlight w:val="none"/>
          <w:u w:val="none"/>
          <w:lang w:val="en-US" w:eastAsia="zh-CN" w:bidi="ar-SA"/>
        </w:rPr>
        <w:t>”</w:t>
      </w:r>
      <w:r>
        <w:rPr>
          <w:rFonts w:hint="default" w:ascii="仿宋" w:hAnsi="仿宋" w:eastAsia="仿宋" w:cs="仿宋"/>
          <w:snapToGrid/>
          <w:color w:val="auto"/>
          <w:kern w:val="2"/>
          <w:sz w:val="32"/>
          <w:szCs w:val="32"/>
          <w:highlight w:val="none"/>
          <w:u w:val="none"/>
          <w:lang w:val="en-US" w:eastAsia="zh-CN" w:bidi="ar-SA"/>
        </w:rPr>
        <w:t>水安全保障规划》川府发〔2021〕18号</w:t>
      </w:r>
      <w:r>
        <w:rPr>
          <w:rFonts w:hint="eastAsia" w:ascii="仿宋" w:hAnsi="仿宋" w:eastAsia="仿宋" w:cs="仿宋"/>
          <w:snapToGrid/>
          <w:color w:val="auto"/>
          <w:kern w:val="2"/>
          <w:sz w:val="32"/>
          <w:szCs w:val="32"/>
          <w:highlight w:val="none"/>
          <w:u w:val="none"/>
          <w:lang w:val="en-US" w:eastAsia="zh-CN" w:bidi="ar-SA"/>
        </w:rPr>
        <w:t>自府发〔2022〕17号；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《关于推进用水权改革的指导意见》（水资管〔2022〕333号）；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default" w:ascii="仿宋" w:hAnsi="仿宋" w:eastAsia="仿宋" w:cs="仿宋"/>
          <w:snapToGrid/>
          <w:color w:val="auto"/>
          <w:kern w:val="2"/>
          <w:sz w:val="32"/>
          <w:szCs w:val="32"/>
          <w:highlight w:val="none"/>
          <w:u w:val="none"/>
          <w:lang w:val="en-US" w:eastAsia="zh-CN" w:bidi="ar-SA"/>
        </w:rPr>
        <w:t>《四川省发展和改革委员会、四川省财政厅、四川省水利厅、四川省农业农村厅关于下达2021年农业水价综合改革实施计划任务的通知》（川发改价格</w:t>
      </w:r>
      <w:r>
        <w:rPr>
          <w:rFonts w:hint="eastAsia" w:ascii="仿宋" w:hAnsi="仿宋" w:eastAsia="仿宋" w:cs="仿宋"/>
          <w:snapToGrid/>
          <w:color w:val="auto"/>
          <w:kern w:val="2"/>
          <w:sz w:val="32"/>
          <w:szCs w:val="32"/>
          <w:highlight w:val="none"/>
          <w:u w:val="none"/>
          <w:lang w:val="en-US" w:eastAsia="zh-CN" w:bidi="ar-SA"/>
        </w:rPr>
        <w:t>〔2021〕151号</w:t>
      </w:r>
      <w:r>
        <w:rPr>
          <w:rFonts w:hint="default" w:ascii="仿宋" w:hAnsi="仿宋" w:eastAsia="仿宋" w:cs="仿宋"/>
          <w:snapToGrid/>
          <w:color w:val="auto"/>
          <w:kern w:val="2"/>
          <w:sz w:val="32"/>
          <w:szCs w:val="32"/>
          <w:highlight w:val="none"/>
          <w:u w:val="none"/>
          <w:lang w:val="en-US" w:eastAsia="zh-CN" w:bidi="ar-SA"/>
        </w:rPr>
        <w:t>）</w:t>
      </w:r>
      <w:r>
        <w:rPr>
          <w:rFonts w:hint="eastAsia" w:ascii="仿宋" w:hAnsi="仿宋" w:eastAsia="仿宋" w:cs="仿宋"/>
          <w:snapToGrid/>
          <w:color w:val="auto"/>
          <w:kern w:val="2"/>
          <w:sz w:val="32"/>
          <w:szCs w:val="32"/>
          <w:highlight w:val="none"/>
          <w:u w:val="none"/>
          <w:lang w:val="en-US" w:eastAsia="zh-CN" w:bidi="ar-SA"/>
        </w:rPr>
        <w:t>；</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default" w:ascii="仿宋" w:hAnsi="仿宋" w:eastAsia="仿宋" w:cs="仿宋"/>
          <w:snapToGrid/>
          <w:color w:val="auto"/>
          <w:kern w:val="2"/>
          <w:sz w:val="32"/>
          <w:szCs w:val="32"/>
          <w:highlight w:val="none"/>
          <w:u w:val="none"/>
          <w:lang w:val="en-US" w:eastAsia="zh-CN" w:bidi="ar-SA"/>
        </w:rPr>
        <w:t>《</w:t>
      </w:r>
      <w:r>
        <w:rPr>
          <w:rFonts w:hint="eastAsia" w:ascii="仿宋" w:hAnsi="仿宋" w:eastAsia="仿宋" w:cs="仿宋"/>
          <w:snapToGrid/>
          <w:color w:val="auto"/>
          <w:kern w:val="2"/>
          <w:sz w:val="32"/>
          <w:szCs w:val="32"/>
          <w:highlight w:val="none"/>
          <w:u w:val="none"/>
          <w:lang w:val="en-US" w:eastAsia="zh-CN" w:bidi="ar-SA"/>
        </w:rPr>
        <w:t>关于制定广汉市都江堰人民渠灌区农业供水价格的通知</w:t>
      </w:r>
      <w:r>
        <w:rPr>
          <w:rFonts w:hint="default" w:ascii="仿宋" w:hAnsi="仿宋" w:eastAsia="仿宋" w:cs="仿宋"/>
          <w:snapToGrid/>
          <w:color w:val="auto"/>
          <w:kern w:val="2"/>
          <w:sz w:val="32"/>
          <w:szCs w:val="32"/>
          <w:highlight w:val="none"/>
          <w:u w:val="none"/>
          <w:lang w:val="en-US" w:eastAsia="zh-CN" w:bidi="ar-SA"/>
        </w:rPr>
        <w:t>》</w:t>
      </w:r>
      <w:r>
        <w:rPr>
          <w:rFonts w:hint="eastAsia" w:ascii="仿宋" w:hAnsi="仿宋" w:eastAsia="仿宋" w:cs="仿宋"/>
          <w:snapToGrid/>
          <w:color w:val="auto"/>
          <w:kern w:val="2"/>
          <w:sz w:val="32"/>
          <w:szCs w:val="32"/>
          <w:highlight w:val="none"/>
          <w:u w:val="none"/>
          <w:lang w:val="en-US" w:eastAsia="zh-CN" w:bidi="ar-SA"/>
        </w:rPr>
        <w:t>（广发改价〔2018〕12号）；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《德阳市“十四五”水安全保障规划》；</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default"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其他相关法律法规等。</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default"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2.编制原则</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基础设施和公用事业经营权出让应当坚持公开、公平、公正，保护各方合法利益，并遵循以下原则：</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（1）发挥社会资本融资、专业、技术和管理优势，提高公共服务质量和效率；</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（2）转变政府职能，强化政府与社会资本协商合作；</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（3）保护社会资本合法权益，保证经营持续性和稳定性；</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（4）兼顾经营性和公益性平衡，维护公共利益；</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default"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（5）根据风险性质以及经营各方风险管控能力，明确风险分担机制并切实执行，保障项目持续稳定实施。</w:t>
      </w:r>
    </w:p>
    <w:p>
      <w:pPr>
        <w:pStyle w:val="4"/>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textAlignment w:val="baseline"/>
        <w:rPr>
          <w:rFonts w:hint="eastAsia" w:ascii="黑体" w:hAnsi="黑体" w:eastAsia="黑体" w:cs="黑体"/>
          <w:b w:val="0"/>
          <w:bCs w:val="0"/>
          <w:sz w:val="32"/>
          <w:szCs w:val="32"/>
          <w:highlight w:val="none"/>
          <w:lang w:val="en-US" w:eastAsia="zh-CN"/>
        </w:rPr>
      </w:pPr>
      <w:bookmarkStart w:id="5" w:name="_Toc1949"/>
      <w:r>
        <w:rPr>
          <w:rFonts w:hint="eastAsia" w:ascii="黑体" w:hAnsi="黑体" w:eastAsia="黑体" w:cs="黑体"/>
          <w:b w:val="0"/>
          <w:bCs w:val="0"/>
          <w:sz w:val="32"/>
          <w:szCs w:val="32"/>
          <w:highlight w:val="none"/>
          <w:lang w:val="en-US" w:eastAsia="zh-CN"/>
        </w:rPr>
        <w:t>1.2项目实施机构等</w:t>
      </w:r>
      <w:bookmarkEnd w:id="5"/>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本项目为政府公共服务存量资产的经营权出让。实施机构通过公开拍卖方式依法依规选择经营者。</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经广汉市人民政府（下称“市政府”）授权，广汉市水利局作为本项目实施机构，负责本项目经营方案编制、经营者选择、经营协议签订、项目实施监管、合作期满移交接收等工作。</w:t>
      </w:r>
    </w:p>
    <w:p>
      <w:pPr>
        <w:pStyle w:val="4"/>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textAlignment w:val="baseline"/>
        <w:rPr>
          <w:rFonts w:hint="eastAsia" w:ascii="黑体" w:hAnsi="黑体" w:eastAsia="黑体" w:cs="黑体"/>
          <w:b w:val="0"/>
          <w:bCs w:val="0"/>
          <w:sz w:val="32"/>
          <w:szCs w:val="32"/>
          <w:highlight w:val="none"/>
          <w:lang w:val="en-US" w:eastAsia="zh-CN"/>
        </w:rPr>
      </w:pPr>
      <w:bookmarkStart w:id="6" w:name="_Toc32756"/>
      <w:r>
        <w:rPr>
          <w:rFonts w:hint="eastAsia" w:ascii="黑体" w:hAnsi="黑体" w:eastAsia="黑体" w:cs="黑体"/>
          <w:b w:val="0"/>
          <w:bCs w:val="0"/>
          <w:sz w:val="32"/>
          <w:szCs w:val="32"/>
          <w:highlight w:val="none"/>
          <w:lang w:val="en-US" w:eastAsia="zh-CN"/>
        </w:rPr>
        <w:t>1.3经营主要内容</w:t>
      </w:r>
      <w:bookmarkEnd w:id="6"/>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本项目经营范围涉及广汉龙泉等3座水库，通过经营权转让引入成交经营者，在经营期内由成交经营者负责存量水库设施的运营和维护，以及水库淤泥的清理、经营、承包等工作。成交经营者可开展包括不限于水库范围内的农业灌溉用水销售、剩余水权交易、淤积物资源化利用等主营业务，在保证水库满足基础供水功能的前提下可合理利用水资源开展经营附加业务（包括但不限于高值农产品种植、乡村旅游摊位租赁、生态渔业养殖业务及休闲垂钓业务等）并获得经营性收入。</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实施机构与成交经营者签订经营协议，授予成交经营者投融资、运营、维护本项目的权利，成交经营者根据经营协议的约定行使权利，履行义务，承担责任。成交经营者根据经营协议约定支付经营权转让价款，负责按照经营协议的约定提供项目设施运营维护服务，利用项目设施开展经营性业务获得经营性收入。经营期届满，成交经营者按经营协议约定依法依规向政府指定机构无偿、完好地移交项目设施所有权和所有权益。</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本项目为盘活存量资产项目，项目无建设投资，无需政府提供建设投资支持。项目运营期内，项目公司或政府方可依照规定申请中央水利发展资金、省级水利发展基金等补助资金，用于水库的工程维修养护。</w:t>
      </w:r>
    </w:p>
    <w:p>
      <w:pPr>
        <w:pStyle w:val="4"/>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textAlignment w:val="baseline"/>
        <w:rPr>
          <w:rFonts w:hint="eastAsia" w:ascii="黑体" w:hAnsi="黑体" w:eastAsia="黑体" w:cs="黑体"/>
          <w:b w:val="0"/>
          <w:bCs w:val="0"/>
          <w:sz w:val="32"/>
          <w:szCs w:val="32"/>
          <w:highlight w:val="none"/>
          <w:lang w:val="en-US" w:eastAsia="zh-CN"/>
        </w:rPr>
      </w:pPr>
      <w:bookmarkStart w:id="7" w:name="_Toc2004"/>
      <w:r>
        <w:rPr>
          <w:rFonts w:hint="eastAsia" w:ascii="黑体" w:hAnsi="黑体" w:eastAsia="黑体" w:cs="黑体"/>
          <w:b w:val="0"/>
          <w:bCs w:val="0"/>
          <w:sz w:val="32"/>
          <w:szCs w:val="32"/>
          <w:highlight w:val="none"/>
          <w:lang w:val="en-US" w:eastAsia="zh-CN"/>
        </w:rPr>
        <w:t>1.4政府承诺和保障</w:t>
      </w:r>
      <w:bookmarkEnd w:id="7"/>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政府方应按照经营协议，为本项目前期工作、运营维护工作等提供便利和支持，保障授予本项目成交经营者的权利在整个经营期内始终持续有效和完整。政府承诺和保障内容详见经营方案“经营主要内容——政府承诺和保障”部分。</w:t>
      </w:r>
    </w:p>
    <w:p>
      <w:pPr>
        <w:rPr>
          <w:rFonts w:hint="default"/>
          <w:b/>
          <w:bCs/>
          <w:highlight w:val="yellow"/>
          <w:lang w:val="en-US" w:eastAsia="zh-CN"/>
        </w:rPr>
      </w:pPr>
    </w:p>
    <w:p>
      <w:pPr>
        <w:rPr>
          <w:rFonts w:hint="default"/>
          <w:b/>
          <w:bCs/>
          <w:highlight w:val="yellow"/>
          <w:lang w:val="en-US" w:eastAsia="zh-CN"/>
        </w:rPr>
      </w:pPr>
    </w:p>
    <w:p>
      <w:pPr>
        <w:rPr>
          <w:rFonts w:hint="default"/>
          <w:b/>
          <w:bCs/>
          <w:highlight w:val="yellow"/>
          <w:lang w:val="en-US" w:eastAsia="zh-CN"/>
        </w:rPr>
      </w:pPr>
    </w:p>
    <w:p>
      <w:pPr>
        <w:rPr>
          <w:rFonts w:hint="default"/>
          <w:b/>
          <w:bCs/>
          <w:highlight w:val="yellow"/>
          <w:lang w:val="en-US" w:eastAsia="zh-CN"/>
        </w:rPr>
      </w:pPr>
    </w:p>
    <w:p>
      <w:pPr>
        <w:rPr>
          <w:rFonts w:hint="default"/>
          <w:b/>
          <w:bCs/>
          <w:highlight w:val="yellow"/>
          <w:lang w:val="en-US" w:eastAsia="zh-CN"/>
        </w:rPr>
      </w:pPr>
    </w:p>
    <w:p>
      <w:pPr>
        <w:rPr>
          <w:rFonts w:hint="default"/>
          <w:b/>
          <w:bCs/>
          <w:highlight w:val="yellow"/>
          <w:lang w:val="en-US" w:eastAsia="zh-CN"/>
        </w:rPr>
      </w:pPr>
    </w:p>
    <w:p>
      <w:pPr>
        <w:pStyle w:val="23"/>
        <w:rPr>
          <w:rFonts w:hint="default"/>
          <w:b/>
          <w:bCs/>
          <w:highlight w:val="yellow"/>
          <w:lang w:val="en-US" w:eastAsia="zh-CN"/>
        </w:rPr>
      </w:pPr>
    </w:p>
    <w:p>
      <w:pPr>
        <w:pStyle w:val="22"/>
        <w:rPr>
          <w:rFonts w:hint="default"/>
          <w:lang w:val="en-US" w:eastAsia="zh-CN"/>
        </w:rPr>
      </w:pPr>
    </w:p>
    <w:p>
      <w:pPr>
        <w:rPr>
          <w:rFonts w:hint="default"/>
          <w:b/>
          <w:bCs/>
          <w:highlight w:val="yellow"/>
          <w:lang w:val="en-US" w:eastAsia="zh-CN"/>
        </w:rPr>
      </w:pPr>
    </w:p>
    <w:p>
      <w:pPr>
        <w:rPr>
          <w:rFonts w:hint="default"/>
          <w:b/>
          <w:bCs/>
          <w:highlight w:val="yellow"/>
          <w:lang w:val="en-US" w:eastAsia="zh-CN"/>
        </w:rPr>
      </w:pPr>
      <w:r>
        <w:rPr>
          <w:rFonts w:hint="default"/>
          <w:b/>
          <w:bCs/>
          <w:highlight w:val="yellow"/>
          <w:lang w:val="en-US" w:eastAsia="zh-CN"/>
        </w:rPr>
        <w:br w:type="textWrapping"/>
      </w: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pStyle w:val="2"/>
        <w:rPr>
          <w:rFonts w:hint="default"/>
          <w:b/>
          <w:bCs/>
          <w:highlight w:val="yellow"/>
          <w:lang w:val="en-US" w:eastAsia="zh-CN"/>
        </w:rPr>
      </w:pPr>
    </w:p>
    <w:p>
      <w:pPr>
        <w:rPr>
          <w:rFonts w:hint="default"/>
          <w:b/>
          <w:bCs/>
          <w:highlight w:val="yellow"/>
          <w:lang w:val="en-US" w:eastAsia="zh-CN"/>
        </w:rPr>
      </w:pPr>
    </w:p>
    <w:p>
      <w:pPr>
        <w:pStyle w:val="3"/>
        <w:keepNext/>
        <w:keepLines/>
        <w:pageBreakBefore w:val="0"/>
        <w:widowControl/>
        <w:kinsoku w:val="0"/>
        <w:wordWrap/>
        <w:overflowPunct/>
        <w:topLinePunct w:val="0"/>
        <w:autoSpaceDE w:val="0"/>
        <w:autoSpaceDN w:val="0"/>
        <w:bidi w:val="0"/>
        <w:adjustRightInd/>
        <w:snapToGrid/>
        <w:spacing w:before="0" w:beforeLines="0" w:after="0" w:afterLines="0" w:line="600" w:lineRule="exact"/>
        <w:jc w:val="center"/>
        <w:textAlignment w:val="baseline"/>
        <w:rPr>
          <w:rFonts w:hint="eastAsia" w:ascii="方正小标宋简体" w:hAnsi="方正小标宋简体" w:eastAsia="方正小标宋简体" w:cs="方正小标宋简体"/>
          <w:b w:val="0"/>
          <w:bCs/>
          <w:highlight w:val="none"/>
          <w:lang w:val="en-US" w:eastAsia="zh-CN"/>
        </w:rPr>
      </w:pPr>
      <w:bookmarkStart w:id="8" w:name="_Toc4983"/>
      <w:r>
        <w:rPr>
          <w:rFonts w:hint="eastAsia" w:ascii="方正小标宋简体" w:hAnsi="方正小标宋简体" w:eastAsia="方正小标宋简体" w:cs="方正小标宋简体"/>
          <w:b w:val="0"/>
          <w:bCs/>
          <w:highlight w:val="none"/>
          <w:lang w:val="en-US" w:eastAsia="zh-CN"/>
        </w:rPr>
        <w:t>第二章经营权主要内容</w:t>
      </w:r>
      <w:bookmarkEnd w:id="8"/>
    </w:p>
    <w:p>
      <w:pPr>
        <w:keepNext w:val="0"/>
        <w:keepLines w:val="0"/>
        <w:pageBreakBefore w:val="0"/>
        <w:widowControl w:val="0"/>
        <w:kinsoku w:val="0"/>
        <w:wordWrap/>
        <w:overflowPunct/>
        <w:topLinePunct w:val="0"/>
        <w:autoSpaceDE/>
        <w:autoSpaceDN/>
        <w:bidi w:val="0"/>
        <w:adjustRightInd/>
        <w:snapToGrid/>
        <w:spacing w:before="0" w:beforeAutospacing="0" w:after="0" w:afterAutospacing="0" w:line="600" w:lineRule="exact"/>
        <w:ind w:firstLine="420" w:firstLineChars="200"/>
        <w:jc w:val="both"/>
        <w:textAlignment w:val="baseline"/>
        <w:outlineLvl w:val="9"/>
        <w:rPr>
          <w:rFonts w:hint="eastAsia"/>
          <w:lang w:val="en-US" w:eastAsia="zh-CN"/>
        </w:rPr>
      </w:pPr>
    </w:p>
    <w:p>
      <w:pPr>
        <w:pStyle w:val="4"/>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textAlignment w:val="baseline"/>
        <w:rPr>
          <w:rFonts w:hint="eastAsia" w:ascii="黑体" w:hAnsi="黑体" w:eastAsia="黑体" w:cs="黑体"/>
          <w:b w:val="0"/>
          <w:bCs w:val="0"/>
          <w:sz w:val="32"/>
          <w:szCs w:val="32"/>
          <w:highlight w:val="none"/>
          <w:lang w:val="en-US" w:eastAsia="zh-CN"/>
        </w:rPr>
      </w:pPr>
      <w:bookmarkStart w:id="9" w:name="_Toc25848"/>
      <w:r>
        <w:rPr>
          <w:rFonts w:hint="eastAsia" w:ascii="黑体" w:hAnsi="黑体" w:eastAsia="黑体" w:cs="黑体"/>
          <w:b w:val="0"/>
          <w:bCs w:val="0"/>
          <w:sz w:val="32"/>
          <w:szCs w:val="32"/>
          <w:highlight w:val="none"/>
          <w:lang w:val="en-US" w:eastAsia="zh-CN"/>
        </w:rPr>
        <w:t>2.1经营权范围</w:t>
      </w:r>
      <w:bookmarkEnd w:id="9"/>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本项目经营范围涉及广汉龙泉等3座水库，通过经营权转让引入成交经营者，在经营期内由成交经营者负责存量水库的运营和维护，提供农业灌溉用水销售、剩余水权交易、淤积物资源化利用等经营业务、经营附加业务（包括但不限于高值农产品种植、乡村旅游摊位租赁、生态渔业养殖业务及休闲垂钓业务等）等经营服务。经营期届满，项目公司按经营协议约定依法依规向政府方指定机构无偿、完好地移交项目设施所有权和所有权益。</w:t>
      </w:r>
    </w:p>
    <w:p>
      <w:pPr>
        <w:pStyle w:val="4"/>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textAlignment w:val="baseline"/>
        <w:rPr>
          <w:rFonts w:hint="eastAsia" w:ascii="黑体" w:hAnsi="黑体" w:eastAsia="黑体" w:cs="黑体"/>
          <w:b w:val="0"/>
          <w:bCs w:val="0"/>
          <w:sz w:val="32"/>
          <w:szCs w:val="32"/>
          <w:highlight w:val="none"/>
          <w:lang w:val="en-US" w:eastAsia="zh-CN"/>
        </w:rPr>
      </w:pPr>
      <w:bookmarkStart w:id="10" w:name="_Toc14503"/>
      <w:r>
        <w:rPr>
          <w:rFonts w:hint="eastAsia" w:ascii="黑体" w:hAnsi="黑体" w:eastAsia="黑体" w:cs="黑体"/>
          <w:b w:val="0"/>
          <w:bCs w:val="0"/>
          <w:sz w:val="32"/>
          <w:szCs w:val="32"/>
          <w:highlight w:val="none"/>
          <w:lang w:val="en-US" w:eastAsia="zh-CN"/>
        </w:rPr>
        <w:t>2.2实施方式</w:t>
      </w:r>
      <w:bookmarkEnd w:id="10"/>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本项目特点如下：一是本项目属于存量项目；二是经营期届满需要将项目设施移交给项目实施机构或其指定机构。结合本项目实际情况，拟采用经营权出让的实施方式。</w:t>
      </w:r>
    </w:p>
    <w:p>
      <w:pPr>
        <w:pStyle w:val="4"/>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textAlignment w:val="baseline"/>
        <w:rPr>
          <w:rFonts w:hint="eastAsia" w:ascii="黑体" w:hAnsi="黑体" w:eastAsia="黑体" w:cs="黑体"/>
          <w:b w:val="0"/>
          <w:bCs w:val="0"/>
          <w:sz w:val="32"/>
          <w:szCs w:val="32"/>
          <w:highlight w:val="none"/>
          <w:lang w:val="en-US" w:eastAsia="zh-CN"/>
        </w:rPr>
      </w:pPr>
      <w:bookmarkStart w:id="11" w:name="_Toc13495"/>
      <w:r>
        <w:rPr>
          <w:rFonts w:hint="eastAsia" w:ascii="黑体" w:hAnsi="黑体" w:eastAsia="黑体" w:cs="黑体"/>
          <w:b w:val="0"/>
          <w:bCs w:val="0"/>
          <w:sz w:val="32"/>
          <w:szCs w:val="32"/>
          <w:highlight w:val="none"/>
          <w:lang w:val="en-US" w:eastAsia="zh-CN"/>
        </w:rPr>
        <w:t>2.3经营期限和资产权属</w:t>
      </w:r>
      <w:bookmarkEnd w:id="11"/>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2.3.1经营期限</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本项目经营期定为30年，自经营协议签订之日起计算。</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2.3.2资产权属</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经营期内，本项目所涉土地和资产权属均归属于广汉市人民政府，成交经营者拥有项目设施的使用权、经营权和收益权。经营期届满，成交经营者应向项目实施机构或其指定机构在完好、无偿、能正常运营、无债务、无设定抵押担保的条件下移交本项目设施的所有权和所有权益。</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2.3.3项目移交</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1.移交委员会和移交程序</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项目经营期届满12个月前，项目实施机构或政府指定的其他机构和成交经营者应成立移交委员会，移交委员会由项目实施机构或政府指定的其他机构的授权代表和成交经营者的授权代表组成。移交委员会应定期或不定期举行会议，商定具体移交方式、移交程序和移交要求。</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移交开始前，成交经营者应按照项目实施机构或政府指定的其他机构的要求提交所有资产清册，资产清册应包括本项目所有资产应列名目。</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2.移交标准与缺陷修复</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项目移交日，成交经营者应保证项目设施均处于良好的管理和运营状况（正常损耗除外）、处于正常使用状态、符合适用法律和经营协议所规定的安全、质量和环境等有关标准（以下简称“移交标准”）。</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如经过性能测试，表明移交的项目实施存在任何缺陷的、未能达到移交标准的，则成交经营者应及时修复。如成交经营者拒绝修复，则项目实施机构有权扣除履约保证金中相应金额进行修复。如项目实施机构或成交经营者对是否达到移交标准有异议的，则由移交委员会聘请第三方机构进行评定。</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移交后的移交保证期内（为移交后十二个月），成交经营者须按国家规定履行项目设施的保修义务（因不可抗力、接受移交的单位使用不当造成的损坏除外），修复项目设施的任何部分在经营期内出现的任何缺陷或损坏。</w:t>
      </w:r>
    </w:p>
    <w:p>
      <w:pPr>
        <w:pStyle w:val="4"/>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textAlignment w:val="baseline"/>
        <w:rPr>
          <w:rFonts w:hint="eastAsia" w:ascii="黑体" w:hAnsi="黑体" w:eastAsia="黑体" w:cs="黑体"/>
          <w:b w:val="0"/>
          <w:bCs w:val="0"/>
          <w:sz w:val="32"/>
          <w:szCs w:val="32"/>
          <w:highlight w:val="none"/>
          <w:lang w:val="en-US" w:eastAsia="zh-CN"/>
        </w:rPr>
      </w:pPr>
      <w:bookmarkStart w:id="12" w:name="_Toc11289"/>
      <w:r>
        <w:rPr>
          <w:rFonts w:hint="eastAsia" w:ascii="黑体" w:hAnsi="黑体" w:eastAsia="黑体" w:cs="黑体"/>
          <w:b w:val="0"/>
          <w:bCs w:val="0"/>
          <w:sz w:val="32"/>
          <w:szCs w:val="32"/>
          <w:highlight w:val="none"/>
          <w:lang w:val="en-US" w:eastAsia="zh-CN"/>
        </w:rPr>
        <w:t>2.4主要原则和合作边界</w:t>
      </w:r>
      <w:bookmarkEnd w:id="12"/>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default"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2.4.1基本原则</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default"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政府和社会资本合作项目应聚焦使用者付费项目，明确收费渠道和方式，项目经营收入能够覆盖建设投资和运营成本、具备一定投资回报，不因采用政府和社会资本合作模式额外新增地方财政未来支出责任。政府可在严防新增地方政府隐性债务、符合法律法规和有关政策规定要求的前提下，按照一视同仁的原则，在项目建设期对使用者付费项目给予政府投资支持；政府付费只能按规定补贴运营、不能补贴建设成本。</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2.4.2定价机制</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除农业灌溉用水业务采用</w:t>
      </w:r>
      <w:r>
        <w:rPr>
          <w:rFonts w:hint="default" w:ascii="仿宋" w:hAnsi="仿宋" w:eastAsia="仿宋" w:cs="仿宋"/>
          <w:snapToGrid/>
          <w:color w:val="auto"/>
          <w:kern w:val="2"/>
          <w:sz w:val="32"/>
          <w:szCs w:val="32"/>
          <w:highlight w:val="none"/>
          <w:u w:val="none"/>
          <w:lang w:val="en-US" w:eastAsia="zh-CN" w:bidi="ar-SA"/>
        </w:rPr>
        <w:t>政府定价或指导价</w:t>
      </w:r>
      <w:r>
        <w:rPr>
          <w:rFonts w:hint="eastAsia" w:ascii="仿宋" w:hAnsi="仿宋" w:eastAsia="仿宋" w:cs="仿宋"/>
          <w:snapToGrid/>
          <w:color w:val="auto"/>
          <w:kern w:val="2"/>
          <w:sz w:val="32"/>
          <w:szCs w:val="32"/>
          <w:highlight w:val="none"/>
          <w:u w:val="none"/>
          <w:lang w:val="en-US" w:eastAsia="zh-CN" w:bidi="ar-SA"/>
        </w:rPr>
        <w:t>外，其他</w:t>
      </w:r>
      <w:r>
        <w:rPr>
          <w:rFonts w:hint="default" w:ascii="仿宋" w:hAnsi="仿宋" w:eastAsia="仿宋" w:cs="仿宋"/>
          <w:snapToGrid/>
          <w:color w:val="auto"/>
          <w:kern w:val="2"/>
          <w:sz w:val="32"/>
          <w:szCs w:val="32"/>
          <w:highlight w:val="none"/>
          <w:u w:val="none"/>
          <w:lang w:val="en-US" w:eastAsia="zh-CN" w:bidi="ar-SA"/>
        </w:rPr>
        <w:t>业务收费</w:t>
      </w:r>
      <w:r>
        <w:rPr>
          <w:rFonts w:hint="eastAsia" w:ascii="仿宋" w:hAnsi="仿宋" w:eastAsia="仿宋" w:cs="仿宋"/>
          <w:snapToGrid/>
          <w:color w:val="auto"/>
          <w:kern w:val="2"/>
          <w:sz w:val="32"/>
          <w:szCs w:val="32"/>
          <w:highlight w:val="none"/>
          <w:u w:val="none"/>
          <w:lang w:val="en-US" w:eastAsia="zh-CN" w:bidi="ar-SA"/>
        </w:rPr>
        <w:t>按照公开交易定价或</w:t>
      </w:r>
      <w:r>
        <w:rPr>
          <w:rFonts w:hint="default" w:ascii="仿宋" w:hAnsi="仿宋" w:eastAsia="仿宋" w:cs="仿宋"/>
          <w:snapToGrid/>
          <w:color w:val="auto"/>
          <w:kern w:val="2"/>
          <w:sz w:val="32"/>
          <w:szCs w:val="32"/>
          <w:highlight w:val="none"/>
          <w:u w:val="none"/>
          <w:lang w:val="en-US" w:eastAsia="zh-CN" w:bidi="ar-SA"/>
        </w:rPr>
        <w:t>市场定价</w:t>
      </w:r>
      <w:r>
        <w:rPr>
          <w:rFonts w:hint="eastAsia" w:ascii="仿宋" w:hAnsi="仿宋" w:eastAsia="仿宋" w:cs="仿宋"/>
          <w:snapToGrid/>
          <w:color w:val="auto"/>
          <w:kern w:val="2"/>
          <w:sz w:val="32"/>
          <w:szCs w:val="32"/>
          <w:highlight w:val="none"/>
          <w:u w:val="none"/>
          <w:lang w:val="en-US" w:eastAsia="zh-CN" w:bidi="ar-SA"/>
        </w:rPr>
        <w:t>确定</w:t>
      </w:r>
      <w:r>
        <w:rPr>
          <w:rFonts w:hint="default" w:ascii="仿宋" w:hAnsi="仿宋" w:eastAsia="仿宋" w:cs="仿宋"/>
          <w:snapToGrid/>
          <w:color w:val="auto"/>
          <w:kern w:val="2"/>
          <w:sz w:val="32"/>
          <w:szCs w:val="32"/>
          <w:highlight w:val="none"/>
          <w:u w:val="none"/>
          <w:lang w:val="en-US" w:eastAsia="zh-CN" w:bidi="ar-SA"/>
        </w:rPr>
        <w:t>。</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2.4.3调价机制</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除农业灌溉用水价格依据</w:t>
      </w:r>
      <w:r>
        <w:rPr>
          <w:rFonts w:hint="default" w:ascii="仿宋" w:hAnsi="仿宋" w:eastAsia="仿宋" w:cs="仿宋"/>
          <w:snapToGrid/>
          <w:color w:val="auto"/>
          <w:kern w:val="2"/>
          <w:sz w:val="32"/>
          <w:szCs w:val="32"/>
          <w:highlight w:val="none"/>
          <w:u w:val="none"/>
          <w:lang w:val="en-US" w:eastAsia="zh-CN" w:bidi="ar-SA"/>
        </w:rPr>
        <w:t>政府定价或指导价</w:t>
      </w:r>
      <w:r>
        <w:rPr>
          <w:rFonts w:hint="eastAsia" w:ascii="仿宋" w:hAnsi="仿宋" w:eastAsia="仿宋" w:cs="仿宋"/>
          <w:snapToGrid/>
          <w:color w:val="auto"/>
          <w:kern w:val="2"/>
          <w:sz w:val="32"/>
          <w:szCs w:val="32"/>
          <w:highlight w:val="none"/>
          <w:u w:val="none"/>
          <w:lang w:val="en-US" w:eastAsia="zh-CN" w:bidi="ar-SA"/>
        </w:rPr>
        <w:t>调整外，其他业务收费按照公开交易定价或</w:t>
      </w:r>
      <w:r>
        <w:rPr>
          <w:rFonts w:hint="default" w:ascii="仿宋" w:hAnsi="仿宋" w:eastAsia="仿宋" w:cs="仿宋"/>
          <w:snapToGrid/>
          <w:color w:val="auto"/>
          <w:kern w:val="2"/>
          <w:sz w:val="32"/>
          <w:szCs w:val="32"/>
          <w:highlight w:val="none"/>
          <w:u w:val="none"/>
          <w:lang w:val="en-US" w:eastAsia="zh-CN" w:bidi="ar-SA"/>
        </w:rPr>
        <w:t>市场定价</w:t>
      </w:r>
      <w:r>
        <w:rPr>
          <w:rFonts w:hint="eastAsia" w:ascii="仿宋" w:hAnsi="仿宋" w:eastAsia="仿宋" w:cs="仿宋"/>
          <w:snapToGrid/>
          <w:color w:val="auto"/>
          <w:kern w:val="2"/>
          <w:sz w:val="32"/>
          <w:szCs w:val="32"/>
          <w:highlight w:val="none"/>
          <w:u w:val="none"/>
          <w:lang w:val="en-US" w:eastAsia="zh-CN" w:bidi="ar-SA"/>
        </w:rPr>
        <w:t>进行自主调整。</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2.4.4额外收益分配原则</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成交经营者在保障项目质量和产出（服务）效果的前提下，通过加强管理、降低成本、提升效率、积极创新等获得的额外收益主要归成交经营者所有，按下述原则协商进行分配：</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激励相容原则：确保额外收益的分配能够激励成交经营者持续提高运营效率和服务质量。</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风险共担与利益共享：额外收益的分配应当考虑到成交经营者在运营过程中承担的风险。</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合规性原则：任何额外收益的分配都必须符合国家法律法规以及经营协议的规定，不得违反公平竞争和市场规则。</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透明度原则：收益分配的过程应当公开透明，确保各方权益得到保障。</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同时考虑到本项目为存量项目，水库的库容、项目可经营的范围和内容基本固定，收费来源相对有限，针对主要依靠成交经营者加强管理、降本增效、增加经营项目获得的超额收益原则上全部归成交经营者所有；针对因政府调整收费标准获得的超额收益原则上全部归政府方所有。</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超额收益以本方案财务测算分析中假设的成本和收入为基准确认。</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2.4.5税费承担</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成交经营者应按照《中华人民共和国税收征收管理法》《中华人民共和国税收征收管理法实施细则》《中华人民共和国企业所得税法》《中华人民共和国企业所得税法实施条例》《中华人民共和国增值税法》《中华人民共和国增值税暂行条例实施细则》、《中华人民共和国城市维护建设税法》、国家税务总局、地方税务部门发布的适用于本项目的有关税收政策规定，及时足额缴纳并承担相应税款。</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经营协议签订生效后，项目合作期内，成交经营者产生的税费应按照国家、地方及行业相关政策及规定依法据实缴纳。</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2.4.6各方权利义务</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1.实施机构</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a）授予成交经营者投资、运营维护本项目的权利。</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b）对成交经营者的投资、运营维护实施监管，包括项目融资及资金到位和使用情况、安全防范及运营维护措施等。</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c）按照本项目拍卖成交公告及经营协议文件的约定向成交经营者收取经营权转让价款。</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d）发生成交经营者违约时，有权要求成交经营者纠正违约行为，收取违约金，提前终止或采取其他措施。</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e）协助成交经营者办理有关政府部门要求的各种与本项目有关的行政审批，并保持行政审批有效。协助成交经营者取得融资及运营所必须的证明文件。</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f）协助成交经营者取得适用法律规定的可适用于本项目的各项减、免税和优惠政策。如本项目获得奖补资金，应当根据资金性质和规定及时足额用于本项目。</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g）制定运营评价工作方案，组织开展运营评价。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h）如果发生成交经营者违约事件时，有权按经营协议约定从履约保证金中扣除相应款项。</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i）发生经营协议规定的一般补偿事件时，按照经营协议约定给予一般补偿。</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j）当经营协议提前终止时，根据经营协议规定对成交经营者进行补偿。</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k）对成交经营者的投资、运营维护、移交等进行监管和定期评估，并有权定期将评估结果和整改情况向社会公示，接受公众监督。</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2.成交经营者</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a）按照经营协议要求按期完成出资，完成项目相关手续的办理。</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b）进行项目融资，保障项目资金及时到位。</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c）按照经营协议要求按期完成经营权转让价款的支付。</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d）拥有获得投资、运营维护本项目的权利，按照适用法律和经营协议要求，负责本项目的投资和运营维护工作，获得相关经营收入。</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e）经实施机构许可后有权为本项目融资目的将收益权或经营权等进行抵押或质押。</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f）出现经营协议约定的一般补偿事件时，有权获得相应补偿。</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g）在本项目提前终止的情况下，根据经营协议约定获得补偿。</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h）在政府部门违反经营协议相关条款情况下，根据经营协议约定获得补偿或赔偿。</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i）接受项目实施机构及相关政府部门根据适用法律和经营协议的规定进行的监督检查，并提供相关资料。</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j）经营期内应保持拥有能良好运营维护本项目的相应人员、技术、资金和设备并保持相应的批文和资质的有效性。</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k）按照适用法律缴纳有关税费并享受有关减免优惠政策，如有关税收的适用法律发生变化，按照变更后的适用法律缴纳各项税费并享受有关减免优惠政策。如本项目获得奖补资金，有权获得本项目奖补资金并根据资金性质和规定及时足额用于本项目。</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l）对项目实施机构、相关政府部门参观、考察、监督检查项目设施给予便利与配合。</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m）未经项目实施机构同意，不得擅自决定中断项目设施运营和维护、解散、歇业。</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n）如果违约，向政府部门缴纳约定的违约金并按规定予以纠正。</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o）经营期届满后，按规定将项目设施完好无偿移交政府指定机构。</w:t>
      </w:r>
    </w:p>
    <w:p>
      <w:pPr>
        <w:pStyle w:val="4"/>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textAlignment w:val="baseline"/>
        <w:rPr>
          <w:rFonts w:hint="eastAsia" w:ascii="黑体" w:hAnsi="黑体" w:eastAsia="黑体" w:cs="黑体"/>
          <w:b w:val="0"/>
          <w:bCs w:val="0"/>
          <w:sz w:val="32"/>
          <w:szCs w:val="32"/>
          <w:highlight w:val="none"/>
          <w:lang w:val="en-US" w:eastAsia="zh-CN"/>
        </w:rPr>
      </w:pPr>
      <w:bookmarkStart w:id="13" w:name="_Toc20590"/>
      <w:r>
        <w:rPr>
          <w:rFonts w:hint="eastAsia" w:ascii="黑体" w:hAnsi="黑体" w:eastAsia="黑体" w:cs="黑体"/>
          <w:b w:val="0"/>
          <w:bCs w:val="0"/>
          <w:sz w:val="32"/>
          <w:szCs w:val="32"/>
          <w:highlight w:val="none"/>
          <w:lang w:val="en-US" w:eastAsia="zh-CN"/>
        </w:rPr>
        <w:t>2.5成交经营者选择</w:t>
      </w:r>
      <w:bookmarkEnd w:id="13"/>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2.5.1成交经营者基本条件</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本项目公开拍卖竞卖要求至少应包含如下基本条件：</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1.中华人民共和国境内外的法人、自然人和其他组织（法律另有规定除外）均可申请参加；</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2.竞买不接受联合竞买；</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2.5.2成交经营者选择方式</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本项目通过公开拍卖方式选择成交经营者。</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default"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2.5.3经营权出让方式合规性分析</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根据《中华人民共和国行政许可法》第五十三条规定：“实施有限自然资源开发利用、公共资源配置以及直接关系公共利益的特定行业的市场准入行政许可的，行政机关应当通过招标、拍卖等公平竞争的方式作出决定；法律、行政法规另有规定的，依照其规定”。</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本项目是盘活水库存量资产及淤积物资源化利用经营权的经营性水利项目，是实现广汉市社会经济可持续发展的目标必须实施的民生工程，符合政策规定。</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因公开拍卖方式具备时间效率、公平公开等特点，故目前市面上经营权项目出让普遍采取该类方式。部分相关案例如下：</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center"/>
        <w:textAlignment w:val="auto"/>
        <w:rPr>
          <w:rFonts w:hint="default"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表-公开拍卖交易案例</w:t>
      </w:r>
    </w:p>
    <w:tbl>
      <w:tblPr>
        <w:tblStyle w:val="24"/>
        <w:tblW w:w="94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40"/>
        <w:gridCol w:w="1956"/>
        <w:gridCol w:w="1128"/>
        <w:gridCol w:w="1956"/>
        <w:gridCol w:w="2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案例名称​</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拍卖标的​</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经营期限</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出让方式​</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关键依据/来源​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黑龙江省铁力市东方红水库淤积物资源化利用项目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水库淤泥资源化利用经营权</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5年</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公开拍卖</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黑龙江省自然和生态资源交易平台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陈沟水库等6座水库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水库淤积物资源化利用经营权</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10年</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公开拍卖</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眉山市政务服务和公共资源交易服务中心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李善桥水库等3座水库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水库淤积物资源化利用经营权</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10年</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公开拍卖</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眉山市政务服务和公共资源交易服务中心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文成县22座水库及5座电站经营权</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22座水库和5座电站的经营权（含取水、养殖、发电）</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20年</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公开拍卖</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文成县人民政府审批文件要求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平邑县唐村水库资产承包经营权</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坝后鱼池、土地荒滩、看管房承包经营权</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3年</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公开拍卖</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依据《拍卖法》、《国有资产交易监督管理办法》等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东海县邵家水库生态养殖经营权</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水面生态养殖经营权</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5年</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公开竞价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依据《中华人民共和国民法典》、《中华人民共和国拍卖法》</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Calibri" w:hAnsi="Calibri" w:eastAsia="宋体" w:cs="Times New Roman"/>
          <w:snapToGrid/>
          <w:color w:val="auto"/>
          <w:kern w:val="2"/>
          <w:sz w:val="28"/>
          <w:szCs w:val="24"/>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Calibri" w:hAnsi="Calibri" w:eastAsia="宋体" w:cs="Times New Roman"/>
          <w:snapToGrid/>
          <w:color w:val="auto"/>
          <w:kern w:val="2"/>
          <w:sz w:val="28"/>
          <w:szCs w:val="24"/>
          <w:highlight w:val="yellow"/>
          <w:u w:val="none"/>
          <w:lang w:val="en-US" w:eastAsia="zh-CN" w:bidi="ar-SA"/>
        </w:rPr>
      </w:pPr>
    </w:p>
    <w:p>
      <w:pPr>
        <w:pStyle w:val="4"/>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textAlignment w:val="baseline"/>
        <w:rPr>
          <w:rFonts w:hint="eastAsia" w:ascii="黑体" w:hAnsi="黑体" w:eastAsia="黑体" w:cs="黑体"/>
          <w:b w:val="0"/>
          <w:bCs w:val="0"/>
          <w:sz w:val="32"/>
          <w:szCs w:val="32"/>
          <w:highlight w:val="none"/>
          <w:lang w:val="en-US" w:eastAsia="zh-CN"/>
        </w:rPr>
      </w:pPr>
      <w:bookmarkStart w:id="14" w:name="_Toc7279"/>
      <w:r>
        <w:rPr>
          <w:rFonts w:hint="eastAsia" w:ascii="黑体" w:hAnsi="黑体" w:eastAsia="黑体" w:cs="黑体"/>
          <w:b w:val="0"/>
          <w:bCs w:val="0"/>
          <w:sz w:val="32"/>
          <w:szCs w:val="32"/>
          <w:highlight w:val="none"/>
          <w:lang w:val="en-US" w:eastAsia="zh-CN"/>
        </w:rPr>
        <w:t>2.6交易结构</w:t>
      </w:r>
      <w:bookmarkEnd w:id="14"/>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1.交易结构概述</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a）广汉市人民政府授权广汉市水利局为本项目实施机构。</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b）实施机构通过公开拍卖方式依法依规选择成交经营者。</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c）实施机构与成交经营者签订经营协议，授予成交经营者投资、运营维护本项目的权利。成交经营者根据经营协议的约定行使权利，履行义务，承担责任。</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d）成交经营者根据经营协议约定出资项目资本金，向政府方支付经营权转让价款。成交经营者在本项目经营期内不能转让本项目经营权。</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e）成交经营者按照经营协议的约定提供项目设施运营维护服务，利用项目设施开展经营性业务获得经营性收入。</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f）经营期内，政府方通过履约管理、行政监管、公众监督等多种形式，全方位对成交经营者进行监管，确保项目合规高效运行。具体监管结构详见本方案“监督管理和项目运营评价”部分。</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g）经营期届满，成交经营者按经营协议约定依法依规向政府方指定机构无偿、完好地移交项目设施所有权和所有权益。</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2.合同体系</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本项目的合同体系分为两个层次：</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第一层次合同为由项目实施机构、成交经营者之间签署的经营协议等构成的核心合同体系。</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经营协议主要内容包括：经营权转让价款的支付、双方的权利与义务、经营期、前期工作、资金管理、土地使用权、项目的运营维护、保险、运营评价、付费机制、项目的移交、不可抗力、政府承诺和保障、风险分担、法律变更、临时接管、一般补偿、提前终止与补偿、违约赔偿、监测评估、转让与担保、争议解决等。</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第二层次合同为成交经营者与本项目推进过程中的其他有关主体签署的合同，包括与金融机构签署的合同、与保险公司签署的保险合同、与员工签署的劳动合同等。</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3.项目管理结构</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本项目由成交经营者自行运营维护，不设项目公司及政府方出资代表，政府方不干涉本项目正常的项目管理及经营工作。</w:t>
      </w:r>
    </w:p>
    <w:p>
      <w:pPr>
        <w:pStyle w:val="4"/>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textAlignment w:val="baseline"/>
        <w:rPr>
          <w:rFonts w:hint="eastAsia" w:ascii="黑体" w:hAnsi="黑体" w:eastAsia="黑体" w:cs="黑体"/>
          <w:b w:val="0"/>
          <w:bCs w:val="0"/>
          <w:sz w:val="32"/>
          <w:szCs w:val="32"/>
          <w:highlight w:val="none"/>
          <w:lang w:val="en-US" w:eastAsia="zh-CN"/>
        </w:rPr>
      </w:pPr>
      <w:bookmarkStart w:id="15" w:name="_Toc17443"/>
      <w:r>
        <w:rPr>
          <w:rFonts w:hint="eastAsia" w:ascii="黑体" w:hAnsi="黑体" w:eastAsia="黑体" w:cs="黑体"/>
          <w:b w:val="0"/>
          <w:bCs w:val="0"/>
          <w:sz w:val="32"/>
          <w:szCs w:val="32"/>
          <w:highlight w:val="none"/>
          <w:lang w:val="en-US" w:eastAsia="zh-CN"/>
        </w:rPr>
        <w:t>2.7监督管理和项目运营评价</w:t>
      </w:r>
      <w:bookmarkEnd w:id="15"/>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2.7.1监督管理</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1.履约管理</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履约管理主要通过政府与成交经营者之间的合同关系来实现，政府授权的实施机构是政府履约管理的责任主体。市水利局作为本项目实施机构，根据县人民政府授权与成交经营者签订《经营协议》，并按照《经营协议》的约定督促成交经营者落实相关承诺。</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履约管理的范围限于《经营协议》约定的权利义务边界。对于《经营协议》所有约定的情形，双方需遵从约定；对于《经营协议》没有约定的情形，双方应遵循“平等友好”的原则协商解决，保证本项目各阶段如期履约。</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2.行政监管</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市水利局作为行业主管部门，依据其职权对本项目的运营维护管理进行全过程的监督和管理。其他行政监管主要由财政、发改、审计、生态环境、税务、市场监督管理、人力资源和社会保障等行政主管部门根据职责分工履行相关的行政监管职能。</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center"/>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表-行政监管明细表</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58"/>
        <w:gridCol w:w="1359"/>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583"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阶段</w:t>
            </w:r>
          </w:p>
        </w:tc>
        <w:tc>
          <w:tcPr>
            <w:tcW w:w="748"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监管</w:t>
            </w: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部门</w:t>
            </w:r>
          </w:p>
        </w:tc>
        <w:tc>
          <w:tcPr>
            <w:tcW w:w="3667"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行政监管内容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583" w:type="pct"/>
            <w:vMerge w:val="restar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前期</w:t>
            </w:r>
          </w:p>
        </w:tc>
        <w:tc>
          <w:tcPr>
            <w:tcW w:w="748"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财政</w:t>
            </w:r>
          </w:p>
        </w:tc>
        <w:tc>
          <w:tcPr>
            <w:tcW w:w="3667"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会同行业主管部门、司法局等对经营协议进行审核。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trPr>
        <w:tc>
          <w:tcPr>
            <w:tcW w:w="583" w:type="pct"/>
            <w:vMerge w:val="continue"/>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8"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发改</w:t>
            </w:r>
          </w:p>
        </w:tc>
        <w:tc>
          <w:tcPr>
            <w:tcW w:w="3667"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1.审批经营方案</w:t>
            </w: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2.出具收费文件。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3" w:type="pct"/>
            <w:vMerge w:val="continue"/>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8"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司法</w:t>
            </w:r>
          </w:p>
        </w:tc>
        <w:tc>
          <w:tcPr>
            <w:tcW w:w="3667"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会同行业主管部门、财政部门等对经营协议进行审核。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583" w:type="pct"/>
            <w:vMerge w:val="restar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运营期</w:t>
            </w:r>
          </w:p>
        </w:tc>
        <w:tc>
          <w:tcPr>
            <w:tcW w:w="748"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财政</w:t>
            </w:r>
          </w:p>
        </w:tc>
        <w:tc>
          <w:tcPr>
            <w:tcW w:w="3667"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会同项目实施机构开展运营评价。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trPr>
        <w:tc>
          <w:tcPr>
            <w:tcW w:w="583" w:type="pct"/>
            <w:vMerge w:val="continue"/>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8"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市场监督</w:t>
            </w:r>
          </w:p>
        </w:tc>
        <w:tc>
          <w:tcPr>
            <w:tcW w:w="3667"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1.依法监督成交经营者的经营行为；</w:t>
            </w: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2.保护消费者权益，接受公众投诉；3.组织实施价格监督检查政策的执行，依法查处价格违法行为等。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583" w:type="pct"/>
            <w:vMerge w:val="continue"/>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8"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税务</w:t>
            </w:r>
          </w:p>
        </w:tc>
        <w:tc>
          <w:tcPr>
            <w:tcW w:w="3667"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对成交经营者应缴税收缴纳情况进行监督。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trPr>
        <w:tc>
          <w:tcPr>
            <w:tcW w:w="583" w:type="pct"/>
            <w:vMerge w:val="continue"/>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8"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审计</w:t>
            </w:r>
          </w:p>
        </w:tc>
        <w:tc>
          <w:tcPr>
            <w:tcW w:w="3667"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按照政策要求对本项目开展审计指导工作。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trPr>
        <w:tc>
          <w:tcPr>
            <w:tcW w:w="583" w:type="pct"/>
            <w:vMerge w:val="continue"/>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8"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人力资源社会保障</w:t>
            </w:r>
          </w:p>
        </w:tc>
        <w:tc>
          <w:tcPr>
            <w:tcW w:w="3667"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对成交经营者劳动保障和社会保障法律法规和规章的执行情况进行指导、监督。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583" w:type="pct"/>
            <w:vMerge w:val="restar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移交</w:t>
            </w:r>
          </w:p>
        </w:tc>
        <w:tc>
          <w:tcPr>
            <w:tcW w:w="748"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财政</w:t>
            </w:r>
          </w:p>
        </w:tc>
        <w:tc>
          <w:tcPr>
            <w:tcW w:w="3667"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1.会同行业主管部门加强对项目债务的监控。项目期满移交时，成交经营者的债务不得移交给政府；2.组织开展项目结束后评价，依法公开评价结果。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trPr>
        <w:tc>
          <w:tcPr>
            <w:tcW w:w="583" w:type="pct"/>
            <w:vMerge w:val="continue"/>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8"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人力资源社会保障</w:t>
            </w:r>
          </w:p>
        </w:tc>
        <w:tc>
          <w:tcPr>
            <w:tcW w:w="3667"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对移交后成交经营者劳动保障和社会保障法律法规和规章的执行情况进行指导、监督。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trPr>
        <w:tc>
          <w:tcPr>
            <w:tcW w:w="583" w:type="pct"/>
            <w:vMerge w:val="continue"/>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8"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司法</w:t>
            </w:r>
          </w:p>
        </w:tc>
        <w:tc>
          <w:tcPr>
            <w:tcW w:w="3667"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对项目移交文件进行审核。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trPr>
        <w:tc>
          <w:tcPr>
            <w:tcW w:w="583" w:type="pct"/>
            <w:vMerge w:val="continue"/>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8"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生态环境</w:t>
            </w:r>
          </w:p>
        </w:tc>
        <w:tc>
          <w:tcPr>
            <w:tcW w:w="3667" w:type="pc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会同行业主管部门检查是否符合移交标准。</w:t>
            </w:r>
          </w:p>
        </w:tc>
      </w:tr>
    </w:tbl>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3.公众监督</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经营期内，公众监督主要包括信息公开、媒体曝光、投诉处理、服务满意度评价等方式，对涉及社会公众利益的问题，充分赋予公众监督权，多渠道反映，有效妥善解决问题。</w:t>
      </w:r>
    </w:p>
    <w:p>
      <w:pPr>
        <w:spacing w:line="15" w:lineRule="exact"/>
        <w:rPr>
          <w:highlight w:val="none"/>
        </w:rPr>
      </w:pPr>
    </w:p>
    <w:tbl>
      <w:tblPr>
        <w:tblStyle w:val="4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1371"/>
        <w:gridCol w:w="1844"/>
        <w:gridCol w:w="48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61"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阶段</w:t>
            </w:r>
          </w:p>
        </w:tc>
        <w:tc>
          <w:tcPr>
            <w:tcW w:w="1371"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监督事项</w:t>
            </w:r>
          </w:p>
        </w:tc>
        <w:tc>
          <w:tcPr>
            <w:tcW w:w="184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监督内容</w:t>
            </w:r>
          </w:p>
        </w:tc>
        <w:tc>
          <w:tcPr>
            <w:tcW w:w="4888"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公众监督措施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61" w:type="dxa"/>
            <w:vMerge w:val="restart"/>
            <w:tcBorders>
              <w:bottom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运营期</w:t>
            </w:r>
          </w:p>
        </w:tc>
        <w:tc>
          <w:tcPr>
            <w:tcW w:w="1371"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信息公开</w:t>
            </w:r>
          </w:p>
        </w:tc>
        <w:tc>
          <w:tcPr>
            <w:tcW w:w="184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运营期内项目实施情况</w:t>
            </w:r>
          </w:p>
        </w:tc>
        <w:tc>
          <w:tcPr>
            <w:tcW w:w="4888"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通过全国投资项目在线审批监管平台向社会公开披露公共产品或服务标准、监测分析和运营评价结果等信息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6" w:hRule="atLeast"/>
        </w:trPr>
        <w:tc>
          <w:tcPr>
            <w:tcW w:w="961" w:type="dxa"/>
            <w:vMerge w:val="continue"/>
            <w:tcBorders>
              <w:top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1371"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项目设施维护状况</w:t>
            </w:r>
          </w:p>
        </w:tc>
        <w:tc>
          <w:tcPr>
            <w:tcW w:w="184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项目设施状况是否符合相关规范、标准的要求；是否存在安全隐患；是否能够满足日常运营的需求</w:t>
            </w:r>
          </w:p>
        </w:tc>
        <w:tc>
          <w:tcPr>
            <w:tcW w:w="4888"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1.定期检查相关设施设备的运行情况与安全状况，发现问题立即解决，及时通报相关检查及处理结果；2.设置投诉举报电话及意见箱，接受并处理监督与投诉；</w:t>
            </w: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3.每年开展满意度调查，就成交经营者维护服务水平征询意见。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61"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移交</w:t>
            </w:r>
          </w:p>
        </w:tc>
        <w:tc>
          <w:tcPr>
            <w:tcW w:w="1371"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移交质量</w:t>
            </w:r>
          </w:p>
        </w:tc>
        <w:tc>
          <w:tcPr>
            <w:tcW w:w="184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移交项目实施情况</w:t>
            </w:r>
          </w:p>
        </w:tc>
        <w:tc>
          <w:tcPr>
            <w:tcW w:w="4888"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项目移交方案、移交资产或设施清单等信息。</w:t>
            </w:r>
          </w:p>
        </w:tc>
      </w:tr>
    </w:tbl>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2.7.2运营评价</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本项目实施机构应组织编制运营评价工作方案，内容通常包括项目基本情况、运营目标和指标体系、评价目的和依据、评价对象和范围、评价方法、组织与实施计划、资料收集与调查等。</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每次运营评价皆应形成必要的书面记录、照片和视频等材料。运营评价的手段包括但不限于观察、询问、函证、第三方送检、检查项目设施及建设、运营记录等。</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对于运营评价过程中发现的问题或缺陷，项目实施机构有权发出整改通知，成交经营者应按通知要求在规定期限内及时完成整改。</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成交经营者有义务保证所提供的各项服务均符合相应的质量标准规定。依据相关的技术规范和标准，项目实施机构组织对成交经营者的运营服务质量、运营效果、协议履约情况、项目直接效果、外部影响、可持续性等评等情况等进行评价、评估，成交经营者应全力配合相关部门的评价工作。</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运营期运营评价在运营期内每年进行一次，政府方基于运营评价得分决定是否扣减运营期履约保证金。</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center"/>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表-运营期运营评价扣费表</w:t>
      </w:r>
    </w:p>
    <w:p>
      <w:pPr>
        <w:spacing w:line="122" w:lineRule="exact"/>
        <w:rPr>
          <w:highlight w:val="none"/>
        </w:rPr>
      </w:pPr>
    </w:p>
    <w:tbl>
      <w:tblPr>
        <w:tblStyle w:val="45"/>
        <w:tblW w:w="88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3890"/>
        <w:gridCol w:w="37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201"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序号</w:t>
            </w:r>
          </w:p>
        </w:tc>
        <w:tc>
          <w:tcPr>
            <w:tcW w:w="38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运营期评价得分</w:t>
            </w:r>
          </w:p>
        </w:tc>
        <w:tc>
          <w:tcPr>
            <w:tcW w:w="379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扣减运营期履约保证金金额（万元）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201"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38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80≤得分</w:t>
            </w:r>
          </w:p>
        </w:tc>
        <w:tc>
          <w:tcPr>
            <w:tcW w:w="379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不扣费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01"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w:t>
            </w:r>
          </w:p>
        </w:tc>
        <w:tc>
          <w:tcPr>
            <w:tcW w:w="38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70≤得分＜80</w:t>
            </w:r>
          </w:p>
        </w:tc>
        <w:tc>
          <w:tcPr>
            <w:tcW w:w="379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每低于80分一分扣减1万元（不足1</w:t>
            </w: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分的按1分计算）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201"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w:t>
            </w:r>
          </w:p>
        </w:tc>
        <w:tc>
          <w:tcPr>
            <w:tcW w:w="38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60≤得分＜70</w:t>
            </w:r>
          </w:p>
        </w:tc>
        <w:tc>
          <w:tcPr>
            <w:tcW w:w="379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扣减金额为10万元+每低于70分</w:t>
            </w: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一分额外扣减2万元（不足1分的按1</w:t>
            </w: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分计算）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8885" w:type="dxa"/>
            <w:gridSpan w:val="3"/>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得分低于60分的，则一次性处罚50万元；连续2年得分均小于60分的，甲方有权要求乙方退出，并按照乙方违约情形计算终止补偿金</w:t>
            </w:r>
          </w:p>
        </w:tc>
      </w:tr>
    </w:tbl>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运营期运营评价标准见附件，最终以经营协议约定为准。</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因项目实施内容、相关政策、行业标准发生变化或突发事件、不可抗力等无法预见的重大变化影响运营目标实现而确需调整的，由项目实施机构和成交经营者协商确定后可以调整运营期运营评价标准。</w:t>
      </w:r>
    </w:p>
    <w:p>
      <w:pPr>
        <w:pStyle w:val="4"/>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textAlignment w:val="baseline"/>
        <w:rPr>
          <w:rFonts w:hint="eastAsia" w:ascii="黑体" w:hAnsi="黑体" w:eastAsia="黑体" w:cs="黑体"/>
          <w:b w:val="0"/>
          <w:bCs w:val="0"/>
          <w:sz w:val="32"/>
          <w:szCs w:val="32"/>
          <w:highlight w:val="none"/>
          <w:lang w:val="en-US" w:eastAsia="zh-CN"/>
        </w:rPr>
      </w:pPr>
      <w:bookmarkStart w:id="16" w:name="_Toc17875"/>
      <w:r>
        <w:rPr>
          <w:rFonts w:hint="eastAsia" w:ascii="黑体" w:hAnsi="黑体" w:eastAsia="黑体" w:cs="黑体"/>
          <w:b w:val="0"/>
          <w:bCs w:val="0"/>
          <w:sz w:val="32"/>
          <w:szCs w:val="32"/>
          <w:highlight w:val="none"/>
          <w:lang w:val="en-US" w:eastAsia="zh-CN"/>
        </w:rPr>
        <w:t>2.8风险管控</w:t>
      </w:r>
      <w:bookmarkEnd w:id="16"/>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2.8.1风险分配原则</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科学合理的风险分配应具备如下功能：一是分配的结果可以减少风险发生的概率；二是各方有能力控制分配给己方的风险，并为项目的成功而有效地工作。通常情况下，项目财务和运营维护等商业风险由成交经营者承担，法律、政策等风险由政府方承担，不可抗力等风险由政府方和成交经营者合理共担。本项目风险分配遵循以下原则：</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bookmarkStart w:id="17" w:name="_bookmark94"/>
      <w:bookmarkEnd w:id="17"/>
      <w:bookmarkStart w:id="18" w:name="_bookmark95"/>
      <w:bookmarkEnd w:id="18"/>
      <w:r>
        <w:rPr>
          <w:rFonts w:hint="eastAsia" w:ascii="仿宋" w:hAnsi="仿宋" w:eastAsia="仿宋" w:cs="仿宋"/>
          <w:snapToGrid/>
          <w:color w:val="auto"/>
          <w:kern w:val="2"/>
          <w:sz w:val="32"/>
          <w:szCs w:val="32"/>
          <w:highlight w:val="none"/>
          <w:u w:val="none"/>
          <w:lang w:val="en-US" w:eastAsia="zh-CN" w:bidi="ar-SA"/>
        </w:rPr>
        <w:t>1.风险分配优化原则</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政府方和成交经营者之间实现最优风险分配需要根据每个参与方对风险的承担能力与控制能力来划分。为了使项目实现“双赢”或“多赢”的局面，降低风险发生概率和风险控制成本，合理分配项目风险是保障项目顺利进行的充分条件。</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2.风险收益对等原则</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在风险分配时应遵循风险与收益对等原则，从而使项目对参与各方都具有吸引力，在项目风险分配过程中，双方既要关注合同主体对风险管理成本和风险损失的承担，又要尊重其获得与风险相匹配的收益水平的权利。风险分配的结果可以使双方对自己的行为持谨慎态度。</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3.风险可控原则</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应按项目参与方的风险控制及承担能力设定风险损失承担上限，不宜由任何一方承担超过其承受能力的风险，以保证双方合作关系的长期持续稳定。</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4.风险动态分配原则</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建立风险预控机制，承担的风险应有上限。项目的某些风险可能会出现双方不可预见的变化或风险带来的损害比之前估计要大得多。出现这种情况时，不能让某一方单独承担这些过大的风险，应该遵从承担的风险要有上限的原则，允许对风险分担进行有限度的调整，从而保证项目的正常进行。</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5.风险归责原则</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Calibri" w:hAnsi="Calibri" w:eastAsia="宋体" w:cs="Times New Roman"/>
          <w:snapToGrid/>
          <w:color w:val="auto"/>
          <w:kern w:val="2"/>
          <w:sz w:val="28"/>
          <w:szCs w:val="24"/>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如果风险最终发生，且在应承担风险的一方可承受范围之内，该参与方应按约定承担由该风险导致的损失，不应将由此产生的费用和损失转移给合同相对方。</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2.8.2风险分配方案应对措施和建议</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具体风险分配情况及风险应对措施见下表：</w:t>
      </w:r>
    </w:p>
    <w:p>
      <w:pPr>
        <w:rPr>
          <w:rFonts w:ascii="仿宋" w:hAnsi="仿宋" w:eastAsia="仿宋" w:cs="仿宋"/>
          <w:spacing w:val="8"/>
          <w:sz w:val="31"/>
          <w:szCs w:val="31"/>
          <w:highlight w:val="none"/>
        </w:rPr>
      </w:pPr>
    </w:p>
    <w:p>
      <w:pPr>
        <w:rPr>
          <w:rFonts w:ascii="仿宋" w:hAnsi="仿宋" w:eastAsia="仿宋" w:cs="仿宋"/>
          <w:spacing w:val="8"/>
          <w:sz w:val="31"/>
          <w:szCs w:val="31"/>
          <w:highlight w:val="none"/>
        </w:rPr>
      </w:pPr>
    </w:p>
    <w:p>
      <w:pPr>
        <w:rPr>
          <w:rFonts w:ascii="仿宋" w:hAnsi="仿宋" w:eastAsia="仿宋" w:cs="仿宋"/>
          <w:spacing w:val="8"/>
          <w:sz w:val="31"/>
          <w:szCs w:val="31"/>
          <w:highlight w:val="none"/>
        </w:rPr>
      </w:pPr>
    </w:p>
    <w:p>
      <w:pPr>
        <w:rPr>
          <w:rFonts w:ascii="仿宋" w:hAnsi="仿宋" w:eastAsia="仿宋" w:cs="仿宋"/>
          <w:spacing w:val="8"/>
          <w:sz w:val="31"/>
          <w:szCs w:val="31"/>
          <w:highlight w:val="none"/>
        </w:rPr>
      </w:pPr>
    </w:p>
    <w:p>
      <w:pPr>
        <w:rPr>
          <w:rFonts w:ascii="仿宋" w:hAnsi="仿宋" w:eastAsia="仿宋" w:cs="仿宋"/>
          <w:spacing w:val="8"/>
          <w:sz w:val="31"/>
          <w:szCs w:val="31"/>
          <w:highlight w:val="none"/>
        </w:rPr>
      </w:pPr>
    </w:p>
    <w:p>
      <w:pPr>
        <w:rPr>
          <w:rFonts w:ascii="仿宋" w:hAnsi="仿宋" w:eastAsia="仿宋" w:cs="仿宋"/>
          <w:spacing w:val="8"/>
          <w:sz w:val="31"/>
          <w:szCs w:val="31"/>
          <w:highlight w:val="none"/>
        </w:rPr>
        <w:sectPr>
          <w:footerReference r:id="rId8" w:type="default"/>
          <w:pgSz w:w="11906" w:h="16839"/>
          <w:pgMar w:top="1118" w:right="1361" w:bottom="1852" w:left="1475" w:header="850" w:footer="1692" w:gutter="0"/>
          <w:pgBorders>
            <w:top w:val="none" w:sz="0" w:space="0"/>
            <w:left w:val="none" w:sz="0" w:space="0"/>
            <w:bottom w:val="none" w:sz="0" w:space="0"/>
            <w:right w:val="none" w:sz="0" w:space="0"/>
          </w:pgBorders>
          <w:pgNumType w:fmt="decimal"/>
          <w:cols w:space="720" w:num="1"/>
        </w:sectPr>
      </w:pPr>
    </w:p>
    <w:p>
      <w:pPr>
        <w:rPr>
          <w:rFonts w:ascii="仿宋" w:hAnsi="仿宋" w:eastAsia="仿宋" w:cs="仿宋"/>
          <w:spacing w:val="8"/>
          <w:sz w:val="31"/>
          <w:szCs w:val="31"/>
          <w:highlight w:val="none"/>
        </w:rPr>
      </w:pP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center"/>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风险分配、风险防范及应对措施</w:t>
      </w:r>
    </w:p>
    <w:tbl>
      <w:tblPr>
        <w:tblStyle w:val="45"/>
        <w:tblW w:w="142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
        <w:gridCol w:w="1170"/>
        <w:gridCol w:w="1305"/>
        <w:gridCol w:w="3787"/>
        <w:gridCol w:w="4280"/>
        <w:gridCol w:w="790"/>
        <w:gridCol w:w="974"/>
        <w:gridCol w:w="667"/>
        <w:gridCol w:w="7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48" w:type="dxa"/>
            <w:vMerge w:val="restart"/>
            <w:tcBorders>
              <w:bottom w:val="nil"/>
            </w:tcBorders>
            <w:textDirection w:val="tbRlV"/>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序号</w:t>
            </w:r>
          </w:p>
        </w:tc>
        <w:tc>
          <w:tcPr>
            <w:tcW w:w="1170" w:type="dxa"/>
            <w:vMerge w:val="restart"/>
            <w:tcBorders>
              <w:bottom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阶段</w:t>
            </w:r>
          </w:p>
        </w:tc>
        <w:tc>
          <w:tcPr>
            <w:tcW w:w="1305" w:type="dxa"/>
            <w:vMerge w:val="restart"/>
            <w:tcBorders>
              <w:bottom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风险分类</w:t>
            </w:r>
          </w:p>
        </w:tc>
        <w:tc>
          <w:tcPr>
            <w:tcW w:w="3787" w:type="dxa"/>
            <w:vMerge w:val="restart"/>
            <w:tcBorders>
              <w:bottom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导致风险的因素</w:t>
            </w:r>
          </w:p>
        </w:tc>
        <w:tc>
          <w:tcPr>
            <w:tcW w:w="4280" w:type="dxa"/>
            <w:vMerge w:val="restart"/>
            <w:tcBorders>
              <w:bottom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风险防范及应对措施</w:t>
            </w:r>
          </w:p>
        </w:tc>
        <w:tc>
          <w:tcPr>
            <w:tcW w:w="2431" w:type="dxa"/>
            <w:gridSpan w:val="3"/>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风险分担</w:t>
            </w:r>
          </w:p>
        </w:tc>
        <w:tc>
          <w:tcPr>
            <w:tcW w:w="742" w:type="dxa"/>
            <w:vMerge w:val="restart"/>
            <w:tcBorders>
              <w:bottom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风险</w:t>
            </w: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转移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48" w:type="dxa"/>
            <w:vMerge w:val="continue"/>
            <w:tcBorders>
              <w:top w:val="nil"/>
            </w:tcBorders>
            <w:textDirection w:val="tbRlV"/>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1170" w:type="dxa"/>
            <w:vMerge w:val="continue"/>
            <w:tcBorders>
              <w:top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1305" w:type="dxa"/>
            <w:vMerge w:val="continue"/>
            <w:tcBorders>
              <w:top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3787" w:type="dxa"/>
            <w:vMerge w:val="continue"/>
            <w:tcBorders>
              <w:top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4280" w:type="dxa"/>
            <w:vMerge w:val="continue"/>
            <w:tcBorders>
              <w:top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政府</w:t>
            </w: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方</w:t>
            </w:r>
          </w:p>
        </w:tc>
        <w:tc>
          <w:tcPr>
            <w:tcW w:w="97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成交经营者</w:t>
            </w:r>
          </w:p>
        </w:tc>
        <w:tc>
          <w:tcPr>
            <w:tcW w:w="66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共担</w:t>
            </w:r>
          </w:p>
        </w:tc>
        <w:tc>
          <w:tcPr>
            <w:tcW w:w="742" w:type="dxa"/>
            <w:vMerge w:val="continue"/>
            <w:tcBorders>
              <w:top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48"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1170" w:type="dxa"/>
            <w:vMerge w:val="restart"/>
            <w:tcBorders>
              <w:bottom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全生命周期风险</w:t>
            </w:r>
          </w:p>
        </w:tc>
        <w:tc>
          <w:tcPr>
            <w:tcW w:w="1305"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政策风险</w:t>
            </w:r>
          </w:p>
        </w:tc>
        <w:tc>
          <w:tcPr>
            <w:tcW w:w="378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因国家或社会公众利益需要，征用或提前收回项目资产。</w:t>
            </w:r>
          </w:p>
        </w:tc>
        <w:tc>
          <w:tcPr>
            <w:tcW w:w="428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建立提前终止补偿机制。</w:t>
            </w:r>
          </w:p>
        </w:tc>
        <w:tc>
          <w:tcPr>
            <w:tcW w:w="7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w:t>
            </w:r>
          </w:p>
        </w:tc>
        <w:tc>
          <w:tcPr>
            <w:tcW w:w="97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66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2"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548"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w:t>
            </w:r>
          </w:p>
        </w:tc>
        <w:tc>
          <w:tcPr>
            <w:tcW w:w="1170" w:type="dxa"/>
            <w:vMerge w:val="continue"/>
            <w:tcBorders>
              <w:top w:val="nil"/>
              <w:bottom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1305"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法律风险</w:t>
            </w:r>
          </w:p>
        </w:tc>
        <w:tc>
          <w:tcPr>
            <w:tcW w:w="378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国家、省、市级政府颁布、修改法律法规或相关政策（包括但不限于行业、金融、财税等政策）对本项目造成影响。</w:t>
            </w:r>
          </w:p>
        </w:tc>
        <w:tc>
          <w:tcPr>
            <w:tcW w:w="428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在合同中对可能出现的法律风险约定相应的处理原则。</w:t>
            </w:r>
          </w:p>
        </w:tc>
        <w:tc>
          <w:tcPr>
            <w:tcW w:w="7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97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66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w:t>
            </w:r>
          </w:p>
        </w:tc>
        <w:tc>
          <w:tcPr>
            <w:tcW w:w="742"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48"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w:t>
            </w:r>
          </w:p>
        </w:tc>
        <w:tc>
          <w:tcPr>
            <w:tcW w:w="1170" w:type="dxa"/>
            <w:vMerge w:val="continue"/>
            <w:tcBorders>
              <w:top w:val="nil"/>
              <w:bottom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1305" w:type="dxa"/>
            <w:vMerge w:val="restart"/>
            <w:tcBorders>
              <w:bottom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资金风险</w:t>
            </w:r>
          </w:p>
        </w:tc>
        <w:tc>
          <w:tcPr>
            <w:tcW w:w="378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融资利率变动导致项目财务费用增加。</w:t>
            </w:r>
          </w:p>
        </w:tc>
        <w:tc>
          <w:tcPr>
            <w:tcW w:w="428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科学筹划项目所需资金，同时加强项目全生命周期内资金的动态管理。</w:t>
            </w:r>
          </w:p>
        </w:tc>
        <w:tc>
          <w:tcPr>
            <w:tcW w:w="7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97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w:t>
            </w:r>
          </w:p>
        </w:tc>
        <w:tc>
          <w:tcPr>
            <w:tcW w:w="66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2"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48"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4.</w:t>
            </w:r>
          </w:p>
        </w:tc>
        <w:tc>
          <w:tcPr>
            <w:tcW w:w="1170" w:type="dxa"/>
            <w:vMerge w:val="continue"/>
            <w:tcBorders>
              <w:top w:val="nil"/>
              <w:bottom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1305" w:type="dxa"/>
            <w:vMerge w:val="continue"/>
            <w:tcBorders>
              <w:top w:val="nil"/>
              <w:bottom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378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资本金筹集不到位</w:t>
            </w:r>
          </w:p>
        </w:tc>
        <w:tc>
          <w:tcPr>
            <w:tcW w:w="428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成交经营者提前做好资金筹划和预留，根据协议约定保证资金及时到位。</w:t>
            </w:r>
          </w:p>
        </w:tc>
        <w:tc>
          <w:tcPr>
            <w:tcW w:w="7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97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w:t>
            </w:r>
          </w:p>
        </w:tc>
        <w:tc>
          <w:tcPr>
            <w:tcW w:w="66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2"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48"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w:t>
            </w:r>
          </w:p>
        </w:tc>
        <w:tc>
          <w:tcPr>
            <w:tcW w:w="1170" w:type="dxa"/>
            <w:vMerge w:val="continue"/>
            <w:tcBorders>
              <w:top w:val="nil"/>
              <w:bottom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1305" w:type="dxa"/>
            <w:vMerge w:val="continue"/>
            <w:tcBorders>
              <w:top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378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融资不到位</w:t>
            </w:r>
          </w:p>
        </w:tc>
        <w:tc>
          <w:tcPr>
            <w:tcW w:w="428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成交经营者提前做好与融资机构的沟通，获取经营权后尽快签订融资合同，保证融资资金及时到位</w:t>
            </w:r>
          </w:p>
        </w:tc>
        <w:tc>
          <w:tcPr>
            <w:tcW w:w="7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97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w:t>
            </w:r>
          </w:p>
        </w:tc>
        <w:tc>
          <w:tcPr>
            <w:tcW w:w="66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2"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48"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6.</w:t>
            </w:r>
          </w:p>
        </w:tc>
        <w:tc>
          <w:tcPr>
            <w:tcW w:w="1170" w:type="dxa"/>
            <w:vMerge w:val="continue"/>
            <w:tcBorders>
              <w:top w:val="nil"/>
              <w:bottom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1305" w:type="dxa"/>
            <w:vMerge w:val="restart"/>
            <w:tcBorders>
              <w:bottom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不可抗力风险</w:t>
            </w:r>
          </w:p>
        </w:tc>
        <w:tc>
          <w:tcPr>
            <w:tcW w:w="378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自然不可抗力：指台风、地震、洪水、冰雹、瘟疫等自然不可抗力导致项目不能正常运营。</w:t>
            </w:r>
          </w:p>
        </w:tc>
        <w:tc>
          <w:tcPr>
            <w:tcW w:w="428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购买相应的保险。</w:t>
            </w:r>
          </w:p>
        </w:tc>
        <w:tc>
          <w:tcPr>
            <w:tcW w:w="7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97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66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w:t>
            </w:r>
          </w:p>
        </w:tc>
        <w:tc>
          <w:tcPr>
            <w:tcW w:w="742"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保险</w:t>
            </w: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48"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7.</w:t>
            </w:r>
          </w:p>
        </w:tc>
        <w:tc>
          <w:tcPr>
            <w:tcW w:w="1170" w:type="dxa"/>
            <w:vMerge w:val="continue"/>
            <w:tcBorders>
              <w:top w:val="nil"/>
              <w:bottom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1305" w:type="dxa"/>
            <w:vMerge w:val="continue"/>
            <w:tcBorders>
              <w:top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378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国内外政治不稳定，发生社会异常事件，如战争、罢工、骚乱等不可抗力因素导致项目不能正常运营。</w:t>
            </w:r>
          </w:p>
        </w:tc>
        <w:tc>
          <w:tcPr>
            <w:tcW w:w="428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建立提前终止补偿机制。</w:t>
            </w:r>
          </w:p>
        </w:tc>
        <w:tc>
          <w:tcPr>
            <w:tcW w:w="7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97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66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w:t>
            </w:r>
          </w:p>
        </w:tc>
        <w:tc>
          <w:tcPr>
            <w:tcW w:w="742"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48"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8.</w:t>
            </w:r>
          </w:p>
        </w:tc>
        <w:tc>
          <w:tcPr>
            <w:tcW w:w="1170" w:type="dxa"/>
            <w:vMerge w:val="continue"/>
            <w:tcBorders>
              <w:top w:val="nil"/>
            </w:tcBorders>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1305"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环境影响风险</w:t>
            </w:r>
          </w:p>
        </w:tc>
        <w:tc>
          <w:tcPr>
            <w:tcW w:w="378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项目运营对环境造成不良影响。</w:t>
            </w:r>
          </w:p>
        </w:tc>
        <w:tc>
          <w:tcPr>
            <w:tcW w:w="428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政府加大监管力度，建立运营评价机制。</w:t>
            </w:r>
          </w:p>
        </w:tc>
        <w:tc>
          <w:tcPr>
            <w:tcW w:w="7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97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w:t>
            </w:r>
          </w:p>
        </w:tc>
        <w:tc>
          <w:tcPr>
            <w:tcW w:w="66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2"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48"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9.</w:t>
            </w:r>
          </w:p>
        </w:tc>
        <w:tc>
          <w:tcPr>
            <w:tcW w:w="1170" w:type="dxa"/>
            <w:vMerge w:val="restar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项目运营期风险</w:t>
            </w:r>
          </w:p>
        </w:tc>
        <w:tc>
          <w:tcPr>
            <w:tcW w:w="1305" w:type="dxa"/>
            <w:vMerge w:val="restar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运营管理风险</w:t>
            </w:r>
          </w:p>
        </w:tc>
        <w:tc>
          <w:tcPr>
            <w:tcW w:w="378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运营管理能力不足导致产出内容达不到约定要求。</w:t>
            </w:r>
          </w:p>
        </w:tc>
        <w:tc>
          <w:tcPr>
            <w:tcW w:w="428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在合同中约定运营管理要求，建立运营评价机制；政府各职能部门加强监管。</w:t>
            </w:r>
          </w:p>
        </w:tc>
        <w:tc>
          <w:tcPr>
            <w:tcW w:w="7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97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w:t>
            </w:r>
          </w:p>
        </w:tc>
        <w:tc>
          <w:tcPr>
            <w:tcW w:w="66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2"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48"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10.</w:t>
            </w:r>
          </w:p>
        </w:tc>
        <w:tc>
          <w:tcPr>
            <w:tcW w:w="1170" w:type="dxa"/>
            <w:vMerge w:val="continue"/>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1305" w:type="dxa"/>
            <w:vMerge w:val="continue"/>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378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运营过程中发生安全事故</w:t>
            </w:r>
          </w:p>
        </w:tc>
        <w:tc>
          <w:tcPr>
            <w:tcW w:w="428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成交经营者应根据项目性质选取符合相关要求的设施设备（如防潮等），针对汛期、地质灾害等建立安全管理机制，定期开展安全隐患排查和安全演练，切实加强安全防范，落实安全管理责任制。</w:t>
            </w:r>
          </w:p>
        </w:tc>
        <w:tc>
          <w:tcPr>
            <w:tcW w:w="7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97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w:t>
            </w:r>
          </w:p>
        </w:tc>
        <w:tc>
          <w:tcPr>
            <w:tcW w:w="66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2"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48"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11.</w:t>
            </w:r>
          </w:p>
        </w:tc>
        <w:tc>
          <w:tcPr>
            <w:tcW w:w="1170" w:type="dxa"/>
            <w:vMerge w:val="continue"/>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1305" w:type="dxa"/>
            <w:vMerge w:val="restart"/>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项目市场风险</w:t>
            </w:r>
          </w:p>
        </w:tc>
        <w:tc>
          <w:tcPr>
            <w:tcW w:w="378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供水定价风险，水权交易、淤泥销售、附加运营面临价格低迷，收入不足等</w:t>
            </w:r>
          </w:p>
        </w:tc>
        <w:tc>
          <w:tcPr>
            <w:tcW w:w="428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中标成交经营者应充分理解相关价格变动风险，为价格制定提供充分依据。</w:t>
            </w:r>
          </w:p>
        </w:tc>
        <w:tc>
          <w:tcPr>
            <w:tcW w:w="7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97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w:t>
            </w:r>
          </w:p>
        </w:tc>
        <w:tc>
          <w:tcPr>
            <w:tcW w:w="66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2"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48"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12.</w:t>
            </w:r>
          </w:p>
        </w:tc>
        <w:tc>
          <w:tcPr>
            <w:tcW w:w="1170" w:type="dxa"/>
            <w:vMerge w:val="continue"/>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1305" w:type="dxa"/>
            <w:vMerge w:val="continue"/>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378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水量供应不足（受极端干旱天气影响除外），水权交易、淤泥销售、附加运营开拓不及预期，业绩不佳。</w:t>
            </w:r>
          </w:p>
        </w:tc>
        <w:tc>
          <w:tcPr>
            <w:tcW w:w="428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成交经营者应结合实际情况做好运营规划，为社会公众提供优质的产品和服务。</w:t>
            </w:r>
          </w:p>
        </w:tc>
        <w:tc>
          <w:tcPr>
            <w:tcW w:w="7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97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w:t>
            </w:r>
          </w:p>
        </w:tc>
        <w:tc>
          <w:tcPr>
            <w:tcW w:w="66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2"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48"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13.</w:t>
            </w:r>
          </w:p>
        </w:tc>
        <w:tc>
          <w:tcPr>
            <w:tcW w:w="1170" w:type="dxa"/>
            <w:vMerge w:val="continue"/>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1305" w:type="dxa"/>
            <w:vMerge w:val="continue"/>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378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动力费、人员工资等运营成本波动</w:t>
            </w:r>
          </w:p>
        </w:tc>
        <w:tc>
          <w:tcPr>
            <w:tcW w:w="428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提高运营管理效率，加强成本控制。</w:t>
            </w:r>
          </w:p>
        </w:tc>
        <w:tc>
          <w:tcPr>
            <w:tcW w:w="7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97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w:t>
            </w:r>
          </w:p>
        </w:tc>
        <w:tc>
          <w:tcPr>
            <w:tcW w:w="66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2"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48"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14.</w:t>
            </w:r>
          </w:p>
        </w:tc>
        <w:tc>
          <w:tcPr>
            <w:tcW w:w="1170" w:type="dxa"/>
            <w:vMerge w:val="continue"/>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1305"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公众风险</w:t>
            </w:r>
          </w:p>
        </w:tc>
        <w:tc>
          <w:tcPr>
            <w:tcW w:w="378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农业灌溉用水价格调整较大，导致公众不满意等</w:t>
            </w:r>
          </w:p>
        </w:tc>
        <w:tc>
          <w:tcPr>
            <w:tcW w:w="428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农业灌溉用水价格主要依据政府定价，价格调整需要进行听证，因此需结合相关政策程序进行调整。</w:t>
            </w:r>
          </w:p>
        </w:tc>
        <w:tc>
          <w:tcPr>
            <w:tcW w:w="7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97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66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w:t>
            </w:r>
          </w:p>
        </w:tc>
        <w:tc>
          <w:tcPr>
            <w:tcW w:w="742"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48"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15.</w:t>
            </w:r>
          </w:p>
        </w:tc>
        <w:tc>
          <w:tcPr>
            <w:tcW w:w="117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项目移交期风险</w:t>
            </w:r>
          </w:p>
        </w:tc>
        <w:tc>
          <w:tcPr>
            <w:tcW w:w="1305"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移交风险</w:t>
            </w:r>
          </w:p>
        </w:tc>
        <w:tc>
          <w:tcPr>
            <w:tcW w:w="378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项目合作期满或提前终止，成交经营者向政府方移交时，有未偿还债务或第三方索赔、项目设施完好率不达标、相关资料不完整、权力移交不完整等。</w:t>
            </w:r>
          </w:p>
        </w:tc>
        <w:tc>
          <w:tcPr>
            <w:tcW w:w="428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设立移交保证金，成立移交工作组，做好移交准备工作，编制移交清单，制定移交计划。</w:t>
            </w:r>
          </w:p>
        </w:tc>
        <w:tc>
          <w:tcPr>
            <w:tcW w:w="790"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974"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w:t>
            </w:r>
          </w:p>
        </w:tc>
        <w:tc>
          <w:tcPr>
            <w:tcW w:w="667"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742" w:type="dxa"/>
            <w:vAlign w:val="top"/>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bl>
    <w:p>
      <w:pPr>
        <w:rPr>
          <w:rFonts w:hint="eastAsia" w:ascii="仿宋" w:hAnsi="仿宋" w:eastAsia="仿宋" w:cs="仿宋"/>
          <w:spacing w:val="8"/>
          <w:sz w:val="31"/>
          <w:szCs w:val="31"/>
          <w:highlight w:val="yellow"/>
          <w:lang w:val="en-US" w:eastAsia="zh-CN"/>
        </w:rPr>
        <w:sectPr>
          <w:pgSz w:w="16838" w:h="11906" w:orient="landscape"/>
          <w:pgMar w:top="1474" w:right="1117" w:bottom="1361" w:left="1854" w:header="879" w:footer="1689" w:gutter="0"/>
          <w:pgBorders>
            <w:top w:val="none" w:sz="0" w:space="0"/>
            <w:left w:val="none" w:sz="0" w:space="0"/>
            <w:bottom w:val="none" w:sz="0" w:space="0"/>
            <w:right w:val="none" w:sz="0" w:space="0"/>
          </w:pgBorders>
          <w:pgNumType w:fmt="decimal"/>
          <w:cols w:space="0" w:num="1"/>
          <w:rtlGutter w:val="0"/>
          <w:docGrid w:linePitch="0" w:charSpace="0"/>
        </w:sectPr>
      </w:pPr>
    </w:p>
    <w:p>
      <w:pPr>
        <w:pStyle w:val="4"/>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textAlignment w:val="baseline"/>
        <w:rPr>
          <w:rFonts w:hint="eastAsia" w:ascii="黑体" w:hAnsi="黑体" w:eastAsia="黑体" w:cs="黑体"/>
          <w:b w:val="0"/>
          <w:bCs w:val="0"/>
          <w:sz w:val="32"/>
          <w:szCs w:val="32"/>
          <w:highlight w:val="none"/>
          <w:lang w:val="en-US" w:eastAsia="zh-CN"/>
        </w:rPr>
      </w:pPr>
      <w:bookmarkStart w:id="19" w:name="_Toc17035"/>
      <w:r>
        <w:rPr>
          <w:rFonts w:hint="eastAsia" w:ascii="黑体" w:hAnsi="黑体" w:eastAsia="黑体" w:cs="黑体"/>
          <w:b w:val="0"/>
          <w:bCs w:val="0"/>
          <w:sz w:val="32"/>
          <w:szCs w:val="32"/>
          <w:highlight w:val="none"/>
          <w:lang w:val="en-US" w:eastAsia="zh-CN"/>
        </w:rPr>
        <w:t>2.9政府承诺和保障</w:t>
      </w:r>
      <w:bookmarkEnd w:id="19"/>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2.9.1授予权力的有效性</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在成交经营者严格执行经营协议的前提下，市政府应保证其授予成交经营者投资、运营维护本项目的权利在整个经营期内始终持续有效和完整，不可抗力原因导致的除外。</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实施机构应当按照经营协议严格履行有关义务，为成交经营者运营水库存量资产经营权及淤积物资源化利用经营权盘活项目提供便利和支持，提高公共服务水平。行政区划调整，政府换届、部门调整和负责人变更，不得影响经营协议履行。</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2.9.2前期工作的协助</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各级政府部门要有效协调，创新机制，提高行政审批效率。行业主管部门按照部门联动、分工明确、协同推进等要求，与有关部门建立协调推进机制，推动投资、价格、金融等部门密切配合、形成合力，保障本项目合作积极稳妥推进。</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2.9.3加强能力建设</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通过专题培训、政策解读等，统一思想，提高政府各部门、成交经营者和社会公众对本项目的认识，营造良好的环境氛围。同时，聘请专业咨询机构为项目全生命期提供财务、法律、技术和商务支持，为本项目顺利推进保驾护航。</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2.9.4争取政策支持</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充分整合、有效利用现有资源和政策，争取水库存量资产经营权及淤积物资源化利用经营权盘活项目配套政策支持；同时，积极争取国家和省市有关部门的各类支持。如果本项目申请得到国家、省级或市级各类补助、补贴资金、贴息、奖励资金或专项资金（统称“奖补资金”），应按照规定的资金用途使用。</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bookmarkStart w:id="20" w:name="_bookmark99"/>
      <w:bookmarkEnd w:id="20"/>
      <w:r>
        <w:rPr>
          <w:rFonts w:hint="eastAsia" w:ascii="楷体" w:hAnsi="楷体" w:eastAsia="楷体" w:cs="楷体"/>
          <w:b/>
          <w:bCs w:val="0"/>
          <w:sz w:val="32"/>
          <w:szCs w:val="32"/>
          <w:highlight w:val="none"/>
          <w:lang w:val="en-US" w:eastAsia="zh-CN"/>
        </w:rPr>
        <w:t>2.9.5行政审批手续</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相关政府部门对本项目涉及的财政、发改、物价、税收、环境保护等管理和审批事项，为成交经营者提供相应的支持和保障。</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2.9.6收费与调价机制</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政府方应在经营期内，结合项目实际运营情况，适时开展原水和灌溉用水管理成本监审，综合考虑物价变动、供水管理成本变化、增产增效情况、高效节水发展、水资源稀缺程度以及用水户承受能力等，合理调整制定水价收费文件，原则上至少每五年调整一次。</w:t>
      </w:r>
    </w:p>
    <w:p>
      <w:pPr>
        <w:pStyle w:val="4"/>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textAlignment w:val="baseline"/>
        <w:rPr>
          <w:rFonts w:hint="eastAsia" w:ascii="黑体" w:hAnsi="黑体" w:eastAsia="黑体" w:cs="黑体"/>
          <w:b w:val="0"/>
          <w:bCs w:val="0"/>
          <w:sz w:val="32"/>
          <w:szCs w:val="32"/>
          <w:highlight w:val="none"/>
          <w:lang w:val="en-US" w:eastAsia="zh-CN"/>
        </w:rPr>
      </w:pPr>
      <w:bookmarkStart w:id="21" w:name="_Toc17020"/>
      <w:r>
        <w:rPr>
          <w:rFonts w:hint="eastAsia" w:ascii="黑体" w:hAnsi="黑体" w:eastAsia="黑体" w:cs="黑体"/>
          <w:b w:val="0"/>
          <w:bCs w:val="0"/>
          <w:sz w:val="32"/>
          <w:szCs w:val="32"/>
          <w:highlight w:val="none"/>
          <w:lang w:val="en-US" w:eastAsia="zh-CN"/>
        </w:rPr>
        <w:t>2.10调整、变更等其他要求</w:t>
      </w:r>
      <w:bookmarkEnd w:id="21"/>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2.10.1履约保障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Calibri" w:hAnsi="Calibri" w:eastAsia="宋体" w:cs="Times New Roman"/>
          <w:snapToGrid/>
          <w:color w:val="auto"/>
          <w:kern w:val="2"/>
          <w:sz w:val="28"/>
          <w:szCs w:val="24"/>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项目实施机构可以与成交经营者协商项目履约保证金，如果成交经营者未能履行经营协议中规定的义务，项目实施机构有权扣除履约保证金。</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2.10.2转让与担保</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经营期内，除为本项目融资以外，未经项目实施机构事先书面同意，成交经营者不得出让、转让、抵押、质押项目设施或任何其他重要资产。</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经营期内，成交经营者为融资需要，可以将本项目的收益权进行质押，但这种质押只能用于本项目且融资期限最长不应超过本项目经营期限。</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2.10.3一般补偿</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一般补偿事件主要包括：</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1.发生不可抗力事件，导致成交经营者运营成本增加或资本性支出增加；</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2.由于项目实施机构或相关政府部门要求（本级人民政府以地方政府规章、本级人民政府主管部门规章及本级人民政府或本级人民政府主管部门颁布的其他强制性规范性文件的形式提出的要求视为项目实施机构要求）或项目实施机构原因导致成交经营者建设成本或资本性支出增加；</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3.运营期内，由于项目实施机构超出经营协议约定标准而提出的额外要求导致成交经营者运营成本或资本性支出增加；</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4.运营期内，由于本级人民政府可控的且无上位法依据的法律变更导致的运营维护服务标准变更，发生成交经营者运营成本或资本性支出的增加；</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5.在成交经营者无任何过错前提下，为了维护公共利益或公共安全，或项目实施机构因紧急事件采取临时接管措施暂代成交经营者运营和维护本项目设施，造成成交经营者的损失、支出或费用（不包含紧急事件本身而遭受的损失）；</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6.经营协议约定的其他事项。</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可选择以下补偿形式中的一种或多种组合：一次性补偿（即货币形式补偿）或延长合作期限等方式。</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如政府方和成交经营者另有约定，最终以双方协商确定的补偿方式为准。</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2.10.4临时接管</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经营期内，发生下述情况时，项目实施机构有权临时接管，暂代成交经营者建设和运营维护项目设施：</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1.成交经营者严重违反经营协议，在项目实施机构书面要求的期限内，未能或无法纠正其违约行为，导致或可能导致若项目实施机构不采取临时接管的措施将危及公共利益、公共安全或项目设施正常运营。可能导致项目实施机构临时接管的情形包括但不限于：</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a）擅自转让、出租、质押或其他方式处置授予本项目的权利或擅自处置、抵押项目资产的；</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b）擅自将项目设施进行转让、出租、抵押、质押、融资租赁或以任何方式进行处置的；</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c）擅自停止运营维护；</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d）因管理不善，发生重大质量、生产安全事故的；</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e）放弃建设；</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f）被依法吊销、注销、关停、解散的。</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2.发生紧急事件或合理预期可能出现紧急事件（无论成交经营者是否已采取应急措施），导致或可能导致若项目实施机构不采取临时接管的措施，将危及公共利益、公共安全或项目设施正常运营。</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项目实施机构实行临时接管并介入项目建设或运营维护后，成交经营者应与项目实施机构及其指定第三方合作，向其提供所有合理的协助。项目实施机构实行临时接管将一直并仅应持续到成交经营者改正了或可以合理地被期望有能力改正导致临时接管的违约事件（以较早发生的时间为准）。</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项目实施机构因紧急事件而导致的临时接管，将一直并仅应持续到紧急事件解除或成交经营者被认为已具备应对能力解除紧急事件为止（以较早发生的时间为准）。</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Calibri" w:hAnsi="Calibri" w:eastAsia="宋体" w:cs="Times New Roman"/>
          <w:snapToGrid/>
          <w:color w:val="auto"/>
          <w:kern w:val="2"/>
          <w:sz w:val="28"/>
          <w:szCs w:val="24"/>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成交经营者拒不纠正其违约行为或纠正不力导致项目实施机构实行临时接管持续超过60日或项目实施机构与成交经营者同意延长的临时接管期限（以较长期限为准），项目实施机构有权提前终止经营协议，收回授予成交经营者投资、建设、运营维护本项目的权利。</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bookmarkStart w:id="22" w:name="_bookmark109"/>
      <w:bookmarkEnd w:id="22"/>
      <w:r>
        <w:rPr>
          <w:rFonts w:hint="eastAsia" w:ascii="楷体" w:hAnsi="楷体" w:eastAsia="楷体" w:cs="楷体"/>
          <w:b/>
          <w:bCs w:val="0"/>
          <w:sz w:val="32"/>
          <w:szCs w:val="32"/>
          <w:highlight w:val="none"/>
          <w:lang w:val="en-US" w:eastAsia="zh-CN"/>
        </w:rPr>
        <w:t>2.10.5提前终止</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发生以下情况，经营协议可提前终止：</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1.成交经营者发生严重违约事件时，项目实施机构有权发出提前终止意向通知；</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2.项目实施机构发生严重违约事件时，成交经营者有权发出提前终止意向通知；</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3.发生不可抗力、法律或宏观政策变更时，经营协议签订各方无法协商一致继续履行各自义务，一方有权向对方发出提前终止意向通知。</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经营协议提前终止，项目实施机构应按照经营协议的规定支付提前终止补偿金。</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0" w:firstLineChars="0"/>
        <w:jc w:val="center"/>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表-提前终止补偿金计算表</w:t>
      </w:r>
    </w:p>
    <w:p>
      <w:pPr>
        <w:spacing w:line="123" w:lineRule="exact"/>
        <w:rPr>
          <w:highlight w:val="none"/>
        </w:rPr>
      </w:pPr>
    </w:p>
    <w:tbl>
      <w:tblPr>
        <w:tblStyle w:val="4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3220"/>
        <w:gridCol w:w="49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7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22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项目协议提前终止情形</w:t>
            </w:r>
          </w:p>
        </w:tc>
        <w:tc>
          <w:tcPr>
            <w:tcW w:w="49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终止补偿金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87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322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527"/>
              <w:jc w:val="center"/>
              <w:textAlignment w:val="baseline"/>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实</w:t>
            </w:r>
            <w:r>
              <w:rPr>
                <w:rFonts w:hint="eastAsia" w:ascii="仿宋" w:hAnsi="仿宋" w:eastAsia="仿宋" w:cs="仿宋"/>
                <w:spacing w:val="7"/>
                <w:sz w:val="24"/>
                <w:szCs w:val="24"/>
                <w:highlight w:val="none"/>
              </w:rPr>
              <w:t>施机构发出的终止</w:t>
            </w:r>
            <w:r>
              <w:rPr>
                <w:rFonts w:hint="eastAsia" w:ascii="仿宋" w:hAnsi="仿宋" w:eastAsia="仿宋" w:cs="仿宋"/>
                <w:spacing w:val="7"/>
                <w:sz w:val="24"/>
                <w:szCs w:val="24"/>
                <w:highlight w:val="none"/>
                <w:lang w:eastAsia="zh-CN"/>
              </w:rPr>
              <w:t>（</w:t>
            </w:r>
            <w:r>
              <w:rPr>
                <w:rFonts w:hint="eastAsia" w:ascii="仿宋" w:hAnsi="仿宋" w:eastAsia="仿宋" w:cs="仿宋"/>
                <w:spacing w:val="19"/>
                <w:sz w:val="24"/>
                <w:szCs w:val="24"/>
                <w:highlight w:val="none"/>
                <w:lang w:eastAsia="zh-CN"/>
              </w:rPr>
              <w:t>成交经营者</w:t>
            </w:r>
            <w:r>
              <w:rPr>
                <w:rFonts w:hint="eastAsia" w:ascii="仿宋" w:hAnsi="仿宋" w:eastAsia="仿宋" w:cs="仿宋"/>
                <w:spacing w:val="19"/>
                <w:sz w:val="24"/>
                <w:szCs w:val="24"/>
                <w:highlight w:val="none"/>
              </w:rPr>
              <w:t>违约</w:t>
            </w:r>
            <w:r>
              <w:rPr>
                <w:rFonts w:hint="eastAsia" w:ascii="仿宋" w:hAnsi="仿宋" w:eastAsia="仿宋" w:cs="仿宋"/>
                <w:spacing w:val="19"/>
                <w:sz w:val="24"/>
                <w:szCs w:val="24"/>
                <w:highlight w:val="none"/>
                <w:lang w:eastAsia="zh-CN"/>
              </w:rPr>
              <w:t>）</w:t>
            </w:r>
          </w:p>
        </w:tc>
        <w:tc>
          <w:tcPr>
            <w:tcW w:w="49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position w:val="2"/>
                <w:sz w:val="24"/>
                <w:szCs w:val="24"/>
                <w:highlight w:val="none"/>
              </w:rPr>
              <w:t>A</w:t>
            </w:r>
            <w:r>
              <w:rPr>
                <w:rFonts w:hint="eastAsia" w:ascii="仿宋" w:hAnsi="仿宋" w:eastAsia="仿宋" w:cs="仿宋"/>
                <w:spacing w:val="13"/>
                <w:position w:val="2"/>
                <w:sz w:val="24"/>
                <w:szCs w:val="24"/>
                <w:highlight w:val="none"/>
              </w:rPr>
              <w:t>-</w:t>
            </w:r>
            <w:r>
              <w:rPr>
                <w:rFonts w:hint="eastAsia" w:ascii="仿宋" w:hAnsi="仿宋" w:eastAsia="仿宋" w:cs="仿宋"/>
                <w:position w:val="2"/>
                <w:sz w:val="24"/>
                <w:szCs w:val="24"/>
                <w:highlight w:val="none"/>
              </w:rPr>
              <w:t>B</w:t>
            </w:r>
            <w:r>
              <w:rPr>
                <w:rFonts w:hint="eastAsia" w:ascii="仿宋" w:hAnsi="仿宋" w:eastAsia="仿宋" w:cs="仿宋"/>
                <w:spacing w:val="12"/>
                <w:position w:val="2"/>
                <w:sz w:val="24"/>
                <w:szCs w:val="24"/>
                <w:highlight w:val="none"/>
              </w:rPr>
              <w:t>+</w:t>
            </w:r>
            <w:r>
              <w:rPr>
                <w:rFonts w:hint="eastAsia" w:ascii="仿宋" w:hAnsi="仿宋" w:eastAsia="仿宋" w:cs="仿宋"/>
                <w:position w:val="2"/>
                <w:sz w:val="24"/>
                <w:szCs w:val="24"/>
                <w:highlight w:val="none"/>
              </w:rPr>
              <w:t>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87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322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12"/>
                <w:sz w:val="24"/>
                <w:szCs w:val="24"/>
                <w:highlight w:val="none"/>
                <w:lang w:eastAsia="zh-CN"/>
              </w:rPr>
              <w:t>成交经营者</w:t>
            </w:r>
            <w:r>
              <w:rPr>
                <w:rFonts w:hint="eastAsia" w:ascii="仿宋" w:hAnsi="仿宋" w:eastAsia="仿宋" w:cs="仿宋"/>
                <w:spacing w:val="8"/>
                <w:sz w:val="24"/>
                <w:szCs w:val="24"/>
                <w:highlight w:val="none"/>
              </w:rPr>
              <w:t>发出的终止</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24"/>
                <w:sz w:val="24"/>
                <w:szCs w:val="24"/>
                <w:highlight w:val="none"/>
                <w:lang w:eastAsia="zh-CN"/>
              </w:rPr>
              <w:t>（</w:t>
            </w:r>
            <w:r>
              <w:rPr>
                <w:rFonts w:hint="eastAsia" w:ascii="仿宋" w:hAnsi="仿宋" w:eastAsia="仿宋" w:cs="仿宋"/>
                <w:spacing w:val="20"/>
                <w:sz w:val="24"/>
                <w:szCs w:val="24"/>
                <w:highlight w:val="none"/>
              </w:rPr>
              <w:t>实施机构违约</w:t>
            </w:r>
            <w:r>
              <w:rPr>
                <w:rFonts w:hint="eastAsia" w:ascii="仿宋" w:hAnsi="仿宋" w:eastAsia="仿宋" w:cs="仿宋"/>
                <w:spacing w:val="20"/>
                <w:sz w:val="24"/>
                <w:szCs w:val="24"/>
                <w:highlight w:val="none"/>
                <w:lang w:eastAsia="zh-CN"/>
              </w:rPr>
              <w:t>）</w:t>
            </w:r>
          </w:p>
        </w:tc>
        <w:tc>
          <w:tcPr>
            <w:tcW w:w="49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8"/>
                <w:position w:val="2"/>
                <w:sz w:val="24"/>
                <w:szCs w:val="24"/>
                <w:highlight w:val="none"/>
              </w:rPr>
              <w:t>运</w:t>
            </w:r>
            <w:r>
              <w:rPr>
                <w:rFonts w:hint="eastAsia" w:ascii="仿宋" w:hAnsi="仿宋" w:eastAsia="仿宋" w:cs="仿宋"/>
                <w:spacing w:val="4"/>
                <w:position w:val="2"/>
                <w:sz w:val="24"/>
                <w:szCs w:val="24"/>
                <w:highlight w:val="none"/>
              </w:rPr>
              <w:t>营期提前终止时，为</w:t>
            </w:r>
            <w:r>
              <w:rPr>
                <w:rFonts w:hint="eastAsia" w:ascii="仿宋" w:hAnsi="仿宋" w:eastAsia="仿宋" w:cs="仿宋"/>
                <w:position w:val="2"/>
                <w:sz w:val="24"/>
                <w:szCs w:val="24"/>
                <w:highlight w:val="none"/>
              </w:rPr>
              <w:t>A</w:t>
            </w:r>
            <w:r>
              <w:rPr>
                <w:rFonts w:hint="eastAsia" w:ascii="仿宋" w:hAnsi="仿宋" w:eastAsia="仿宋" w:cs="仿宋"/>
                <w:spacing w:val="4"/>
                <w:position w:val="2"/>
                <w:sz w:val="24"/>
                <w:szCs w:val="24"/>
                <w:highlight w:val="none"/>
              </w:rPr>
              <w:t>+</w:t>
            </w:r>
            <w:r>
              <w:rPr>
                <w:rFonts w:hint="eastAsia" w:ascii="仿宋" w:hAnsi="仿宋" w:eastAsia="仿宋" w:cs="仿宋"/>
                <w:position w:val="2"/>
                <w:sz w:val="24"/>
                <w:szCs w:val="24"/>
                <w:highlight w:val="none"/>
              </w:rPr>
              <w:t>B</w:t>
            </w:r>
            <w:r>
              <w:rPr>
                <w:rFonts w:hint="eastAsia" w:ascii="仿宋" w:hAnsi="仿宋" w:eastAsia="仿宋" w:cs="仿宋"/>
                <w:spacing w:val="4"/>
                <w:position w:val="2"/>
                <w:sz w:val="24"/>
                <w:szCs w:val="24"/>
                <w:highlight w:val="none"/>
              </w:rPr>
              <w:t>+</w:t>
            </w:r>
            <w:r>
              <w:rPr>
                <w:rFonts w:hint="eastAsia" w:ascii="仿宋" w:hAnsi="仿宋" w:eastAsia="仿宋" w:cs="仿宋"/>
                <w:position w:val="2"/>
                <w:sz w:val="24"/>
                <w:szCs w:val="24"/>
                <w:highlight w:val="none"/>
              </w:rPr>
              <w:t>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87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322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法</w:t>
            </w:r>
            <w:r>
              <w:rPr>
                <w:rFonts w:hint="eastAsia" w:ascii="仿宋" w:hAnsi="仿宋" w:eastAsia="仿宋" w:cs="仿宋"/>
                <w:spacing w:val="7"/>
                <w:sz w:val="24"/>
                <w:szCs w:val="24"/>
                <w:highlight w:val="none"/>
              </w:rPr>
              <w:t>律或宏观政策变更</w:t>
            </w:r>
          </w:p>
        </w:tc>
        <w:tc>
          <w:tcPr>
            <w:tcW w:w="49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3"/>
                <w:position w:val="1"/>
                <w:sz w:val="24"/>
                <w:szCs w:val="24"/>
                <w:highlight w:val="none"/>
              </w:rPr>
              <w:t>为</w:t>
            </w:r>
            <w:r>
              <w:rPr>
                <w:rFonts w:hint="eastAsia" w:ascii="仿宋" w:hAnsi="仿宋" w:eastAsia="仿宋" w:cs="仿宋"/>
                <w:spacing w:val="-2"/>
                <w:position w:val="1"/>
                <w:sz w:val="24"/>
                <w:szCs w:val="24"/>
                <w:highlight w:val="none"/>
              </w:rPr>
              <w:t>A+50%B+E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7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w:t>
            </w:r>
          </w:p>
        </w:tc>
        <w:tc>
          <w:tcPr>
            <w:tcW w:w="322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不</w:t>
            </w:r>
            <w:r>
              <w:rPr>
                <w:rFonts w:hint="eastAsia" w:ascii="仿宋" w:hAnsi="仿宋" w:eastAsia="仿宋" w:cs="仿宋"/>
                <w:spacing w:val="4"/>
                <w:sz w:val="24"/>
                <w:szCs w:val="24"/>
                <w:highlight w:val="none"/>
              </w:rPr>
              <w:t>可抗力</w:t>
            </w:r>
          </w:p>
        </w:tc>
        <w:tc>
          <w:tcPr>
            <w:tcW w:w="49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7"/>
                <w:position w:val="4"/>
                <w:sz w:val="24"/>
                <w:szCs w:val="24"/>
                <w:highlight w:val="none"/>
              </w:rPr>
              <w:t>(</w:t>
            </w:r>
            <w:r>
              <w:rPr>
                <w:rFonts w:hint="eastAsia" w:ascii="仿宋" w:hAnsi="仿宋" w:eastAsia="仿宋" w:cs="仿宋"/>
                <w:position w:val="4"/>
                <w:sz w:val="24"/>
                <w:szCs w:val="24"/>
                <w:highlight w:val="none"/>
              </w:rPr>
              <w:t>A</w:t>
            </w:r>
            <w:r>
              <w:rPr>
                <w:rFonts w:hint="eastAsia" w:ascii="仿宋" w:hAnsi="仿宋" w:eastAsia="仿宋" w:cs="仿宋"/>
                <w:spacing w:val="5"/>
                <w:position w:val="4"/>
                <w:sz w:val="24"/>
                <w:szCs w:val="24"/>
                <w:highlight w:val="none"/>
              </w:rPr>
              <w:t>-</w:t>
            </w:r>
            <w:r>
              <w:rPr>
                <w:rFonts w:hint="eastAsia" w:ascii="仿宋" w:hAnsi="仿宋" w:eastAsia="仿宋" w:cs="仿宋"/>
                <w:position w:val="4"/>
                <w:sz w:val="24"/>
                <w:szCs w:val="24"/>
                <w:highlight w:val="none"/>
              </w:rPr>
              <w:t>C</w:t>
            </w:r>
            <w:r>
              <w:rPr>
                <w:rFonts w:hint="eastAsia" w:ascii="仿宋" w:hAnsi="仿宋" w:eastAsia="仿宋" w:cs="仿宋"/>
                <w:spacing w:val="5"/>
                <w:position w:val="4"/>
                <w:sz w:val="24"/>
                <w:szCs w:val="24"/>
                <w:highlight w:val="none"/>
              </w:rPr>
              <w:t>-</w:t>
            </w:r>
            <w:r>
              <w:rPr>
                <w:rFonts w:hint="eastAsia" w:ascii="仿宋" w:hAnsi="仿宋" w:eastAsia="仿宋" w:cs="仿宋"/>
                <w:position w:val="4"/>
                <w:sz w:val="24"/>
                <w:szCs w:val="24"/>
                <w:highlight w:val="none"/>
              </w:rPr>
              <w:t>D</w:t>
            </w:r>
            <w:r>
              <w:rPr>
                <w:rFonts w:hint="eastAsia" w:ascii="仿宋" w:hAnsi="仿宋" w:eastAsia="仿宋" w:cs="仿宋"/>
                <w:spacing w:val="5"/>
                <w:position w:val="4"/>
                <w:sz w:val="24"/>
                <w:szCs w:val="24"/>
                <w:highlight w:val="none"/>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064"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A</w:t>
            </w:r>
            <w:r>
              <w:rPr>
                <w:rFonts w:hint="eastAsia" w:ascii="仿宋" w:hAnsi="仿宋" w:eastAsia="仿宋" w:cs="仿宋"/>
                <w:spacing w:val="9"/>
                <w:sz w:val="24"/>
                <w:szCs w:val="24"/>
                <w:highlight w:val="none"/>
              </w:rPr>
              <w:t>为剩余经营年限的</w:t>
            </w:r>
            <w:r>
              <w:rPr>
                <w:rFonts w:hint="eastAsia" w:ascii="仿宋" w:hAnsi="仿宋" w:eastAsia="仿宋" w:cs="仿宋"/>
                <w:spacing w:val="9"/>
                <w:sz w:val="24"/>
                <w:szCs w:val="24"/>
                <w:highlight w:val="none"/>
                <w:lang w:eastAsia="zh-CN"/>
              </w:rPr>
              <w:t>经营权</w:t>
            </w:r>
            <w:r>
              <w:rPr>
                <w:rFonts w:hint="eastAsia" w:ascii="仿宋" w:hAnsi="仿宋" w:eastAsia="仿宋" w:cs="仿宋"/>
                <w:spacing w:val="9"/>
                <w:sz w:val="24"/>
                <w:szCs w:val="24"/>
                <w:highlight w:val="none"/>
              </w:rPr>
              <w:t>价值评估值。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B</w:t>
            </w:r>
            <w:r>
              <w:rPr>
                <w:rFonts w:hint="eastAsia" w:ascii="仿宋" w:hAnsi="仿宋" w:eastAsia="仿宋" w:cs="仿宋"/>
                <w:spacing w:val="8"/>
                <w:sz w:val="24"/>
                <w:szCs w:val="24"/>
                <w:highlight w:val="none"/>
              </w:rPr>
              <w:t>为</w:t>
            </w:r>
            <w:r>
              <w:rPr>
                <w:rFonts w:hint="eastAsia" w:ascii="仿宋" w:hAnsi="仿宋" w:eastAsia="仿宋" w:cs="仿宋"/>
                <w:spacing w:val="5"/>
                <w:sz w:val="24"/>
                <w:szCs w:val="24"/>
                <w:highlight w:val="none"/>
              </w:rPr>
              <w:t>违</w:t>
            </w:r>
            <w:r>
              <w:rPr>
                <w:rFonts w:hint="eastAsia" w:ascii="仿宋" w:hAnsi="仿宋" w:eastAsia="仿宋" w:cs="仿宋"/>
                <w:spacing w:val="4"/>
                <w:sz w:val="24"/>
                <w:szCs w:val="24"/>
                <w:highlight w:val="none"/>
              </w:rPr>
              <w:t>约金金额</w:t>
            </w:r>
            <w:r>
              <w:rPr>
                <w:rFonts w:hint="eastAsia" w:ascii="仿宋" w:hAnsi="仿宋" w:eastAsia="仿宋" w:cs="仿宋"/>
                <w:spacing w:val="4"/>
                <w:sz w:val="24"/>
                <w:szCs w:val="24"/>
                <w:highlight w:val="none"/>
                <w:lang w:eastAsia="zh-CN"/>
              </w:rPr>
              <w:t>（假设设置违约金条款，未设置则无需考虑）</w:t>
            </w:r>
            <w:r>
              <w:rPr>
                <w:rFonts w:hint="eastAsia" w:ascii="仿宋" w:hAnsi="仿宋" w:eastAsia="仿宋" w:cs="仿宋"/>
                <w:spacing w:val="4"/>
                <w:sz w:val="24"/>
                <w:szCs w:val="24"/>
                <w:highlight w:val="none"/>
              </w:rPr>
              <w:t>，取值为500万元。</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06" w:hanging="8"/>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C</w:t>
            </w:r>
            <w:r>
              <w:rPr>
                <w:rFonts w:hint="eastAsia" w:ascii="仿宋" w:hAnsi="仿宋" w:eastAsia="仿宋" w:cs="仿宋"/>
                <w:spacing w:val="11"/>
                <w:sz w:val="24"/>
                <w:szCs w:val="24"/>
                <w:highlight w:val="none"/>
              </w:rPr>
              <w:t>为</w:t>
            </w:r>
            <w:r>
              <w:rPr>
                <w:rFonts w:hint="eastAsia" w:ascii="仿宋" w:hAnsi="仿宋" w:eastAsia="仿宋" w:cs="仿宋"/>
                <w:spacing w:val="9"/>
                <w:sz w:val="24"/>
                <w:szCs w:val="24"/>
                <w:highlight w:val="none"/>
              </w:rPr>
              <w:t>发生不可抗力情形时，根据本协议及相关保险协议约定，</w:t>
            </w:r>
            <w:r>
              <w:rPr>
                <w:rFonts w:hint="eastAsia" w:ascii="仿宋" w:hAnsi="仿宋" w:eastAsia="仿宋" w:cs="仿宋"/>
                <w:spacing w:val="9"/>
                <w:sz w:val="24"/>
                <w:szCs w:val="24"/>
                <w:highlight w:val="none"/>
                <w:lang w:eastAsia="zh-CN"/>
              </w:rPr>
              <w:t>成交经营者</w:t>
            </w:r>
            <w:r>
              <w:rPr>
                <w:rFonts w:hint="eastAsia" w:ascii="仿宋" w:hAnsi="仿宋" w:eastAsia="仿宋" w:cs="仿宋"/>
                <w:spacing w:val="9"/>
                <w:sz w:val="24"/>
                <w:szCs w:val="24"/>
                <w:highlight w:val="none"/>
              </w:rPr>
              <w:t>实际获得的</w:t>
            </w:r>
            <w:r>
              <w:rPr>
                <w:rFonts w:hint="eastAsia" w:ascii="仿宋" w:hAnsi="仿宋" w:eastAsia="仿宋" w:cs="仿宋"/>
                <w:spacing w:val="7"/>
                <w:sz w:val="24"/>
                <w:szCs w:val="24"/>
                <w:highlight w:val="none"/>
              </w:rPr>
              <w:t>保</w:t>
            </w:r>
            <w:r>
              <w:rPr>
                <w:rFonts w:hint="eastAsia" w:ascii="仿宋" w:hAnsi="仿宋" w:eastAsia="仿宋" w:cs="仿宋"/>
                <w:spacing w:val="4"/>
                <w:sz w:val="24"/>
                <w:szCs w:val="24"/>
                <w:highlight w:val="none"/>
              </w:rPr>
              <w:t>险赔款；</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06" w:hanging="11"/>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D</w:t>
            </w:r>
            <w:r>
              <w:rPr>
                <w:rFonts w:hint="eastAsia" w:ascii="仿宋" w:hAnsi="仿宋" w:eastAsia="仿宋" w:cs="仿宋"/>
                <w:spacing w:val="9"/>
                <w:sz w:val="24"/>
                <w:szCs w:val="24"/>
                <w:highlight w:val="none"/>
              </w:rPr>
              <w:t>为发生不可抗力情形时，因</w:t>
            </w:r>
            <w:r>
              <w:rPr>
                <w:rFonts w:hint="eastAsia" w:ascii="仿宋" w:hAnsi="仿宋" w:eastAsia="仿宋" w:cs="仿宋"/>
                <w:spacing w:val="9"/>
                <w:sz w:val="24"/>
                <w:szCs w:val="24"/>
                <w:highlight w:val="none"/>
                <w:lang w:eastAsia="zh-CN"/>
              </w:rPr>
              <w:t>成交经营者</w:t>
            </w:r>
            <w:r>
              <w:rPr>
                <w:rFonts w:hint="eastAsia" w:ascii="仿宋" w:hAnsi="仿宋" w:eastAsia="仿宋" w:cs="仿宋"/>
                <w:spacing w:val="9"/>
                <w:sz w:val="24"/>
                <w:szCs w:val="24"/>
                <w:highlight w:val="none"/>
              </w:rPr>
              <w:t>投保不足，导致所获保险赔款无法使项目设</w:t>
            </w:r>
            <w:r>
              <w:rPr>
                <w:rFonts w:hint="eastAsia" w:ascii="仿宋" w:hAnsi="仿宋" w:eastAsia="仿宋" w:cs="仿宋"/>
                <w:spacing w:val="16"/>
                <w:sz w:val="24"/>
                <w:szCs w:val="24"/>
                <w:highlight w:val="none"/>
              </w:rPr>
              <w:t>施恢</w:t>
            </w:r>
            <w:r>
              <w:rPr>
                <w:rFonts w:hint="eastAsia" w:ascii="仿宋" w:hAnsi="仿宋" w:eastAsia="仿宋" w:cs="仿宋"/>
                <w:spacing w:val="12"/>
                <w:sz w:val="24"/>
                <w:szCs w:val="24"/>
                <w:highlight w:val="none"/>
              </w:rPr>
              <w:t>复</w:t>
            </w:r>
            <w:r>
              <w:rPr>
                <w:rFonts w:hint="eastAsia" w:ascii="仿宋" w:hAnsi="仿宋" w:eastAsia="仿宋" w:cs="仿宋"/>
                <w:spacing w:val="8"/>
                <w:sz w:val="24"/>
                <w:szCs w:val="24"/>
                <w:highlight w:val="none"/>
              </w:rPr>
              <w:t>到出险前的正常状态和价值的恢复性费用缺额部分</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如有</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06" w:hanging="12"/>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E</w:t>
            </w:r>
            <w:r>
              <w:rPr>
                <w:rFonts w:hint="eastAsia" w:ascii="仿宋" w:hAnsi="仿宋" w:eastAsia="仿宋" w:cs="仿宋"/>
                <w:spacing w:val="18"/>
                <w:sz w:val="24"/>
                <w:szCs w:val="24"/>
                <w:highlight w:val="none"/>
              </w:rPr>
              <w:t>为终</w:t>
            </w:r>
            <w:r>
              <w:rPr>
                <w:rFonts w:hint="eastAsia" w:ascii="仿宋" w:hAnsi="仿宋" w:eastAsia="仿宋" w:cs="仿宋"/>
                <w:spacing w:val="9"/>
                <w:sz w:val="24"/>
                <w:szCs w:val="24"/>
                <w:highlight w:val="none"/>
              </w:rPr>
              <w:t>止后根据本协议的约定，</w:t>
            </w:r>
            <w:r>
              <w:rPr>
                <w:rFonts w:hint="eastAsia" w:ascii="仿宋" w:hAnsi="仿宋" w:eastAsia="仿宋" w:cs="仿宋"/>
                <w:spacing w:val="9"/>
                <w:sz w:val="24"/>
                <w:szCs w:val="24"/>
                <w:highlight w:val="none"/>
                <w:lang w:eastAsia="zh-CN"/>
              </w:rPr>
              <w:t>成交经营者</w:t>
            </w:r>
            <w:r>
              <w:rPr>
                <w:rFonts w:hint="eastAsia" w:ascii="仿宋" w:hAnsi="仿宋" w:eastAsia="仿宋" w:cs="仿宋"/>
                <w:spacing w:val="9"/>
                <w:sz w:val="24"/>
                <w:szCs w:val="24"/>
                <w:highlight w:val="none"/>
              </w:rPr>
              <w:t>应向实施机构或政府指定的其他机构移交</w:t>
            </w:r>
            <w:r>
              <w:rPr>
                <w:rFonts w:hint="eastAsia" w:ascii="仿宋" w:hAnsi="仿宋" w:eastAsia="仿宋" w:cs="仿宋"/>
                <w:spacing w:val="16"/>
                <w:sz w:val="24"/>
                <w:szCs w:val="24"/>
                <w:highlight w:val="none"/>
              </w:rPr>
              <w:t>运</w:t>
            </w:r>
            <w:r>
              <w:rPr>
                <w:rFonts w:hint="eastAsia" w:ascii="仿宋" w:hAnsi="仿宋" w:eastAsia="仿宋" w:cs="仿宋"/>
                <w:spacing w:val="10"/>
                <w:sz w:val="24"/>
                <w:szCs w:val="24"/>
                <w:highlight w:val="none"/>
              </w:rPr>
              <w:t>维</w:t>
            </w:r>
            <w:r>
              <w:rPr>
                <w:rFonts w:hint="eastAsia" w:ascii="仿宋" w:hAnsi="仿宋" w:eastAsia="仿宋" w:cs="仿宋"/>
                <w:spacing w:val="8"/>
                <w:sz w:val="24"/>
                <w:szCs w:val="24"/>
                <w:highlight w:val="none"/>
              </w:rPr>
              <w:t>所需工器具、备品配件的合理评估值。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仿宋" w:hAnsi="仿宋" w:eastAsia="仿宋" w:cs="仿宋"/>
                <w:spacing w:val="7"/>
                <w:position w:val="4"/>
                <w:sz w:val="24"/>
                <w:szCs w:val="24"/>
                <w:highlight w:val="none"/>
              </w:rPr>
            </w:pPr>
            <w:r>
              <w:rPr>
                <w:rFonts w:hint="eastAsia" w:ascii="仿宋" w:hAnsi="仿宋" w:eastAsia="仿宋" w:cs="仿宋"/>
                <w:spacing w:val="18"/>
                <w:sz w:val="24"/>
                <w:szCs w:val="24"/>
                <w:highlight w:val="none"/>
              </w:rPr>
              <w:t>若</w:t>
            </w:r>
            <w:r>
              <w:rPr>
                <w:rFonts w:hint="eastAsia" w:ascii="仿宋" w:hAnsi="仿宋" w:eastAsia="仿宋" w:cs="仿宋"/>
                <w:spacing w:val="17"/>
                <w:sz w:val="24"/>
                <w:szCs w:val="24"/>
                <w:highlight w:val="none"/>
              </w:rPr>
              <w:t>属</w:t>
            </w:r>
            <w:r>
              <w:rPr>
                <w:rFonts w:hint="eastAsia" w:ascii="仿宋" w:hAnsi="仿宋" w:eastAsia="仿宋" w:cs="仿宋"/>
                <w:spacing w:val="9"/>
                <w:sz w:val="24"/>
                <w:szCs w:val="24"/>
                <w:highlight w:val="none"/>
              </w:rPr>
              <w:t>实施机构发出的终止情形，即</w:t>
            </w:r>
            <w:r>
              <w:rPr>
                <w:rFonts w:hint="eastAsia" w:ascii="仿宋" w:hAnsi="仿宋" w:eastAsia="仿宋" w:cs="仿宋"/>
                <w:spacing w:val="9"/>
                <w:sz w:val="24"/>
                <w:szCs w:val="24"/>
                <w:highlight w:val="none"/>
                <w:lang w:eastAsia="zh-CN"/>
              </w:rPr>
              <w:t>“</w:t>
            </w:r>
            <w:r>
              <w:rPr>
                <w:rFonts w:hint="eastAsia" w:ascii="仿宋" w:hAnsi="仿宋" w:eastAsia="仿宋" w:cs="仿宋"/>
                <w:sz w:val="24"/>
                <w:szCs w:val="24"/>
                <w:highlight w:val="none"/>
              </w:rPr>
              <w:t>A</w:t>
            </w:r>
            <w:r>
              <w:rPr>
                <w:rFonts w:hint="eastAsia" w:ascii="仿宋" w:hAnsi="仿宋" w:eastAsia="仿宋" w:cs="仿宋"/>
                <w:spacing w:val="9"/>
                <w:sz w:val="24"/>
                <w:szCs w:val="24"/>
                <w:highlight w:val="none"/>
              </w:rPr>
              <w:t>-</w:t>
            </w:r>
            <w:r>
              <w:rPr>
                <w:rFonts w:hint="eastAsia" w:ascii="仿宋" w:hAnsi="仿宋" w:eastAsia="仿宋" w:cs="仿宋"/>
                <w:sz w:val="24"/>
                <w:szCs w:val="24"/>
                <w:highlight w:val="none"/>
              </w:rPr>
              <w:t>B</w:t>
            </w:r>
            <w:r>
              <w:rPr>
                <w:rFonts w:hint="eastAsia" w:ascii="仿宋" w:hAnsi="仿宋" w:eastAsia="仿宋" w:cs="仿宋"/>
                <w:spacing w:val="9"/>
                <w:sz w:val="24"/>
                <w:szCs w:val="24"/>
                <w:highlight w:val="none"/>
              </w:rPr>
              <w:t>+</w:t>
            </w:r>
            <w:r>
              <w:rPr>
                <w:rFonts w:hint="eastAsia" w:ascii="仿宋" w:hAnsi="仿宋" w:eastAsia="仿宋" w:cs="仿宋"/>
                <w:sz w:val="24"/>
                <w:szCs w:val="24"/>
                <w:highlight w:val="none"/>
              </w:rPr>
              <w:t>E</w:t>
            </w:r>
            <w:r>
              <w:rPr>
                <w:rFonts w:hint="eastAsia" w:ascii="仿宋" w:hAnsi="仿宋" w:eastAsia="仿宋" w:cs="仿宋"/>
                <w:spacing w:val="9"/>
                <w:sz w:val="24"/>
                <w:szCs w:val="24"/>
                <w:highlight w:val="none"/>
                <w:lang w:eastAsia="zh-CN"/>
              </w:rPr>
              <w:t>”</w:t>
            </w:r>
            <w:r>
              <w:rPr>
                <w:rFonts w:hint="eastAsia" w:ascii="仿宋" w:hAnsi="仿宋" w:eastAsia="仿宋" w:cs="仿宋"/>
                <w:spacing w:val="9"/>
                <w:sz w:val="24"/>
                <w:szCs w:val="24"/>
                <w:highlight w:val="none"/>
              </w:rPr>
              <w:t>的值为负数；或者不可抗力情形下补偿金</w:t>
            </w:r>
            <w:r>
              <w:rPr>
                <w:rFonts w:hint="eastAsia" w:ascii="仿宋" w:hAnsi="仿宋" w:eastAsia="仿宋" w:cs="仿宋"/>
                <w:spacing w:val="15"/>
                <w:sz w:val="24"/>
                <w:szCs w:val="24"/>
                <w:highlight w:val="none"/>
              </w:rPr>
              <w:t>计</w:t>
            </w:r>
            <w:r>
              <w:rPr>
                <w:rFonts w:hint="eastAsia" w:ascii="仿宋" w:hAnsi="仿宋" w:eastAsia="仿宋" w:cs="仿宋"/>
                <w:spacing w:val="9"/>
                <w:sz w:val="24"/>
                <w:szCs w:val="24"/>
                <w:highlight w:val="none"/>
              </w:rPr>
              <w:t>算为负值的，则</w:t>
            </w:r>
            <w:r>
              <w:rPr>
                <w:rFonts w:hint="eastAsia" w:ascii="仿宋" w:hAnsi="仿宋" w:eastAsia="仿宋" w:cs="仿宋"/>
                <w:spacing w:val="9"/>
                <w:sz w:val="24"/>
                <w:szCs w:val="24"/>
                <w:highlight w:val="none"/>
                <w:lang w:eastAsia="zh-CN"/>
              </w:rPr>
              <w:t>成交经营者</w:t>
            </w:r>
            <w:r>
              <w:rPr>
                <w:rFonts w:hint="eastAsia" w:ascii="仿宋" w:hAnsi="仿宋" w:eastAsia="仿宋" w:cs="仿宋"/>
                <w:spacing w:val="9"/>
                <w:sz w:val="24"/>
                <w:szCs w:val="24"/>
                <w:highlight w:val="none"/>
              </w:rPr>
              <w:t>应向实施机构支付本条所述负数的绝对值。</w:t>
            </w:r>
          </w:p>
        </w:tc>
      </w:tr>
    </w:tbl>
    <w:p>
      <w:pPr>
        <w:rPr>
          <w:highlight w:val="yellow"/>
        </w:rPr>
      </w:pP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bookmarkStart w:id="23" w:name="_bookmark110"/>
      <w:bookmarkEnd w:id="23"/>
      <w:r>
        <w:rPr>
          <w:rFonts w:hint="eastAsia" w:ascii="仿宋" w:hAnsi="仿宋" w:eastAsia="仿宋" w:cs="仿宋"/>
          <w:snapToGrid/>
          <w:color w:val="auto"/>
          <w:kern w:val="2"/>
          <w:sz w:val="32"/>
          <w:szCs w:val="32"/>
          <w:highlight w:val="none"/>
          <w:u w:val="none"/>
          <w:lang w:val="en-US" w:eastAsia="zh-CN" w:bidi="ar-SA"/>
        </w:rPr>
        <w:t>终止补偿的每一构成的计算必须经实施机构或其指定机构和成交经营者接受的一家会计师事务所验证。双方应在发出提前终止通知后30日内共同确定该会计师事务所。如政府方和成交经营者另有约定，最终以双方协商确定的终止补偿金计算办法为准。</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经营期提前终止，成交经营者应将项目设施按照提前终止时的状态全部移交给项目实施机构或其指定机构。在移交期间或新的成交经营者接管项目设施之前，成交经营者应按照项目实施机构的委托继续提供运营维护服务。</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2.10.6保险</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项目运营中可能遇到不可预期或不可控制的风险，成交经营者应根据适用法律和谨慎运营惯例，自行或要求其承包商、供应商购买和维持适用法律所要求的保险。</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运营期内应投保的险种包括财产一切险、第三者责任险及适用法律规定的其他险种，相关投保费用由成交经营者承担。</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bookmarkStart w:id="24" w:name="_bookmark111"/>
      <w:bookmarkEnd w:id="24"/>
      <w:r>
        <w:rPr>
          <w:rFonts w:hint="eastAsia" w:ascii="仿宋" w:hAnsi="仿宋" w:eastAsia="仿宋" w:cs="仿宋"/>
          <w:snapToGrid/>
          <w:color w:val="auto"/>
          <w:kern w:val="2"/>
          <w:sz w:val="32"/>
          <w:szCs w:val="32"/>
          <w:highlight w:val="none"/>
          <w:u w:val="none"/>
          <w:lang w:val="en-US" w:eastAsia="zh-CN" w:bidi="ar-SA"/>
        </w:rPr>
        <w:t>如果成交经营者未按经营协议的规定投保或未向项目实施机构提供保险单、保险费付款凭据、续保证明及保险批单凭据等证明材料，则项目实施机构应有权购买这类保险，费用由成交经营者承担，否则项目实施机构有权从履约保证金中扣除相应金额。</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2.10.7不可抗力</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不可抗力事件指完全地或部分地阻碍了或不可避免地延误了任何一方履行其在经营协议下的义务的任何事件、状态或情况或各种事件、状态或情况的组合，但以受影响方的直接或间接的合理控制范围之外的，而且受影响方在签订经营协议时不能合理预见、作出合理努力也无法避免的事件、状态和情况为限。</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发生的不可抗力事件全部地或部分地阻碍一方履行其在本合同的义务时，可在不可抗力事件影响的范围内，经项目实施机构与成交经营者协商一致，全部或部分免除该方相应义务。发生不可抗力事件后，项目实施机构与成交经营者应本着诚信平等的原则，立即就此等不可抗力事件进行协商。</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除经营协议或项目实施机构与成交经营者另有约定外，发生不可抗力事件时，项目实施机构与成交经营者应各自承担不可抗力事件对其造成的损失。</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bookmarkStart w:id="25" w:name="_bookmark112"/>
      <w:bookmarkEnd w:id="25"/>
      <w:r>
        <w:rPr>
          <w:rFonts w:hint="eastAsia" w:ascii="楷体" w:hAnsi="楷体" w:eastAsia="楷体" w:cs="楷体"/>
          <w:b/>
          <w:bCs w:val="0"/>
          <w:sz w:val="32"/>
          <w:szCs w:val="32"/>
          <w:highlight w:val="none"/>
          <w:lang w:val="en-US" w:eastAsia="zh-CN"/>
        </w:rPr>
        <w:t>2.10.8争议解决</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经营协议执行过程中若出现争议，应尽力通过协商友好解决。若协商不成的，可向项目所在地人民法院提起诉讼。</w:t>
      </w:r>
    </w:p>
    <w:p>
      <w:pPr>
        <w:pStyle w:val="5"/>
        <w:keepNext w:val="0"/>
        <w:keepLines w:val="0"/>
        <w:pageBreakBefore w:val="0"/>
        <w:widowControl w:val="0"/>
        <w:kinsoku/>
        <w:wordWrap/>
        <w:overflowPunct w:val="0"/>
        <w:topLinePunct w:val="0"/>
        <w:autoSpaceDE w:val="0"/>
        <w:autoSpaceDN w:val="0"/>
        <w:bidi w:val="0"/>
        <w:adjustRightInd/>
        <w:snapToGrid/>
        <w:spacing w:before="0" w:beforeLines="0" w:after="0" w:afterLines="0" w:line="600" w:lineRule="exact"/>
        <w:ind w:left="0" w:leftChars="0" w:firstLine="643" w:firstLineChars="200"/>
        <w:jc w:val="both"/>
        <w:textAlignment w:val="baseline"/>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2.10.9协议修订</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经营期内，项目实施机构和成交经营者应在公平合理、友好协商的基础上，解决经营协议实际执行中遇到的问题。</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经营期内，经项目实施机构与成交经营者协商一致，报市政府同意后，经营协议可以作出修改、补充或变更。</w:t>
      </w:r>
    </w:p>
    <w:p>
      <w:pPr>
        <w:rPr>
          <w:rFonts w:hint="eastAsia" w:ascii="Times New Roman" w:hAnsi="Times New Roman" w:eastAsia="Times New Roman" w:cs="Times New Roman"/>
          <w:spacing w:val="4"/>
          <w:sz w:val="31"/>
          <w:szCs w:val="31"/>
          <w:highlight w:val="yellow"/>
          <w:lang w:val="en-US" w:eastAsia="zh-CN"/>
        </w:rPr>
      </w:pPr>
    </w:p>
    <w:p>
      <w:pPr>
        <w:rPr>
          <w:rFonts w:hint="eastAsia" w:ascii="Times New Roman" w:hAnsi="Times New Roman" w:eastAsia="Times New Roman" w:cs="Times New Roman"/>
          <w:spacing w:val="4"/>
          <w:sz w:val="31"/>
          <w:szCs w:val="31"/>
          <w:highlight w:val="yellow"/>
          <w:lang w:val="en-US" w:eastAsia="zh-CN"/>
        </w:rPr>
      </w:pPr>
    </w:p>
    <w:p>
      <w:pPr>
        <w:rPr>
          <w:rFonts w:hint="eastAsia" w:ascii="Times New Roman" w:hAnsi="Times New Roman" w:eastAsia="Times New Roman" w:cs="Times New Roman"/>
          <w:spacing w:val="4"/>
          <w:sz w:val="31"/>
          <w:szCs w:val="31"/>
          <w:highlight w:val="yellow"/>
          <w:lang w:val="en-US" w:eastAsia="zh-CN"/>
        </w:rPr>
      </w:pPr>
    </w:p>
    <w:p>
      <w:pPr>
        <w:rPr>
          <w:rFonts w:hint="eastAsia" w:ascii="Times New Roman" w:hAnsi="Times New Roman" w:eastAsia="Times New Roman" w:cs="Times New Roman"/>
          <w:spacing w:val="4"/>
          <w:sz w:val="31"/>
          <w:szCs w:val="31"/>
          <w:highlight w:val="yellow"/>
          <w:lang w:val="en-US" w:eastAsia="zh-CN"/>
        </w:rPr>
      </w:pPr>
    </w:p>
    <w:p>
      <w:pPr>
        <w:rPr>
          <w:rFonts w:hint="eastAsia" w:ascii="Times New Roman" w:hAnsi="Times New Roman" w:eastAsia="Times New Roman" w:cs="Times New Roman"/>
          <w:spacing w:val="4"/>
          <w:sz w:val="31"/>
          <w:szCs w:val="31"/>
          <w:highlight w:val="yellow"/>
          <w:lang w:val="en-US" w:eastAsia="zh-CN"/>
        </w:rPr>
      </w:pPr>
    </w:p>
    <w:p>
      <w:pPr>
        <w:rPr>
          <w:rFonts w:hint="eastAsia" w:ascii="Times New Roman" w:hAnsi="Times New Roman" w:eastAsia="Times New Roman" w:cs="Times New Roman"/>
          <w:spacing w:val="4"/>
          <w:sz w:val="31"/>
          <w:szCs w:val="31"/>
          <w:highlight w:val="yellow"/>
          <w:lang w:val="en-US" w:eastAsia="zh-CN"/>
        </w:rPr>
      </w:pPr>
    </w:p>
    <w:p>
      <w:pPr>
        <w:rPr>
          <w:rFonts w:hint="eastAsia" w:ascii="Times New Roman" w:hAnsi="Times New Roman" w:eastAsia="Times New Roman" w:cs="Times New Roman"/>
          <w:spacing w:val="4"/>
          <w:sz w:val="31"/>
          <w:szCs w:val="31"/>
          <w:highlight w:val="yellow"/>
          <w:lang w:val="en-US" w:eastAsia="zh-CN"/>
        </w:rPr>
      </w:pPr>
    </w:p>
    <w:p>
      <w:pPr>
        <w:rPr>
          <w:rFonts w:hint="eastAsia" w:ascii="Times New Roman" w:hAnsi="Times New Roman" w:eastAsia="Times New Roman" w:cs="Times New Roman"/>
          <w:spacing w:val="4"/>
          <w:sz w:val="31"/>
          <w:szCs w:val="31"/>
          <w:highlight w:val="yellow"/>
          <w:lang w:val="en-US" w:eastAsia="zh-CN"/>
        </w:rPr>
      </w:pPr>
    </w:p>
    <w:p>
      <w:pPr>
        <w:rPr>
          <w:rFonts w:hint="eastAsia" w:ascii="Times New Roman" w:hAnsi="Times New Roman" w:eastAsia="Times New Roman" w:cs="Times New Roman"/>
          <w:spacing w:val="4"/>
          <w:sz w:val="31"/>
          <w:szCs w:val="31"/>
          <w:highlight w:val="yellow"/>
          <w:lang w:val="en-US" w:eastAsia="zh-CN"/>
        </w:rPr>
      </w:pPr>
    </w:p>
    <w:p>
      <w:pPr>
        <w:rPr>
          <w:rFonts w:hint="eastAsia" w:ascii="Times New Roman" w:hAnsi="Times New Roman" w:eastAsia="Times New Roman" w:cs="Times New Roman"/>
          <w:spacing w:val="4"/>
          <w:sz w:val="31"/>
          <w:szCs w:val="31"/>
          <w:highlight w:val="yellow"/>
          <w:lang w:val="en-US" w:eastAsia="zh-CN"/>
        </w:rPr>
      </w:pPr>
    </w:p>
    <w:p>
      <w:pPr>
        <w:rPr>
          <w:rFonts w:hint="eastAsia" w:ascii="Times New Roman" w:hAnsi="Times New Roman" w:eastAsia="Times New Roman" w:cs="Times New Roman"/>
          <w:spacing w:val="4"/>
          <w:sz w:val="31"/>
          <w:szCs w:val="31"/>
          <w:highlight w:val="yellow"/>
          <w:lang w:val="en-US" w:eastAsia="zh-CN"/>
        </w:rPr>
      </w:pPr>
    </w:p>
    <w:p>
      <w:pPr>
        <w:rPr>
          <w:rFonts w:hint="eastAsia" w:ascii="Times New Roman" w:hAnsi="Times New Roman" w:eastAsia="Times New Roman" w:cs="Times New Roman"/>
          <w:spacing w:val="4"/>
          <w:sz w:val="31"/>
          <w:szCs w:val="31"/>
          <w:highlight w:val="yellow"/>
          <w:lang w:val="en-US" w:eastAsia="zh-CN"/>
        </w:rPr>
      </w:pPr>
    </w:p>
    <w:p>
      <w:pPr>
        <w:rPr>
          <w:rFonts w:hint="eastAsia" w:ascii="Times New Roman" w:hAnsi="Times New Roman" w:eastAsia="Times New Roman" w:cs="Times New Roman"/>
          <w:spacing w:val="4"/>
          <w:sz w:val="31"/>
          <w:szCs w:val="31"/>
          <w:highlight w:val="yellow"/>
          <w:lang w:val="en-US" w:eastAsia="zh-CN"/>
        </w:rPr>
      </w:pPr>
    </w:p>
    <w:p>
      <w:pPr>
        <w:rPr>
          <w:rFonts w:hint="eastAsia" w:ascii="Times New Roman" w:hAnsi="Times New Roman" w:eastAsia="Times New Roman" w:cs="Times New Roman"/>
          <w:spacing w:val="4"/>
          <w:sz w:val="31"/>
          <w:szCs w:val="31"/>
          <w:highlight w:val="yellow"/>
          <w:lang w:val="en-US" w:eastAsia="zh-CN"/>
        </w:rPr>
      </w:pPr>
    </w:p>
    <w:p>
      <w:pPr>
        <w:pStyle w:val="22"/>
        <w:ind w:left="0" w:leftChars="0" w:firstLine="0" w:firstLineChars="0"/>
        <w:rPr>
          <w:rFonts w:hint="eastAsia"/>
          <w:highlight w:val="yellow"/>
          <w:lang w:val="en-US" w:eastAsia="zh-CN"/>
        </w:rPr>
      </w:pPr>
    </w:p>
    <w:p>
      <w:pPr>
        <w:rPr>
          <w:rFonts w:hint="eastAsia"/>
          <w:highlight w:val="yellow"/>
          <w:lang w:val="en-US" w:eastAsia="zh-CN"/>
        </w:rPr>
      </w:pPr>
    </w:p>
    <w:p>
      <w:pPr>
        <w:pStyle w:val="2"/>
        <w:rPr>
          <w:rFonts w:hint="eastAsia"/>
          <w:highlight w:val="yellow"/>
          <w:lang w:val="en-US" w:eastAsia="zh-CN"/>
        </w:rPr>
      </w:pPr>
    </w:p>
    <w:p>
      <w:pPr>
        <w:pStyle w:val="2"/>
        <w:rPr>
          <w:rFonts w:hint="eastAsia"/>
          <w:highlight w:val="yellow"/>
          <w:lang w:val="en-US" w:eastAsia="zh-CN"/>
        </w:rPr>
      </w:pPr>
    </w:p>
    <w:p>
      <w:pPr>
        <w:pStyle w:val="2"/>
        <w:rPr>
          <w:rFonts w:hint="eastAsia"/>
          <w:highlight w:val="yellow"/>
          <w:lang w:val="en-US" w:eastAsia="zh-CN"/>
        </w:rPr>
      </w:pPr>
    </w:p>
    <w:p>
      <w:pPr>
        <w:pStyle w:val="2"/>
        <w:rPr>
          <w:rFonts w:hint="eastAsia"/>
          <w:highlight w:val="yellow"/>
          <w:lang w:val="en-US" w:eastAsia="zh-CN"/>
        </w:rPr>
      </w:pPr>
    </w:p>
    <w:p>
      <w:pPr>
        <w:pStyle w:val="2"/>
        <w:rPr>
          <w:rFonts w:hint="eastAsia"/>
          <w:highlight w:val="yellow"/>
          <w:lang w:val="en-US" w:eastAsia="zh-CN"/>
        </w:rPr>
      </w:pPr>
    </w:p>
    <w:p>
      <w:pPr>
        <w:pStyle w:val="2"/>
        <w:rPr>
          <w:rFonts w:hint="eastAsia"/>
          <w:highlight w:val="yellow"/>
          <w:lang w:val="en-US" w:eastAsia="zh-CN"/>
        </w:rPr>
      </w:pPr>
    </w:p>
    <w:p>
      <w:pPr>
        <w:pStyle w:val="2"/>
        <w:rPr>
          <w:rFonts w:hint="eastAsia"/>
          <w:highlight w:val="yellow"/>
          <w:lang w:val="en-US" w:eastAsia="zh-CN"/>
        </w:rPr>
      </w:pPr>
    </w:p>
    <w:p>
      <w:pPr>
        <w:pStyle w:val="2"/>
        <w:rPr>
          <w:rFonts w:hint="eastAsia"/>
          <w:highlight w:val="yellow"/>
          <w:lang w:val="en-US" w:eastAsia="zh-CN"/>
        </w:rPr>
      </w:pPr>
    </w:p>
    <w:p>
      <w:pPr>
        <w:pStyle w:val="2"/>
        <w:rPr>
          <w:rFonts w:hint="eastAsia"/>
          <w:highlight w:val="yellow"/>
          <w:lang w:val="en-US" w:eastAsia="zh-CN"/>
        </w:rPr>
      </w:pPr>
    </w:p>
    <w:bookmarkEnd w:id="1"/>
    <w:p>
      <w:pPr>
        <w:pStyle w:val="3"/>
        <w:keepNext/>
        <w:keepLines/>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rPr>
          <w:rFonts w:hint="eastAsia" w:ascii="黑体" w:hAnsi="黑体" w:eastAsia="黑体" w:cs="黑体"/>
          <w:b/>
          <w:bCs w:val="0"/>
          <w:highlight w:val="none"/>
          <w:lang w:val="en-US" w:eastAsia="zh-CN"/>
        </w:rPr>
      </w:pPr>
      <w:bookmarkStart w:id="26" w:name="_Toc18157"/>
      <w:bookmarkStart w:id="27" w:name="_Toc11793"/>
      <w:bookmarkStart w:id="28" w:name="_Toc7715"/>
      <w:bookmarkStart w:id="29" w:name="_Toc32501"/>
      <w:r>
        <w:rPr>
          <w:rFonts w:hint="eastAsia" w:ascii="黑体" w:hAnsi="黑体" w:eastAsia="黑体" w:cs="黑体"/>
          <w:b/>
          <w:bCs w:val="0"/>
          <w:highlight w:val="none"/>
          <w:lang w:val="en-US" w:eastAsia="zh-CN"/>
        </w:rPr>
        <w:t>第三章结论与建议</w:t>
      </w:r>
      <w:bookmarkEnd w:id="26"/>
      <w:bookmarkEnd w:id="27"/>
      <w:bookmarkEnd w:id="28"/>
      <w:bookmarkEnd w:id="29"/>
    </w:p>
    <w:p>
      <w:pPr>
        <w:keepNext w:val="0"/>
        <w:keepLines w:val="0"/>
        <w:pageBreakBefore w:val="0"/>
        <w:widowControl w:val="0"/>
        <w:kinsoku w:val="0"/>
        <w:wordWrap/>
        <w:overflowPunct/>
        <w:topLinePunct w:val="0"/>
        <w:autoSpaceDE/>
        <w:autoSpaceDN/>
        <w:bidi w:val="0"/>
        <w:adjustRightInd/>
        <w:snapToGrid/>
        <w:spacing w:before="0" w:beforeAutospacing="0" w:after="0" w:afterAutospacing="0" w:line="600" w:lineRule="exact"/>
        <w:jc w:val="both"/>
        <w:textAlignment w:val="baseline"/>
        <w:outlineLvl w:val="9"/>
        <w:rPr>
          <w:rFonts w:hint="eastAsia"/>
          <w:lang w:val="en-US" w:eastAsia="zh-CN"/>
        </w:rPr>
      </w:pPr>
    </w:p>
    <w:p>
      <w:pPr>
        <w:pStyle w:val="4"/>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textAlignment w:val="baseline"/>
        <w:rPr>
          <w:rFonts w:hint="eastAsia" w:ascii="黑体" w:hAnsi="黑体" w:eastAsia="黑体" w:cs="黑体"/>
          <w:b w:val="0"/>
          <w:bCs w:val="0"/>
          <w:sz w:val="32"/>
          <w:szCs w:val="32"/>
          <w:highlight w:val="none"/>
          <w:lang w:val="en-US" w:eastAsia="zh-CN"/>
        </w:rPr>
      </w:pPr>
      <w:bookmarkStart w:id="30" w:name="_Toc8"/>
      <w:bookmarkStart w:id="31" w:name="_Toc31087"/>
      <w:bookmarkStart w:id="32" w:name="_Toc22442"/>
      <w:bookmarkStart w:id="33" w:name="_Toc18148"/>
      <w:bookmarkStart w:id="34" w:name="_Toc17827"/>
      <w:r>
        <w:rPr>
          <w:rFonts w:hint="eastAsia" w:ascii="黑体" w:hAnsi="黑体" w:eastAsia="黑体" w:cs="黑体"/>
          <w:b w:val="0"/>
          <w:bCs w:val="0"/>
          <w:sz w:val="32"/>
          <w:szCs w:val="32"/>
          <w:highlight w:val="none"/>
          <w:lang w:val="en-US" w:eastAsia="zh-CN"/>
        </w:rPr>
        <w:t>3.1主要研究结论</w:t>
      </w:r>
      <w:bookmarkEnd w:id="30"/>
      <w:bookmarkEnd w:id="31"/>
      <w:bookmarkEnd w:id="32"/>
      <w:bookmarkEnd w:id="33"/>
      <w:bookmarkEnd w:id="34"/>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本项目的实施将有效提高四川省德阳市广汉市范围内龙泉等3座水库的</w:t>
      </w:r>
      <w:r>
        <w:rPr>
          <w:rFonts w:hint="default" w:ascii="仿宋" w:hAnsi="仿宋" w:eastAsia="仿宋" w:cs="仿宋"/>
          <w:snapToGrid/>
          <w:color w:val="auto"/>
          <w:kern w:val="2"/>
          <w:sz w:val="32"/>
          <w:szCs w:val="32"/>
          <w:highlight w:val="none"/>
          <w:u w:val="none"/>
          <w:lang w:val="en-US" w:eastAsia="zh-CN" w:bidi="ar-SA"/>
        </w:rPr>
        <w:t>促进水资源的合理利用</w:t>
      </w:r>
      <w:r>
        <w:rPr>
          <w:rFonts w:hint="eastAsia" w:ascii="仿宋" w:hAnsi="仿宋" w:eastAsia="仿宋" w:cs="仿宋"/>
          <w:snapToGrid/>
          <w:color w:val="auto"/>
          <w:kern w:val="2"/>
          <w:sz w:val="32"/>
          <w:szCs w:val="32"/>
          <w:highlight w:val="none"/>
          <w:u w:val="none"/>
          <w:lang w:val="en-US" w:eastAsia="zh-CN" w:bidi="ar-SA"/>
        </w:rPr>
        <w:t>，促进水库淤泥资源化利用，创新开拓水权交易，是响应政府关于盘活存量资产、扩大有效投资的重要举措，在市场竞争机制下引入社会资本，通过资源的优化配置，引导社会资本从全生命周期的角度统筹运营、管理工作，利用其先进的技术和管理经验，提高水库运营效率和服务品质，</w:t>
      </w:r>
      <w:r>
        <w:rPr>
          <w:rFonts w:hint="default" w:ascii="仿宋" w:hAnsi="仿宋" w:eastAsia="仿宋" w:cs="仿宋"/>
          <w:snapToGrid/>
          <w:color w:val="auto"/>
          <w:kern w:val="2"/>
          <w:sz w:val="32"/>
          <w:szCs w:val="32"/>
          <w:highlight w:val="none"/>
          <w:u w:val="none"/>
          <w:lang w:val="en-US" w:eastAsia="zh-CN" w:bidi="ar-SA"/>
        </w:rPr>
        <w:t>改善水库环境和服务质量</w:t>
      </w:r>
      <w:r>
        <w:rPr>
          <w:rFonts w:hint="eastAsia" w:ascii="仿宋" w:hAnsi="仿宋" w:eastAsia="仿宋" w:cs="仿宋"/>
          <w:snapToGrid/>
          <w:color w:val="auto"/>
          <w:kern w:val="2"/>
          <w:sz w:val="32"/>
          <w:szCs w:val="32"/>
          <w:highlight w:val="none"/>
          <w:u w:val="none"/>
          <w:lang w:val="en-US" w:eastAsia="zh-CN" w:bidi="ar-SA"/>
        </w:rPr>
        <w:t>，降低成本</w:t>
      </w:r>
      <w:r>
        <w:rPr>
          <w:rFonts w:hint="default" w:ascii="仿宋" w:hAnsi="仿宋" w:eastAsia="仿宋" w:cs="仿宋"/>
          <w:snapToGrid/>
          <w:color w:val="auto"/>
          <w:kern w:val="2"/>
          <w:sz w:val="32"/>
          <w:szCs w:val="32"/>
          <w:highlight w:val="none"/>
          <w:u w:val="none"/>
          <w:lang w:val="en-US" w:eastAsia="zh-CN" w:bidi="ar-SA"/>
        </w:rPr>
        <w:t>，同时也能够提升政府的管理效能</w:t>
      </w:r>
      <w:r>
        <w:rPr>
          <w:rFonts w:hint="eastAsia" w:ascii="仿宋" w:hAnsi="仿宋" w:eastAsia="仿宋" w:cs="仿宋"/>
          <w:snapToGrid/>
          <w:color w:val="auto"/>
          <w:kern w:val="2"/>
          <w:sz w:val="32"/>
          <w:szCs w:val="32"/>
          <w:highlight w:val="none"/>
          <w:u w:val="none"/>
          <w:lang w:val="en-US" w:eastAsia="zh-CN" w:bidi="ar-SA"/>
        </w:rPr>
        <w:t>。</w:t>
      </w:r>
      <w:r>
        <w:rPr>
          <w:rFonts w:hint="default" w:ascii="仿宋" w:hAnsi="仿宋" w:eastAsia="仿宋" w:cs="仿宋"/>
          <w:snapToGrid/>
          <w:color w:val="auto"/>
          <w:kern w:val="2"/>
          <w:sz w:val="32"/>
          <w:szCs w:val="32"/>
          <w:highlight w:val="none"/>
          <w:u w:val="none"/>
          <w:lang w:val="en-US" w:eastAsia="zh-CN" w:bidi="ar-SA"/>
        </w:rPr>
        <w:t>增加政府财政收入</w:t>
      </w:r>
      <w:r>
        <w:rPr>
          <w:rFonts w:hint="eastAsia" w:ascii="仿宋" w:hAnsi="仿宋" w:eastAsia="仿宋" w:cs="仿宋"/>
          <w:snapToGrid/>
          <w:color w:val="auto"/>
          <w:kern w:val="2"/>
          <w:sz w:val="32"/>
          <w:szCs w:val="32"/>
          <w:highlight w:val="none"/>
          <w:u w:val="none"/>
          <w:lang w:val="en-US" w:eastAsia="zh-CN" w:bidi="ar-SA"/>
        </w:rPr>
        <w:t>，带动广汉市旅游业和经济发展，为广汉市乡村振兴出力献策，</w:t>
      </w:r>
      <w:r>
        <w:rPr>
          <w:rFonts w:hint="default" w:ascii="仿宋" w:hAnsi="仿宋" w:eastAsia="仿宋" w:cs="仿宋"/>
          <w:snapToGrid/>
          <w:color w:val="auto"/>
          <w:kern w:val="2"/>
          <w:sz w:val="32"/>
          <w:szCs w:val="32"/>
          <w:highlight w:val="none"/>
          <w:u w:val="none"/>
          <w:lang w:val="en-US" w:eastAsia="zh-CN" w:bidi="ar-SA"/>
        </w:rPr>
        <w:t>深入实施</w:t>
      </w:r>
      <w:r>
        <w:rPr>
          <w:rFonts w:hint="eastAsia" w:ascii="仿宋" w:hAnsi="仿宋" w:eastAsia="仿宋" w:cs="仿宋"/>
          <w:snapToGrid/>
          <w:color w:val="auto"/>
          <w:kern w:val="2"/>
          <w:sz w:val="32"/>
          <w:szCs w:val="32"/>
          <w:highlight w:val="none"/>
          <w:u w:val="none"/>
          <w:lang w:val="en-US" w:eastAsia="zh-CN" w:bidi="ar-SA"/>
        </w:rPr>
        <w:t>“</w:t>
      </w:r>
      <w:r>
        <w:rPr>
          <w:rFonts w:hint="default" w:ascii="仿宋" w:hAnsi="仿宋" w:eastAsia="仿宋" w:cs="仿宋"/>
          <w:snapToGrid/>
          <w:color w:val="auto"/>
          <w:kern w:val="2"/>
          <w:sz w:val="32"/>
          <w:szCs w:val="32"/>
          <w:highlight w:val="none"/>
          <w:u w:val="none"/>
          <w:lang w:val="en-US" w:eastAsia="zh-CN" w:bidi="ar-SA"/>
        </w:rPr>
        <w:t>藏粮于地、藏粮于技</w:t>
      </w:r>
      <w:r>
        <w:rPr>
          <w:rFonts w:hint="eastAsia" w:ascii="仿宋" w:hAnsi="仿宋" w:eastAsia="仿宋" w:cs="仿宋"/>
          <w:snapToGrid/>
          <w:color w:val="auto"/>
          <w:kern w:val="2"/>
          <w:sz w:val="32"/>
          <w:szCs w:val="32"/>
          <w:highlight w:val="none"/>
          <w:u w:val="none"/>
          <w:lang w:val="en-US" w:eastAsia="zh-CN" w:bidi="ar-SA"/>
        </w:rPr>
        <w:t>”</w:t>
      </w:r>
      <w:r>
        <w:rPr>
          <w:rFonts w:hint="default" w:ascii="仿宋" w:hAnsi="仿宋" w:eastAsia="仿宋" w:cs="仿宋"/>
          <w:snapToGrid/>
          <w:color w:val="auto"/>
          <w:kern w:val="2"/>
          <w:sz w:val="32"/>
          <w:szCs w:val="32"/>
          <w:highlight w:val="none"/>
          <w:u w:val="none"/>
          <w:lang w:val="en-US" w:eastAsia="zh-CN" w:bidi="ar-SA"/>
        </w:rPr>
        <w:t>战略，加快实施</w:t>
      </w:r>
      <w:r>
        <w:rPr>
          <w:rFonts w:hint="eastAsia" w:ascii="仿宋" w:hAnsi="仿宋" w:eastAsia="仿宋" w:cs="仿宋"/>
          <w:snapToGrid/>
          <w:color w:val="auto"/>
          <w:kern w:val="2"/>
          <w:sz w:val="32"/>
          <w:szCs w:val="32"/>
          <w:highlight w:val="none"/>
          <w:u w:val="none"/>
          <w:lang w:val="en-US" w:eastAsia="zh-CN" w:bidi="ar-SA"/>
        </w:rPr>
        <w:t>广汉市</w:t>
      </w:r>
      <w:r>
        <w:rPr>
          <w:rFonts w:hint="default" w:ascii="仿宋" w:hAnsi="仿宋" w:eastAsia="仿宋" w:cs="仿宋"/>
          <w:snapToGrid/>
          <w:color w:val="auto"/>
          <w:kern w:val="2"/>
          <w:sz w:val="32"/>
          <w:szCs w:val="32"/>
          <w:highlight w:val="none"/>
          <w:u w:val="none"/>
          <w:lang w:val="en-US" w:eastAsia="zh-CN" w:bidi="ar-SA"/>
        </w:rPr>
        <w:t>高标准农田建设</w:t>
      </w:r>
      <w:r>
        <w:rPr>
          <w:rFonts w:hint="eastAsia" w:ascii="仿宋" w:hAnsi="仿宋" w:eastAsia="仿宋" w:cs="仿宋"/>
          <w:snapToGrid/>
          <w:color w:val="auto"/>
          <w:kern w:val="2"/>
          <w:sz w:val="32"/>
          <w:szCs w:val="32"/>
          <w:highlight w:val="none"/>
          <w:u w:val="none"/>
          <w:lang w:val="en-US" w:eastAsia="zh-CN" w:bidi="ar-SA"/>
        </w:rPr>
        <w:t>规划</w:t>
      </w:r>
      <w:r>
        <w:rPr>
          <w:rFonts w:hint="default" w:ascii="仿宋" w:hAnsi="仿宋" w:eastAsia="仿宋" w:cs="仿宋"/>
          <w:snapToGrid/>
          <w:color w:val="auto"/>
          <w:kern w:val="2"/>
          <w:sz w:val="32"/>
          <w:szCs w:val="32"/>
          <w:highlight w:val="none"/>
          <w:u w:val="none"/>
          <w:lang w:val="en-US" w:eastAsia="zh-CN" w:bidi="ar-SA"/>
        </w:rPr>
        <w:t>，促进</w:t>
      </w:r>
      <w:r>
        <w:rPr>
          <w:rFonts w:hint="eastAsia" w:ascii="仿宋" w:hAnsi="仿宋" w:eastAsia="仿宋" w:cs="仿宋"/>
          <w:snapToGrid/>
          <w:color w:val="auto"/>
          <w:kern w:val="2"/>
          <w:sz w:val="32"/>
          <w:szCs w:val="32"/>
          <w:highlight w:val="none"/>
          <w:u w:val="none"/>
          <w:lang w:val="en-US" w:eastAsia="zh-CN" w:bidi="ar-SA"/>
        </w:rPr>
        <w:t>广汉市</w:t>
      </w:r>
      <w:r>
        <w:rPr>
          <w:rFonts w:hint="default" w:ascii="仿宋" w:hAnsi="仿宋" w:eastAsia="仿宋" w:cs="仿宋"/>
          <w:snapToGrid/>
          <w:color w:val="auto"/>
          <w:kern w:val="2"/>
          <w:sz w:val="32"/>
          <w:szCs w:val="32"/>
          <w:highlight w:val="none"/>
          <w:u w:val="none"/>
          <w:lang w:val="en-US" w:eastAsia="zh-CN" w:bidi="ar-SA"/>
        </w:rPr>
        <w:t>农业可持续发展，夯实</w:t>
      </w:r>
      <w:r>
        <w:rPr>
          <w:rFonts w:hint="eastAsia" w:ascii="仿宋" w:hAnsi="仿宋" w:eastAsia="仿宋" w:cs="仿宋"/>
          <w:snapToGrid/>
          <w:color w:val="auto"/>
          <w:kern w:val="2"/>
          <w:sz w:val="32"/>
          <w:szCs w:val="32"/>
          <w:highlight w:val="none"/>
          <w:u w:val="none"/>
          <w:lang w:val="en-US" w:eastAsia="zh-CN" w:bidi="ar-SA"/>
        </w:rPr>
        <w:t>广汉市</w:t>
      </w:r>
      <w:r>
        <w:rPr>
          <w:rFonts w:hint="default" w:ascii="仿宋" w:hAnsi="仿宋" w:eastAsia="仿宋" w:cs="仿宋"/>
          <w:snapToGrid/>
          <w:color w:val="auto"/>
          <w:kern w:val="2"/>
          <w:sz w:val="32"/>
          <w:szCs w:val="32"/>
          <w:highlight w:val="none"/>
          <w:u w:val="none"/>
          <w:lang w:val="en-US" w:eastAsia="zh-CN" w:bidi="ar-SA"/>
        </w:rPr>
        <w:t>现代农业发展基础。</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项目层面上，</w:t>
      </w:r>
      <w:r>
        <w:rPr>
          <w:rFonts w:hint="default" w:ascii="仿宋" w:hAnsi="仿宋" w:eastAsia="仿宋" w:cs="仿宋"/>
          <w:snapToGrid/>
          <w:color w:val="auto"/>
          <w:kern w:val="2"/>
          <w:sz w:val="32"/>
          <w:szCs w:val="32"/>
          <w:highlight w:val="none"/>
          <w:u w:val="none"/>
          <w:lang w:val="en-US" w:eastAsia="zh-CN" w:bidi="ar-SA"/>
        </w:rPr>
        <w:t>本项目资产使用价值共计</w:t>
      </w:r>
      <w:r>
        <w:rPr>
          <w:rFonts w:hint="eastAsia" w:ascii="仿宋" w:hAnsi="仿宋" w:eastAsia="仿宋" w:cs="仿宋"/>
          <w:snapToGrid/>
          <w:color w:val="auto"/>
          <w:kern w:val="2"/>
          <w:sz w:val="32"/>
          <w:szCs w:val="32"/>
          <w:highlight w:val="none"/>
          <w:u w:val="none"/>
          <w:lang w:val="en-US" w:eastAsia="zh-CN" w:bidi="ar-SA"/>
        </w:rPr>
        <w:t>21,690.32</w:t>
      </w:r>
      <w:r>
        <w:rPr>
          <w:rFonts w:hint="default" w:ascii="仿宋" w:hAnsi="仿宋" w:eastAsia="仿宋" w:cs="仿宋"/>
          <w:snapToGrid/>
          <w:color w:val="auto"/>
          <w:kern w:val="2"/>
          <w:sz w:val="32"/>
          <w:szCs w:val="32"/>
          <w:highlight w:val="none"/>
          <w:u w:val="none"/>
          <w:lang w:val="en-US" w:eastAsia="zh-CN" w:bidi="ar-SA"/>
        </w:rPr>
        <w:t>万元，项目资产使用价值为存量资产经营权出让价。资产挂网底价不得低于</w:t>
      </w:r>
      <w:r>
        <w:rPr>
          <w:rFonts w:hint="eastAsia" w:ascii="仿宋" w:hAnsi="仿宋" w:eastAsia="仿宋" w:cs="仿宋"/>
          <w:snapToGrid/>
          <w:color w:val="auto"/>
          <w:kern w:val="2"/>
          <w:sz w:val="32"/>
          <w:szCs w:val="32"/>
          <w:highlight w:val="none"/>
          <w:u w:val="none"/>
          <w:lang w:val="en-US" w:eastAsia="zh-CN" w:bidi="ar-SA"/>
        </w:rPr>
        <w:t>21,690.32</w:t>
      </w:r>
      <w:r>
        <w:rPr>
          <w:rFonts w:hint="default" w:ascii="仿宋" w:hAnsi="仿宋" w:eastAsia="仿宋" w:cs="仿宋"/>
          <w:snapToGrid/>
          <w:color w:val="auto"/>
          <w:kern w:val="2"/>
          <w:sz w:val="32"/>
          <w:szCs w:val="32"/>
          <w:highlight w:val="none"/>
          <w:u w:val="none"/>
          <w:lang w:val="en-US" w:eastAsia="zh-CN" w:bidi="ar-SA"/>
        </w:rPr>
        <w:t>万元，具体应以资产评估报告核定金额为准。实际成交价格不得低于挂网底价。成交经营者应当在经营期第一年内支付存量资产经营权取得费的全部款项</w:t>
      </w:r>
      <w:r>
        <w:rPr>
          <w:rFonts w:hint="eastAsia" w:ascii="仿宋" w:hAnsi="仿宋" w:eastAsia="仿宋" w:cs="仿宋"/>
          <w:snapToGrid/>
          <w:color w:val="auto"/>
          <w:kern w:val="2"/>
          <w:sz w:val="32"/>
          <w:szCs w:val="32"/>
          <w:highlight w:val="none"/>
          <w:u w:val="none"/>
          <w:lang w:val="en-US" w:eastAsia="zh-CN" w:bidi="ar-SA"/>
        </w:rPr>
        <w:t>。</w:t>
      </w:r>
      <w:r>
        <w:rPr>
          <w:rFonts w:hint="default" w:ascii="仿宋" w:hAnsi="仿宋" w:eastAsia="仿宋" w:cs="仿宋"/>
          <w:snapToGrid/>
          <w:color w:val="auto"/>
          <w:kern w:val="2"/>
          <w:sz w:val="32"/>
          <w:szCs w:val="32"/>
          <w:highlight w:val="none"/>
          <w:u w:val="none"/>
          <w:lang w:val="en-US" w:eastAsia="zh-CN" w:bidi="ar-SA"/>
        </w:rPr>
        <w:t>项目财务可行性方面，项目投资税后财务内部收益率</w:t>
      </w:r>
      <w:r>
        <w:rPr>
          <w:rFonts w:hint="eastAsia" w:ascii="仿宋" w:hAnsi="仿宋" w:eastAsia="仿宋" w:cs="仿宋"/>
          <w:snapToGrid/>
          <w:color w:val="auto"/>
          <w:kern w:val="2"/>
          <w:sz w:val="32"/>
          <w:szCs w:val="32"/>
          <w:highlight w:val="none"/>
          <w:u w:val="none"/>
          <w:lang w:val="en-US" w:eastAsia="zh-CN" w:bidi="ar-SA"/>
        </w:rPr>
        <w:t>5.40%</w:t>
      </w:r>
      <w:r>
        <w:rPr>
          <w:rFonts w:hint="default" w:ascii="仿宋" w:hAnsi="仿宋" w:eastAsia="仿宋" w:cs="仿宋"/>
          <w:snapToGrid/>
          <w:color w:val="auto"/>
          <w:kern w:val="2"/>
          <w:sz w:val="32"/>
          <w:szCs w:val="32"/>
          <w:highlight w:val="none"/>
          <w:u w:val="none"/>
          <w:lang w:val="en-US" w:eastAsia="zh-CN" w:bidi="ar-SA"/>
        </w:rPr>
        <w:t>，税后财务净现值（ic=4%）为</w:t>
      </w:r>
      <w:r>
        <w:rPr>
          <w:rFonts w:hint="eastAsia" w:ascii="仿宋" w:hAnsi="仿宋" w:eastAsia="仿宋" w:cs="仿宋"/>
          <w:snapToGrid/>
          <w:color w:val="auto"/>
          <w:kern w:val="2"/>
          <w:sz w:val="32"/>
          <w:szCs w:val="32"/>
          <w:highlight w:val="none"/>
          <w:u w:val="none"/>
          <w:lang w:val="en-US" w:eastAsia="zh-CN" w:bidi="ar-SA"/>
        </w:rPr>
        <w:t>4,058.83万元</w:t>
      </w:r>
      <w:r>
        <w:rPr>
          <w:rFonts w:hint="default" w:ascii="仿宋" w:hAnsi="仿宋" w:eastAsia="仿宋" w:cs="仿宋"/>
          <w:snapToGrid/>
          <w:color w:val="auto"/>
          <w:kern w:val="2"/>
          <w:sz w:val="32"/>
          <w:szCs w:val="32"/>
          <w:highlight w:val="none"/>
          <w:u w:val="none"/>
          <w:lang w:val="en-US" w:eastAsia="zh-CN" w:bidi="ar-SA"/>
        </w:rPr>
        <w:t>，静态投资回收期</w:t>
      </w:r>
      <w:r>
        <w:rPr>
          <w:rFonts w:hint="eastAsia" w:ascii="仿宋" w:hAnsi="仿宋" w:eastAsia="仿宋" w:cs="仿宋"/>
          <w:snapToGrid/>
          <w:color w:val="auto"/>
          <w:kern w:val="2"/>
          <w:sz w:val="32"/>
          <w:szCs w:val="32"/>
          <w:highlight w:val="none"/>
          <w:u w:val="none"/>
          <w:lang w:val="en-US" w:eastAsia="zh-CN" w:bidi="ar-SA"/>
        </w:rPr>
        <w:t>17.09年，具备财务可行性。</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效益方面，项目具备经济、社会及生态效益。经济效益方面，项目除具备经济可行性外，实施后可增加年均税收613.81万元，以示范作用辐射周边地区，促进</w:t>
      </w:r>
      <w:bookmarkStart w:id="41" w:name="_GoBack"/>
      <w:bookmarkEnd w:id="41"/>
      <w:r>
        <w:rPr>
          <w:rFonts w:hint="eastAsia" w:ascii="仿宋" w:hAnsi="仿宋" w:eastAsia="仿宋" w:cs="仿宋"/>
          <w:snapToGrid/>
          <w:color w:val="auto"/>
          <w:kern w:val="2"/>
          <w:sz w:val="32"/>
          <w:szCs w:val="32"/>
          <w:highlight w:val="none"/>
          <w:u w:val="none"/>
          <w:lang w:val="en-US" w:eastAsia="zh-CN" w:bidi="ar-SA"/>
        </w:rPr>
        <w:t>该区域国民经济可持续发展，可有效促进项目地经济发展进程。社会效益方面，项目的实施可促进就业。生态效益方面，项目可提高区域内水资源利用效率，通过清理并利用淤泥，将有效恢复水库库容，显著提升防洪灌溉能力，持续改善区域水生态环境，预计可提升有机肥料生产等关联产业产值超2亿元，实现河湖保护与经济发展的双赢。</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Calibri" w:hAnsi="Calibri" w:eastAsia="宋体" w:cs="Times New Roman"/>
          <w:snapToGrid/>
          <w:color w:val="auto"/>
          <w:kern w:val="2"/>
          <w:sz w:val="28"/>
          <w:szCs w:val="24"/>
          <w:highlight w:val="yellow"/>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综上，本项目建设条件良好。具有良好的社会、经济、环境效益，抵御各类风险的能力强，市场潜力大，符合当地政府的产业发展政策与国民经济发展纲要。</w:t>
      </w:r>
    </w:p>
    <w:p>
      <w:pPr>
        <w:pStyle w:val="4"/>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textAlignment w:val="baseline"/>
        <w:rPr>
          <w:rFonts w:hint="eastAsia" w:ascii="黑体" w:hAnsi="黑体" w:eastAsia="黑体" w:cs="黑体"/>
          <w:b w:val="0"/>
          <w:bCs w:val="0"/>
          <w:sz w:val="32"/>
          <w:szCs w:val="32"/>
          <w:highlight w:val="none"/>
          <w:lang w:val="en-US" w:eastAsia="zh-CN"/>
        </w:rPr>
      </w:pPr>
      <w:bookmarkStart w:id="35" w:name="_Toc7670"/>
      <w:bookmarkStart w:id="36" w:name="_Toc1844"/>
      <w:bookmarkStart w:id="37" w:name="_Toc13686"/>
      <w:bookmarkStart w:id="38" w:name="_Toc16809"/>
      <w:r>
        <w:rPr>
          <w:rFonts w:hint="eastAsia" w:ascii="黑体" w:hAnsi="黑体" w:eastAsia="黑体" w:cs="黑体"/>
          <w:b w:val="0"/>
          <w:bCs w:val="0"/>
          <w:sz w:val="32"/>
          <w:szCs w:val="32"/>
          <w:highlight w:val="none"/>
          <w:lang w:val="en-US" w:eastAsia="zh-CN"/>
        </w:rPr>
        <w:t>3.2建议</w:t>
      </w:r>
      <w:bookmarkEnd w:id="35"/>
      <w:bookmarkEnd w:id="36"/>
      <w:bookmarkEnd w:id="37"/>
      <w:bookmarkEnd w:id="38"/>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1.强化组织领导，确保项目有序进行</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建议成立由政府相关部门领导组成的项目工作领导小组，全面负责项目的组织指挥、统筹协调及督促检查等核心工作。领导小组应定期召开会议，研究解决项目实施中的重大问题，确保项目有序推进。</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2.完善工作机制，提升项目管理水平</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建立健全项目情况通报制度，要求领导小组各成员单位每半月向领导小组办公室报送工作进展，确保信息畅通、及时共享。同时，建立定期或不定期的工作例会制度，深入分析项目推进中的难点问题，提出针对性强的应对措施，确保问题得到及时解决。此外，建立工作联动反应机制，对项目实施过程中出现的突发问题，确保相关责任部门全力配合、协同处理。</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3.明确责任分工，加强考核激励</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pPr>
      <w:r>
        <w:rPr>
          <w:rFonts w:hint="eastAsia" w:ascii="仿宋" w:hAnsi="仿宋" w:eastAsia="仿宋" w:cs="仿宋"/>
          <w:snapToGrid/>
          <w:color w:val="auto"/>
          <w:kern w:val="2"/>
          <w:sz w:val="32"/>
          <w:szCs w:val="32"/>
          <w:highlight w:val="none"/>
          <w:u w:val="none"/>
          <w:lang w:val="en-US" w:eastAsia="zh-CN" w:bidi="ar-SA"/>
        </w:rPr>
        <w:t>加强对项目工作的领导，明确各职能部门和责任人的具体职责，确保各项任务落到实处。同时，建立科学的责任制和考核奖励办法，将项目工作纳入重点目标考核管理，通过奖惩激励机制，激发各方的工作积极性和创造力，推动项目高效推进。</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仿宋" w:hAnsi="仿宋" w:eastAsia="仿宋" w:cs="仿宋"/>
          <w:snapToGrid/>
          <w:color w:val="auto"/>
          <w:kern w:val="2"/>
          <w:sz w:val="32"/>
          <w:szCs w:val="32"/>
          <w:highlight w:val="none"/>
          <w:u w:val="none"/>
          <w:lang w:val="en-US" w:eastAsia="zh-CN" w:bidi="ar-SA"/>
        </w:rPr>
        <w:sectPr>
          <w:headerReference r:id="rId9" w:type="default"/>
          <w:footerReference r:id="rId10" w:type="default"/>
          <w:pgSz w:w="11906" w:h="16838"/>
          <w:pgMar w:top="1117" w:right="1361" w:bottom="1854" w:left="1474" w:header="879" w:footer="1689" w:gutter="0"/>
          <w:pgBorders>
            <w:top w:val="none" w:sz="0" w:space="0"/>
            <w:left w:val="none" w:sz="0" w:space="0"/>
            <w:bottom w:val="none" w:sz="0" w:space="0"/>
            <w:right w:val="none" w:sz="0" w:space="0"/>
          </w:pgBorders>
          <w:pgNumType w:fmt="decimal"/>
          <w:cols w:space="0" w:num="1"/>
          <w:rtlGutter w:val="0"/>
          <w:docGrid w:linePitch="1" w:charSpace="0"/>
        </w:sectPr>
      </w:pPr>
    </w:p>
    <w:p>
      <w:pPr>
        <w:keepNext w:val="0"/>
        <w:keepLines w:val="0"/>
        <w:pageBreakBefore w:val="0"/>
        <w:widowControl/>
        <w:tabs>
          <w:tab w:val="left" w:pos="1157"/>
        </w:tabs>
        <w:kinsoku w:val="0"/>
        <w:wordWrap/>
        <w:overflowPunct/>
        <w:topLinePunct w:val="0"/>
        <w:autoSpaceDE w:val="0"/>
        <w:autoSpaceDN w:val="0"/>
        <w:bidi w:val="0"/>
        <w:adjustRightInd w:val="0"/>
        <w:snapToGrid w:val="0"/>
        <w:spacing w:line="20" w:lineRule="exact"/>
        <w:ind w:right="0" w:rightChars="0"/>
        <w:jc w:val="both"/>
        <w:textAlignment w:val="baseline"/>
        <w:rPr>
          <w:rFonts w:hint="eastAsia" w:ascii="宋体" w:hAnsi="宋体" w:eastAsia="宋体" w:cs="宋体"/>
          <w:vanish/>
          <w:spacing w:val="-2"/>
          <w:sz w:val="28"/>
          <w:szCs w:val="28"/>
          <w:highlight w:val="yellow"/>
          <w:lang w:val="en-US" w:eastAsia="zh-CN"/>
        </w:rPr>
      </w:pPr>
      <w:bookmarkStart w:id="39" w:name="_bookmark97"/>
      <w:bookmarkEnd w:id="39"/>
      <w:bookmarkStart w:id="40" w:name="_bookmark96"/>
      <w:bookmarkEnd w:id="40"/>
    </w:p>
    <w:sectPr>
      <w:headerReference r:id="rId11" w:type="default"/>
      <w:footerReference r:id="rId12" w:type="default"/>
      <w:pgSz w:w="16838" w:h="11906" w:orient="landscape"/>
      <w:pgMar w:top="1474" w:right="1117" w:bottom="1361" w:left="1854" w:header="879" w:footer="1689"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336C66A-2A61-404C-8ED1-D3EBA89C8565}"/>
  </w:font>
  <w:font w:name="黑体">
    <w:panose1 w:val="02010609060101010101"/>
    <w:charset w:val="86"/>
    <w:family w:val="auto"/>
    <w:pitch w:val="default"/>
    <w:sig w:usb0="800002BF" w:usb1="38CF7CFA" w:usb2="00000016" w:usb3="00000000" w:csb0="00040001" w:csb1="00000000"/>
    <w:embedRegular r:id="rId2" w:fontKey="{A60DDB24-24F4-421F-A3B6-1006D8951D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B717E2C-C598-4DA8-B0A8-3CD35A81E0DE}"/>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4" w:fontKey="{00201FEC-0B17-428C-B4F7-F3FF36ACE5C5}"/>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5" w:fontKey="{02016B87-6BD3-4476-B3F6-254A831E9F0A}"/>
  </w:font>
  <w:font w:name="楷体">
    <w:panose1 w:val="02010609060101010101"/>
    <w:charset w:val="86"/>
    <w:family w:val="auto"/>
    <w:pitch w:val="default"/>
    <w:sig w:usb0="800002BF" w:usb1="38CF7CFA" w:usb2="00000016" w:usb3="00000000" w:csb0="00040001" w:csb1="00000000"/>
    <w:embedRegular r:id="rId6" w:fontKey="{072E7D70-15E9-41B9-8C2E-C2C8A16EDFE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6" name="文本框 3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m5U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ipuVNAIAAGUEAAAOAAAAAAAAAAEAIAAAAB8BAABkcnMvZTJvRG9jLnhtbFBL&#10;BQYAAAAABgAGAFkBAADF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13"/>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7" name="文本框 3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2BQk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DYFCTUCAABlBAAADgAAAAAAAAABACAAAAAfAQAAZHJzL2Uyb0RvYy54bWxQ&#10;SwUGAAAAAAYABgBZAQAAxg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7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8" name="文本框 3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n57Vc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e1XNAIAAGUEAAAOAAAAAAAAAAEAIAAAAB8BAABkcnMvZTJvRG9jLnhtbFBL&#10;BQYAAAAABgAGAFkBAADF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289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576"/>
      <w:rPr>
        <w:rFonts w:ascii="宋体" w:hAnsi="宋体" w:eastAsia="宋体" w:cs="宋体"/>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BC819"/>
    <w:multiLevelType w:val="singleLevel"/>
    <w:tmpl w:val="014BC819"/>
    <w:lvl w:ilvl="0" w:tentative="0">
      <w:start w:val="1"/>
      <w:numFmt w:val="bullet"/>
      <w:pStyle w:val="14"/>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500"/>
  <w:hyphenationZone w:val="360"/>
  <w:drawingGridHorizontalSpacing w:val="210"/>
  <w:drawingGridVerticalSpacing w:val="9999999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NDZmMzczM2FkYjRiMjgzOGY2MmI1NTVjNDhhMmUifQ=="/>
    <w:docVar w:name="KSO_WPS_MARK_KEY" w:val="e89feacc-be88-4fe8-9863-ae37a2396416"/>
  </w:docVars>
  <w:rsids>
    <w:rsidRoot w:val="00000000"/>
    <w:rsid w:val="00743156"/>
    <w:rsid w:val="010158D6"/>
    <w:rsid w:val="02B36B74"/>
    <w:rsid w:val="032A1E78"/>
    <w:rsid w:val="038640D6"/>
    <w:rsid w:val="04C0207E"/>
    <w:rsid w:val="04DD20D8"/>
    <w:rsid w:val="04F90AC8"/>
    <w:rsid w:val="06316205"/>
    <w:rsid w:val="06743BB9"/>
    <w:rsid w:val="06A905C3"/>
    <w:rsid w:val="07047A36"/>
    <w:rsid w:val="07460043"/>
    <w:rsid w:val="07A73A36"/>
    <w:rsid w:val="07E531F8"/>
    <w:rsid w:val="07F53E06"/>
    <w:rsid w:val="09540C99"/>
    <w:rsid w:val="09753F6F"/>
    <w:rsid w:val="098F1163"/>
    <w:rsid w:val="09A117E2"/>
    <w:rsid w:val="0ABF6648"/>
    <w:rsid w:val="0AFB5144"/>
    <w:rsid w:val="0B077F62"/>
    <w:rsid w:val="0B472A2B"/>
    <w:rsid w:val="0B9A495D"/>
    <w:rsid w:val="0C970E9C"/>
    <w:rsid w:val="0F417B9A"/>
    <w:rsid w:val="0F7915DA"/>
    <w:rsid w:val="0FDC50B5"/>
    <w:rsid w:val="10C70D2D"/>
    <w:rsid w:val="113A39C4"/>
    <w:rsid w:val="11DD7458"/>
    <w:rsid w:val="12CD73C6"/>
    <w:rsid w:val="13325F21"/>
    <w:rsid w:val="139160FC"/>
    <w:rsid w:val="14964245"/>
    <w:rsid w:val="14EA56DD"/>
    <w:rsid w:val="16202836"/>
    <w:rsid w:val="16E80DEA"/>
    <w:rsid w:val="17474072"/>
    <w:rsid w:val="17AD120A"/>
    <w:rsid w:val="17B30DBE"/>
    <w:rsid w:val="188F32EC"/>
    <w:rsid w:val="18E27640"/>
    <w:rsid w:val="18E83501"/>
    <w:rsid w:val="1A2058ED"/>
    <w:rsid w:val="1A60707C"/>
    <w:rsid w:val="1CBF7A06"/>
    <w:rsid w:val="1D45716C"/>
    <w:rsid w:val="1EBE4E12"/>
    <w:rsid w:val="1EF34E8C"/>
    <w:rsid w:val="1F1A5D50"/>
    <w:rsid w:val="1F3147C9"/>
    <w:rsid w:val="1FE12599"/>
    <w:rsid w:val="204A02A8"/>
    <w:rsid w:val="20CD72AC"/>
    <w:rsid w:val="20F3403C"/>
    <w:rsid w:val="21564A75"/>
    <w:rsid w:val="21886FD6"/>
    <w:rsid w:val="223F3C33"/>
    <w:rsid w:val="22C07DAD"/>
    <w:rsid w:val="22F34C27"/>
    <w:rsid w:val="234737B0"/>
    <w:rsid w:val="24E7270B"/>
    <w:rsid w:val="26A050C5"/>
    <w:rsid w:val="27F26A3D"/>
    <w:rsid w:val="28C1726A"/>
    <w:rsid w:val="28E1436D"/>
    <w:rsid w:val="28FF5506"/>
    <w:rsid w:val="296F7F7C"/>
    <w:rsid w:val="2A5E32CD"/>
    <w:rsid w:val="2B5E402A"/>
    <w:rsid w:val="2BE9378C"/>
    <w:rsid w:val="2C3D655A"/>
    <w:rsid w:val="2C90180C"/>
    <w:rsid w:val="2CA57EAE"/>
    <w:rsid w:val="2D876F29"/>
    <w:rsid w:val="2DAC5697"/>
    <w:rsid w:val="2E19341C"/>
    <w:rsid w:val="2E2B4C02"/>
    <w:rsid w:val="2FEB0968"/>
    <w:rsid w:val="30B34C3D"/>
    <w:rsid w:val="30C4778A"/>
    <w:rsid w:val="312B3E6C"/>
    <w:rsid w:val="31374878"/>
    <w:rsid w:val="32172DF1"/>
    <w:rsid w:val="325F7884"/>
    <w:rsid w:val="32626AA9"/>
    <w:rsid w:val="32794CA5"/>
    <w:rsid w:val="327C248E"/>
    <w:rsid w:val="335C3457"/>
    <w:rsid w:val="33CA753D"/>
    <w:rsid w:val="344C4D24"/>
    <w:rsid w:val="34CC28F4"/>
    <w:rsid w:val="34EF447A"/>
    <w:rsid w:val="351729F7"/>
    <w:rsid w:val="363261F6"/>
    <w:rsid w:val="36506B62"/>
    <w:rsid w:val="36883912"/>
    <w:rsid w:val="37A55F7D"/>
    <w:rsid w:val="37E55CC1"/>
    <w:rsid w:val="37EE37B7"/>
    <w:rsid w:val="383E5731"/>
    <w:rsid w:val="38DD5D05"/>
    <w:rsid w:val="39C42C15"/>
    <w:rsid w:val="3A9152EA"/>
    <w:rsid w:val="3A967400"/>
    <w:rsid w:val="3B425A80"/>
    <w:rsid w:val="3B553315"/>
    <w:rsid w:val="3B7E0F73"/>
    <w:rsid w:val="3BA50630"/>
    <w:rsid w:val="3BBE376E"/>
    <w:rsid w:val="3BE3547D"/>
    <w:rsid w:val="3CB56033"/>
    <w:rsid w:val="3D0E25C8"/>
    <w:rsid w:val="3D2F0AF9"/>
    <w:rsid w:val="3DA67D06"/>
    <w:rsid w:val="3E2B7C7D"/>
    <w:rsid w:val="3E3A1C0C"/>
    <w:rsid w:val="3E3E3FEE"/>
    <w:rsid w:val="3F197AFC"/>
    <w:rsid w:val="3F2E7D5E"/>
    <w:rsid w:val="400833EB"/>
    <w:rsid w:val="404B5B7E"/>
    <w:rsid w:val="407E00EE"/>
    <w:rsid w:val="40A45127"/>
    <w:rsid w:val="413E7D79"/>
    <w:rsid w:val="4189317E"/>
    <w:rsid w:val="41D13F2D"/>
    <w:rsid w:val="41D80598"/>
    <w:rsid w:val="420A79A7"/>
    <w:rsid w:val="42F91B32"/>
    <w:rsid w:val="43585587"/>
    <w:rsid w:val="43F523D0"/>
    <w:rsid w:val="456C1540"/>
    <w:rsid w:val="45A94391"/>
    <w:rsid w:val="45C50E48"/>
    <w:rsid w:val="461669AA"/>
    <w:rsid w:val="475C1EAD"/>
    <w:rsid w:val="47F23A2E"/>
    <w:rsid w:val="481A3ACE"/>
    <w:rsid w:val="485E04E5"/>
    <w:rsid w:val="48B7198F"/>
    <w:rsid w:val="49915883"/>
    <w:rsid w:val="4AB63A68"/>
    <w:rsid w:val="4AC0339B"/>
    <w:rsid w:val="4B1543E3"/>
    <w:rsid w:val="4BDE510D"/>
    <w:rsid w:val="4BF34C17"/>
    <w:rsid w:val="4BFE57FF"/>
    <w:rsid w:val="4D9B0E45"/>
    <w:rsid w:val="4D9C7AE5"/>
    <w:rsid w:val="4DF07CCA"/>
    <w:rsid w:val="4E3E0B9C"/>
    <w:rsid w:val="4EAD659C"/>
    <w:rsid w:val="4EFD70E2"/>
    <w:rsid w:val="50794F73"/>
    <w:rsid w:val="51495385"/>
    <w:rsid w:val="52506980"/>
    <w:rsid w:val="52727066"/>
    <w:rsid w:val="52D21F69"/>
    <w:rsid w:val="5351101D"/>
    <w:rsid w:val="53CC74CB"/>
    <w:rsid w:val="53DC0987"/>
    <w:rsid w:val="541A5ECF"/>
    <w:rsid w:val="54DC4C6B"/>
    <w:rsid w:val="55630EE8"/>
    <w:rsid w:val="55D02A22"/>
    <w:rsid w:val="55D96EF1"/>
    <w:rsid w:val="55F85AD5"/>
    <w:rsid w:val="5707501B"/>
    <w:rsid w:val="57376AD1"/>
    <w:rsid w:val="574B6FEF"/>
    <w:rsid w:val="58CC4570"/>
    <w:rsid w:val="591301B4"/>
    <w:rsid w:val="59FB2CA4"/>
    <w:rsid w:val="5A4C4641"/>
    <w:rsid w:val="5AAD3250"/>
    <w:rsid w:val="5B732912"/>
    <w:rsid w:val="5BB53B8B"/>
    <w:rsid w:val="5C8C5BE6"/>
    <w:rsid w:val="5C9731DC"/>
    <w:rsid w:val="5CAD12D4"/>
    <w:rsid w:val="5D2B7553"/>
    <w:rsid w:val="5E1017DC"/>
    <w:rsid w:val="5E9A49FA"/>
    <w:rsid w:val="5EE0592B"/>
    <w:rsid w:val="5FBC1DF3"/>
    <w:rsid w:val="60720C96"/>
    <w:rsid w:val="60A96BCC"/>
    <w:rsid w:val="61B73DDF"/>
    <w:rsid w:val="635F7AF0"/>
    <w:rsid w:val="65193499"/>
    <w:rsid w:val="65B85271"/>
    <w:rsid w:val="660A52BD"/>
    <w:rsid w:val="663A2F15"/>
    <w:rsid w:val="665733D6"/>
    <w:rsid w:val="6665056F"/>
    <w:rsid w:val="66BC11B0"/>
    <w:rsid w:val="67455D8A"/>
    <w:rsid w:val="67CF405B"/>
    <w:rsid w:val="694E2EC4"/>
    <w:rsid w:val="6A260A0B"/>
    <w:rsid w:val="6A6D6639"/>
    <w:rsid w:val="6AC975E8"/>
    <w:rsid w:val="6B8429F4"/>
    <w:rsid w:val="6B8F313F"/>
    <w:rsid w:val="6BB27985"/>
    <w:rsid w:val="6D462159"/>
    <w:rsid w:val="6D943B4A"/>
    <w:rsid w:val="6DF30EFD"/>
    <w:rsid w:val="6E985B16"/>
    <w:rsid w:val="6F1A5A23"/>
    <w:rsid w:val="6F60676D"/>
    <w:rsid w:val="70DB618E"/>
    <w:rsid w:val="713A2FED"/>
    <w:rsid w:val="71587BF4"/>
    <w:rsid w:val="7313274C"/>
    <w:rsid w:val="736F5DFC"/>
    <w:rsid w:val="73FF57C9"/>
    <w:rsid w:val="753D1CE7"/>
    <w:rsid w:val="753E2B9D"/>
    <w:rsid w:val="7596656C"/>
    <w:rsid w:val="76404C02"/>
    <w:rsid w:val="78475F2A"/>
    <w:rsid w:val="78592B81"/>
    <w:rsid w:val="79752EF2"/>
    <w:rsid w:val="79F55886"/>
    <w:rsid w:val="7A037057"/>
    <w:rsid w:val="7A543904"/>
    <w:rsid w:val="7AE21FD0"/>
    <w:rsid w:val="7B61057E"/>
    <w:rsid w:val="7B7B6CBF"/>
    <w:rsid w:val="7B966F68"/>
    <w:rsid w:val="7CC04F83"/>
    <w:rsid w:val="7D1D4DC9"/>
    <w:rsid w:val="7DAA6D06"/>
    <w:rsid w:val="7F082CD8"/>
    <w:rsid w:val="7F6426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rPr>
  </w:style>
  <w:style w:type="paragraph" w:styleId="7">
    <w:name w:val="annotation text"/>
    <w:basedOn w:val="1"/>
    <w:qFormat/>
    <w:uiPriority w:val="0"/>
    <w:pPr>
      <w:jc w:val="left"/>
    </w:pPr>
  </w:style>
  <w:style w:type="paragraph" w:styleId="8">
    <w:name w:val="Body Text"/>
    <w:basedOn w:val="1"/>
    <w:next w:val="9"/>
    <w:qFormat/>
    <w:uiPriority w:val="0"/>
    <w:pPr>
      <w:spacing w:after="120" w:afterLines="0" w:afterAutospacing="0"/>
    </w:pPr>
  </w:style>
  <w:style w:type="paragraph" w:styleId="9">
    <w:name w:val="toc 1"/>
    <w:basedOn w:val="1"/>
    <w:next w:val="1"/>
    <w:qFormat/>
    <w:uiPriority w:val="0"/>
  </w:style>
  <w:style w:type="paragraph" w:styleId="10">
    <w:name w:val="Body Text Indent"/>
    <w:basedOn w:val="1"/>
    <w:next w:val="11"/>
    <w:qFormat/>
    <w:uiPriority w:val="0"/>
    <w:pPr>
      <w:spacing w:after="120" w:line="240" w:lineRule="auto"/>
      <w:ind w:left="420" w:leftChars="200" w:firstLine="0" w:firstLineChars="0"/>
    </w:pPr>
    <w:rPr>
      <w:rFonts w:ascii="Calibri" w:hAnsi="Calibri" w:cs="Times New Roman"/>
      <w:sz w:val="21"/>
    </w:rPr>
  </w:style>
  <w:style w:type="paragraph" w:styleId="11">
    <w:name w:val="Balloon Text"/>
    <w:basedOn w:val="1"/>
    <w:next w:val="1"/>
    <w:semiHidden/>
    <w:qFormat/>
    <w:uiPriority w:val="0"/>
    <w:rPr>
      <w:sz w:val="18"/>
      <w:szCs w:val="18"/>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cs="Courier New"/>
      <w:szCs w:val="21"/>
    </w:rPr>
  </w:style>
  <w:style w:type="paragraph" w:styleId="14">
    <w:name w:val="List Bullet 5"/>
    <w:basedOn w:val="1"/>
    <w:qFormat/>
    <w:uiPriority w:val="0"/>
    <w:pPr>
      <w:numPr>
        <w:ilvl w:val="0"/>
        <w:numId w:val="1"/>
      </w:numPr>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2"/>
    <w:basedOn w:val="1"/>
    <w:next w:val="1"/>
    <w:qFormat/>
    <w:uiPriority w:val="0"/>
    <w:pPr>
      <w:ind w:left="420" w:leftChars="200"/>
    </w:pPr>
  </w:style>
  <w:style w:type="paragraph" w:styleId="18">
    <w:name w:val="Body Text 2"/>
    <w:basedOn w:val="1"/>
    <w:unhideWhenUsed/>
    <w:qFormat/>
    <w:uiPriority w:val="99"/>
    <w:pPr>
      <w:spacing w:after="120" w:line="480" w:lineRule="auto"/>
    </w:p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Title"/>
    <w:basedOn w:val="1"/>
    <w:next w:val="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1">
    <w:name w:val="annotation subject"/>
    <w:basedOn w:val="7"/>
    <w:next w:val="1"/>
    <w:unhideWhenUsed/>
    <w:qFormat/>
    <w:uiPriority w:val="99"/>
    <w:rPr>
      <w:b/>
      <w:bCs/>
    </w:rPr>
  </w:style>
  <w:style w:type="paragraph" w:styleId="22">
    <w:name w:val="Body Text First Indent"/>
    <w:basedOn w:val="8"/>
    <w:next w:val="1"/>
    <w:qFormat/>
    <w:uiPriority w:val="0"/>
    <w:pPr>
      <w:ind w:firstLine="420" w:firstLineChars="100"/>
    </w:pPr>
  </w:style>
  <w:style w:type="paragraph" w:styleId="23">
    <w:name w:val="Body Text First Indent 2"/>
    <w:basedOn w:val="10"/>
    <w:next w:val="22"/>
    <w:qFormat/>
    <w:uiPriority w:val="0"/>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FollowedHyperlink"/>
    <w:basedOn w:val="26"/>
    <w:qFormat/>
    <w:uiPriority w:val="0"/>
    <w:rPr>
      <w:color w:val="800080"/>
      <w:u w:val="single"/>
    </w:rPr>
  </w:style>
  <w:style w:type="character" w:styleId="29">
    <w:name w:val="Emphasis"/>
    <w:basedOn w:val="26"/>
    <w:qFormat/>
    <w:uiPriority w:val="0"/>
    <w:rPr>
      <w:i/>
    </w:rPr>
  </w:style>
  <w:style w:type="character" w:styleId="30">
    <w:name w:val="Hyperlink"/>
    <w:basedOn w:val="26"/>
    <w:qFormat/>
    <w:uiPriority w:val="0"/>
    <w:rPr>
      <w:color w:val="0000FF"/>
      <w:u w:val="single"/>
    </w:rPr>
  </w:style>
  <w:style w:type="character" w:customStyle="1" w:styleId="31">
    <w:name w:val="font21"/>
    <w:basedOn w:val="26"/>
    <w:qFormat/>
    <w:uiPriority w:val="0"/>
    <w:rPr>
      <w:rFonts w:hint="eastAsia" w:ascii="宋体" w:hAnsi="宋体" w:eastAsia="宋体" w:cs="宋体"/>
      <w:color w:val="000000"/>
      <w:sz w:val="20"/>
      <w:szCs w:val="20"/>
      <w:u w:val="none"/>
    </w:rPr>
  </w:style>
  <w:style w:type="character" w:customStyle="1" w:styleId="32">
    <w:name w:val="font51"/>
    <w:basedOn w:val="26"/>
    <w:qFormat/>
    <w:uiPriority w:val="0"/>
    <w:rPr>
      <w:rFonts w:hint="default" w:ascii="Times New Roman" w:hAnsi="Times New Roman" w:cs="Times New Roman"/>
      <w:color w:val="000000"/>
      <w:sz w:val="20"/>
      <w:szCs w:val="20"/>
      <w:u w:val="none"/>
    </w:rPr>
  </w:style>
  <w:style w:type="character" w:customStyle="1" w:styleId="33">
    <w:name w:val="font61"/>
    <w:basedOn w:val="26"/>
    <w:qFormat/>
    <w:uiPriority w:val="0"/>
    <w:rPr>
      <w:rFonts w:hint="eastAsia" w:ascii="宋体" w:hAnsi="宋体" w:eastAsia="宋体" w:cs="宋体"/>
      <w:color w:val="000000"/>
      <w:sz w:val="20"/>
      <w:szCs w:val="20"/>
      <w:u w:val="none"/>
      <w:vertAlign w:val="subscript"/>
    </w:rPr>
  </w:style>
  <w:style w:type="character" w:customStyle="1" w:styleId="34">
    <w:name w:val="font41"/>
    <w:basedOn w:val="26"/>
    <w:qFormat/>
    <w:uiPriority w:val="0"/>
    <w:rPr>
      <w:rFonts w:hint="eastAsia" w:ascii="宋体" w:hAnsi="宋体" w:eastAsia="宋体" w:cs="宋体"/>
      <w:color w:val="000000"/>
      <w:sz w:val="20"/>
      <w:szCs w:val="20"/>
      <w:u w:val="none"/>
    </w:rPr>
  </w:style>
  <w:style w:type="character" w:customStyle="1" w:styleId="35">
    <w:name w:val="font01"/>
    <w:basedOn w:val="26"/>
    <w:qFormat/>
    <w:uiPriority w:val="0"/>
    <w:rPr>
      <w:rFonts w:hint="eastAsia" w:ascii="宋体" w:hAnsi="宋体" w:eastAsia="宋体" w:cs="宋体"/>
      <w:b/>
      <w:bCs/>
      <w:color w:val="000000"/>
      <w:sz w:val="20"/>
      <w:szCs w:val="20"/>
      <w:u w:val="none"/>
    </w:rPr>
  </w:style>
  <w:style w:type="character" w:customStyle="1" w:styleId="36">
    <w:name w:val="font101"/>
    <w:basedOn w:val="26"/>
    <w:qFormat/>
    <w:uiPriority w:val="0"/>
    <w:rPr>
      <w:rFonts w:hint="eastAsia" w:ascii="宋体" w:hAnsi="宋体" w:eastAsia="宋体" w:cs="宋体"/>
      <w:color w:val="000000"/>
      <w:sz w:val="20"/>
      <w:szCs w:val="20"/>
      <w:u w:val="none"/>
    </w:rPr>
  </w:style>
  <w:style w:type="character" w:customStyle="1" w:styleId="37">
    <w:name w:val="font91"/>
    <w:basedOn w:val="26"/>
    <w:qFormat/>
    <w:uiPriority w:val="0"/>
    <w:rPr>
      <w:rFonts w:hint="eastAsia" w:ascii="宋体" w:hAnsi="宋体" w:eastAsia="宋体" w:cs="宋体"/>
      <w:color w:val="000000"/>
      <w:sz w:val="20"/>
      <w:szCs w:val="20"/>
      <w:u w:val="none"/>
    </w:rPr>
  </w:style>
  <w:style w:type="character" w:customStyle="1" w:styleId="38">
    <w:name w:val="font11"/>
    <w:basedOn w:val="26"/>
    <w:qFormat/>
    <w:uiPriority w:val="0"/>
    <w:rPr>
      <w:rFonts w:hint="eastAsia" w:ascii="宋体" w:hAnsi="宋体" w:eastAsia="宋体" w:cs="宋体"/>
      <w:b/>
      <w:bCs/>
      <w:color w:val="000000"/>
      <w:sz w:val="20"/>
      <w:szCs w:val="20"/>
      <w:u w:val="none"/>
    </w:rPr>
  </w:style>
  <w:style w:type="character" w:customStyle="1" w:styleId="39">
    <w:name w:val="font31"/>
    <w:basedOn w:val="26"/>
    <w:qFormat/>
    <w:uiPriority w:val="0"/>
    <w:rPr>
      <w:rFonts w:hint="default" w:ascii="Times New Roman" w:hAnsi="Times New Roman" w:cs="Times New Roman"/>
      <w:b/>
      <w:bCs/>
      <w:color w:val="000000"/>
      <w:sz w:val="20"/>
      <w:szCs w:val="20"/>
      <w:u w:val="none"/>
    </w:rPr>
  </w:style>
  <w:style w:type="character" w:customStyle="1" w:styleId="40">
    <w:name w:val="font71"/>
    <w:basedOn w:val="26"/>
    <w:qFormat/>
    <w:uiPriority w:val="0"/>
    <w:rPr>
      <w:rFonts w:hint="default" w:ascii="Times New Roman" w:hAnsi="Times New Roman" w:cs="Times New Roman"/>
      <w:color w:val="000000"/>
      <w:sz w:val="20"/>
      <w:szCs w:val="20"/>
      <w:u w:val="none"/>
    </w:rPr>
  </w:style>
  <w:style w:type="paragraph" w:customStyle="1" w:styleId="41">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正文文本1"/>
    <w:basedOn w:val="1"/>
    <w:qFormat/>
    <w:uiPriority w:val="0"/>
    <w:pPr>
      <w:widowControl w:val="0"/>
      <w:shd w:val="clear" w:color="auto" w:fill="auto"/>
      <w:spacing w:line="480" w:lineRule="auto"/>
      <w:ind w:firstLine="400"/>
    </w:pPr>
    <w:rPr>
      <w:rFonts w:ascii="宋体" w:hAnsi="宋体" w:eastAsia="宋体" w:cs="宋体"/>
      <w:sz w:val="26"/>
      <w:szCs w:val="26"/>
      <w:u w:val="none"/>
      <w:lang w:val="zh-CN" w:eastAsia="zh-CN" w:bidi="zh-CN"/>
    </w:rPr>
  </w:style>
  <w:style w:type="paragraph" w:customStyle="1" w:styleId="43">
    <w:name w:val="BodyTextIndent"/>
    <w:basedOn w:val="1"/>
    <w:qFormat/>
    <w:uiPriority w:val="0"/>
    <w:pPr>
      <w:widowControl/>
      <w:spacing w:line="360" w:lineRule="auto"/>
      <w:ind w:firstLine="600" w:firstLineChars="200"/>
      <w:jc w:val="left"/>
      <w:textAlignment w:val="baseline"/>
    </w:pPr>
    <w:rPr>
      <w:rFonts w:ascii="仿宋" w:hAnsi="仿宋" w:eastAsia="仿宋" w:cs="宋体"/>
      <w:bCs/>
      <w:kern w:val="0"/>
      <w:sz w:val="30"/>
      <w:szCs w:val="30"/>
    </w:rPr>
  </w:style>
  <w:style w:type="paragraph" w:customStyle="1" w:styleId="44">
    <w:name w:val="BodyText1I2"/>
    <w:basedOn w:val="43"/>
    <w:next w:val="1"/>
    <w:qFormat/>
    <w:uiPriority w:val="0"/>
    <w:pPr>
      <w:ind w:firstLine="420"/>
    </w:pPr>
  </w:style>
  <w:style w:type="table" w:customStyle="1" w:styleId="45">
    <w:name w:val="Table Normal"/>
    <w:unhideWhenUsed/>
    <w:qFormat/>
    <w:uiPriority w:val="0"/>
    <w:tblPr>
      <w:tblCellMar>
        <w:top w:w="0" w:type="dxa"/>
        <w:left w:w="0" w:type="dxa"/>
        <w:bottom w:w="0" w:type="dxa"/>
        <w:right w:w="0" w:type="dxa"/>
      </w:tblCellMar>
    </w:tblPr>
  </w:style>
  <w:style w:type="paragraph" w:customStyle="1" w:styleId="46">
    <w:name w:val="zw"/>
    <w:basedOn w:val="1"/>
    <w:qFormat/>
    <w:uiPriority w:val="0"/>
    <w:pPr>
      <w:autoSpaceDE w:val="0"/>
      <w:autoSpaceDN w:val="0"/>
      <w:adjustRightInd w:val="0"/>
      <w:spacing w:line="360" w:lineRule="auto"/>
      <w:ind w:firstLine="482"/>
      <w:textAlignment w:val="bottom"/>
    </w:pPr>
    <w:rPr>
      <w:rFonts w:ascii="Arial Narrow" w:hAnsi="Arial Narrow" w:eastAsia="仿宋_GB2312"/>
      <w:kern w:val="0"/>
    </w:rPr>
  </w:style>
  <w:style w:type="character" w:customStyle="1" w:styleId="47">
    <w:name w:val="font161"/>
    <w:basedOn w:val="26"/>
    <w:qFormat/>
    <w:uiPriority w:val="0"/>
    <w:rPr>
      <w:rFonts w:hint="eastAsia" w:ascii="宋体" w:hAnsi="宋体" w:eastAsia="宋体" w:cs="宋体"/>
      <w:color w:val="000000"/>
      <w:sz w:val="22"/>
      <w:szCs w:val="22"/>
      <w:u w:val="none"/>
    </w:rPr>
  </w:style>
  <w:style w:type="character" w:customStyle="1" w:styleId="48">
    <w:name w:val="font111"/>
    <w:basedOn w:val="26"/>
    <w:qFormat/>
    <w:uiPriority w:val="0"/>
    <w:rPr>
      <w:rFonts w:hint="eastAsia" w:ascii="宋体" w:hAnsi="宋体" w:eastAsia="宋体" w:cs="宋体"/>
      <w:color w:val="000000"/>
      <w:sz w:val="22"/>
      <w:szCs w:val="22"/>
      <w:u w:val="none"/>
    </w:rPr>
  </w:style>
  <w:style w:type="character" w:customStyle="1" w:styleId="49">
    <w:name w:val="font171"/>
    <w:basedOn w:val="26"/>
    <w:qFormat/>
    <w:uiPriority w:val="0"/>
    <w:rPr>
      <w:rFonts w:hint="eastAsia" w:ascii="宋体" w:hAnsi="宋体" w:eastAsia="宋体" w:cs="宋体"/>
      <w:color w:val="4F3A00"/>
      <w:sz w:val="22"/>
      <w:szCs w:val="22"/>
      <w:u w:val="none"/>
    </w:rPr>
  </w:style>
  <w:style w:type="character" w:customStyle="1" w:styleId="50">
    <w:name w:val="font191"/>
    <w:basedOn w:val="26"/>
    <w:qFormat/>
    <w:uiPriority w:val="0"/>
    <w:rPr>
      <w:rFonts w:hint="eastAsia" w:ascii="宋体" w:hAnsi="宋体" w:eastAsia="宋体" w:cs="宋体"/>
      <w:color w:val="453000"/>
      <w:sz w:val="22"/>
      <w:szCs w:val="22"/>
      <w:u w:val="none"/>
    </w:rPr>
  </w:style>
  <w:style w:type="character" w:customStyle="1" w:styleId="51">
    <w:name w:val="font151"/>
    <w:basedOn w:val="26"/>
    <w:qFormat/>
    <w:uiPriority w:val="0"/>
    <w:rPr>
      <w:rFonts w:hint="eastAsia" w:ascii="宋体" w:hAnsi="宋体" w:eastAsia="宋体" w:cs="宋体"/>
      <w:color w:val="000000"/>
      <w:sz w:val="22"/>
      <w:szCs w:val="22"/>
      <w:u w:val="none"/>
    </w:rPr>
  </w:style>
  <w:style w:type="character" w:customStyle="1" w:styleId="52">
    <w:name w:val="font81"/>
    <w:basedOn w:val="26"/>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16580</Words>
  <Characters>17284</Characters>
  <TotalTime>2</TotalTime>
  <ScaleCrop>false</ScaleCrop>
  <LinksUpToDate>false</LinksUpToDate>
  <CharactersWithSpaces>17303</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2023-01-18T11:07:00Z</dcterms:created>
  <dc:creator>PKLONE</dc:creator>
  <cp:lastModifiedBy>Tdonglin</cp:lastModifiedBy>
  <dcterms:modified xsi:type="dcterms:W3CDTF">2026-01-23T02:59:54Z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2023-01-19T14:07:28Z</vt:filetime>
  </property>
  <property fmtid="{D5CDD505-2E9C-101B-9397-08002B2CF9AE}" pid="4" name="KSOProductBuildVer">
    <vt:lpwstr>2052-11.1.0.13703</vt:lpwstr>
  </property>
  <property fmtid="{D5CDD505-2E9C-101B-9397-08002B2CF9AE}" pid="5" name="ICV">
    <vt:lpwstr>6BF8F03CE17E4F9F9BD77E2CFE659548</vt:lpwstr>
  </property>
  <property fmtid="{D5CDD505-2E9C-101B-9397-08002B2CF9AE}" pid="6" name="KSOTemplateDocerSaveRecord">
    <vt:lpwstr>eyJoZGlkIjoiZGEzNTVkMDZkOGFlYTlhNjI3NzIwMmQxYzg5ZTFjNmYiLCJ1c2VySWQiOiIzNjM3OTgzMjQifQ==</vt:lpwstr>
  </property>
</Properties>
</file>